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69E0E" w14:textId="77777777" w:rsidR="00F16AFD" w:rsidRPr="00B479AE" w:rsidRDefault="00F16AFD" w:rsidP="00F16AFD">
      <w:pPr>
        <w:spacing w:line="360" w:lineRule="auto"/>
        <w:rPr>
          <w:rFonts w:ascii="Baskerville Old Face" w:hAnsi="Baskerville Old Face"/>
          <w:b/>
          <w:bCs/>
          <w:i/>
          <w:iCs/>
        </w:rPr>
      </w:pPr>
      <w:bookmarkStart w:id="0" w:name="_Hlk219100764"/>
      <w:r w:rsidRPr="00B479AE">
        <w:rPr>
          <w:rFonts w:ascii="Baskerville Old Face" w:hAnsi="Baskerville Old Face"/>
          <w:b/>
          <w:bCs/>
          <w:i/>
          <w:iCs/>
          <w:noProof/>
        </w:rPr>
        <w:drawing>
          <wp:inline distT="0" distB="0" distL="0" distR="0" wp14:anchorId="0DA59A0E" wp14:editId="2513CE39">
            <wp:extent cx="838200" cy="455177"/>
            <wp:effectExtent l="0" t="0" r="0" b="2540"/>
            <wp:docPr id="2061870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68676" cy="471727"/>
                    </a:xfrm>
                    <a:prstGeom prst="rect">
                      <a:avLst/>
                    </a:prstGeom>
                    <a:noFill/>
                    <a:ln>
                      <a:noFill/>
                    </a:ln>
                  </pic:spPr>
                </pic:pic>
              </a:graphicData>
            </a:graphic>
          </wp:inline>
        </w:drawing>
      </w:r>
    </w:p>
    <w:bookmarkEnd w:id="0"/>
    <w:p w14:paraId="5226F1FF" w14:textId="77777777" w:rsidR="00BE069D" w:rsidRPr="00B479AE" w:rsidRDefault="00BE069D" w:rsidP="00BE069D">
      <w:pPr>
        <w:rPr>
          <w:rFonts w:ascii="Baskerville Old Face" w:hAnsi="Baskerville Old Face"/>
          <w:b/>
          <w:bCs/>
          <w:sz w:val="22"/>
          <w:szCs w:val="22"/>
        </w:rPr>
      </w:pPr>
      <w:r w:rsidRPr="00B479AE">
        <w:rPr>
          <w:rFonts w:ascii="Baskerville Old Face" w:hAnsi="Baskerville Old Face"/>
          <w:b/>
          <w:bCs/>
          <w:sz w:val="22"/>
          <w:szCs w:val="22"/>
        </w:rPr>
        <w:t>Work for Nature,</w:t>
      </w:r>
    </w:p>
    <w:p w14:paraId="3B1E948F" w14:textId="77777777" w:rsidR="00BE069D" w:rsidRPr="00B479AE" w:rsidRDefault="00BE069D" w:rsidP="00BE069D">
      <w:pPr>
        <w:rPr>
          <w:rFonts w:ascii="Baskerville Old Face" w:hAnsi="Baskerville Old Face"/>
          <w:b/>
          <w:bCs/>
          <w:sz w:val="22"/>
          <w:szCs w:val="22"/>
        </w:rPr>
      </w:pPr>
      <w:r w:rsidRPr="00B479AE">
        <w:rPr>
          <w:rFonts w:ascii="Baskerville Old Face" w:hAnsi="Baskerville Old Face"/>
          <w:b/>
          <w:bCs/>
          <w:sz w:val="22"/>
          <w:szCs w:val="22"/>
        </w:rPr>
        <w:t xml:space="preserve"> and Nature will work for you</w:t>
      </w:r>
    </w:p>
    <w:p w14:paraId="1F361262" w14:textId="77777777" w:rsidR="00BE069D" w:rsidRPr="00B479AE" w:rsidRDefault="00BE069D" w:rsidP="00BE069D">
      <w:pPr>
        <w:spacing w:line="360" w:lineRule="auto"/>
        <w:jc w:val="center"/>
        <w:rPr>
          <w:rFonts w:ascii="Baskerville Old Face" w:hAnsi="Baskerville Old Face"/>
          <w:b/>
          <w:bCs/>
        </w:rPr>
      </w:pPr>
      <w:r w:rsidRPr="00B479AE">
        <w:rPr>
          <w:rFonts w:ascii="Baskerville Old Face" w:hAnsi="Baskerville Old Face"/>
          <w:b/>
          <w:bCs/>
        </w:rPr>
        <w:t>WHITE PAPER</w:t>
      </w:r>
    </w:p>
    <w:p w14:paraId="786C0AAC" w14:textId="77777777" w:rsidR="00BE069D" w:rsidRPr="00B479AE" w:rsidRDefault="00BE069D" w:rsidP="001C2F0A">
      <w:pPr>
        <w:pStyle w:val="Titolo"/>
        <w:jc w:val="center"/>
        <w:rPr>
          <w:rFonts w:ascii="Baskerville Old Face" w:hAnsi="Baskerville Old Face"/>
          <w:b/>
          <w:bCs/>
          <w:sz w:val="28"/>
          <w:szCs w:val="28"/>
        </w:rPr>
      </w:pPr>
      <w:r w:rsidRPr="00B479AE">
        <w:rPr>
          <w:rFonts w:ascii="Baskerville Old Face" w:hAnsi="Baskerville Old Face"/>
          <w:b/>
          <w:bCs/>
          <w:sz w:val="28"/>
          <w:szCs w:val="28"/>
        </w:rPr>
        <w:t>h•eart•h Prometheus</w:t>
      </w:r>
    </w:p>
    <w:p w14:paraId="0366B10F" w14:textId="77777777" w:rsidR="00497D3D" w:rsidRPr="00B479AE" w:rsidRDefault="00497D3D" w:rsidP="00497D3D">
      <w:pPr>
        <w:spacing w:line="360" w:lineRule="auto"/>
        <w:jc w:val="center"/>
        <w:rPr>
          <w:rFonts w:ascii="Baskerville Old Face" w:hAnsi="Baskerville Old Face"/>
          <w:b/>
          <w:bCs/>
          <w:i/>
          <w:iCs/>
        </w:rPr>
      </w:pPr>
      <w:r w:rsidRPr="00B479AE">
        <w:rPr>
          <w:rFonts w:ascii="Baskerville Old Face" w:hAnsi="Baskerville Old Face"/>
          <w:b/>
          <w:bCs/>
          <w:i/>
          <w:iCs/>
        </w:rPr>
        <w:t>Verified Regeneration as an Investable Real-World Asset Class</w:t>
      </w:r>
    </w:p>
    <w:p w14:paraId="15A33B6F" w14:textId="77777777" w:rsidR="00497D3D" w:rsidRPr="00B479AE" w:rsidRDefault="00497D3D" w:rsidP="00497D3D">
      <w:pPr>
        <w:spacing w:line="360" w:lineRule="auto"/>
        <w:rPr>
          <w:rFonts w:ascii="Baskerville Old Face" w:hAnsi="Baskerville Old Face"/>
          <w:b/>
          <w:bCs/>
          <w:i/>
          <w:iCs/>
        </w:rPr>
      </w:pPr>
      <w:r w:rsidRPr="00B479AE">
        <w:rPr>
          <w:rFonts w:ascii="Baskerville Old Face" w:hAnsi="Baskerville Old Face"/>
          <w:b/>
          <w:bCs/>
          <w:i/>
          <w:iCs/>
        </w:rPr>
        <w:t>Regenerative Infrastructure for a Living Economy</w:t>
      </w:r>
    </w:p>
    <w:p w14:paraId="28C06BCF" w14:textId="77777777" w:rsidR="001C2F0A" w:rsidRPr="00B479AE" w:rsidRDefault="001C2F0A" w:rsidP="001C2F0A">
      <w:pPr>
        <w:spacing w:line="360" w:lineRule="auto"/>
        <w:rPr>
          <w:rFonts w:ascii="Baskerville Old Face" w:hAnsi="Baskerville Old Face"/>
          <w:b/>
          <w:bCs/>
          <w:i/>
          <w:iCs/>
        </w:rPr>
      </w:pPr>
      <w:r w:rsidRPr="00B479AE">
        <w:rPr>
          <w:rFonts w:ascii="Baskerville Old Face" w:hAnsi="Baskerville Old Face"/>
          <w:b/>
          <w:bCs/>
          <w:i/>
          <w:iCs/>
        </w:rPr>
        <w:t>Author: h•eart•h intelligence initiative</w:t>
      </w:r>
    </w:p>
    <w:p w14:paraId="78F4A934" w14:textId="77777777" w:rsidR="001C2F0A" w:rsidRPr="00B479AE" w:rsidRDefault="001C2F0A" w:rsidP="001C2F0A">
      <w:pPr>
        <w:spacing w:line="360" w:lineRule="auto"/>
        <w:rPr>
          <w:rFonts w:ascii="Baskerville Old Face" w:hAnsi="Baskerville Old Face"/>
          <w:b/>
          <w:bCs/>
          <w:i/>
          <w:iCs/>
        </w:rPr>
      </w:pPr>
      <w:r w:rsidRPr="00B479AE">
        <w:rPr>
          <w:rFonts w:ascii="Baskerville Old Face" w:hAnsi="Baskerville Old Face"/>
          <w:b/>
          <w:bCs/>
          <w:i/>
          <w:iCs/>
        </w:rPr>
        <w:t>Company: Permaculture DAO LLC</w:t>
      </w:r>
    </w:p>
    <w:p w14:paraId="708E8107" w14:textId="193A4CD5" w:rsidR="00497D3D" w:rsidRPr="00B479AE" w:rsidRDefault="00497D3D" w:rsidP="00497D3D">
      <w:pPr>
        <w:spacing w:line="360" w:lineRule="auto"/>
        <w:rPr>
          <w:rFonts w:ascii="Baskerville Old Face" w:hAnsi="Baskerville Old Face"/>
          <w:i/>
          <w:iCs/>
        </w:rPr>
      </w:pPr>
      <w:r w:rsidRPr="00B479AE">
        <w:rPr>
          <w:rFonts w:ascii="Baskerville Old Face" w:hAnsi="Baskerville Old Face"/>
          <w:i/>
          <w:iCs/>
        </w:rPr>
        <w:t>Rivers do not drink their own water.</w:t>
      </w:r>
      <w:r w:rsidRPr="00B479AE">
        <w:rPr>
          <w:rFonts w:ascii="Baskerville Old Face" w:hAnsi="Baskerville Old Face"/>
          <w:i/>
          <w:iCs/>
        </w:rPr>
        <w:br/>
        <w:t>Trees do not eat their own fruit.</w:t>
      </w:r>
      <w:r w:rsidRPr="00B479AE">
        <w:rPr>
          <w:rFonts w:ascii="Baskerville Old Face" w:hAnsi="Baskerville Old Face"/>
          <w:i/>
          <w:iCs/>
        </w:rPr>
        <w:br/>
        <w:t>The sun does not warm itself.</w:t>
      </w:r>
      <w:r w:rsidRPr="00B479AE">
        <w:rPr>
          <w:rFonts w:ascii="Baskerville Old Face" w:hAnsi="Baskerville Old Face"/>
          <w:i/>
          <w:iCs/>
        </w:rPr>
        <w:br/>
        <w:t>Flowers do not release fragrance for their own benefit.</w:t>
      </w:r>
    </w:p>
    <w:p w14:paraId="25F8CD20" w14:textId="77777777" w:rsidR="00497D3D" w:rsidRPr="00B479AE" w:rsidRDefault="00497D3D" w:rsidP="00497D3D">
      <w:pPr>
        <w:spacing w:line="360" w:lineRule="auto"/>
        <w:rPr>
          <w:rFonts w:ascii="Baskerville Old Face" w:hAnsi="Baskerville Old Face"/>
          <w:i/>
          <w:iCs/>
        </w:rPr>
      </w:pPr>
      <w:r w:rsidRPr="00B479AE">
        <w:rPr>
          <w:rFonts w:ascii="Baskerville Old Face" w:hAnsi="Baskerville Old Face"/>
          <w:i/>
          <w:iCs/>
        </w:rPr>
        <w:t>Life flourishes through contribution.</w:t>
      </w:r>
      <w:r w:rsidRPr="00B479AE">
        <w:rPr>
          <w:rFonts w:ascii="Baskerville Old Face" w:hAnsi="Baskerville Old Face"/>
          <w:i/>
          <w:iCs/>
        </w:rPr>
        <w:br/>
        <w:t>The vitality of each element strengthens the whole,</w:t>
      </w:r>
      <w:r w:rsidRPr="00B479AE">
        <w:rPr>
          <w:rFonts w:ascii="Baskerville Old Face" w:hAnsi="Baskerville Old Face"/>
          <w:i/>
          <w:iCs/>
        </w:rPr>
        <w:br/>
        <w:t>and the whole in turn sustains its parts.</w:t>
      </w:r>
    </w:p>
    <w:p w14:paraId="6B4B4882" w14:textId="77777777" w:rsidR="006F3B48" w:rsidRPr="00B479AE" w:rsidRDefault="006F3B48" w:rsidP="00497D3D">
      <w:pPr>
        <w:spacing w:line="360" w:lineRule="auto"/>
        <w:rPr>
          <w:rFonts w:ascii="Baskerville Old Face" w:hAnsi="Baskerville Old Face"/>
          <w:i/>
          <w:iCs/>
        </w:rPr>
      </w:pPr>
    </w:p>
    <w:p w14:paraId="0AB0B0FC" w14:textId="77777777" w:rsidR="009D7859" w:rsidRPr="00B479AE" w:rsidRDefault="009D7859" w:rsidP="00BF7DC2">
      <w:pPr>
        <w:pStyle w:val="Titolo1"/>
        <w:rPr>
          <w:rFonts w:ascii="Baskerville Old Face" w:hAnsi="Baskerville Old Face"/>
          <w:b/>
          <w:bCs/>
          <w:i/>
          <w:iCs/>
          <w:sz w:val="24"/>
          <w:szCs w:val="24"/>
        </w:rPr>
      </w:pPr>
      <w:r w:rsidRPr="00B479AE">
        <w:rPr>
          <w:rFonts w:ascii="Baskerville Old Face" w:hAnsi="Baskerville Old Face"/>
          <w:b/>
          <w:bCs/>
          <w:i/>
          <w:iCs/>
          <w:sz w:val="24"/>
          <w:szCs w:val="24"/>
        </w:rPr>
        <w:t>Release Identity</w:t>
      </w:r>
    </w:p>
    <w:p w14:paraId="1F8D332F"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This White Paper constitutes the current institutional release of the h•eart•h Prometheus framework.</w:t>
      </w:r>
    </w:p>
    <w:p w14:paraId="06F15E5B"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It consolidates the constitutional, ecological, technological, governance, verification, financial, and capital-market architecture of Prometheus into a single current document.</w:t>
      </w:r>
    </w:p>
    <w:p w14:paraId="74BD7916"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Prometheus is presented here as a regenerative transformation infrastructure: a system through which living systems, verified evidence, human stewardship, distributed intelligence, and capital formation converge into a new class of real-world regenerative assets.</w:t>
      </w:r>
    </w:p>
    <w:p w14:paraId="23DB2B64"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lastRenderedPageBreak/>
        <w:t>This release gives institutional form to the original Prometheus thesis by making explicit the architecture through which regeneration can become observable, measurable, auditable, underwritable, financeable, and eventually represented through compliant institutional or digital instruments.</w:t>
      </w:r>
    </w:p>
    <w:p w14:paraId="2A1C7279"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Prometheus should therefore be read through a clear progression:</w:t>
      </w:r>
    </w:p>
    <w:p w14:paraId="206048F3"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from living systems</w:t>
      </w:r>
      <w:r w:rsidRPr="00B479AE">
        <w:rPr>
          <w:rFonts w:ascii="Baskerville Old Face" w:hAnsi="Baskerville Old Face"/>
          <w:i/>
          <w:iCs/>
        </w:rPr>
        <w:br/>
        <w:t>to observable regeneration</w:t>
      </w:r>
      <w:r w:rsidRPr="00B479AE">
        <w:rPr>
          <w:rFonts w:ascii="Baskerville Old Face" w:hAnsi="Baskerville Old Face"/>
          <w:i/>
          <w:iCs/>
        </w:rPr>
        <w:br/>
        <w:t>to verifiable evidence</w:t>
      </w:r>
      <w:r w:rsidRPr="00B479AE">
        <w:rPr>
          <w:rFonts w:ascii="Baskerville Old Face" w:hAnsi="Baskerville Old Face"/>
          <w:i/>
          <w:iCs/>
        </w:rPr>
        <w:br/>
        <w:t>to financially admissible value</w:t>
      </w:r>
      <w:r w:rsidRPr="00B479AE">
        <w:rPr>
          <w:rFonts w:ascii="Baskerville Old Face" w:hAnsi="Baskerville Old Face"/>
          <w:i/>
          <w:iCs/>
        </w:rPr>
        <w:br/>
        <w:t>to capital-ready regenerative infrastructure.</w:t>
      </w:r>
    </w:p>
    <w:p w14:paraId="28DB6693"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The purpose of this release is to define the conditions under which capital can become aligned with the regenerative capacity of living systems.</w:t>
      </w:r>
    </w:p>
    <w:p w14:paraId="03FAD625"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In this framework, capital is not treated as the source of life.</w:t>
      </w:r>
    </w:p>
    <w:p w14:paraId="48F5FA85"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It is treated as a coordination instrument that can support living systems when disciplined by evidence, stewardship, ecological reality, and long-term responsibility.</w:t>
      </w:r>
    </w:p>
    <w:p w14:paraId="1F98992F" w14:textId="77777777" w:rsidR="009D7859" w:rsidRPr="00B479AE" w:rsidRDefault="009D7859" w:rsidP="00BF7DC2">
      <w:pPr>
        <w:pStyle w:val="Titolo1"/>
        <w:rPr>
          <w:rFonts w:ascii="Baskerville Old Face" w:hAnsi="Baskerville Old Face"/>
          <w:b/>
          <w:bCs/>
          <w:i/>
          <w:iCs/>
          <w:sz w:val="24"/>
          <w:szCs w:val="24"/>
        </w:rPr>
      </w:pPr>
      <w:r w:rsidRPr="00B479AE">
        <w:rPr>
          <w:rFonts w:ascii="Baskerville Old Face" w:hAnsi="Baskerville Old Face"/>
          <w:b/>
          <w:bCs/>
          <w:i/>
          <w:iCs/>
          <w:sz w:val="24"/>
          <w:szCs w:val="24"/>
        </w:rPr>
        <w:t>Document Status</w:t>
      </w:r>
    </w:p>
    <w:p w14:paraId="3C3963E3"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This document presents the conceptual, scientific, technological, governance, operational, verification, and financial architecture of the h•eart•h Prometheus regenerative infrastructure framework.</w:t>
      </w:r>
    </w:p>
    <w:p w14:paraId="5E24560B" w14:textId="6555574A" w:rsidR="003C21DB" w:rsidRPr="00B479AE" w:rsidRDefault="003C21DB" w:rsidP="009D7859">
      <w:pPr>
        <w:spacing w:line="360" w:lineRule="auto"/>
        <w:rPr>
          <w:rFonts w:ascii="Baskerville Old Face" w:hAnsi="Baskerville Old Face"/>
          <w:i/>
          <w:iCs/>
        </w:rPr>
      </w:pPr>
      <w:r w:rsidRPr="00B479AE">
        <w:rPr>
          <w:rFonts w:ascii="Baskerville Old Face" w:hAnsi="Baskerville Old Face"/>
          <w:i/>
          <w:iCs/>
        </w:rPr>
        <w:t>The purpose of this White Paper is to describe a system capable of transforming ecological regeneration into measurable, verifiable, auditable, financeable, and potentially representable through compliant institutional or digital instruments.</w:t>
      </w:r>
    </w:p>
    <w:p w14:paraId="70AF6BBE" w14:textId="1915387A"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Prometheus proposes a structural transition from extractive economic systems toward regenerative systems aligned with the long-term health of living ecosystems, human communities, and capital allocation mechanisms.</w:t>
      </w:r>
    </w:p>
    <w:p w14:paraId="14C55190"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This document serves multiple functions:</w:t>
      </w:r>
    </w:p>
    <w:p w14:paraId="70D6B1CA"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 to articulate the philosophical, scientific, and ecological foundations of the Prometheus framework;</w:t>
      </w:r>
    </w:p>
    <w:p w14:paraId="776F803A"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lastRenderedPageBreak/>
        <w:t>• to describe the technological architecture enabling distributed verification of regenerative processes;</w:t>
      </w:r>
    </w:p>
    <w:p w14:paraId="0B971601"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 to define the verification-first discipline through which ecological claims mature into evidence, evidence matures into validated indicators, and validated indicators may become financially admissible value;</w:t>
      </w:r>
    </w:p>
    <w:p w14:paraId="3E33CB40"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 to define the economic model through which verified regeneration can become an investable real-world asset class;</w:t>
      </w:r>
    </w:p>
    <w:p w14:paraId="64093A81"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 to introduce the One Human Ecosystem (OHE) as the minimum deployable unit of regenerative infrastructure;</w:t>
      </w:r>
    </w:p>
    <w:p w14:paraId="4C58635F" w14:textId="1CD79477" w:rsidR="001C094B" w:rsidRPr="00B479AE" w:rsidRDefault="009D7859" w:rsidP="009D7859">
      <w:pPr>
        <w:spacing w:line="360" w:lineRule="auto"/>
        <w:rPr>
          <w:rFonts w:ascii="Baskerville Old Face" w:hAnsi="Baskerville Old Face"/>
          <w:i/>
          <w:iCs/>
        </w:rPr>
      </w:pPr>
      <w:r w:rsidRPr="00B479AE">
        <w:rPr>
          <w:rFonts w:ascii="Baskerville Old Face" w:hAnsi="Baskerville Old Face"/>
          <w:i/>
          <w:iCs/>
        </w:rPr>
        <w:t>•</w:t>
      </w:r>
      <w:r w:rsidR="001C094B" w:rsidRPr="00B479AE">
        <w:rPr>
          <w:rFonts w:ascii="Baskerville Old Face" w:hAnsi="Baskerville Old Face"/>
          <w:i/>
          <w:iCs/>
        </w:rPr>
        <w:t xml:space="preserve"> to introduce the Prometheus Regenerative Unit (PRU) as the value-analysis interface through which measured ecological performance becomes comparable, reviewable, maturity-classified, and capital-readable;</w:t>
      </w:r>
    </w:p>
    <w:p w14:paraId="5DF0C8BC" w14:textId="7C319B24"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 xml:space="preserve">• </w:t>
      </w:r>
      <w:r w:rsidR="008E06FC" w:rsidRPr="00B479AE">
        <w:rPr>
          <w:rFonts w:ascii="Baskerville Old Face" w:hAnsi="Baskerville Old Face"/>
          <w:i/>
          <w:iCs/>
        </w:rPr>
        <w:t>to introduce Regenerative Asset Pools (RAPs) as portfolio structures capable of aggregating verified regenerative units into capital-ready regenerative infrastructure;</w:t>
      </w:r>
    </w:p>
    <w:p w14:paraId="7951B03B" w14:textId="5ECC820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 xml:space="preserve">• to clarify the functional separation between PRU, TRBK, HoloFuel, governance rights, operational flows, investor exposure, and </w:t>
      </w:r>
      <w:r w:rsidR="002A7CA3" w:rsidRPr="00B479AE">
        <w:rPr>
          <w:rFonts w:ascii="Baskerville Old Face" w:hAnsi="Baskerville Old Face"/>
          <w:i/>
          <w:iCs/>
        </w:rPr>
        <w:t>future compliant digital or institutional representations</w:t>
      </w:r>
      <w:r w:rsidRPr="00B479AE">
        <w:rPr>
          <w:rFonts w:ascii="Baskerville Old Face" w:hAnsi="Baskerville Old Face"/>
          <w:i/>
          <w:iCs/>
        </w:rPr>
        <w:t>;</w:t>
      </w:r>
    </w:p>
    <w:p w14:paraId="4DE2C2C4"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 to outline the legal, governance, MRV, anti-greenwashing, no-double-counting, and auditability disciplines required for institutional credibility;</w:t>
      </w:r>
    </w:p>
    <w:p w14:paraId="0F56B272"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 to provide a roadmap for implementation across pilot sites, territories, bioregions, and future regenerative asset portfolios.</w:t>
      </w:r>
    </w:p>
    <w:p w14:paraId="0C087FB5"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Prometheus is designed as a capital-ready regenerative transformation infrastructure capable of coordinating regenerative activity across multiple domains, including land stewardship, ecological monitoring, agent-centric digital infrastructure, decentralized governance, value accounting, regenerative finance, and real-world asset formation.</w:t>
      </w:r>
    </w:p>
    <w:p w14:paraId="3D17F063"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Prometheus recognizes that biological regeneration arises from living systems themselves.</w:t>
      </w:r>
    </w:p>
    <w:p w14:paraId="5A6DD131"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Its role is to create the operational, evidentiary, governance, and capital-allocation conditions through which regeneration can become executable, reviewable, auditable, scalable, and institutionally financeable.</w:t>
      </w:r>
    </w:p>
    <w:p w14:paraId="41FF2CBA"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lastRenderedPageBreak/>
        <w:t>The ideas presented here represent a living architecture intended to evolve through practical experimentation, scientific validation, operational discipline, and distributed collaboration.</w:t>
      </w:r>
    </w:p>
    <w:p w14:paraId="7563B2EF"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At its current stage, Prometheus is being operationalized through a bounded pilot-first stack.</w:t>
      </w:r>
    </w:p>
    <w:p w14:paraId="0CD47316" w14:textId="05939120"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 xml:space="preserve">This means that constitutional specification, implementation contract, behavioral expectations, operational discipline, evaluation logic, MRV semantics, </w:t>
      </w:r>
      <w:r w:rsidR="0093113B" w:rsidRPr="00B479AE">
        <w:rPr>
          <w:rFonts w:ascii="Baskerville Old Face" w:hAnsi="Baskerville Old Face"/>
          <w:i/>
          <w:iCs/>
        </w:rPr>
        <w:t>value-analysis interface</w:t>
      </w:r>
      <w:r w:rsidRPr="00B479AE">
        <w:rPr>
          <w:rFonts w:ascii="Baskerville Old Face" w:hAnsi="Baskerville Old Face"/>
          <w:i/>
          <w:iCs/>
        </w:rPr>
        <w:t>, and runtime implementation are intentionally separated across canonical project layers rather than collapsed into a single undifferentiated platform.</w:t>
      </w:r>
    </w:p>
    <w:p w14:paraId="4D4FDAFF" w14:textId="44DD4EC4"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 xml:space="preserve">This separation preserves scope clarity, validation discipline, implementation fidelity, legal readability, capital-market admissibility, and auditability as the system matures through real </w:t>
      </w:r>
      <w:r w:rsidR="00A20718" w:rsidRPr="00B479AE">
        <w:rPr>
          <w:rFonts w:ascii="Baskerville Old Face" w:hAnsi="Baskerville Old Face"/>
          <w:i/>
          <w:iCs/>
        </w:rPr>
        <w:t>site</w:t>
      </w:r>
      <w:r w:rsidRPr="00B479AE">
        <w:rPr>
          <w:rFonts w:ascii="Baskerville Old Face" w:hAnsi="Baskerville Old Face"/>
          <w:i/>
          <w:iCs/>
        </w:rPr>
        <w:t xml:space="preserve"> conditions.</w:t>
      </w:r>
    </w:p>
    <w:p w14:paraId="0B9157D5" w14:textId="77777777" w:rsidR="009D7859" w:rsidRPr="00B479AE" w:rsidRDefault="009D7859" w:rsidP="00BF7DC2">
      <w:pPr>
        <w:pStyle w:val="Titolo1"/>
        <w:rPr>
          <w:rFonts w:ascii="Baskerville Old Face" w:hAnsi="Baskerville Old Face"/>
          <w:b/>
          <w:bCs/>
          <w:i/>
          <w:iCs/>
          <w:sz w:val="24"/>
          <w:szCs w:val="24"/>
        </w:rPr>
      </w:pPr>
      <w:r w:rsidRPr="00B479AE">
        <w:rPr>
          <w:rFonts w:ascii="Baskerville Old Face" w:hAnsi="Baskerville Old Face"/>
          <w:b/>
          <w:bCs/>
          <w:i/>
          <w:iCs/>
          <w:sz w:val="24"/>
          <w:szCs w:val="24"/>
        </w:rPr>
        <w:t>Institutional Boundary</w:t>
      </w:r>
    </w:p>
    <w:p w14:paraId="61E34F22"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This White Paper is an architectural, conceptual, scientific, technological, and strategic document.</w:t>
      </w:r>
    </w:p>
    <w:p w14:paraId="685FB380"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It defines a framework, not a public offering.</w:t>
      </w:r>
    </w:p>
    <w:p w14:paraId="3A7621C6"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Any future financial instrument, tokenized representation, investment vehicle, SPV, fund, note, security, governance mechanism, or market-facing product derived from the Prometheus framework will require appropriate jurisdictional analysis, legal structuring, regulatory review, investor disclosure, compliance procedures, and independent professional assessment.</w:t>
      </w:r>
    </w:p>
    <w:p w14:paraId="60FA6E76"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Financial rights, investor exposure, cash-flow rights, land-related rights, governance rights, operational rights, and tokenized representations are treated as distinct layers of the architecture.</w:t>
      </w:r>
    </w:p>
    <w:p w14:paraId="026C944A"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This separation is essential to preserve clarity, prevent conceptual inflation, and support institutional trust.</w:t>
      </w:r>
    </w:p>
    <w:p w14:paraId="1A81922F" w14:textId="6A84C5C4"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Within this architecture:</w:t>
      </w:r>
      <w:r w:rsidR="00D45977" w:rsidRPr="00B479AE">
        <w:rPr>
          <w:rFonts w:ascii="Baskerville Old Face" w:hAnsi="Baskerville Old Face"/>
          <w:i/>
          <w:iCs/>
        </w:rPr>
        <w:t xml:space="preserve"> </w:t>
      </w:r>
    </w:p>
    <w:p w14:paraId="4C1C2ABD" w14:textId="13F00F4E" w:rsidR="00D45977" w:rsidRPr="00B479AE" w:rsidRDefault="00D45977" w:rsidP="00D45977">
      <w:pPr>
        <w:spacing w:line="360" w:lineRule="auto"/>
        <w:rPr>
          <w:rFonts w:ascii="Baskerville Old Face" w:hAnsi="Baskerville Old Face"/>
          <w:i/>
          <w:iCs/>
        </w:rPr>
      </w:pPr>
      <w:r w:rsidRPr="00B479AE">
        <w:rPr>
          <w:rFonts w:ascii="Baskerville Old Face" w:hAnsi="Baskerville Old Face"/>
          <w:i/>
          <w:iCs/>
        </w:rPr>
        <w:t>PRU represents the analytical interface through which verified regenerative performance may become comparable, reviewable, maturity-classified, and capital-readable.</w:t>
      </w:r>
    </w:p>
    <w:p w14:paraId="78CD3565" w14:textId="7B87DB3B" w:rsidR="00D45977" w:rsidRPr="00B479AE" w:rsidRDefault="00D45977" w:rsidP="00D45977">
      <w:pPr>
        <w:spacing w:line="360" w:lineRule="auto"/>
        <w:rPr>
          <w:rFonts w:ascii="Baskerville Old Face" w:hAnsi="Baskerville Old Face"/>
          <w:i/>
          <w:iCs/>
        </w:rPr>
      </w:pPr>
      <w:r w:rsidRPr="00B479AE">
        <w:rPr>
          <w:rFonts w:ascii="Baskerville Old Face" w:hAnsi="Baskerville Old Face"/>
          <w:i/>
          <w:iCs/>
        </w:rPr>
        <w:t>TRBK represents a governance, coordination, access, or participation layer, subject to its own legal and functional boundaries.</w:t>
      </w:r>
    </w:p>
    <w:p w14:paraId="01ED4565" w14:textId="25F2539B" w:rsidR="00D45977" w:rsidRPr="00B479AE" w:rsidRDefault="00D45977" w:rsidP="00D45977">
      <w:pPr>
        <w:spacing w:line="360" w:lineRule="auto"/>
        <w:rPr>
          <w:rFonts w:ascii="Baskerville Old Face" w:hAnsi="Baskerville Old Face"/>
          <w:i/>
          <w:iCs/>
        </w:rPr>
      </w:pPr>
      <w:r w:rsidRPr="00B479AE">
        <w:rPr>
          <w:rFonts w:ascii="Baskerville Old Face" w:hAnsi="Baskerville Old Face"/>
          <w:i/>
          <w:iCs/>
        </w:rPr>
        <w:lastRenderedPageBreak/>
        <w:t>HoloFuel represents an operational transaction and infrastructure layer within agent-centric digital systems.</w:t>
      </w:r>
    </w:p>
    <w:p w14:paraId="41B71CB5" w14:textId="5C7E2DCF" w:rsidR="00D45977" w:rsidRPr="00B479AE" w:rsidRDefault="00D45977" w:rsidP="00D45977">
      <w:pPr>
        <w:spacing w:line="360" w:lineRule="auto"/>
        <w:rPr>
          <w:rFonts w:ascii="Baskerville Old Face" w:hAnsi="Baskerville Old Face"/>
          <w:i/>
          <w:iCs/>
        </w:rPr>
      </w:pPr>
      <w:r w:rsidRPr="00B479AE">
        <w:rPr>
          <w:rFonts w:ascii="Baskerville Old Face" w:hAnsi="Baskerville Old Face"/>
          <w:i/>
          <w:iCs/>
        </w:rPr>
        <w:t>Future securities, notes, fund interests, compliant digital instruments, or investment products may emerge only through compliant legal wrappers and jurisdiction-specific structuring.</w:t>
      </w:r>
    </w:p>
    <w:p w14:paraId="61AD2C9B" w14:textId="6FB0497E" w:rsidR="00D45977" w:rsidRPr="00B479AE" w:rsidRDefault="00D45977" w:rsidP="00D45977">
      <w:pPr>
        <w:spacing w:line="360" w:lineRule="auto"/>
        <w:rPr>
          <w:rFonts w:ascii="Baskerville Old Face" w:hAnsi="Baskerville Old Face"/>
          <w:i/>
          <w:iCs/>
        </w:rPr>
      </w:pPr>
      <w:r w:rsidRPr="00B479AE">
        <w:rPr>
          <w:rFonts w:ascii="Baskerville Old Face" w:hAnsi="Baskerville Old Face"/>
          <w:i/>
          <w:iCs/>
        </w:rPr>
        <w:t xml:space="preserve">Tokens, where used, function as representations within defined legal, operational, or governance contexts. Their meaning depends on the rights, obligations, and instruments through which they are formally created. </w:t>
      </w:r>
    </w:p>
    <w:p w14:paraId="47418D97" w14:textId="77777777" w:rsidR="009D7859" w:rsidRPr="00B479AE" w:rsidRDefault="009D7859" w:rsidP="00154780">
      <w:pPr>
        <w:pStyle w:val="Titolo1"/>
        <w:rPr>
          <w:rFonts w:ascii="Baskerville Old Face" w:hAnsi="Baskerville Old Face"/>
          <w:b/>
          <w:bCs/>
          <w:i/>
          <w:iCs/>
          <w:sz w:val="24"/>
          <w:szCs w:val="24"/>
        </w:rPr>
      </w:pPr>
      <w:r w:rsidRPr="00B479AE">
        <w:rPr>
          <w:rFonts w:ascii="Baskerville Old Face" w:hAnsi="Baskerville Old Face"/>
          <w:b/>
          <w:bCs/>
          <w:i/>
          <w:iCs/>
          <w:sz w:val="24"/>
          <w:szCs w:val="24"/>
        </w:rPr>
        <w:t>Verification-first Positioning</w:t>
      </w:r>
    </w:p>
    <w:p w14:paraId="38E1C5AE"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Prometheus treats verification as infrastructure.</w:t>
      </w:r>
    </w:p>
    <w:p w14:paraId="4869664C"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Regeneration becomes financeable when living systems are observed with integrity, measured with discipline, verified with transparency, and structured with responsibility.</w:t>
      </w:r>
    </w:p>
    <w:p w14:paraId="0E865365"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Every claim matures into value only through evidence, provenance, integrity, and admissibility.</w:t>
      </w:r>
    </w:p>
    <w:p w14:paraId="5239FEBD"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The foundational sequence is:</w:t>
      </w:r>
    </w:p>
    <w:p w14:paraId="15EE8994"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claim</w:t>
      </w:r>
      <w:r w:rsidRPr="00B479AE">
        <w:rPr>
          <w:rFonts w:ascii="Baskerville Old Face" w:hAnsi="Baskerville Old Face"/>
          <w:i/>
          <w:iCs/>
        </w:rPr>
        <w:br/>
        <w:t>evidence</w:t>
      </w:r>
      <w:r w:rsidRPr="00B479AE">
        <w:rPr>
          <w:rFonts w:ascii="Baskerville Old Face" w:hAnsi="Baskerville Old Face"/>
          <w:i/>
          <w:iCs/>
        </w:rPr>
        <w:br/>
        <w:t>provenance</w:t>
      </w:r>
      <w:r w:rsidRPr="00B479AE">
        <w:rPr>
          <w:rFonts w:ascii="Baskerville Old Face" w:hAnsi="Baskerville Old Face"/>
          <w:i/>
          <w:iCs/>
        </w:rPr>
        <w:br/>
        <w:t>integrity</w:t>
      </w:r>
      <w:r w:rsidRPr="00B479AE">
        <w:rPr>
          <w:rFonts w:ascii="Baskerville Old Face" w:hAnsi="Baskerville Old Face"/>
          <w:i/>
          <w:iCs/>
        </w:rPr>
        <w:br/>
        <w:t>admissibility</w:t>
      </w:r>
      <w:r w:rsidRPr="00B479AE">
        <w:rPr>
          <w:rFonts w:ascii="Baskerville Old Face" w:hAnsi="Baskerville Old Face"/>
          <w:i/>
          <w:iCs/>
        </w:rPr>
        <w:br/>
        <w:t>value.</w:t>
      </w:r>
    </w:p>
    <w:p w14:paraId="7B20C256"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This sequence protects the system from narrative inflation while allowing verified regeneration to become economically legible.</w:t>
      </w:r>
    </w:p>
    <w:p w14:paraId="32CC59B3"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Prometheus therefore represents value only when regenerative performance has become observable, traceable, verifiable, and admissible under defined rules.</w:t>
      </w:r>
    </w:p>
    <w:p w14:paraId="6499F6A0"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In this sense, Prometheus is structured first as regenerative infrastructure.</w:t>
      </w:r>
    </w:p>
    <w:p w14:paraId="019746B9"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Digital instruments, financial instruments, and market-facing representations may emerge only as compliant expressions of verified value.</w:t>
      </w:r>
    </w:p>
    <w:p w14:paraId="2380DE95"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lastRenderedPageBreak/>
        <w:t>The central thesis is that value should increase when the living systems that generate value become healthier, more resilient, more productive, and more verifiably regenerative over time.</w:t>
      </w:r>
    </w:p>
    <w:p w14:paraId="21E7B686" w14:textId="77777777" w:rsidR="009D7859" w:rsidRPr="00B479AE" w:rsidRDefault="009D7859" w:rsidP="009D7859">
      <w:pPr>
        <w:spacing w:line="360" w:lineRule="auto"/>
        <w:rPr>
          <w:rFonts w:ascii="Baskerville Old Face" w:hAnsi="Baskerville Old Face"/>
          <w:i/>
          <w:iCs/>
        </w:rPr>
      </w:pPr>
      <w:r w:rsidRPr="00B479AE">
        <w:rPr>
          <w:rFonts w:ascii="Baskerville Old Face" w:hAnsi="Baskerville Old Face"/>
          <w:i/>
          <w:iCs/>
        </w:rPr>
        <w:t>Prometheus is the architecture through which that increase can be observed, protected, measured, governed, and translated into a new form of capital-ready regenerative infrastructure.</w:t>
      </w:r>
    </w:p>
    <w:p w14:paraId="5A90F3D5" w14:textId="303BA0D7" w:rsidR="00324863" w:rsidRPr="00B479AE" w:rsidRDefault="00324863" w:rsidP="006F3B48">
      <w:pPr>
        <w:pStyle w:val="Titolo1"/>
        <w:rPr>
          <w:rFonts w:ascii="Baskerville Old Face" w:hAnsi="Baskerville Old Face"/>
          <w:b/>
          <w:bCs/>
          <w:i/>
          <w:iCs/>
          <w:sz w:val="24"/>
          <w:szCs w:val="24"/>
        </w:rPr>
      </w:pPr>
      <w:r w:rsidRPr="00B479AE">
        <w:rPr>
          <w:rFonts w:ascii="Baskerville Old Face" w:hAnsi="Baskerville Old Face"/>
          <w:b/>
          <w:bCs/>
          <w:i/>
          <w:iCs/>
          <w:sz w:val="24"/>
          <w:szCs w:val="24"/>
        </w:rPr>
        <w:t>Abstract</w:t>
      </w:r>
    </w:p>
    <w:p w14:paraId="05E70840"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Human civilization is entering a period in which economic stability, ecological stability, technological coordination, and human coherence can no longer be treated as separate domains.</w:t>
      </w:r>
    </w:p>
    <w:p w14:paraId="0B3438E0"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The systems that sustain value are the same systems that sustain life: soil, water, biodiversity, climate regulation, biological productivity, human health, community trust, and long-term territorial resilience.</w:t>
      </w:r>
    </w:p>
    <w:p w14:paraId="6D7690A3"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For much of modern economic history, these living foundations have been treated as externalities. Their degradation has often remained invisible within financial accounts until it reappeared as systemic cost: declining soil fertility, water stress, biodiversity loss, chronic disease, supply-chain fragility, disaster exposure, insurance pressure, and social fragmentation.</w:t>
      </w:r>
    </w:p>
    <w:p w14:paraId="78979DF2"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Prometheus begins from a different premise.</w:t>
      </w:r>
    </w:p>
    <w:p w14:paraId="6B9339EF"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Living systems are not background conditions for the economy. They are productive infrastructure.</w:t>
      </w:r>
    </w:p>
    <w:p w14:paraId="0A226AC2"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The h•eart•h Prometheus framework introduces a regenerative infrastructure model through which ecological regeneration, distributed intelligence, human stewardship, verification systems, and capital formation are integrated into a single operational architecture.</w:t>
      </w:r>
    </w:p>
    <w:p w14:paraId="65663B5D"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Its purpose is to make regeneration observable, measurable, verifiable, governable, financeable, and eventually representable through compliant institutional or digital instruments.</w:t>
      </w:r>
    </w:p>
    <w:p w14:paraId="1E00430B"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At the core of this architecture lies the One Human Ecosystem (OHE): a minimum deployable unit of regenerative infrastructure based on syntropic food-forest design, soil restoration, water-cycle stabilization, biodiversity enhancement, nutritional capacity, and measurable ecological performance.</w:t>
      </w:r>
    </w:p>
    <w:p w14:paraId="0B18B1D3"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The OHE functions as the biophysical base layer of Prometheus.</w:t>
      </w:r>
    </w:p>
    <w:p w14:paraId="4D6AA14D"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lastRenderedPageBreak/>
        <w:t>It is the place where regeneration occurs, where evidence is generated, where human stewardship becomes operational, and where living systems begin to produce measurable increases in ecological coherence.</w:t>
      </w:r>
    </w:p>
    <w:p w14:paraId="0EBAE2EA"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Prometheus then translates this biophysical performance through a verification-first architecture.</w:t>
      </w:r>
    </w:p>
    <w:p w14:paraId="329FD99D"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Field sensors, laboratory analyses, satellite data, mobile observations, ecological surveys, operational records, and human audits contribute to an evidence fabric in which claims mature into observations, observations mature into verified indicators, and verified indicators may become financially admissible value.</w:t>
      </w:r>
    </w:p>
    <w:p w14:paraId="396C3520"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This process is essential.</w:t>
      </w:r>
    </w:p>
    <w:p w14:paraId="073EE558"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Regeneration becomes financeable only when it can be observed with integrity, measured with discipline, verified with transparency, and structured with responsibility.</w:t>
      </w:r>
    </w:p>
    <w:p w14:paraId="12F116D8" w14:textId="7E700315"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The Prometheus Regenerative Unit (PRU) is introduced</w:t>
      </w:r>
      <w:r w:rsidR="00144C3A" w:rsidRPr="00B479AE">
        <w:rPr>
          <w:rFonts w:ascii="Baskerville Old Face" w:hAnsi="Baskerville Old Face"/>
          <w:i/>
          <w:iCs/>
        </w:rPr>
        <w:t xml:space="preserve"> as institutional interface between regeneration and capital </w:t>
      </w:r>
      <w:r w:rsidRPr="00B479AE">
        <w:rPr>
          <w:rFonts w:ascii="Baskerville Old Face" w:hAnsi="Baskerville Old Face"/>
          <w:i/>
          <w:iCs/>
        </w:rPr>
        <w:t>through which verified regenerative performance becomes comparable, underwritable, risk-assessable, and capital-admissible.</w:t>
      </w:r>
    </w:p>
    <w:p w14:paraId="460626F3"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PRUs do not replace ecological reality.</w:t>
      </w:r>
    </w:p>
    <w:p w14:paraId="751100E1"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They translate verified ecological performance into a structured form that capital can understand without detaching value from the living systems that generate it.</w:t>
      </w:r>
    </w:p>
    <w:p w14:paraId="285BB851"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Regenerative Asset Pools (RAPs) extend this logic by aggregating verified PRUs into portfolio structures capable of supporting diversification, institutional underwriting, risk analysis, and future compliant financial representation.</w:t>
      </w:r>
    </w:p>
    <w:p w14:paraId="61BAC993"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In this architecture, value formation follows a clear sequence:</w:t>
      </w:r>
    </w:p>
    <w:p w14:paraId="55D3F78C" w14:textId="27AA8CF4"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living system</w:t>
      </w:r>
      <w:r w:rsidRPr="00B479AE">
        <w:rPr>
          <w:rFonts w:ascii="Baskerville Old Face" w:hAnsi="Baskerville Old Face"/>
          <w:i/>
          <w:iCs/>
        </w:rPr>
        <w:br/>
        <w:t>regenerative process</w:t>
      </w:r>
      <w:r w:rsidRPr="00B479AE">
        <w:rPr>
          <w:rFonts w:ascii="Baskerville Old Face" w:hAnsi="Baskerville Old Face"/>
          <w:i/>
          <w:iCs/>
        </w:rPr>
        <w:br/>
        <w:t>measured evidence</w:t>
      </w:r>
      <w:r w:rsidRPr="00B479AE">
        <w:rPr>
          <w:rFonts w:ascii="Baskerville Old Face" w:hAnsi="Baskerville Old Face"/>
          <w:i/>
          <w:iCs/>
        </w:rPr>
        <w:br/>
        <w:t>verified indicator</w:t>
      </w:r>
      <w:r w:rsidRPr="00B479AE">
        <w:rPr>
          <w:rFonts w:ascii="Baskerville Old Face" w:hAnsi="Baskerville Old Face"/>
          <w:i/>
          <w:iCs/>
        </w:rPr>
        <w:br/>
      </w:r>
      <w:r w:rsidR="001C094B" w:rsidRPr="00B479AE">
        <w:rPr>
          <w:rFonts w:ascii="Baskerville Old Face" w:hAnsi="Baskerville Old Face"/>
          <w:i/>
          <w:iCs/>
        </w:rPr>
        <w:t xml:space="preserve">PRU value-analysis layer </w:t>
      </w:r>
      <w:r w:rsidRPr="00B479AE">
        <w:rPr>
          <w:rFonts w:ascii="Baskerville Old Face" w:hAnsi="Baskerville Old Face"/>
          <w:i/>
          <w:iCs/>
        </w:rPr>
        <w:br/>
        <w:t>portfolio structure</w:t>
      </w:r>
      <w:r w:rsidRPr="00B479AE">
        <w:rPr>
          <w:rFonts w:ascii="Baskerville Old Face" w:hAnsi="Baskerville Old Face"/>
          <w:i/>
          <w:iCs/>
        </w:rPr>
        <w:br/>
        <w:t>capital allocation.</w:t>
      </w:r>
    </w:p>
    <w:p w14:paraId="3FCCAC52"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lastRenderedPageBreak/>
        <w:t>This sequence distinguishes Prometheus from sustainability narratives, speculative token systems, and conventional financial abstraction.</w:t>
      </w:r>
    </w:p>
    <w:p w14:paraId="29FBA64C"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Prometheus is structured first as regenerative infrastructure.</w:t>
      </w:r>
    </w:p>
    <w:p w14:paraId="362789A7"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Digital instruments, governance tokens, market interfaces, and financial products may emerge only as expressions of verified value, legal structuring, and institutional discipline.</w:t>
      </w:r>
    </w:p>
    <w:p w14:paraId="25D88F8E"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The framework also integrates agent-centric digital infrastructure, Valueflows / REA-compatible accounting, governance protocols, MRV discipline, anti-greenwashing controls, no-double-counting logic, and pilot-first implementation boundaries.</w:t>
      </w:r>
    </w:p>
    <w:p w14:paraId="000803CC"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These layers are intentionally separated in order to preserve semantic clarity, auditability, operational correctness, and capital-market readability as the system evolves.</w:t>
      </w:r>
    </w:p>
    <w:p w14:paraId="4E8647FB"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Prometheus does not claim to create biological intelligence.</w:t>
      </w:r>
    </w:p>
    <w:p w14:paraId="10843BBC"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It creates the conditions through which the intelligence of living systems can become observable, protected, coordinated, verified, and translated into durable forms of economic value.</w:t>
      </w:r>
    </w:p>
    <w:p w14:paraId="50CB6A6E" w14:textId="66CE8CB1" w:rsidR="00954974" w:rsidRPr="00B479AE" w:rsidRDefault="00954974" w:rsidP="00324863">
      <w:pPr>
        <w:spacing w:line="360" w:lineRule="auto"/>
        <w:rPr>
          <w:rFonts w:ascii="Baskerville Old Face" w:hAnsi="Baskerville Old Face"/>
          <w:i/>
          <w:iCs/>
        </w:rPr>
      </w:pPr>
      <w:r w:rsidRPr="00B479AE">
        <w:rPr>
          <w:rFonts w:ascii="Baskerville Old Face" w:hAnsi="Baskerville Old Face"/>
          <w:i/>
          <w:iCs/>
        </w:rPr>
        <w:t>The central thesis of this White Paper is that verified regeneration can become a new real-world asset class when ecological performance is measured, validated, standardized, risk-assessed, legally structured, and connected to disciplined capital formation.</w:t>
      </w:r>
    </w:p>
    <w:p w14:paraId="25D53B3C" w14:textId="21839A83"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In this sense, Prometheus represents a transition from extractive value accounting to regenerative capital architecture.</w:t>
      </w:r>
    </w:p>
    <w:p w14:paraId="004E2CCA"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It proposes a system in which capital is no longer allocated primarily toward the depletion of living foundations, but toward their restoration, stabilization, and long-term productive capacity.</w:t>
      </w:r>
    </w:p>
    <w:p w14:paraId="5218F981"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The future belongs to infrastructures that can heal while they produce.</w:t>
      </w:r>
    </w:p>
    <w:p w14:paraId="2328A594" w14:textId="77777777" w:rsidR="00324863" w:rsidRPr="00B479AE" w:rsidRDefault="00324863" w:rsidP="00324863">
      <w:pPr>
        <w:spacing w:line="360" w:lineRule="auto"/>
        <w:rPr>
          <w:rFonts w:ascii="Baskerville Old Face" w:hAnsi="Baskerville Old Face"/>
          <w:i/>
          <w:iCs/>
        </w:rPr>
      </w:pPr>
      <w:r w:rsidRPr="00B479AE">
        <w:rPr>
          <w:rFonts w:ascii="Baskerville Old Face" w:hAnsi="Baskerville Old Face"/>
          <w:i/>
          <w:iCs/>
        </w:rPr>
        <w:t>Prometheus is designed to become one of them.</w:t>
      </w:r>
    </w:p>
    <w:p w14:paraId="3A90158E" w14:textId="748DFDE6" w:rsidR="006E2BDB" w:rsidRPr="00B479AE" w:rsidRDefault="006E2BDB" w:rsidP="00AA559B">
      <w:pPr>
        <w:pStyle w:val="Titolo1"/>
        <w:rPr>
          <w:rFonts w:ascii="Baskerville Old Face" w:hAnsi="Baskerville Old Face"/>
          <w:b/>
          <w:bCs/>
          <w:i/>
          <w:iCs/>
          <w:sz w:val="24"/>
          <w:szCs w:val="24"/>
        </w:rPr>
      </w:pPr>
      <w:r w:rsidRPr="00B479AE">
        <w:rPr>
          <w:rFonts w:ascii="Baskerville Old Face" w:hAnsi="Baskerville Old Face"/>
          <w:b/>
          <w:bCs/>
          <w:i/>
          <w:iCs/>
          <w:sz w:val="24"/>
          <w:szCs w:val="24"/>
        </w:rPr>
        <w:t>Executive Summary</w:t>
      </w:r>
    </w:p>
    <w:p w14:paraId="4497B311"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b/>
          <w:bCs/>
          <w:i/>
          <w:iCs/>
        </w:rPr>
        <w:t>The structural transition</w:t>
      </w:r>
    </w:p>
    <w:p w14:paraId="0ABD5BC9"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Human civilization is entering a phase in which the stability of economic systems can no longer be separated from the stability of the living systems that sustain them.</w:t>
      </w:r>
    </w:p>
    <w:p w14:paraId="1D76E1DF"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lastRenderedPageBreak/>
        <w:t>Soil fertility, water cycles, biodiversity, climate regulation, biological productivity, nutritional quality, human health, and community coherence are not peripheral conditions. They are the foundational infrastructure beneath every durable economy.</w:t>
      </w:r>
    </w:p>
    <w:p w14:paraId="74C3F629"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Modern economic systems have generated extraordinary productive capacity, technological sophistication, and global integration. Yet this expansion has often depended on architectures that convert living systems into extractive inputs while treating their degradation as external cost.</w:t>
      </w:r>
    </w:p>
    <w:p w14:paraId="1CC76E0B"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The result is a growing structural imbalance.</w:t>
      </w:r>
    </w:p>
    <w:p w14:paraId="29D56C3F"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Capital continues to flow toward downstream mitigation, crisis response, health burdens, insurance losses, supply-chain fragility, and ecological remediation, while upstream regenerative capacity remains undercapitalized.</w:t>
      </w:r>
    </w:p>
    <w:p w14:paraId="7BA674F7"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Prometheus is designed to address this imbalance by creating an architecture through which regeneration can become observable, measurable, verifiable, governable, financeable, and institutionally scalable.</w:t>
      </w:r>
    </w:p>
    <w:p w14:paraId="3BE21DE5"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Its purpose is not to place a financial label on nature.</w:t>
      </w:r>
    </w:p>
    <w:p w14:paraId="6CA19EE6"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Its purpose is to align capital with the regenerative capacity of living systems.</w:t>
      </w:r>
    </w:p>
    <w:p w14:paraId="0F59CD0D"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b/>
          <w:bCs/>
          <w:i/>
          <w:iCs/>
        </w:rPr>
        <w:t>A regenerative infrastructure framework</w:t>
      </w:r>
    </w:p>
    <w:p w14:paraId="031C29FE"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Prometheus introduces a new category of infrastructure: verified regenerative infrastructure.</w:t>
      </w:r>
    </w:p>
    <w:p w14:paraId="6A83A693"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This infrastructure is not limited to land restoration, ecological monitoring, digital coordination, or regenerative finance as separate activities. It integrates them into a single architecture capable of transforming living-system performance into evidence-based, financially legible, and institutionally admissible value.</w:t>
      </w:r>
    </w:p>
    <w:p w14:paraId="579A432C"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Within the Prometheus framework, regeneration is treated as a productive process.</w:t>
      </w:r>
    </w:p>
    <w:p w14:paraId="540FE3CC"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Regenerative systems can:</w:t>
      </w:r>
    </w:p>
    <w:p w14:paraId="00A2E9C5"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 increase soil fertility and biological productivity;</w:t>
      </w:r>
    </w:p>
    <w:p w14:paraId="04EEEA2F"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 stabilize hydrological cycles and water availability;</w:t>
      </w:r>
    </w:p>
    <w:p w14:paraId="5C9AC8B8"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 restore biodiversity and ecosystem resilience;</w:t>
      </w:r>
    </w:p>
    <w:p w14:paraId="3913104C"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lastRenderedPageBreak/>
        <w:t>• improve nutritional quality and food-system stability;</w:t>
      </w:r>
    </w:p>
    <w:p w14:paraId="2B64F8D8"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 reduce exposure to ecological and climatic volatility;</w:t>
      </w:r>
    </w:p>
    <w:p w14:paraId="5BAB4A03"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 strengthen community health, trust, and long-term territorial resilience.</w:t>
      </w:r>
    </w:p>
    <w:p w14:paraId="5543433C"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These outcomes represent forms of value that have historically remained difficult to measure, verify, compare, underwrite, and finance.</w:t>
      </w:r>
    </w:p>
    <w:p w14:paraId="10772F17"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Prometheus addresses this limitation by establishing the technical, governance, verification, and financial conditions through which regenerative processes can become observable, auditable, and capital-admissible.</w:t>
      </w:r>
    </w:p>
    <w:p w14:paraId="4756341C"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b/>
          <w:bCs/>
          <w:i/>
          <w:iCs/>
        </w:rPr>
        <w:t>The One Human Ecosystem</w:t>
      </w:r>
    </w:p>
    <w:p w14:paraId="5119FD33"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At the foundation of the Prometheus architecture lies the One Human Ecosystem, or OHE.</w:t>
      </w:r>
    </w:p>
    <w:p w14:paraId="6D135DFF"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The OHE is the minimum deployable unit of regenerative infrastructure.</w:t>
      </w:r>
    </w:p>
    <w:p w14:paraId="1B0A02FD"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It is conceived as a syntropic food-forest and ecological production system capable of integrating nutrition, soil regeneration, water retention, biodiversity enhancement, biomass cycling, human stewardship, and measurable ecological performance within a compact territorial unit.</w:t>
      </w:r>
    </w:p>
    <w:p w14:paraId="6A21676B"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The OHE is not merely a productive land parcel.</w:t>
      </w:r>
    </w:p>
    <w:p w14:paraId="1E8966F7"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It is a biophysical unit through which regeneration becomes operational.</w:t>
      </w:r>
    </w:p>
    <w:p w14:paraId="183FC535"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It is where ecological processes occur, where data is generated, where stewardship becomes visible, and where living systems begin to produce measurable increases in coherence, resilience, and productive capacity.</w:t>
      </w:r>
    </w:p>
    <w:p w14:paraId="617D53ED"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When replicated and connected across landscapes, OHE units can form local clusters, bioregional networks, and eventually regenerative infrastructure portfolios.</w:t>
      </w:r>
    </w:p>
    <w:p w14:paraId="2009847D"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In this sense, the OHE functions as the germ cell of the Prometheus system: small enough to be deployable, rich enough to be measurable, and structured enough to become financeable.</w:t>
      </w:r>
    </w:p>
    <w:p w14:paraId="282C7DA3"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b/>
          <w:bCs/>
          <w:i/>
          <w:iCs/>
        </w:rPr>
        <w:t>Verification as infrastructure</w:t>
      </w:r>
    </w:p>
    <w:p w14:paraId="4DDCA1F8"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Prometheus treats verification as infrastructure.</w:t>
      </w:r>
    </w:p>
    <w:p w14:paraId="243E7313"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lastRenderedPageBreak/>
        <w:t>Regeneration becomes financeable when ecological performance can be observed with integrity, measured with discipline, verified with transparency, and structured with responsibility.</w:t>
      </w:r>
    </w:p>
    <w:p w14:paraId="0AD15A6D"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The system therefore distinguishes between different levels of informational maturity:</w:t>
      </w:r>
    </w:p>
    <w:p w14:paraId="1C86B5C2"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claim;</w:t>
      </w:r>
    </w:p>
    <w:p w14:paraId="76F782C1"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observation;</w:t>
      </w:r>
    </w:p>
    <w:p w14:paraId="1060178F"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verified indicator;</w:t>
      </w:r>
    </w:p>
    <w:p w14:paraId="51747CB9"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financially admissible value.</w:t>
      </w:r>
    </w:p>
    <w:p w14:paraId="7CE1B2C0"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A statement about regeneration does not become value merely because it is coherent, desirable, or aligned with sustainability language.</w:t>
      </w:r>
    </w:p>
    <w:p w14:paraId="79935F04"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It becomes value only when it is linked to evidence, provenance, integrity, confidence, and admissibility.</w:t>
      </w:r>
    </w:p>
    <w:p w14:paraId="25B1129E"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Prometheus is designed to integrate multiple evidence sources, including field sensors, laboratory analyses, satellite imagery, drone or mobile observations, ecological surveys, climate data, soil data, biodiversity records, operational records, and human or third-party audits.</w:t>
      </w:r>
    </w:p>
    <w:p w14:paraId="1523FC1C"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No single source is treated as absolute.</w:t>
      </w:r>
    </w:p>
    <w:p w14:paraId="208B874E"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Value emerges through convergence, validation, confidence scoring, and disciplined interpretation.</w:t>
      </w:r>
    </w:p>
    <w:p w14:paraId="23D2799A"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This verification-first architecture protects the system from narrative inflation while enabling genuine regenerative performance to become economically legible.</w:t>
      </w:r>
    </w:p>
    <w:p w14:paraId="5C8FE09C"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b/>
          <w:bCs/>
          <w:i/>
          <w:iCs/>
        </w:rPr>
        <w:t>The Prometheus Regenerative Unit</w:t>
      </w:r>
    </w:p>
    <w:p w14:paraId="27041B9E" w14:textId="0F301222" w:rsidR="00C07BE4" w:rsidRPr="00B479AE" w:rsidRDefault="00C07BE4" w:rsidP="006E2BDB">
      <w:pPr>
        <w:spacing w:line="360" w:lineRule="auto"/>
        <w:rPr>
          <w:rFonts w:ascii="Baskerville Old Face" w:hAnsi="Baskerville Old Face"/>
          <w:i/>
          <w:iCs/>
        </w:rPr>
      </w:pPr>
      <w:r w:rsidRPr="00B479AE">
        <w:rPr>
          <w:rFonts w:ascii="Baskerville Old Face" w:hAnsi="Baskerville Old Face"/>
          <w:i/>
          <w:iCs/>
        </w:rPr>
        <w:t>The Prometheus Regenerative Unit, or PRU, is the value-analysis interface of the system.</w:t>
      </w:r>
    </w:p>
    <w:p w14:paraId="39E14E7C" w14:textId="4203CE0A" w:rsidR="00BA5D3D" w:rsidRPr="00B479AE" w:rsidRDefault="00BA5D3D" w:rsidP="006E2BDB">
      <w:pPr>
        <w:spacing w:line="360" w:lineRule="auto"/>
        <w:rPr>
          <w:rFonts w:ascii="Baskerville Old Face" w:hAnsi="Baskerville Old Face"/>
          <w:i/>
          <w:iCs/>
        </w:rPr>
      </w:pPr>
      <w:r w:rsidRPr="00B479AE">
        <w:rPr>
          <w:rFonts w:ascii="Baskerville Old Face" w:hAnsi="Baskerville Old Face"/>
          <w:i/>
          <w:iCs/>
        </w:rPr>
        <w:t>Its function is to translate verified regenerative performance into a structured unit that can be compared, underwritten, classified by maturity, aggregated, monitored, and connected to capital allocation.</w:t>
      </w:r>
    </w:p>
    <w:p w14:paraId="062F9BA6"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The PRU does not replace ecological reality.</w:t>
      </w:r>
    </w:p>
    <w:p w14:paraId="6B72EE18"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It does not create value independently from living systems.</w:t>
      </w:r>
    </w:p>
    <w:p w14:paraId="3324F0CD"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lastRenderedPageBreak/>
        <w:t>It translates verified ecological performance into a financially interpretable form while preserving the connection between value and the regenerative processes that generate it.</w:t>
      </w:r>
    </w:p>
    <w:p w14:paraId="2B36B979"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A PRU may incorporate multiple dimensions of performance, including soil function, hydrological resilience, biodiversity, productive stability, biomass dynamics, input-dependency reduction, MRV integrity, and confidence-adjusted evidence.</w:t>
      </w:r>
    </w:p>
    <w:p w14:paraId="6D7617FE"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The purpose of the PRU is to create a disciplined bridge between regeneration and finance.</w:t>
      </w:r>
    </w:p>
    <w:p w14:paraId="66835E96"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Through this bridge, capital can begin to evaluate regenerative infrastructure not as a vague impact claim, but as a measurable and risk-assessable real-world asset.</w:t>
      </w:r>
    </w:p>
    <w:p w14:paraId="58D08F4F"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b/>
          <w:bCs/>
          <w:i/>
          <w:iCs/>
        </w:rPr>
        <w:t>Regenerative Asset Pools</w:t>
      </w:r>
    </w:p>
    <w:p w14:paraId="5416BC57"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Regenerative Asset Pools, or RAPs, extend the PRU logic from unit-level performance to portfolio-level structuring.</w:t>
      </w:r>
    </w:p>
    <w:p w14:paraId="07442C00"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A RAP aggregates verified PRUs across multiple sites, maturity stages, climatic contexts, ecological designs, operators, and revenue profiles.</w:t>
      </w:r>
    </w:p>
    <w:p w14:paraId="5D58C009"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This aggregation enables diversification, risk distribution, underwriting discipline, investor reporting, and future institutional structuring.</w:t>
      </w:r>
    </w:p>
    <w:p w14:paraId="30CBF06A"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The portfolio logic is central.</w:t>
      </w:r>
    </w:p>
    <w:p w14:paraId="1AD2CF81"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Individual regenerative systems may be exposed to site-specific risks such as drought, execution quality, biological maturation delays, operator performance, or local market conditions.</w:t>
      </w:r>
    </w:p>
    <w:p w14:paraId="246F35CC"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A diversified RAP can reduce concentration risk by distributing exposure across multiple regenerative units and ecological contexts.</w:t>
      </w:r>
    </w:p>
    <w:p w14:paraId="596F93D9"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In this architecture, the pathway is clear:</w:t>
      </w:r>
    </w:p>
    <w:p w14:paraId="2887C346"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OHE generates regenerative performance.</w:t>
      </w:r>
    </w:p>
    <w:p w14:paraId="7B5B2D4B"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MRV makes that performance observable.</w:t>
      </w:r>
    </w:p>
    <w:p w14:paraId="73E5806B"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PRU makes verified performance financially interpretable.</w:t>
      </w:r>
    </w:p>
    <w:p w14:paraId="467C718C"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RAP makes verified PRUs portfolio-grade.</w:t>
      </w:r>
    </w:p>
    <w:p w14:paraId="2F1CD842"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lastRenderedPageBreak/>
        <w:t>Capital structures may then emerge around the resulting asset base.</w:t>
      </w:r>
    </w:p>
    <w:p w14:paraId="00A13200"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b/>
          <w:bCs/>
          <w:i/>
          <w:iCs/>
        </w:rPr>
        <w:t>A new real-world asset class</w:t>
      </w:r>
    </w:p>
    <w:p w14:paraId="4307CB32"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Prometheus defines the basis for a new category of real-world assets: regenerative infrastructure assets.</w:t>
      </w:r>
    </w:p>
    <w:p w14:paraId="1D0B028D"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These assets derive value from the measurable improvement of living systems and from the reduction of risk associated with ecological degradation.</w:t>
      </w:r>
    </w:p>
    <w:p w14:paraId="4A6DA1CE"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Their value is not based only on land ownership, commodity production, carbon accounting, or sustainability branding.</w:t>
      </w:r>
    </w:p>
    <w:p w14:paraId="6AE539B8"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It is based on verified regenerative performance, productive resilience, ecological coherence, and long-term territorial capacity.</w:t>
      </w:r>
    </w:p>
    <w:p w14:paraId="76E43888"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Prometheus therefore sits at the intersection of several existing asset categories while remaining reducible to none of them:</w:t>
      </w:r>
    </w:p>
    <w:p w14:paraId="2C59C0CE"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real estate, because it is territorial;</w:t>
      </w:r>
    </w:p>
    <w:p w14:paraId="0A465B02"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infrastructure, because it supports long-duration productive capacity;</w:t>
      </w:r>
    </w:p>
    <w:p w14:paraId="481E09BB"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agriculture, because it generates biological output;</w:t>
      </w:r>
    </w:p>
    <w:p w14:paraId="43683901"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climate and nature finance, because it addresses ecological performance;</w:t>
      </w:r>
    </w:p>
    <w:p w14:paraId="105FAEB0"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private credit and project finance, because it can support structured capital deployment;</w:t>
      </w:r>
    </w:p>
    <w:p w14:paraId="41BD48D0"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RWA tokenization, because verified value may eventually be represented through compliant digital instruments.</w:t>
      </w:r>
    </w:p>
    <w:p w14:paraId="159F3A38"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Its distinctive contribution is the integration of these dimensions into a verification-first architecture for regenerative value formation.</w:t>
      </w:r>
    </w:p>
    <w:p w14:paraId="188923FA"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b/>
          <w:bCs/>
          <w:i/>
          <w:iCs/>
        </w:rPr>
        <w:t>Digital infrastructure and agent-centric coordination</w:t>
      </w:r>
    </w:p>
    <w:p w14:paraId="6035F90C"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Prometheus integrates agent-centric digital infrastructure to support distributed verification, data sovereignty, value accounting, and coordination across participants.</w:t>
      </w:r>
    </w:p>
    <w:p w14:paraId="11A0294A"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Rather than relying solely on centralized registries or opaque intermediaries, the framework is designed to preserve local context, participant agency, and reviewable evidence.</w:t>
      </w:r>
    </w:p>
    <w:p w14:paraId="485CACE3"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lastRenderedPageBreak/>
        <w:t>Holochain-compatible architectures, Valueflows / REA accounting logic, source-chain integrity, peer validation, and structured event records provide the basis for tracing how resources, actions, agents, and outcomes interact within regenerative systems.</w:t>
      </w:r>
    </w:p>
    <w:p w14:paraId="2661525D"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This architecture is not introduced for technological novelty.</w:t>
      </w:r>
    </w:p>
    <w:p w14:paraId="7EA181B6"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It exists because living systems are contextual, distributed, relational, and adaptive.</w:t>
      </w:r>
    </w:p>
    <w:p w14:paraId="14FA31B5"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The digital architecture must therefore reflect the logic of the systems it serves.</w:t>
      </w:r>
    </w:p>
    <w:p w14:paraId="5D51B9B4"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b/>
          <w:bCs/>
          <w:i/>
          <w:iCs/>
        </w:rPr>
        <w:t>Governance and token architecture</w:t>
      </w:r>
    </w:p>
    <w:p w14:paraId="234E1D23"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Prometheus separates value, governance, infrastructure, and financial exposure into distinct layers.</w:t>
      </w:r>
    </w:p>
    <w:p w14:paraId="06C08D07"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This separation is essential for institutional credibility.</w:t>
      </w:r>
    </w:p>
    <w:p w14:paraId="46A196D6" w14:textId="77777777" w:rsidR="00504741" w:rsidRPr="00B479AE" w:rsidRDefault="00504741" w:rsidP="006E2BDB">
      <w:pPr>
        <w:spacing w:line="360" w:lineRule="auto"/>
        <w:rPr>
          <w:rFonts w:ascii="Baskerville Old Face" w:hAnsi="Baskerville Old Face"/>
          <w:i/>
          <w:iCs/>
        </w:rPr>
      </w:pPr>
      <w:r w:rsidRPr="00B479AE">
        <w:rPr>
          <w:rFonts w:ascii="Baskerville Old Face" w:hAnsi="Baskerville Old Face"/>
          <w:i/>
          <w:iCs/>
        </w:rPr>
        <w:t xml:space="preserve">PRU represents the analytical interface through which verified regenerative performance may become comparable, reviewable, maturity-classified, and capital-readable. </w:t>
      </w:r>
    </w:p>
    <w:p w14:paraId="21EDE554" w14:textId="70BE1110"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TRBK represents governance, coordination, access, or participation within the Prometheus ecosystem.</w:t>
      </w:r>
    </w:p>
    <w:p w14:paraId="3E837BD1"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HoloFuel represents operational transaction and infrastructure capacity within agent-centric digital systems.</w:t>
      </w:r>
    </w:p>
    <w:p w14:paraId="5531D286"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Stablecoin or fiat rails may support compliant capital entry, settlement, or operational flows.</w:t>
      </w:r>
    </w:p>
    <w:p w14:paraId="7E786A29" w14:textId="0A8A1AB2" w:rsidR="009832F7" w:rsidRPr="00B479AE" w:rsidRDefault="009832F7" w:rsidP="006E2BDB">
      <w:pPr>
        <w:spacing w:line="360" w:lineRule="auto"/>
        <w:rPr>
          <w:rFonts w:ascii="Baskerville Old Face" w:hAnsi="Baskerville Old Face"/>
          <w:i/>
          <w:iCs/>
        </w:rPr>
      </w:pPr>
      <w:r w:rsidRPr="00B479AE">
        <w:rPr>
          <w:rFonts w:ascii="Baskerville Old Face" w:hAnsi="Baskerville Old Face"/>
          <w:i/>
          <w:iCs/>
        </w:rPr>
        <w:t>Future securities, fund interests, notes, or compliant digital instruments may emerge only through appropriate legal wrappers, jurisdictional structuring, and investor disclosure.</w:t>
      </w:r>
    </w:p>
    <w:p w14:paraId="327684CB"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This functional separation preserves clarity.</w:t>
      </w:r>
    </w:p>
    <w:p w14:paraId="07D12B34"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It prevents governance participation from being confused with financial entitlement, operational tokens from being confused with investor exposure, and regenerative performance from being confused with speculative market value.</w:t>
      </w:r>
    </w:p>
    <w:p w14:paraId="7E7319FE"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b/>
          <w:bCs/>
          <w:i/>
          <w:iCs/>
        </w:rPr>
        <w:t>Pilot-first discipline</w:t>
      </w:r>
    </w:p>
    <w:p w14:paraId="20B916A4"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Prometheus is developed through a pilot-first discipline.</w:t>
      </w:r>
    </w:p>
    <w:p w14:paraId="77A664AC"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Pilot-first does not mean hesitation.</w:t>
      </w:r>
    </w:p>
    <w:p w14:paraId="4571052F"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lastRenderedPageBreak/>
        <w:t>It means fidelity to reality.</w:t>
      </w:r>
    </w:p>
    <w:p w14:paraId="1BE0A8BA"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The framework recognizes that regenerative systems cannot be scaled responsibly through narrative alone. They must be tested through bounded deployments, ecological data, operational discipline, verification protocols, governance constraints, and capital-readiness thresholds.</w:t>
      </w:r>
    </w:p>
    <w:p w14:paraId="14B5BA72" w14:textId="7CEE8102"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 xml:space="preserve">The current implementation logic therefore separates constitutional meaning, implementation contracts, behavioral expectations, operational runbooks, evaluation logic, MRV semantics, </w:t>
      </w:r>
      <w:r w:rsidR="00E02F9C" w:rsidRPr="00B479AE">
        <w:rPr>
          <w:rFonts w:ascii="Baskerville Old Face" w:hAnsi="Baskerville Old Face"/>
          <w:i/>
          <w:iCs/>
        </w:rPr>
        <w:t>value-analysis interface</w:t>
      </w:r>
      <w:r w:rsidRPr="00B479AE">
        <w:rPr>
          <w:rFonts w:ascii="Baskerville Old Face" w:hAnsi="Baskerville Old Face"/>
          <w:i/>
          <w:iCs/>
        </w:rPr>
        <w:t>, and runtime implementation.</w:t>
      </w:r>
    </w:p>
    <w:p w14:paraId="1ABE56D9"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This separation protects the system from premature expansion and semantic drift.</w:t>
      </w:r>
    </w:p>
    <w:p w14:paraId="1316757D"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Maturity is not defined by how broadly a system claims to scale.</w:t>
      </w:r>
    </w:p>
    <w:p w14:paraId="5FA5E7CB"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It is defined by whether it can preserve coherence under expansion.</w:t>
      </w:r>
    </w:p>
    <w:p w14:paraId="7ABA371A" w14:textId="54AD1AE8"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b/>
          <w:bCs/>
          <w:i/>
          <w:iCs/>
        </w:rPr>
        <w:t>Genesis deployment logic</w:t>
      </w:r>
    </w:p>
    <w:p w14:paraId="54E0D0E9"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The first Prometheus deployments are intended to validate the framework under real conditions.</w:t>
      </w:r>
    </w:p>
    <w:p w14:paraId="4FBB6D36"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A Genesis pilot should demonstrate that a regenerative site can:</w:t>
      </w:r>
    </w:p>
    <w:p w14:paraId="6459800A"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produce measurable ecological improvement;</w:t>
      </w:r>
    </w:p>
    <w:p w14:paraId="5891EE27"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generate operational evidence;</w:t>
      </w:r>
    </w:p>
    <w:p w14:paraId="716A24EF"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support disciplined MRV;</w:t>
      </w:r>
    </w:p>
    <w:p w14:paraId="1017CBB4"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connect ecological performance to PRU logic;</w:t>
      </w:r>
    </w:p>
    <w:p w14:paraId="7BEE7B00"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maintain governance and verification boundaries;</w:t>
      </w:r>
    </w:p>
    <w:p w14:paraId="06F19B33"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generate credible operational or economic outputs;</w:t>
      </w:r>
    </w:p>
    <w:p w14:paraId="7DDBB217"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and form the basis for future portfolio aggregation.</w:t>
      </w:r>
    </w:p>
    <w:p w14:paraId="704C0FE4"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In this sense, the pilot is not merely a demonstration site.</w:t>
      </w:r>
    </w:p>
    <w:p w14:paraId="310AA1A1"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It is the first institutional test of whether verified regeneration can move from concept to asset formation.</w:t>
      </w:r>
    </w:p>
    <w:p w14:paraId="7FE76471"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lastRenderedPageBreak/>
        <w:t>For this reason, the pilot must remain bounded, transparent, reviewable, and conservative in its claims.</w:t>
      </w:r>
    </w:p>
    <w:p w14:paraId="6B0543C6"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The objective is not to prove everything at once.</w:t>
      </w:r>
    </w:p>
    <w:p w14:paraId="44060588"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The objective is to establish the evidentiary, operational, and financial pathway through which regeneration becomes progressively financeable.</w:t>
      </w:r>
    </w:p>
    <w:p w14:paraId="360EFCF6"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b/>
          <w:bCs/>
          <w:i/>
          <w:iCs/>
        </w:rPr>
        <w:t>Strategic timing</w:t>
      </w:r>
    </w:p>
    <w:p w14:paraId="780B38F0"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The emergence of Prometheus reflects a convergence of macro-forces.</w:t>
      </w:r>
    </w:p>
    <w:p w14:paraId="61944BA4"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Ecological degradation is increasingly recognized as economic risk.</w:t>
      </w:r>
    </w:p>
    <w:p w14:paraId="1126C78B"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Climate volatility is affecting agriculture, insurance, infrastructure, water security, and supply chains.</w:t>
      </w:r>
    </w:p>
    <w:p w14:paraId="17C1E7BB"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Nature-related disclosure frameworks are becoming more relevant to institutional capital.</w:t>
      </w:r>
    </w:p>
    <w:p w14:paraId="04E3A84F"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RWA tokenization is creating new pathways for representing real-world assets in programmable digital environments.</w:t>
      </w:r>
    </w:p>
    <w:p w14:paraId="2CBC9B18"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Investors are searching for assets capable of preserving value under conditions of systemic instability.</w:t>
      </w:r>
    </w:p>
    <w:p w14:paraId="5A96AAA1"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At the same time, advances in sensors, satellite imagery, distributed computing, ecological modeling, AI-assisted analysis, and decentralized coordination make it increasingly possible to observe complex regenerative systems with greater precision.</w:t>
      </w:r>
    </w:p>
    <w:p w14:paraId="611CC431"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Together, these forces create the conditions for verified regenerative infrastructure to emerge as a new field of capital allocation.</w:t>
      </w:r>
    </w:p>
    <w:p w14:paraId="279F869C" w14:textId="69CBA05F"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b/>
          <w:bCs/>
          <w:i/>
          <w:iCs/>
        </w:rPr>
        <w:t>The Prometheus thesis</w:t>
      </w:r>
    </w:p>
    <w:p w14:paraId="2DFBDD59"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Prometheus is built on a simple thesis:</w:t>
      </w:r>
    </w:p>
    <w:p w14:paraId="32676E88"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value should increase when the living systems that generate value become healthier, more resilient, more productive, and more verifiably regenerative over time.</w:t>
      </w:r>
    </w:p>
    <w:p w14:paraId="45083105"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This thesis requires discipline.</w:t>
      </w:r>
    </w:p>
    <w:p w14:paraId="664D6FF2"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It requires measurement.</w:t>
      </w:r>
    </w:p>
    <w:p w14:paraId="43CC7CAB"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lastRenderedPageBreak/>
        <w:t>It requires verification.</w:t>
      </w:r>
    </w:p>
    <w:p w14:paraId="16D7793A"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It requires governance.</w:t>
      </w:r>
    </w:p>
    <w:p w14:paraId="63525606"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It requires legal clarity.</w:t>
      </w:r>
    </w:p>
    <w:p w14:paraId="68BB079B"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It requires humility before living systems and rigor before capital markets.</w:t>
      </w:r>
    </w:p>
    <w:p w14:paraId="6A1FC6EF"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Prometheus brings these requirements into one architecture.</w:t>
      </w:r>
    </w:p>
    <w:p w14:paraId="601FA1CE"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It does not ask capital to believe in regeneration as a moral aspiration.</w:t>
      </w:r>
    </w:p>
    <w:p w14:paraId="388F33A7"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It creates the conditions for capital to recognize regeneration as measurable infrastructure.</w:t>
      </w:r>
    </w:p>
    <w:p w14:paraId="68BD6302"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The future belongs to systems that can heal while they produce.</w:t>
      </w:r>
    </w:p>
    <w:p w14:paraId="448C3FA8" w14:textId="77777777" w:rsidR="006E2BDB" w:rsidRPr="00B479AE" w:rsidRDefault="006E2BDB" w:rsidP="006E2BDB">
      <w:pPr>
        <w:spacing w:line="360" w:lineRule="auto"/>
        <w:rPr>
          <w:rFonts w:ascii="Baskerville Old Face" w:hAnsi="Baskerville Old Face"/>
          <w:i/>
          <w:iCs/>
        </w:rPr>
      </w:pPr>
      <w:r w:rsidRPr="00B479AE">
        <w:rPr>
          <w:rFonts w:ascii="Baskerville Old Face" w:hAnsi="Baskerville Old Face"/>
          <w:i/>
          <w:iCs/>
        </w:rPr>
        <w:t>Prometheus is designed to become one of those systems.</w:t>
      </w:r>
    </w:p>
    <w:p w14:paraId="43968D9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Verification-first Architecture</w:t>
      </w:r>
    </w:p>
    <w:p w14:paraId="01C2342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treats verification as infrastructure.</w:t>
      </w:r>
    </w:p>
    <w:p w14:paraId="1258217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Regeneration becomes financeable when living systems are observed with integrity, measured with discipline, verified with transparency, and structured with responsibility.</w:t>
      </w:r>
    </w:p>
    <w:p w14:paraId="5A080BB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purpose of the Prometheus verification architecture is to ensure that regenerative value emerges from evidence rather than narrative, from observable processes rather than intention, and from disciplined measurement rather than abstract sustainability language.</w:t>
      </w:r>
    </w:p>
    <w:p w14:paraId="01B6ABF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principle governs the entire system.</w:t>
      </w:r>
    </w:p>
    <w:p w14:paraId="7820DD4D" w14:textId="7FED6699" w:rsidR="00BA5D3D" w:rsidRPr="00B479AE" w:rsidRDefault="00BA5D3D" w:rsidP="00305A28">
      <w:pPr>
        <w:spacing w:line="360" w:lineRule="auto"/>
        <w:rPr>
          <w:rFonts w:ascii="Baskerville Old Face" w:hAnsi="Baskerville Old Face"/>
          <w:i/>
          <w:iCs/>
        </w:rPr>
      </w:pPr>
      <w:r w:rsidRPr="00B479AE">
        <w:rPr>
          <w:rFonts w:ascii="Baskerville Old Face" w:hAnsi="Baskerville Old Face"/>
          <w:i/>
          <w:iCs/>
        </w:rPr>
        <w:t>Ecological performance, human stewardship, operational events, MRV outputs, PRU value analysis, Regenerative Asset Pool construction, investor reporting, and future institutional or digital representations must remain connected to evidence, provenance, integrity, confidence, and admissibility.</w:t>
      </w:r>
    </w:p>
    <w:p w14:paraId="361F327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therefore organizes information through a sequence of maturity.</w:t>
      </w:r>
    </w:p>
    <w:p w14:paraId="65DFF2F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regenerative statement begins as a claim.</w:t>
      </w:r>
    </w:p>
    <w:p w14:paraId="5B79EC7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claim becomes useful when it is connected to an observation.</w:t>
      </w:r>
    </w:p>
    <w:p w14:paraId="6F71642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An observation becomes credible when it is supported by provenance.</w:t>
      </w:r>
    </w:p>
    <w:p w14:paraId="6C1CEF1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metric becomes reliable when it is validated through quality controls, consistency checks, and confidence scoring.</w:t>
      </w:r>
    </w:p>
    <w:p w14:paraId="2D0DDA3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verified indicator becomes financially relevant when it satisfies admissibility rules.</w:t>
      </w:r>
    </w:p>
    <w:p w14:paraId="0779501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Value emerges at the end of this sequence, not at the beginning.</w:t>
      </w:r>
    </w:p>
    <w:p w14:paraId="5403441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foundational sequence is:</w:t>
      </w:r>
    </w:p>
    <w:p w14:paraId="1C584B9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claim</w:t>
      </w:r>
      <w:r w:rsidRPr="00B479AE">
        <w:rPr>
          <w:rFonts w:ascii="Baskerville Old Face" w:hAnsi="Baskerville Old Face"/>
          <w:i/>
          <w:iCs/>
        </w:rPr>
        <w:br/>
        <w:t>observation</w:t>
      </w:r>
      <w:r w:rsidRPr="00B479AE">
        <w:rPr>
          <w:rFonts w:ascii="Baskerville Old Face" w:hAnsi="Baskerville Old Face"/>
          <w:i/>
          <w:iCs/>
        </w:rPr>
        <w:br/>
        <w:t>evidence</w:t>
      </w:r>
      <w:r w:rsidRPr="00B479AE">
        <w:rPr>
          <w:rFonts w:ascii="Baskerville Old Face" w:hAnsi="Baskerville Old Face"/>
          <w:i/>
          <w:iCs/>
        </w:rPr>
        <w:br/>
        <w:t>provenance</w:t>
      </w:r>
      <w:r w:rsidRPr="00B479AE">
        <w:rPr>
          <w:rFonts w:ascii="Baskerville Old Face" w:hAnsi="Baskerville Old Face"/>
          <w:i/>
          <w:iCs/>
        </w:rPr>
        <w:br/>
        <w:t>integrity</w:t>
      </w:r>
      <w:r w:rsidRPr="00B479AE">
        <w:rPr>
          <w:rFonts w:ascii="Baskerville Old Face" w:hAnsi="Baskerville Old Face"/>
          <w:i/>
          <w:iCs/>
        </w:rPr>
        <w:br/>
        <w:t>verified indicator</w:t>
      </w:r>
      <w:r w:rsidRPr="00B479AE">
        <w:rPr>
          <w:rFonts w:ascii="Baskerville Old Face" w:hAnsi="Baskerville Old Face"/>
          <w:i/>
          <w:iCs/>
        </w:rPr>
        <w:br/>
        <w:t>admissibility</w:t>
      </w:r>
      <w:r w:rsidRPr="00B479AE">
        <w:rPr>
          <w:rFonts w:ascii="Baskerville Old Face" w:hAnsi="Baskerville Old Face"/>
          <w:i/>
          <w:iCs/>
        </w:rPr>
        <w:br/>
        <w:t>value.</w:t>
      </w:r>
    </w:p>
    <w:p w14:paraId="02580DB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sequence protects Prometheus from narrative inflation while allowing genuine regenerative performance to become economically legible.</w:t>
      </w:r>
    </w:p>
    <w:p w14:paraId="0713BC2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The maturity of evidence</w:t>
      </w:r>
    </w:p>
    <w:p w14:paraId="1B25789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distinguishes between four levels of informational maturity.</w:t>
      </w:r>
    </w:p>
    <w:p w14:paraId="078F01B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Claim</w:t>
      </w:r>
    </w:p>
    <w:p w14:paraId="1441E38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claim is a statement about regenerative performance.</w:t>
      </w:r>
    </w:p>
    <w:p w14:paraId="3EC153B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may express an intention, expectation, observation, or interpretation.</w:t>
      </w:r>
    </w:p>
    <w:p w14:paraId="19B4999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claim can guide inquiry, but it does not by itself create financial value within the Prometheus architecture.</w:t>
      </w:r>
    </w:p>
    <w:p w14:paraId="4075D1D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Observation</w:t>
      </w:r>
    </w:p>
    <w:p w14:paraId="02FFC24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An observation is a measured, recorded, or documented event.</w:t>
      </w:r>
    </w:p>
    <w:p w14:paraId="28CC045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It may originate from field sensors, laboratory analysis, satellite imagery, drone imagery, mobile observations, ecological surveys, operational records, human audits, or external datasets.</w:t>
      </w:r>
    </w:p>
    <w:p w14:paraId="35CF577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An observation becomes useful when it is associated with time, location, source, method, unit of measurement, calibration status, and data lineage.</w:t>
      </w:r>
    </w:p>
    <w:p w14:paraId="6E5A991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Verified indicator</w:t>
      </w:r>
    </w:p>
    <w:p w14:paraId="24AFD7A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verified indicator is an observation, metric, or derived signal that has passed defined quality, provenance, consistency, and validation checks.</w:t>
      </w:r>
    </w:p>
    <w:p w14:paraId="08F1FD4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may be supported by multiple evidence sources, such as direct field measurement, laboratory confirmation, remote sensing, historical comparison, operational records, or third-party review.</w:t>
      </w:r>
    </w:p>
    <w:p w14:paraId="468DBF0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verified indicator is data that has matured into reviewable evidence.</w:t>
      </w:r>
    </w:p>
    <w:p w14:paraId="46E5E7D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Admissible value</w:t>
      </w:r>
    </w:p>
    <w:p w14:paraId="1CBFD845" w14:textId="17AC93CA" w:rsidR="00BA5D3D" w:rsidRPr="00B479AE" w:rsidRDefault="00BA5D3D" w:rsidP="00305A28">
      <w:pPr>
        <w:spacing w:line="360" w:lineRule="auto"/>
        <w:rPr>
          <w:rFonts w:ascii="Baskerville Old Face" w:hAnsi="Baskerville Old Face"/>
          <w:i/>
          <w:iCs/>
        </w:rPr>
      </w:pPr>
      <w:r w:rsidRPr="00B479AE">
        <w:rPr>
          <w:rFonts w:ascii="Baskerville Old Face" w:hAnsi="Baskerville Old Face"/>
          <w:i/>
          <w:iCs/>
        </w:rPr>
        <w:t>Admissible value is a verified indicator or evidence bundle that satisfies the thresholds of the Prometheus value-analysis, maturity-classification, and underwriting framework.</w:t>
      </w:r>
    </w:p>
    <w:p w14:paraId="258C7F01" w14:textId="77777777" w:rsidR="003A51B5" w:rsidRPr="00B479AE" w:rsidRDefault="003A51B5" w:rsidP="00305A28">
      <w:pPr>
        <w:spacing w:line="360" w:lineRule="auto"/>
        <w:rPr>
          <w:rFonts w:ascii="Baskerville Old Face" w:hAnsi="Baskerville Old Face"/>
          <w:i/>
          <w:iCs/>
        </w:rPr>
      </w:pPr>
      <w:r w:rsidRPr="00B479AE">
        <w:rPr>
          <w:rFonts w:ascii="Baskerville Old Face" w:hAnsi="Baskerville Old Face"/>
          <w:i/>
          <w:iCs/>
        </w:rPr>
        <w:t xml:space="preserve">Only admissible value may contribute to PRU value analysis, PRU maturity classification, Regenerative Asset Pool construction, investor reporting, or future compliant institutional or digital representation. </w:t>
      </w:r>
    </w:p>
    <w:p w14:paraId="6FA75296" w14:textId="5B59F803"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hierarchy is essential.</w:t>
      </w:r>
    </w:p>
    <w:p w14:paraId="01182B26" w14:textId="61662073"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xml:space="preserve">It preserves a direct relationship between living-system performance and </w:t>
      </w:r>
      <w:r w:rsidR="003A1979" w:rsidRPr="00B479AE">
        <w:rPr>
          <w:rFonts w:ascii="Baskerville Old Face" w:hAnsi="Baskerville Old Face"/>
          <w:i/>
          <w:iCs/>
        </w:rPr>
        <w:t>value-analysis interface</w:t>
      </w:r>
      <w:r w:rsidRPr="00B479AE">
        <w:rPr>
          <w:rFonts w:ascii="Baskerville Old Face" w:hAnsi="Baskerville Old Face"/>
          <w:i/>
          <w:iCs/>
        </w:rPr>
        <w:t>.</w:t>
      </w:r>
    </w:p>
    <w:p w14:paraId="173BFE9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Prometheus Adaptive Verification Fabric</w:t>
      </w:r>
    </w:p>
    <w:p w14:paraId="73A299A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To make verification operational, Prometheus introduces the Prometheus Adaptive Verification Fabric.</w:t>
      </w:r>
    </w:p>
    <w:p w14:paraId="3FEDAD3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Adaptive Verification Fabric is the multi-source, standards-based, self-upgradable evidence architecture through which ecological processes become observable, comparable, auditable, and financially admissible.</w:t>
      </w:r>
    </w:p>
    <w:p w14:paraId="1C1AFDD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integrates multiple evidence streams:</w:t>
      </w:r>
    </w:p>
    <w:p w14:paraId="5289A37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 field sensors;</w:t>
      </w:r>
    </w:p>
    <w:p w14:paraId="0550A4B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laboratory analyses;</w:t>
      </w:r>
    </w:p>
    <w:p w14:paraId="01CC82F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soil tests;</w:t>
      </w:r>
    </w:p>
    <w:p w14:paraId="1DC9CA5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water tests;</w:t>
      </w:r>
    </w:p>
    <w:p w14:paraId="6164992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plant tissue and biomass data;</w:t>
      </w:r>
    </w:p>
    <w:p w14:paraId="6B53DEA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satellite imagery;</w:t>
      </w:r>
    </w:p>
    <w:p w14:paraId="0B90BD8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drone and mobile imagery;</w:t>
      </w:r>
    </w:p>
    <w:p w14:paraId="4AC495D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climate and weather datasets;</w:t>
      </w:r>
    </w:p>
    <w:p w14:paraId="72B4A40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biodiversity records;</w:t>
      </w:r>
    </w:p>
    <w:p w14:paraId="1706963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ecological surveys;</w:t>
      </w:r>
    </w:p>
    <w:p w14:paraId="72BD697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operational logs;</w:t>
      </w:r>
    </w:p>
    <w:p w14:paraId="6783B78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human observations;</w:t>
      </w:r>
    </w:p>
    <w:p w14:paraId="432459A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third-party audits;</w:t>
      </w:r>
    </w:p>
    <w:p w14:paraId="648F806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public and institutional environmental datasets;</w:t>
      </w:r>
    </w:p>
    <w:p w14:paraId="703DE67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future API-connected data sources.</w:t>
      </w:r>
    </w:p>
    <w:p w14:paraId="11BFC83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Each source is treated as partial.</w:t>
      </w:r>
    </w:p>
    <w:p w14:paraId="05709D0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No single sensor, model, satellite, laboratory result, or human report is treated as the complete truth of a living system.</w:t>
      </w:r>
    </w:p>
    <w:p w14:paraId="4C45E8F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Truth emerges through convergence.</w:t>
      </w:r>
    </w:p>
    <w:p w14:paraId="3107457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soil sensor may indicate moisture conditions.</w:t>
      </w:r>
    </w:p>
    <w:p w14:paraId="7F01AC9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satellite time series may show vegetation stress.</w:t>
      </w:r>
    </w:p>
    <w:p w14:paraId="7E480BE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laboratory test may confirm soil organic carbon.</w:t>
      </w:r>
    </w:p>
    <w:p w14:paraId="2CFE7DE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A field audit may verify management practices.</w:t>
      </w:r>
    </w:p>
    <w:p w14:paraId="3A30FC0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An operational log may record irrigation, pruning, biomass return, harvesting, or disturbance.</w:t>
      </w:r>
    </w:p>
    <w:p w14:paraId="0441951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Together, these data streams produce an evidence bundle capable of supporting verified indicators.</w:t>
      </w:r>
    </w:p>
    <w:p w14:paraId="6300CF6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purpose of the Adaptive Verification Fabric is therefore not merely to collect data.</w:t>
      </w:r>
    </w:p>
    <w:p w14:paraId="3121393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Its purpose is to transform fragmented observations into reviewable evidence and reviewable evidence into admissible value.</w:t>
      </w:r>
    </w:p>
    <w:p w14:paraId="629C156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Multi-source verification</w:t>
      </w:r>
    </w:p>
    <w:p w14:paraId="18EDA28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Living systems cannot be understood through a single measurement layer.</w:t>
      </w:r>
    </w:p>
    <w:p w14:paraId="6F81D36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Soil, water, biodiversity, biomass, human stewardship, and ecological resilience are complex, dynamic, and context-dependent.</w:t>
      </w:r>
    </w:p>
    <w:p w14:paraId="62985B5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therefore relies on multi-source verification.</w:t>
      </w:r>
    </w:p>
    <w:p w14:paraId="09F48CD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approach combines direct measurement, remote observation, human verification, historical comparison, and external reference datasets.</w:t>
      </w:r>
    </w:p>
    <w:p w14:paraId="05CC007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value of the system does not depend on perfect measurement of every variable at every moment.</w:t>
      </w:r>
    </w:p>
    <w:p w14:paraId="7E3A2EA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depends on disciplined measurement of relevant variables, transparent disclosure of uncertainty, and confidence-adjusted interpretation.</w:t>
      </w:r>
    </w:p>
    <w:p w14:paraId="191C34E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For this reason, Prometheus assigns different levels of evidentiary strength to different data sources.</w:t>
      </w:r>
    </w:p>
    <w:p w14:paraId="6A25536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Direct field measurements may provide high contextual precision.</w:t>
      </w:r>
    </w:p>
    <w:p w14:paraId="34FDBB6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Laboratory tests may provide high analytical reliability.</w:t>
      </w:r>
    </w:p>
    <w:p w14:paraId="050B83F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Satellite data may provide spatial and temporal continuity.</w:t>
      </w:r>
    </w:p>
    <w:p w14:paraId="25D14B0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Drone or mobile imagery may provide high-resolution local observation.</w:t>
      </w:r>
    </w:p>
    <w:p w14:paraId="6938384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Human audits may provide contextual and operational verification.</w:t>
      </w:r>
    </w:p>
    <w:p w14:paraId="2CD351A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External datasets may provide background conditions, benchmarks, or regional baselines.</w:t>
      </w:r>
    </w:p>
    <w:p w14:paraId="41F17D4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The strongest indicators are those supported by convergence across multiple sources.</w:t>
      </w:r>
    </w:p>
    <w:p w14:paraId="685F799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Sensor and field data layer</w:t>
      </w:r>
    </w:p>
    <w:p w14:paraId="31C942B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Field sensors form the first continuous observation layer of Prometheus.</w:t>
      </w:r>
    </w:p>
    <w:p w14:paraId="1110652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They may measure soil moisture, soil temperature, electrical conductivity, air temperature, humidity, rainfall, wind, water level, water quality, carbon dioxide, volatile organic compounds, or other site-specific indicators.</w:t>
      </w:r>
    </w:p>
    <w:p w14:paraId="3D0575B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These data help the system observe the conditions under which regeneration occurs.</w:t>
      </w:r>
    </w:p>
    <w:p w14:paraId="1582B51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Their role is not to replace ecological judgment.</w:t>
      </w:r>
    </w:p>
    <w:p w14:paraId="52692C1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Their role is to make environmental change visible, time-stamped, locally grounded, and comparable across cycles.</w:t>
      </w:r>
    </w:p>
    <w:p w14:paraId="27CE0D5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Each sensor observation should be linked to:</w:t>
      </w:r>
    </w:p>
    <w:p w14:paraId="26E2439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device identity;</w:t>
      </w:r>
    </w:p>
    <w:p w14:paraId="51476C7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location;</w:t>
      </w:r>
    </w:p>
    <w:p w14:paraId="3C18FA0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timestamp;</w:t>
      </w:r>
    </w:p>
    <w:p w14:paraId="253DC95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measured property;</w:t>
      </w:r>
    </w:p>
    <w:p w14:paraId="4E62222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unit of measurement;</w:t>
      </w:r>
    </w:p>
    <w:p w14:paraId="25C48B8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calibration state;</w:t>
      </w:r>
    </w:p>
    <w:p w14:paraId="0028B83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firmware or device version;</w:t>
      </w:r>
    </w:p>
    <w:p w14:paraId="352F11F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data quality status;</w:t>
      </w:r>
    </w:p>
    <w:p w14:paraId="69D0BBE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provenance record.</w:t>
      </w:r>
    </w:p>
    <w:p w14:paraId="07C52AE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enables future reviewers to understand not only the value of a measurement, but how that measurement came into existence.</w:t>
      </w:r>
    </w:p>
    <w:p w14:paraId="1A9EC75F" w14:textId="77777777" w:rsidR="007E454C" w:rsidRDefault="007E454C" w:rsidP="00305A28">
      <w:pPr>
        <w:spacing w:line="360" w:lineRule="auto"/>
        <w:rPr>
          <w:rFonts w:ascii="Baskerville Old Face" w:hAnsi="Baskerville Old Face"/>
          <w:b/>
          <w:bCs/>
          <w:i/>
          <w:iCs/>
        </w:rPr>
      </w:pPr>
    </w:p>
    <w:p w14:paraId="320B397B" w14:textId="58534E65"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lastRenderedPageBreak/>
        <w:t>Laboratory evidence layer</w:t>
      </w:r>
    </w:p>
    <w:p w14:paraId="73A8F68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Laboratory analysis provides a deeper evidentiary layer for variables that cannot be reliably inferred from field sensors alone.</w:t>
      </w:r>
    </w:p>
    <w:p w14:paraId="34077B6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These may include soil organic carbon, organic matter, pH, texture, bulk density, aggregate stability, microbial biomass, nutrient availability, salinity, water quality, plant tissue composition, or other scientifically relevant indicators.</w:t>
      </w:r>
    </w:p>
    <w:p w14:paraId="1E15115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Laboratory evidence is especially important for institutional credibility because it anchors ecological claims in standardized analytical procedures.</w:t>
      </w:r>
    </w:p>
    <w:p w14:paraId="29469C3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treats laboratory results as reference evidence, particularly when linked to consistent sampling protocols, chain of custody, geolocation, sampling depth, methodology, laboratory identity, date, and quality assurance conditions.</w:t>
      </w:r>
    </w:p>
    <w:p w14:paraId="14E45FA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Laboratory results may also serve as calibration anchors for sensor data, satellite interpretation, and predictive models.</w:t>
      </w:r>
    </w:p>
    <w:p w14:paraId="183713F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Remote sensing layer</w:t>
      </w:r>
    </w:p>
    <w:p w14:paraId="1405B35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Satellite, drone, and mobile imagery provide the spatial observation layer of Prometheus.</w:t>
      </w:r>
    </w:p>
    <w:p w14:paraId="39BDC47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Remote sensing can support the analysis of vegetation vigor, canopy evolution, water stress, bare soil exposure, biomass dynamics, land cover change, surface temperature, hydrological patterns, and disturbance events.</w:t>
      </w:r>
    </w:p>
    <w:p w14:paraId="40268AA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For small regenerative units, such as individual OHE deployments, satellite data may not always provide sufficient resolution on its own.</w:t>
      </w:r>
    </w:p>
    <w:p w14:paraId="21A213D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For this reason, Prometheus combines satellite imagery with drone imagery, mobile georeferenced observation, field sensors, laboratory data, and direct audits.</w:t>
      </w:r>
    </w:p>
    <w:p w14:paraId="61DF090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Remote sensing contributes to the evidence fabric by providing continuity, comparability, and independent visual or spectral confirmation of ecological change.</w:t>
      </w:r>
    </w:p>
    <w:p w14:paraId="446A0BB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Its strongest role is not isolated proof.</w:t>
      </w:r>
    </w:p>
    <w:p w14:paraId="334F36F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Its strongest role is pattern confirmation over time.</w:t>
      </w:r>
    </w:p>
    <w:p w14:paraId="00FCFF1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lastRenderedPageBreak/>
        <w:t>Human observation and audit layer</w:t>
      </w:r>
    </w:p>
    <w:p w14:paraId="04D21EB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Human observation remains essential.</w:t>
      </w:r>
    </w:p>
    <w:p w14:paraId="0BF24AA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Regenerative systems involve management, timing, interpretation, local knowledge, and stewardship decisions that cannot be fully captured by automated systems alone.</w:t>
      </w:r>
    </w:p>
    <w:p w14:paraId="692594C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therefore treats human observation as a formal evidence source when it is structured, time-stamped, georeferenced, documented, and linked to defined protocols.</w:t>
      </w:r>
    </w:p>
    <w:p w14:paraId="61CA71A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Human observations may include:</w:t>
      </w:r>
    </w:p>
    <w:p w14:paraId="2E76859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planting records;</w:t>
      </w:r>
    </w:p>
    <w:p w14:paraId="13EF794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pruning events;</w:t>
      </w:r>
    </w:p>
    <w:p w14:paraId="650C4B9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biomass return;</w:t>
      </w:r>
    </w:p>
    <w:p w14:paraId="23BCE5E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compost or biochar application;</w:t>
      </w:r>
    </w:p>
    <w:p w14:paraId="20CCA70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irrigation events;</w:t>
      </w:r>
    </w:p>
    <w:p w14:paraId="6630CF1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pest or disease observations;</w:t>
      </w:r>
    </w:p>
    <w:p w14:paraId="7986C3B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biodiversity sightings;</w:t>
      </w:r>
    </w:p>
    <w:p w14:paraId="420EE2B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management interventions;</w:t>
      </w:r>
    </w:p>
    <w:p w14:paraId="501CC9A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disturbance records;</w:t>
      </w:r>
    </w:p>
    <w:p w14:paraId="7B7185A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field photographs;</w:t>
      </w:r>
    </w:p>
    <w:p w14:paraId="4D20498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audit reports.</w:t>
      </w:r>
    </w:p>
    <w:p w14:paraId="6AB1AA5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These observations become stronger when supported by photographic evidence, sensor context, satellite comparison, laboratory confirmation, or third-party review.</w:t>
      </w:r>
    </w:p>
    <w:p w14:paraId="3CE1A85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human role is not excluded from verification.</w:t>
      </w:r>
    </w:p>
    <w:p w14:paraId="3803394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is disciplined by structure.</w:t>
      </w:r>
    </w:p>
    <w:p w14:paraId="669F2F0E" w14:textId="77777777" w:rsidR="007E454C" w:rsidRDefault="007E454C" w:rsidP="00305A28">
      <w:pPr>
        <w:spacing w:line="360" w:lineRule="auto"/>
        <w:rPr>
          <w:rFonts w:ascii="Baskerville Old Face" w:hAnsi="Baskerville Old Face"/>
          <w:b/>
          <w:bCs/>
          <w:i/>
          <w:iCs/>
        </w:rPr>
      </w:pPr>
    </w:p>
    <w:p w14:paraId="6EB8B99F" w14:textId="26BAC834"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lastRenderedPageBreak/>
        <w:t>Provenance and integrity</w:t>
      </w:r>
    </w:p>
    <w:p w14:paraId="3FB5F36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Every evidence stream in Prometheus must preserve provenance.</w:t>
      </w:r>
    </w:p>
    <w:p w14:paraId="4246E2B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Provenance describes how data came into existence, who or what generated it, when it was generated, where it was generated, what method was used, how it was transformed, and which version of a model or methodology interpreted it.</w:t>
      </w:r>
    </w:p>
    <w:p w14:paraId="3474B12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Integrity requires that evidence remains traceable from raw observation to final indicator.</w:t>
      </w:r>
    </w:p>
    <w:p w14:paraId="7BBD8FE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means that every PRU-relevant metric should be linked to its underlying evidence chain.</w:t>
      </w:r>
    </w:p>
    <w:p w14:paraId="3247074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system should be able to answer:</w:t>
      </w:r>
    </w:p>
    <w:p w14:paraId="69EF37F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where did this value come from;</w:t>
      </w:r>
    </w:p>
    <w:p w14:paraId="1943AEC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which data produced it;</w:t>
      </w:r>
    </w:p>
    <w:p w14:paraId="549558F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which method transformed it;</w:t>
      </w:r>
    </w:p>
    <w:p w14:paraId="0082F6E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which actor or device generated it;</w:t>
      </w:r>
    </w:p>
    <w:p w14:paraId="3B473A2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which version of the methodology was applied;</w:t>
      </w:r>
    </w:p>
    <w:p w14:paraId="368F17D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which confidence score was assigned;</w:t>
      </w:r>
    </w:p>
    <w:p w14:paraId="2A92ED2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which validation checks were passed;</w:t>
      </w:r>
    </w:p>
    <w:p w14:paraId="61A0944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which limitations remain.</w:t>
      </w:r>
    </w:p>
    <w:p w14:paraId="68667BC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is the basis of auditability.</w:t>
      </w:r>
    </w:p>
    <w:p w14:paraId="3EA8774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allows Prometheus to move from trust based on assertion to trust based on traceable evidence.</w:t>
      </w:r>
    </w:p>
    <w:p w14:paraId="5FF40E9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Confidence scoring</w:t>
      </w:r>
    </w:p>
    <w:p w14:paraId="30E1B5F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recognizes that not all evidence has the same strength.</w:t>
      </w:r>
    </w:p>
    <w:p w14:paraId="5E0E942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Each indicator should therefore receive a confidence score.</w:t>
      </w:r>
    </w:p>
    <w:p w14:paraId="70568AA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Confidence scoring may consider:</w:t>
      </w:r>
    </w:p>
    <w:p w14:paraId="431358B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 measurement quality;</w:t>
      </w:r>
    </w:p>
    <w:p w14:paraId="583ED86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sampling frequency;</w:t>
      </w:r>
    </w:p>
    <w:p w14:paraId="7E01515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spatial resolution;</w:t>
      </w:r>
    </w:p>
    <w:p w14:paraId="139A79F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temporal resolution;</w:t>
      </w:r>
    </w:p>
    <w:p w14:paraId="28456F8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calibration status;</w:t>
      </w:r>
    </w:p>
    <w:p w14:paraId="0AD3E7A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source reliability;</w:t>
      </w:r>
    </w:p>
    <w:p w14:paraId="7E6BD80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replication;</w:t>
      </w:r>
    </w:p>
    <w:p w14:paraId="0A4C3C6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cross-source consistency;</w:t>
      </w:r>
    </w:p>
    <w:p w14:paraId="29B5C83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uncertainty;</w:t>
      </w:r>
    </w:p>
    <w:p w14:paraId="3DCF5B9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human review;</w:t>
      </w:r>
    </w:p>
    <w:p w14:paraId="56F9C01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third-party verification;</w:t>
      </w:r>
    </w:p>
    <w:p w14:paraId="464B257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methodology maturity.</w:t>
      </w:r>
    </w:p>
    <w:p w14:paraId="4BE8604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prevents weak evidence from being treated as strong evidence.</w:t>
      </w:r>
    </w:p>
    <w:p w14:paraId="2CC16F4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also allows partial information to be used responsibly.</w:t>
      </w:r>
    </w:p>
    <w:p w14:paraId="13D71CE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system can begin with limited evidence, but its financial admissibility should increase only as the strength, continuity, and reliability of evidence improve.</w:t>
      </w:r>
    </w:p>
    <w:p w14:paraId="3E7CE4D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Confidence scoring is therefore a bridge between ecological reality and capital-market discipline.</w:t>
      </w:r>
    </w:p>
    <w:p w14:paraId="58650AC3" w14:textId="4CC373E6"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Standards-based interoperability</w:t>
      </w:r>
    </w:p>
    <w:p w14:paraId="375ACD2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is designed to remain interoperable as technology evolves.</w:t>
      </w:r>
    </w:p>
    <w:p w14:paraId="317E3E9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Its verification architecture should be able to integrate sensors, APIs, laboratories, satellite providers, drone systems, mobile devices, ecological datasets, and future data services without becoming dependent on a single vendor or proprietary format.</w:t>
      </w:r>
    </w:p>
    <w:p w14:paraId="533421B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For this reason, the system should adopt open and widely recognized standards wherever appropriate.</w:t>
      </w:r>
    </w:p>
    <w:p w14:paraId="11FF254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Sensor observations may be structured through standards such as OGC SensorThings API.</w:t>
      </w:r>
    </w:p>
    <w:p w14:paraId="0446EC6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Environmental data retrieval may align with OGC API Environmental Data Retrieval.</w:t>
      </w:r>
    </w:p>
    <w:p w14:paraId="2FE8787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Geospatial and satellite assets may be catalogued through STAC-compatible logic.</w:t>
      </w:r>
    </w:p>
    <w:p w14:paraId="04637FC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Raster geospatial data may be stored or exchanged through cloud-native formats such as Cloud Optimized GeoTIFF.</w:t>
      </w:r>
    </w:p>
    <w:p w14:paraId="7828938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Provenance may be represented through W3C PROV-compatible logic.</w:t>
      </w:r>
    </w:p>
    <w:p w14:paraId="47B0BDB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Device metadata may be described through Web of Things-compatible descriptions.</w:t>
      </w:r>
    </w:p>
    <w:p w14:paraId="626C0D3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Supply-chain and product events may be represented through EPCIS-compatible logic where appropriate.</w:t>
      </w:r>
    </w:p>
    <w:p w14:paraId="664500F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Valueflows and REA-compatible accounting may structure the relationship between resources, events, agents, and economic or ecological transformations.</w:t>
      </w:r>
    </w:p>
    <w:p w14:paraId="00426D0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standards-based approach allows Prometheus to evolve without losing semantic continuity.</w:t>
      </w:r>
    </w:p>
    <w:p w14:paraId="0F5D7DF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Auto-upgrade architecture</w:t>
      </w:r>
    </w:p>
    <w:p w14:paraId="10B606B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must remain capable of integrating better tools as they emerge.</w:t>
      </w:r>
    </w:p>
    <w:p w14:paraId="322D1D4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New sensors will appear.</w:t>
      </w:r>
    </w:p>
    <w:p w14:paraId="07C883D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New satellite products will become available.</w:t>
      </w:r>
    </w:p>
    <w:p w14:paraId="3277904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New laboratory methods will improve.</w:t>
      </w:r>
    </w:p>
    <w:p w14:paraId="2FE5AE5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New biodiversity datasets will expand.</w:t>
      </w:r>
    </w:p>
    <w:p w14:paraId="195EC15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New AI models will become more capable.</w:t>
      </w:r>
    </w:p>
    <w:p w14:paraId="632CBA4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New MRV standards will mature.</w:t>
      </w:r>
    </w:p>
    <w:p w14:paraId="45F2A65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New climate and nature-related reporting frameworks will evolve.</w:t>
      </w:r>
    </w:p>
    <w:p w14:paraId="08E4E13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Prometheus verification architecture is therefore designed as an auto-upgradable system.</w:t>
      </w:r>
    </w:p>
    <w:p w14:paraId="4FA144B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does not mean uncontrolled change.</w:t>
      </w:r>
    </w:p>
    <w:p w14:paraId="78D4ECE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It means controlled evolution.</w:t>
      </w:r>
    </w:p>
    <w:p w14:paraId="1B903E8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Every new connector, API, sensor, data source, algorithm, model, calibration procedure, or methodology should pass through a defined lifecycle:</w:t>
      </w:r>
    </w:p>
    <w:p w14:paraId="07BB329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proposal;</w:t>
      </w:r>
    </w:p>
    <w:p w14:paraId="339055C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sandbox testing;</w:t>
      </w:r>
    </w:p>
    <w:p w14:paraId="43383A8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validation;</w:t>
      </w:r>
    </w:p>
    <w:p w14:paraId="5F29B7C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confidence calibration;</w:t>
      </w:r>
    </w:p>
    <w:p w14:paraId="5E7B9D9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governance review;</w:t>
      </w:r>
    </w:p>
    <w:p w14:paraId="4758827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production deployment;</w:t>
      </w:r>
    </w:p>
    <w:p w14:paraId="2991F15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monitoring;</w:t>
      </w:r>
    </w:p>
    <w:p w14:paraId="5EE35AF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rollback if required.</w:t>
      </w:r>
    </w:p>
    <w:p w14:paraId="532655F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lifecycle allows Prometheus to absorb technological progress while preserving auditability and methodological discipline.</w:t>
      </w:r>
    </w:p>
    <w:p w14:paraId="00BD4F4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system can evolve without silently changing the meaning of verified regeneration.</w:t>
      </w:r>
    </w:p>
    <w:p w14:paraId="79965EF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Connector registry</w:t>
      </w:r>
    </w:p>
    <w:p w14:paraId="18C6B26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connector registry governs the relationship between Prometheus and external data sources.</w:t>
      </w:r>
    </w:p>
    <w:p w14:paraId="19B6078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Each connector should define:</w:t>
      </w:r>
    </w:p>
    <w:p w14:paraId="774BD38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source identity;</w:t>
      </w:r>
    </w:p>
    <w:p w14:paraId="32FDF9A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source type;</w:t>
      </w:r>
    </w:p>
    <w:p w14:paraId="545FEE0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data variables;</w:t>
      </w:r>
    </w:p>
    <w:p w14:paraId="7F3CA69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endpoint or access method;</w:t>
      </w:r>
    </w:p>
    <w:p w14:paraId="54CFD35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authentication method;</w:t>
      </w:r>
    </w:p>
    <w:p w14:paraId="43EB540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 license conditions;</w:t>
      </w:r>
    </w:p>
    <w:p w14:paraId="360426F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update frequency;</w:t>
      </w:r>
    </w:p>
    <w:p w14:paraId="58581DC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schema version;</w:t>
      </w:r>
    </w:p>
    <w:p w14:paraId="477A8C9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units of measurement;</w:t>
      </w:r>
    </w:p>
    <w:p w14:paraId="43716DE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quality profile;</w:t>
      </w:r>
    </w:p>
    <w:p w14:paraId="71911A7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last successful synchronization;</w:t>
      </w:r>
    </w:p>
    <w:p w14:paraId="66B13D3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failure status;</w:t>
      </w:r>
    </w:p>
    <w:p w14:paraId="388750A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replacement pathway;</w:t>
      </w:r>
    </w:p>
    <w:p w14:paraId="3A2E34C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maintainer responsibility.</w:t>
      </w:r>
    </w:p>
    <w:p w14:paraId="19AB271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makes API integration reviewable and resilient.</w:t>
      </w:r>
    </w:p>
    <w:p w14:paraId="56072F5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If an external source changes, fails, becomes obsolete, or is replaced, the system can preserve continuity by documenting the transition.</w:t>
      </w:r>
    </w:p>
    <w:p w14:paraId="6CAFE6D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purpose is not only technical reliability.</w:t>
      </w:r>
    </w:p>
    <w:p w14:paraId="33385FF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purpose is institutional trust.</w:t>
      </w:r>
    </w:p>
    <w:p w14:paraId="14C72D4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AI-assisted verification</w:t>
      </w:r>
    </w:p>
    <w:p w14:paraId="3820B16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Artificial intelligence may support Prometheus by helping interpret complex evidence.</w:t>
      </w:r>
    </w:p>
    <w:p w14:paraId="594236C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AI may assist with anomaly detection, pattern recognition, image classification, data fusion, scenario modeling, early-warning systems, ecological recommendations, and operational decision support.</w:t>
      </w:r>
    </w:p>
    <w:p w14:paraId="5C3D186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Its role is assistive, not sovereign.</w:t>
      </w:r>
    </w:p>
    <w:p w14:paraId="2EDE47F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AI-derived outputs remain linked to evidence, model versioning, confidence scores, validation rules, and human or institutional review where required.</w:t>
      </w:r>
    </w:p>
    <w:p w14:paraId="207C989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Within the Prometheus architecture, AI strengthens interpretation but does not independently create admissible value.</w:t>
      </w:r>
    </w:p>
    <w:p w14:paraId="66F5BC7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Admissibility remains governed by evidence, methodology, confidence, and institutional review.</w:t>
      </w:r>
    </w:p>
    <w:p w14:paraId="7C4C914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preserves the difference between intelligence and authority.</w:t>
      </w:r>
    </w:p>
    <w:p w14:paraId="206F0FE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From verification to value</w:t>
      </w:r>
    </w:p>
    <w:p w14:paraId="5FC24ED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verification architecture is the bridge between living systems and regenerative finance.</w:t>
      </w:r>
    </w:p>
    <w:p w14:paraId="3C58395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Without verification, regeneration remains a claim.</w:t>
      </w:r>
    </w:p>
    <w:p w14:paraId="1F9DB71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With verification, regeneration becomes evidence.</w:t>
      </w:r>
    </w:p>
    <w:p w14:paraId="0086F04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With disciplined evidence, ecological performance becomes comparable.</w:t>
      </w:r>
    </w:p>
    <w:p w14:paraId="53BCFA0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With comparability, performance becomes underwritable.</w:t>
      </w:r>
    </w:p>
    <w:p w14:paraId="13D1ED9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With underwriting, regenerative systems can become financeable.</w:t>
      </w:r>
    </w:p>
    <w:p w14:paraId="77956F0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With appropriate legal structuring, financeable regenerative systems may become investable real-world assets.</w:t>
      </w:r>
    </w:p>
    <w:p w14:paraId="3AD08AC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is the Prometheus transformation pathway.</w:t>
      </w:r>
    </w:p>
    <w:p w14:paraId="6D69A3A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sequence is not merely technical.</w:t>
      </w:r>
    </w:p>
    <w:p w14:paraId="08B90F7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is constitutional.</w:t>
      </w:r>
    </w:p>
    <w:p w14:paraId="3E925BF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is built on the recognition that living systems already generate value.</w:t>
      </w:r>
    </w:p>
    <w:p w14:paraId="0FDEB42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task is to observe that value without distorting it, measure it without reducing it, verify it without centralizing it, and structure it without extracting it from its source.</w:t>
      </w:r>
    </w:p>
    <w:p w14:paraId="6DB1F01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Verification is therefore not an accessory to Prometheus.</w:t>
      </w:r>
    </w:p>
    <w:p w14:paraId="5E549DD6" w14:textId="03DD26D3" w:rsidR="00305A28" w:rsidRDefault="00305A28" w:rsidP="00305A28">
      <w:pPr>
        <w:spacing w:line="360" w:lineRule="auto"/>
        <w:rPr>
          <w:rFonts w:ascii="Baskerville Old Face" w:hAnsi="Baskerville Old Face"/>
          <w:i/>
          <w:iCs/>
        </w:rPr>
      </w:pPr>
      <w:r w:rsidRPr="00B479AE">
        <w:rPr>
          <w:rFonts w:ascii="Baskerville Old Face" w:hAnsi="Baskerville Old Face"/>
          <w:i/>
          <w:iCs/>
        </w:rPr>
        <w:t>Verification is the infrastructure through which regeneration becomes visible to capital while remaining accountable to life.</w:t>
      </w:r>
      <w:r w:rsidR="007E454C">
        <w:rPr>
          <w:rFonts w:ascii="Baskerville Old Face" w:hAnsi="Baskerville Old Face"/>
          <w:i/>
          <w:iCs/>
        </w:rPr>
        <w:t xml:space="preserve"> </w:t>
      </w:r>
    </w:p>
    <w:p w14:paraId="3350C2F5" w14:textId="77777777" w:rsidR="007E454C" w:rsidRDefault="007E454C" w:rsidP="00305A28">
      <w:pPr>
        <w:spacing w:line="360" w:lineRule="auto"/>
        <w:rPr>
          <w:rFonts w:ascii="Baskerville Old Face" w:hAnsi="Baskerville Old Face"/>
          <w:i/>
          <w:iCs/>
        </w:rPr>
      </w:pPr>
    </w:p>
    <w:p w14:paraId="7F19D32C" w14:textId="77777777" w:rsidR="007E454C" w:rsidRPr="00B479AE" w:rsidRDefault="007E454C" w:rsidP="00305A28">
      <w:pPr>
        <w:spacing w:line="360" w:lineRule="auto"/>
        <w:rPr>
          <w:rFonts w:ascii="Baskerville Old Face" w:hAnsi="Baskerville Old Face"/>
          <w:i/>
          <w:iCs/>
        </w:rPr>
      </w:pPr>
    </w:p>
    <w:p w14:paraId="080F97FE" w14:textId="5001DABC" w:rsidR="00305A28" w:rsidRPr="00B479AE" w:rsidRDefault="00305A28" w:rsidP="002B4800">
      <w:pPr>
        <w:pStyle w:val="Titolo1"/>
        <w:rPr>
          <w:rFonts w:ascii="Baskerville Old Face" w:hAnsi="Baskerville Old Face"/>
          <w:b/>
          <w:bCs/>
          <w:i/>
          <w:iCs/>
          <w:sz w:val="24"/>
          <w:szCs w:val="24"/>
        </w:rPr>
      </w:pPr>
      <w:r w:rsidRPr="00B479AE">
        <w:rPr>
          <w:rFonts w:ascii="Baskerville Old Face" w:hAnsi="Baskerville Old Face"/>
          <w:b/>
          <w:bCs/>
          <w:i/>
          <w:iCs/>
          <w:sz w:val="24"/>
          <w:szCs w:val="24"/>
        </w:rPr>
        <w:lastRenderedPageBreak/>
        <w:t>PART I</w:t>
      </w:r>
      <w:r w:rsidR="002B4800" w:rsidRPr="00B479AE">
        <w:rPr>
          <w:rFonts w:ascii="Baskerville Old Face" w:hAnsi="Baskerville Old Face"/>
          <w:b/>
          <w:bCs/>
          <w:i/>
          <w:iCs/>
          <w:sz w:val="24"/>
          <w:szCs w:val="24"/>
        </w:rPr>
        <w:t xml:space="preserve"> - </w:t>
      </w:r>
      <w:r w:rsidRPr="00B479AE">
        <w:rPr>
          <w:rFonts w:ascii="Baskerville Old Face" w:hAnsi="Baskerville Old Face"/>
          <w:b/>
          <w:bCs/>
          <w:i/>
          <w:iCs/>
          <w:sz w:val="24"/>
          <w:szCs w:val="24"/>
        </w:rPr>
        <w:t>The Structural Case for Regenerative Infrastructure</w:t>
      </w:r>
    </w:p>
    <w:p w14:paraId="5946A7F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Civilizational context</w:t>
      </w:r>
    </w:p>
    <w:p w14:paraId="06A6990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Human societies are living through a moment of structural transition.</w:t>
      </w:r>
    </w:p>
    <w:p w14:paraId="40490E5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Technological progress has accelerated at unprecedented speed. Artificial intelligence, biotechnology, distributed computing, satellite observation, ecological sensing, and advanced materials are expanding the frontier of what human systems can design, measure, and coordinate.</w:t>
      </w:r>
    </w:p>
    <w:p w14:paraId="4DB8CC7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At the same time, the living systems that sustain civilization are experiencing growing pressure.</w:t>
      </w:r>
    </w:p>
    <w:p w14:paraId="4587EFE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Soils are losing fertility.</w:t>
      </w:r>
    </w:p>
    <w:p w14:paraId="0B0B5D7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Water cycles are becoming unstable.</w:t>
      </w:r>
    </w:p>
    <w:p w14:paraId="4E0E65D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Biodiversity is declining.</w:t>
      </w:r>
    </w:p>
    <w:p w14:paraId="1964E1D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Food systems are increasingly disconnected from nutritional and ecological integrity.</w:t>
      </w:r>
    </w:p>
    <w:p w14:paraId="4E39941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Health systems are absorbing the downstream consequences of environmental, metabolic, and social fragmentation.</w:t>
      </w:r>
    </w:p>
    <w:p w14:paraId="11F2B75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Financial systems continue to allocate capital toward assets whose apparent value often depends on the degradation of the foundations that make long-term value possible.</w:t>
      </w:r>
    </w:p>
    <w:p w14:paraId="276FF93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is the central contradiction of the current economic era.</w:t>
      </w:r>
    </w:p>
    <w:p w14:paraId="0DB89BC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Human civilization has developed immense technological capacity, yet many of its operating systems remain misaligned with the regenerative logic of life.</w:t>
      </w:r>
    </w:p>
    <w:p w14:paraId="7E3E0C1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emerges from this contradiction.</w:t>
      </w:r>
    </w:p>
    <w:p w14:paraId="2D62E1E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is designed to translate the intelligence of living systems into operational, verifiable, and financeable infrastructure.</w:t>
      </w:r>
    </w:p>
    <w:p w14:paraId="4580B45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Its purpose is not to reject technological progress or financial innovation.</w:t>
      </w:r>
    </w:p>
    <w:p w14:paraId="7592E5C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Its purpose is to align them with the conditions that allow life, health, productivity, and resilience to compound over time.</w:t>
      </w:r>
    </w:p>
    <w:p w14:paraId="1F873A9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lastRenderedPageBreak/>
        <w:t>The structural misalignment</w:t>
      </w:r>
    </w:p>
    <w:p w14:paraId="21DFD7E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Modern economic systems have achieved extraordinary scale by increasing extraction, specialization, leverage, and throughput.</w:t>
      </w:r>
    </w:p>
    <w:p w14:paraId="236B587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architecture has produced major advances in production, communication, logistics, medicine, computation, and global coordination.</w:t>
      </w:r>
    </w:p>
    <w:p w14:paraId="682EB8D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Yet it has also externalized many of the costs that living systems cannot ignore.</w:t>
      </w:r>
    </w:p>
    <w:p w14:paraId="637696A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Soil depletion appears later as lower productivity, higher input dependency, erosion, desertification, and food-system fragility.</w:t>
      </w:r>
    </w:p>
    <w:p w14:paraId="577E707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Water mismanagement appears later as drought exposure, flooding, infrastructure stress, crop loss, and geopolitical pressure.</w:t>
      </w:r>
    </w:p>
    <w:p w14:paraId="28AE53D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Biodiversity loss appears later as ecological instability, pollination decline, pest pressure, and reduced resilience.</w:t>
      </w:r>
    </w:p>
    <w:p w14:paraId="42D400B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Poor nutrition appears later as metabolic disease, chronic inflammation, healthcare burden, and reduced human vitality.</w:t>
      </w:r>
    </w:p>
    <w:p w14:paraId="5A2BD4C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Social fragmentation appears later as institutional distrust, governance instability, and reduced collective problem-solving capacity.</w:t>
      </w:r>
    </w:p>
    <w:p w14:paraId="5E8FAD6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pattern is consistent.</w:t>
      </w:r>
    </w:p>
    <w:p w14:paraId="48FBA4E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When economic systems treat living foundations as externalities, the costs do not disappear.</w:t>
      </w:r>
    </w:p>
    <w:p w14:paraId="78F2080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They return as systemic liabilities.</w:t>
      </w:r>
    </w:p>
    <w:p w14:paraId="782A299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result is a structural inefficiency: large amounts of capital are allocated downstream to manage damage after it has materialized, while upstream regenerative capacity remains undercapitalized.</w:t>
      </w:r>
    </w:p>
    <w:p w14:paraId="048B53A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addresses this inefficiency by shifting the investment question.</w:t>
      </w:r>
    </w:p>
    <w:p w14:paraId="70155C5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question is no longer only:</w:t>
      </w:r>
    </w:p>
    <w:p w14:paraId="7E83C57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How can damage be mitigated?</w:t>
      </w:r>
    </w:p>
    <w:p w14:paraId="203CA85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deeper question is:</w:t>
      </w:r>
    </w:p>
    <w:p w14:paraId="5212567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How can capital be routed toward infrastructures that reduce the production of damage at the source?</w:t>
      </w:r>
    </w:p>
    <w:p w14:paraId="248CC73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is the basis of regenerative infrastructure.</w:t>
      </w:r>
    </w:p>
    <w:p w14:paraId="47C244B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Nature as foundational infrastructure</w:t>
      </w:r>
    </w:p>
    <w:p w14:paraId="02D411B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Nature is not the background of the economy.</w:t>
      </w:r>
    </w:p>
    <w:p w14:paraId="1CB8EB3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is the metabolism beneath all accounts.</w:t>
      </w:r>
    </w:p>
    <w:p w14:paraId="02B1FFD9" w14:textId="77777777" w:rsidR="00D8085B" w:rsidRPr="00B479AE" w:rsidRDefault="00D8085B" w:rsidP="00D8085B">
      <w:pPr>
        <w:spacing w:line="360" w:lineRule="auto"/>
        <w:rPr>
          <w:rFonts w:ascii="Baskerville Old Face" w:hAnsi="Baskerville Old Face"/>
          <w:i/>
          <w:iCs/>
        </w:rPr>
      </w:pPr>
      <w:r w:rsidRPr="00B479AE">
        <w:rPr>
          <w:rFonts w:ascii="Baskerville Old Face" w:hAnsi="Baskerville Old Face"/>
          <w:b/>
          <w:bCs/>
          <w:i/>
          <w:iCs/>
        </w:rPr>
        <w:t>Economic dependence on living systems</w:t>
      </w:r>
    </w:p>
    <w:p w14:paraId="11423866" w14:textId="77777777" w:rsidR="00BE7242" w:rsidRPr="00B479AE" w:rsidRDefault="00BE7242" w:rsidP="00BE7242">
      <w:pPr>
        <w:spacing w:line="360" w:lineRule="auto"/>
        <w:rPr>
          <w:rFonts w:ascii="Baskerville Old Face" w:hAnsi="Baskerville Old Face"/>
          <w:i/>
          <w:iCs/>
        </w:rPr>
      </w:pPr>
      <w:r w:rsidRPr="00B479AE">
        <w:rPr>
          <w:rFonts w:ascii="Baskerville Old Face" w:hAnsi="Baskerville Old Face"/>
          <w:i/>
          <w:iCs/>
        </w:rPr>
        <w:t>The dependence of economic value on living systems is not metaphorical.</w:t>
      </w:r>
    </w:p>
    <w:p w14:paraId="347A51AF" w14:textId="77777777" w:rsidR="00BE7242" w:rsidRPr="00B479AE" w:rsidRDefault="00BE7242" w:rsidP="00BE7242">
      <w:pPr>
        <w:spacing w:line="360" w:lineRule="auto"/>
        <w:rPr>
          <w:rFonts w:ascii="Baskerville Old Face" w:hAnsi="Baskerville Old Face"/>
          <w:i/>
          <w:iCs/>
        </w:rPr>
      </w:pPr>
      <w:r w:rsidRPr="00B479AE">
        <w:rPr>
          <w:rFonts w:ascii="Baskerville Old Face" w:hAnsi="Baskerville Old Face"/>
          <w:i/>
          <w:iCs/>
        </w:rPr>
        <w:t>It is physiological, territorial, and infrastructural.</w:t>
      </w:r>
    </w:p>
    <w:p w14:paraId="539C7BFE" w14:textId="77777777" w:rsidR="00BE7242" w:rsidRPr="00B479AE" w:rsidRDefault="00BE7242" w:rsidP="00BE7242">
      <w:pPr>
        <w:spacing w:line="360" w:lineRule="auto"/>
        <w:rPr>
          <w:rFonts w:ascii="Baskerville Old Face" w:hAnsi="Baskerville Old Face"/>
          <w:i/>
          <w:iCs/>
        </w:rPr>
      </w:pPr>
      <w:r w:rsidRPr="00B479AE">
        <w:rPr>
          <w:rFonts w:ascii="Baskerville Old Face" w:hAnsi="Baskerville Old Face"/>
          <w:i/>
          <w:iCs/>
        </w:rPr>
        <w:t>No financial system can remain stable if the biological systems that sustain food, water, health, climate regulation, and human vitality are degrading.</w:t>
      </w:r>
    </w:p>
    <w:p w14:paraId="354D9BD0" w14:textId="77777777" w:rsidR="00BE7242" w:rsidRPr="00B479AE" w:rsidRDefault="00BE7242" w:rsidP="00BE7242">
      <w:pPr>
        <w:spacing w:line="360" w:lineRule="auto"/>
        <w:rPr>
          <w:rFonts w:ascii="Baskerville Old Face" w:hAnsi="Baskerville Old Face"/>
          <w:i/>
          <w:iCs/>
        </w:rPr>
      </w:pPr>
      <w:r w:rsidRPr="00B479AE">
        <w:rPr>
          <w:rFonts w:ascii="Baskerville Old Face" w:hAnsi="Baskerville Old Face"/>
          <w:i/>
          <w:iCs/>
        </w:rPr>
        <w:t>As Guy McPherson sharply observed:</w:t>
      </w:r>
    </w:p>
    <w:p w14:paraId="7D5F3A8C" w14:textId="77777777" w:rsidR="00BE7242" w:rsidRPr="00B479AE" w:rsidRDefault="00BE7242" w:rsidP="00BE7242">
      <w:pPr>
        <w:spacing w:line="360" w:lineRule="auto"/>
        <w:rPr>
          <w:rFonts w:ascii="Baskerville Old Face" w:hAnsi="Baskerville Old Face"/>
          <w:i/>
          <w:iCs/>
        </w:rPr>
      </w:pPr>
      <w:r w:rsidRPr="00B479AE">
        <w:rPr>
          <w:rFonts w:ascii="Baskerville Old Face" w:hAnsi="Baskerville Old Face"/>
          <w:i/>
          <w:iCs/>
        </w:rPr>
        <w:t>“If you truly think the environment is less important than the economy, try holding your breath while you count your money.”</w:t>
      </w:r>
    </w:p>
    <w:p w14:paraId="495611B5" w14:textId="77777777" w:rsidR="00BE7242" w:rsidRPr="00B479AE" w:rsidRDefault="00BE7242" w:rsidP="00BE7242">
      <w:pPr>
        <w:spacing w:line="360" w:lineRule="auto"/>
        <w:rPr>
          <w:rFonts w:ascii="Baskerville Old Face" w:hAnsi="Baskerville Old Face"/>
          <w:i/>
          <w:iCs/>
        </w:rPr>
      </w:pPr>
      <w:r w:rsidRPr="00B479AE">
        <w:rPr>
          <w:rFonts w:ascii="Baskerville Old Face" w:hAnsi="Baskerville Old Face"/>
          <w:i/>
          <w:iCs/>
        </w:rPr>
        <w:t>Within Prometheus, this statement is not used as rhetorical provocation.</w:t>
      </w:r>
    </w:p>
    <w:p w14:paraId="05F2288C" w14:textId="77777777" w:rsidR="00BE7242" w:rsidRPr="00B479AE" w:rsidRDefault="00BE7242" w:rsidP="00BE7242">
      <w:pPr>
        <w:spacing w:line="360" w:lineRule="auto"/>
        <w:rPr>
          <w:rFonts w:ascii="Baskerville Old Face" w:hAnsi="Baskerville Old Face"/>
          <w:i/>
          <w:iCs/>
        </w:rPr>
      </w:pPr>
      <w:r w:rsidRPr="00B479AE">
        <w:rPr>
          <w:rFonts w:ascii="Baskerville Old Face" w:hAnsi="Baskerville Old Face"/>
          <w:i/>
          <w:iCs/>
        </w:rPr>
        <w:t>It expresses a structural dependency: capital is downstream from life.</w:t>
      </w:r>
    </w:p>
    <w:p w14:paraId="360A2387" w14:textId="77777777" w:rsidR="00BE7242" w:rsidRPr="00B479AE" w:rsidRDefault="00BE7242" w:rsidP="00BE7242">
      <w:pPr>
        <w:spacing w:line="360" w:lineRule="auto"/>
        <w:rPr>
          <w:rFonts w:ascii="Baskerville Old Face" w:hAnsi="Baskerville Old Face"/>
          <w:i/>
          <w:iCs/>
        </w:rPr>
      </w:pPr>
      <w:r w:rsidRPr="00B479AE">
        <w:rPr>
          <w:rFonts w:ascii="Baskerville Old Face" w:hAnsi="Baskerville Old Face"/>
          <w:i/>
          <w:iCs/>
        </w:rPr>
        <w:t>The economy does not float above the biosphere.</w:t>
      </w:r>
    </w:p>
    <w:p w14:paraId="3E01D360" w14:textId="77777777" w:rsidR="00BE7242" w:rsidRPr="00B479AE" w:rsidRDefault="00BE7242" w:rsidP="00BE7242">
      <w:pPr>
        <w:spacing w:line="360" w:lineRule="auto"/>
        <w:rPr>
          <w:rFonts w:ascii="Baskerville Old Face" w:hAnsi="Baskerville Old Face"/>
          <w:i/>
          <w:iCs/>
        </w:rPr>
      </w:pPr>
      <w:r w:rsidRPr="00B479AE">
        <w:rPr>
          <w:rFonts w:ascii="Baskerville Old Face" w:hAnsi="Baskerville Old Face"/>
          <w:i/>
          <w:iCs/>
        </w:rPr>
        <w:t>It metabolizes within it.</w:t>
      </w:r>
    </w:p>
    <w:p w14:paraId="7D24138A" w14:textId="4C5F4D60"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Every durable economic system depends on functions that living systems provide before markets can price them: fertile soil, stable water cycles, breathable air, pollination, climate regulation, biological productivity, nutrient density, disease resistance, and human vitality.</w:t>
      </w:r>
    </w:p>
    <w:p w14:paraId="6C0E8A5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These functions are not decorative.</w:t>
      </w:r>
    </w:p>
    <w:p w14:paraId="04DD48E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They are infrastructural.</w:t>
      </w:r>
    </w:p>
    <w:p w14:paraId="38437D8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bridge becomes economically relevant because it allows movement.</w:t>
      </w:r>
    </w:p>
    <w:p w14:paraId="1034285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An electrical grid becomes economically relevant because it allows energy distribution.</w:t>
      </w:r>
    </w:p>
    <w:p w14:paraId="3BFC928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water system becomes economically relevant because it allows life, production, hygiene, and settlement.</w:t>
      </w:r>
    </w:p>
    <w:p w14:paraId="638F429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Living systems perform infrastructural functions at deeper levels.</w:t>
      </w:r>
    </w:p>
    <w:p w14:paraId="09F9FE5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Soil transforms minerals, organic matter, microorganisms, water, roots, and energy into fertility.</w:t>
      </w:r>
    </w:p>
    <w:p w14:paraId="569DEEA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Forests regulate water, carbon, temperature, habitat, and local climate.</w:t>
      </w:r>
    </w:p>
    <w:p w14:paraId="03DA0B6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Biodiversity distributes ecological functions across many species, reducing fragility.</w:t>
      </w:r>
    </w:p>
    <w:p w14:paraId="5EF392B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Healthy food systems transform sunlight, water, soil, and biological relationships into human metabolic capacity.</w:t>
      </w:r>
    </w:p>
    <w:p w14:paraId="414FF70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Communities transform trust, knowledge, care, and cooperation into social resilience.</w:t>
      </w:r>
    </w:p>
    <w:p w14:paraId="33C3C59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These are not soft variables.</w:t>
      </w:r>
    </w:p>
    <w:p w14:paraId="7881199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They are the foundations of long-duration value.</w:t>
      </w:r>
    </w:p>
    <w:p w14:paraId="0BBF6B8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treats these foundations as measurable and governable infrastructure.</w:t>
      </w:r>
    </w:p>
    <w:p w14:paraId="498C0FCD" w14:textId="15E1F969"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The symphony of life</w:t>
      </w:r>
    </w:p>
    <w:p w14:paraId="1D47007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Living systems do not operate as isolated components.</w:t>
      </w:r>
    </w:p>
    <w:p w14:paraId="47E8C82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They operate as relationships.</w:t>
      </w:r>
    </w:p>
    <w:p w14:paraId="4852E5C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Soil microorganisms regulate nutrient availability.</w:t>
      </w:r>
    </w:p>
    <w:p w14:paraId="2F4678F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Plants exchange signals and resources through root systems, fungal networks, and biochemical communication.</w:t>
      </w:r>
    </w:p>
    <w:p w14:paraId="3D9C260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Water flows across landscapes, linking vegetation, topography, atmosphere, soil structure, and biological metabolism.</w:t>
      </w:r>
    </w:p>
    <w:p w14:paraId="2A6BA32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Pollinators, predators, fungi, bacteria, animals, and plants participate in distributed networks of mutual influence.</w:t>
      </w:r>
    </w:p>
    <w:p w14:paraId="7E5EC30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The stability of an ecosystem does not arise from centralized control.</w:t>
      </w:r>
    </w:p>
    <w:p w14:paraId="146C64F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emerges from the quality, diversity, redundancy, and adaptability of relationships.</w:t>
      </w:r>
    </w:p>
    <w:p w14:paraId="1D6A42F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In this sense, living systems resemble an orchestra.</w:t>
      </w:r>
    </w:p>
    <w:p w14:paraId="109761B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Each organism, process, and ecological function contributes to the coherence of the whole.</w:t>
      </w:r>
    </w:p>
    <w:p w14:paraId="1A8C392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When relationships are intact, fertility increases, water cycles stabilize, biodiversity strengthens resilience, and productivity becomes more durable.</w:t>
      </w:r>
    </w:p>
    <w:p w14:paraId="1078F27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When relationships are broken, the system loses coherence.</w:t>
      </w:r>
    </w:p>
    <w:p w14:paraId="0AFBB28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Regeneration is the restoration and enhancement of these relationships.</w:t>
      </w:r>
    </w:p>
    <w:p w14:paraId="74FBB37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is not merely the addition of plants, carbon, or isolated ecological metrics.</w:t>
      </w:r>
    </w:p>
    <w:p w14:paraId="7720A35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is the increase of systemic coherence across soil, water, biodiversity, biomass, human stewardship, and time.</w:t>
      </w:r>
    </w:p>
    <w:p w14:paraId="3A27029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is built on this principle.</w:t>
      </w:r>
    </w:p>
    <w:p w14:paraId="059C424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Value emerges not only from outputs, but from the increasing coherence of the living system that generates those outputs.</w:t>
      </w:r>
    </w:p>
    <w:p w14:paraId="56A7D105" w14:textId="3501479A"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The economic model of living systems</w:t>
      </w:r>
    </w:p>
    <w:p w14:paraId="7F0A993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Nature operates through circulation before accumulation.</w:t>
      </w:r>
    </w:p>
    <w:p w14:paraId="54A58CA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Rivers distribute water across landscapes before reaching the sea.</w:t>
      </w:r>
    </w:p>
    <w:p w14:paraId="6E10E3D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Trees transform sunlight into fruits, biomass, shade, habitat, oxygen, and soil contribution.</w:t>
      </w:r>
    </w:p>
    <w:p w14:paraId="19008EE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Leaves fall, decompose, and return nutrients to the soil.</w:t>
      </w:r>
    </w:p>
    <w:p w14:paraId="45774D4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Microorganisms convert organic matter into fertility.</w:t>
      </w:r>
    </w:p>
    <w:p w14:paraId="0CDD2F7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Mycorrhizal networks redistribute nutrients and signals.</w:t>
      </w:r>
    </w:p>
    <w:p w14:paraId="1C73577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Water infiltrates, evaporates, condenses, and returns through cycles.</w:t>
      </w:r>
    </w:p>
    <w:p w14:paraId="0FEFBC5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Life maintains itself through generative circulation.</w:t>
      </w:r>
    </w:p>
    <w:p w14:paraId="7B1900F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When circulation is healthy, ecosystems tend to increase fertility, complexity, and resilience over time.</w:t>
      </w:r>
    </w:p>
    <w:p w14:paraId="0947CA4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When circulation is interrupted, systems degrade.</w:t>
      </w:r>
    </w:p>
    <w:p w14:paraId="2227835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offers a radically different economic model from linear extraction.</w:t>
      </w:r>
    </w:p>
    <w:p w14:paraId="60E5BAD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In extractive systems, value is generated by removing resources from their context, converting them into products, and externalizing the costs of depletion.</w:t>
      </w:r>
    </w:p>
    <w:p w14:paraId="683E23C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In regenerative systems, value increases when the conditions that generate value become healthier.</w:t>
      </w:r>
    </w:p>
    <w:p w14:paraId="54FD9C00" w14:textId="77777777" w:rsidR="004E337A"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economic model of nature can be summarized as follows:</w:t>
      </w:r>
      <w:r w:rsidR="004E337A" w:rsidRPr="00B479AE">
        <w:rPr>
          <w:rFonts w:ascii="Baskerville Old Face" w:hAnsi="Baskerville Old Face"/>
          <w:i/>
          <w:iCs/>
        </w:rPr>
        <w:t xml:space="preserve"> </w:t>
      </w:r>
    </w:p>
    <w:p w14:paraId="1D0F995B" w14:textId="3C10363D"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circulation creates continuity;</w:t>
      </w:r>
    </w:p>
    <w:p w14:paraId="7A7AF93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diversity creates resilience;</w:t>
      </w:r>
    </w:p>
    <w:p w14:paraId="5AB8C0C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cooperation creates surplus;</w:t>
      </w:r>
    </w:p>
    <w:p w14:paraId="7CC8528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feedback creates adaptation;</w:t>
      </w:r>
    </w:p>
    <w:p w14:paraId="2C12124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regeneration creates future capacity.</w:t>
      </w:r>
    </w:p>
    <w:p w14:paraId="3CC0322D" w14:textId="6C53F7B2" w:rsidR="004E337A" w:rsidRPr="00B479AE" w:rsidRDefault="004E337A" w:rsidP="004E337A">
      <w:pPr>
        <w:spacing w:line="360" w:lineRule="auto"/>
        <w:rPr>
          <w:rFonts w:ascii="Baskerville Old Face" w:hAnsi="Baskerville Old Face"/>
          <w:b/>
          <w:bCs/>
          <w:i/>
          <w:iCs/>
        </w:rPr>
      </w:pPr>
      <w:r w:rsidRPr="00B479AE">
        <w:rPr>
          <w:rFonts w:ascii="Baskerville Old Face" w:hAnsi="Baskerville Old Face"/>
          <w:b/>
          <w:bCs/>
          <w:i/>
          <w:iCs/>
        </w:rPr>
        <w:t>Ecological-Economic Translation Matrix</w:t>
      </w:r>
    </w:p>
    <w:p w14:paraId="3BE4DAFF" w14:textId="1CC73958" w:rsidR="004E337A" w:rsidRDefault="004E337A" w:rsidP="004E337A">
      <w:pPr>
        <w:spacing w:line="360" w:lineRule="auto"/>
        <w:rPr>
          <w:rFonts w:ascii="Baskerville Old Face" w:hAnsi="Baskerville Old Face"/>
          <w:i/>
          <w:iCs/>
        </w:rPr>
      </w:pPr>
      <w:r w:rsidRPr="00B479AE">
        <w:rPr>
          <w:rFonts w:ascii="Baskerville Old Face" w:hAnsi="Baskerville Old Face"/>
          <w:i/>
          <w:iCs/>
        </w:rPr>
        <w:t>Living systems and regenerative economic systems follow analogous structural principles. This does not mean that ecosystems and economies are identical. It means that durable economic architectures can learn from the organizing logic of living systems: circulation, diversity, cooperation, feedback, redundancy, adaptation, and increasing regenerative capacity.</w:t>
      </w:r>
      <w:r w:rsidR="007E454C">
        <w:rPr>
          <w:rFonts w:ascii="Baskerville Old Face" w:hAnsi="Baskerville Old Face"/>
          <w:i/>
          <w:iCs/>
        </w:rPr>
        <w:t xml:space="preserve"> </w:t>
      </w:r>
    </w:p>
    <w:p w14:paraId="034A35F7" w14:textId="77777777" w:rsidR="007E454C" w:rsidRDefault="007E454C" w:rsidP="004E337A">
      <w:pPr>
        <w:spacing w:line="360" w:lineRule="auto"/>
        <w:rPr>
          <w:rFonts w:ascii="Baskerville Old Face" w:hAnsi="Baskerville Old Face"/>
          <w:i/>
          <w:iCs/>
        </w:rPr>
      </w:pPr>
    </w:p>
    <w:p w14:paraId="45B5E64F" w14:textId="77777777" w:rsidR="007E454C" w:rsidRDefault="007E454C" w:rsidP="004E337A">
      <w:pPr>
        <w:spacing w:line="360" w:lineRule="auto"/>
        <w:rPr>
          <w:rFonts w:ascii="Baskerville Old Face" w:hAnsi="Baskerville Old Face"/>
          <w:i/>
          <w:iCs/>
        </w:rPr>
      </w:pPr>
    </w:p>
    <w:p w14:paraId="3E156317" w14:textId="77777777" w:rsidR="007E454C" w:rsidRDefault="007E454C" w:rsidP="004E337A">
      <w:pPr>
        <w:spacing w:line="360" w:lineRule="auto"/>
        <w:rPr>
          <w:rFonts w:ascii="Baskerville Old Face" w:hAnsi="Baskerville Old Face"/>
          <w:i/>
          <w:iCs/>
        </w:rPr>
      </w:pPr>
    </w:p>
    <w:p w14:paraId="3FA2B86D" w14:textId="77777777" w:rsidR="007E454C" w:rsidRPr="00B479AE" w:rsidRDefault="007E454C" w:rsidP="004E337A">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8"/>
        <w:gridCol w:w="3418"/>
      </w:tblGrid>
      <w:tr w:rsidR="004E337A" w:rsidRPr="00B479AE" w14:paraId="1AEEF171" w14:textId="77777777" w:rsidTr="004E337A">
        <w:trPr>
          <w:tblHeader/>
          <w:tblCellSpacing w:w="15" w:type="dxa"/>
        </w:trPr>
        <w:tc>
          <w:tcPr>
            <w:tcW w:w="0" w:type="auto"/>
            <w:vAlign w:val="center"/>
            <w:hideMark/>
          </w:tcPr>
          <w:p w14:paraId="7423CCF2" w14:textId="77777777" w:rsidR="004E337A" w:rsidRPr="00B479AE" w:rsidRDefault="004E337A" w:rsidP="004E337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Natural systems</w:t>
            </w:r>
          </w:p>
        </w:tc>
        <w:tc>
          <w:tcPr>
            <w:tcW w:w="0" w:type="auto"/>
            <w:vAlign w:val="center"/>
            <w:hideMark/>
          </w:tcPr>
          <w:p w14:paraId="1C7A4D29" w14:textId="77777777" w:rsidR="004E337A" w:rsidRPr="00B479AE" w:rsidRDefault="004E337A" w:rsidP="004E337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Regenerative economic systems</w:t>
            </w:r>
          </w:p>
        </w:tc>
      </w:tr>
      <w:tr w:rsidR="004E337A" w:rsidRPr="00B479AE" w14:paraId="794CA13D" w14:textId="77777777" w:rsidTr="004E337A">
        <w:trPr>
          <w:tblCellSpacing w:w="15" w:type="dxa"/>
        </w:trPr>
        <w:tc>
          <w:tcPr>
            <w:tcW w:w="0" w:type="auto"/>
            <w:vAlign w:val="center"/>
            <w:hideMark/>
          </w:tcPr>
          <w:p w14:paraId="5BB143D5"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Circulation of nutrients</w:t>
            </w:r>
          </w:p>
        </w:tc>
        <w:tc>
          <w:tcPr>
            <w:tcW w:w="0" w:type="auto"/>
            <w:vAlign w:val="center"/>
            <w:hideMark/>
          </w:tcPr>
          <w:p w14:paraId="3A841CAB"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Circulation of capital</w:t>
            </w:r>
          </w:p>
        </w:tc>
      </w:tr>
      <w:tr w:rsidR="004E337A" w:rsidRPr="00B479AE" w14:paraId="1851CC81" w14:textId="77777777" w:rsidTr="004E337A">
        <w:trPr>
          <w:tblCellSpacing w:w="15" w:type="dxa"/>
        </w:trPr>
        <w:tc>
          <w:tcPr>
            <w:tcW w:w="0" w:type="auto"/>
            <w:vAlign w:val="center"/>
            <w:hideMark/>
          </w:tcPr>
          <w:p w14:paraId="0BD28831"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Biodiversity</w:t>
            </w:r>
          </w:p>
        </w:tc>
        <w:tc>
          <w:tcPr>
            <w:tcW w:w="0" w:type="auto"/>
            <w:vAlign w:val="center"/>
            <w:hideMark/>
          </w:tcPr>
          <w:p w14:paraId="26BF69FD"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Economic diversification</w:t>
            </w:r>
          </w:p>
        </w:tc>
      </w:tr>
      <w:tr w:rsidR="004E337A" w:rsidRPr="00B479AE" w14:paraId="487AAAE8" w14:textId="77777777" w:rsidTr="004E337A">
        <w:trPr>
          <w:tblCellSpacing w:w="15" w:type="dxa"/>
        </w:trPr>
        <w:tc>
          <w:tcPr>
            <w:tcW w:w="0" w:type="auto"/>
            <w:vAlign w:val="center"/>
            <w:hideMark/>
          </w:tcPr>
          <w:p w14:paraId="151F302E"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Symbiosis</w:t>
            </w:r>
          </w:p>
        </w:tc>
        <w:tc>
          <w:tcPr>
            <w:tcW w:w="0" w:type="auto"/>
            <w:vAlign w:val="center"/>
            <w:hideMark/>
          </w:tcPr>
          <w:p w14:paraId="68881AD7"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Cooperative relationships</w:t>
            </w:r>
          </w:p>
        </w:tc>
      </w:tr>
      <w:tr w:rsidR="004E337A" w:rsidRPr="00B479AE" w14:paraId="431FC8C4" w14:textId="77777777" w:rsidTr="004E337A">
        <w:trPr>
          <w:tblCellSpacing w:w="15" w:type="dxa"/>
        </w:trPr>
        <w:tc>
          <w:tcPr>
            <w:tcW w:w="0" w:type="auto"/>
            <w:vAlign w:val="center"/>
            <w:hideMark/>
          </w:tcPr>
          <w:p w14:paraId="24FB6957"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Closed ecological cycles</w:t>
            </w:r>
          </w:p>
        </w:tc>
        <w:tc>
          <w:tcPr>
            <w:tcW w:w="0" w:type="auto"/>
            <w:vAlign w:val="center"/>
            <w:hideMark/>
          </w:tcPr>
          <w:p w14:paraId="5C04E706"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Circular economy</w:t>
            </w:r>
          </w:p>
        </w:tc>
      </w:tr>
      <w:tr w:rsidR="004E337A" w:rsidRPr="00B479AE" w14:paraId="31DEDB32" w14:textId="77777777" w:rsidTr="004E337A">
        <w:trPr>
          <w:tblCellSpacing w:w="15" w:type="dxa"/>
        </w:trPr>
        <w:tc>
          <w:tcPr>
            <w:tcW w:w="0" w:type="auto"/>
            <w:vAlign w:val="center"/>
            <w:hideMark/>
          </w:tcPr>
          <w:p w14:paraId="3565DD26"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Increasing fertility</w:t>
            </w:r>
          </w:p>
        </w:tc>
        <w:tc>
          <w:tcPr>
            <w:tcW w:w="0" w:type="auto"/>
            <w:vAlign w:val="center"/>
            <w:hideMark/>
          </w:tcPr>
          <w:p w14:paraId="1FE1BB65"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Regenerative value creation</w:t>
            </w:r>
          </w:p>
        </w:tc>
      </w:tr>
      <w:tr w:rsidR="004E337A" w:rsidRPr="00B479AE" w14:paraId="29A5C90E" w14:textId="77777777" w:rsidTr="004E337A">
        <w:trPr>
          <w:tblCellSpacing w:w="15" w:type="dxa"/>
        </w:trPr>
        <w:tc>
          <w:tcPr>
            <w:tcW w:w="0" w:type="auto"/>
            <w:vAlign w:val="center"/>
            <w:hideMark/>
          </w:tcPr>
          <w:p w14:paraId="4D8BEE45"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Distributed feedback</w:t>
            </w:r>
          </w:p>
        </w:tc>
        <w:tc>
          <w:tcPr>
            <w:tcW w:w="0" w:type="auto"/>
            <w:vAlign w:val="center"/>
            <w:hideMark/>
          </w:tcPr>
          <w:p w14:paraId="0C40B67E"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Distributed governance</w:t>
            </w:r>
          </w:p>
        </w:tc>
      </w:tr>
      <w:tr w:rsidR="004E337A" w:rsidRPr="00B479AE" w14:paraId="17F2E6DC" w14:textId="77777777" w:rsidTr="004E337A">
        <w:trPr>
          <w:tblCellSpacing w:w="15" w:type="dxa"/>
        </w:trPr>
        <w:tc>
          <w:tcPr>
            <w:tcW w:w="0" w:type="auto"/>
            <w:vAlign w:val="center"/>
            <w:hideMark/>
          </w:tcPr>
          <w:p w14:paraId="581EEA49"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Ecological redundancy</w:t>
            </w:r>
          </w:p>
        </w:tc>
        <w:tc>
          <w:tcPr>
            <w:tcW w:w="0" w:type="auto"/>
            <w:vAlign w:val="center"/>
            <w:hideMark/>
          </w:tcPr>
          <w:p w14:paraId="350EE84F"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Portfolio resilience</w:t>
            </w:r>
          </w:p>
        </w:tc>
      </w:tr>
      <w:tr w:rsidR="004E337A" w:rsidRPr="00B479AE" w14:paraId="677BF671" w14:textId="77777777" w:rsidTr="004E337A">
        <w:trPr>
          <w:tblCellSpacing w:w="15" w:type="dxa"/>
        </w:trPr>
        <w:tc>
          <w:tcPr>
            <w:tcW w:w="0" w:type="auto"/>
            <w:vAlign w:val="center"/>
            <w:hideMark/>
          </w:tcPr>
          <w:p w14:paraId="5C8F3653"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Successional maturity</w:t>
            </w:r>
          </w:p>
        </w:tc>
        <w:tc>
          <w:tcPr>
            <w:tcW w:w="0" w:type="auto"/>
            <w:vAlign w:val="center"/>
            <w:hideMark/>
          </w:tcPr>
          <w:p w14:paraId="7D23F507"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Institutional maturity</w:t>
            </w:r>
          </w:p>
        </w:tc>
      </w:tr>
      <w:tr w:rsidR="004E337A" w:rsidRPr="00B479AE" w14:paraId="0D0E4946" w14:textId="77777777" w:rsidTr="004E337A">
        <w:trPr>
          <w:tblCellSpacing w:w="15" w:type="dxa"/>
        </w:trPr>
        <w:tc>
          <w:tcPr>
            <w:tcW w:w="0" w:type="auto"/>
            <w:vAlign w:val="center"/>
            <w:hideMark/>
          </w:tcPr>
          <w:p w14:paraId="19AA3248"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Soil regeneration</w:t>
            </w:r>
          </w:p>
        </w:tc>
        <w:tc>
          <w:tcPr>
            <w:tcW w:w="0" w:type="auto"/>
            <w:vAlign w:val="center"/>
            <w:hideMark/>
          </w:tcPr>
          <w:p w14:paraId="3157B6D8"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Productive capacity formation</w:t>
            </w:r>
          </w:p>
        </w:tc>
      </w:tr>
      <w:tr w:rsidR="004E337A" w:rsidRPr="00B479AE" w14:paraId="64211FEF" w14:textId="77777777" w:rsidTr="004E337A">
        <w:trPr>
          <w:tblCellSpacing w:w="15" w:type="dxa"/>
        </w:trPr>
        <w:tc>
          <w:tcPr>
            <w:tcW w:w="0" w:type="auto"/>
            <w:vAlign w:val="center"/>
            <w:hideMark/>
          </w:tcPr>
          <w:p w14:paraId="781DBCDF"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Water retention</w:t>
            </w:r>
          </w:p>
        </w:tc>
        <w:tc>
          <w:tcPr>
            <w:tcW w:w="0" w:type="auto"/>
            <w:vAlign w:val="center"/>
            <w:hideMark/>
          </w:tcPr>
          <w:p w14:paraId="27E3AAED"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Risk buffering and continuity</w:t>
            </w:r>
          </w:p>
        </w:tc>
      </w:tr>
      <w:tr w:rsidR="004E337A" w:rsidRPr="00B479AE" w14:paraId="3E965B4A" w14:textId="77777777" w:rsidTr="004E337A">
        <w:trPr>
          <w:tblCellSpacing w:w="15" w:type="dxa"/>
        </w:trPr>
        <w:tc>
          <w:tcPr>
            <w:tcW w:w="0" w:type="auto"/>
            <w:vAlign w:val="center"/>
            <w:hideMark/>
          </w:tcPr>
          <w:p w14:paraId="65D30BDB"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Mycorrhizal cooperation</w:t>
            </w:r>
          </w:p>
        </w:tc>
        <w:tc>
          <w:tcPr>
            <w:tcW w:w="0" w:type="auto"/>
            <w:vAlign w:val="center"/>
            <w:hideMark/>
          </w:tcPr>
          <w:p w14:paraId="6C7AD04F"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Distributed value coordination</w:t>
            </w:r>
          </w:p>
        </w:tc>
      </w:tr>
      <w:tr w:rsidR="004E337A" w:rsidRPr="00B479AE" w14:paraId="34B226AF" w14:textId="77777777" w:rsidTr="004E337A">
        <w:trPr>
          <w:tblCellSpacing w:w="15" w:type="dxa"/>
        </w:trPr>
        <w:tc>
          <w:tcPr>
            <w:tcW w:w="0" w:type="auto"/>
            <w:vAlign w:val="center"/>
            <w:hideMark/>
          </w:tcPr>
          <w:p w14:paraId="2938F1A3"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Biomass cycling</w:t>
            </w:r>
          </w:p>
        </w:tc>
        <w:tc>
          <w:tcPr>
            <w:tcW w:w="0" w:type="auto"/>
            <w:vAlign w:val="center"/>
            <w:hideMark/>
          </w:tcPr>
          <w:p w14:paraId="089AC632"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Reinvestment into productive capacity</w:t>
            </w:r>
          </w:p>
        </w:tc>
      </w:tr>
      <w:tr w:rsidR="004E337A" w:rsidRPr="00B479AE" w14:paraId="00916CDE" w14:textId="77777777" w:rsidTr="004E337A">
        <w:trPr>
          <w:tblCellSpacing w:w="15" w:type="dxa"/>
        </w:trPr>
        <w:tc>
          <w:tcPr>
            <w:tcW w:w="0" w:type="auto"/>
            <w:vAlign w:val="center"/>
            <w:hideMark/>
          </w:tcPr>
          <w:p w14:paraId="3182DC18"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Ecosystem resilience</w:t>
            </w:r>
          </w:p>
        </w:tc>
        <w:tc>
          <w:tcPr>
            <w:tcW w:w="0" w:type="auto"/>
            <w:vAlign w:val="center"/>
            <w:hideMark/>
          </w:tcPr>
          <w:p w14:paraId="04425A5E"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Long-term capital resilience</w:t>
            </w:r>
          </w:p>
        </w:tc>
      </w:tr>
      <w:tr w:rsidR="004E337A" w:rsidRPr="00B479AE" w14:paraId="5CBFF93E" w14:textId="77777777" w:rsidTr="004E337A">
        <w:trPr>
          <w:tblCellSpacing w:w="15" w:type="dxa"/>
        </w:trPr>
        <w:tc>
          <w:tcPr>
            <w:tcW w:w="0" w:type="auto"/>
            <w:vAlign w:val="center"/>
            <w:hideMark/>
          </w:tcPr>
          <w:p w14:paraId="660A3446"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Ecological succession</w:t>
            </w:r>
          </w:p>
        </w:tc>
        <w:tc>
          <w:tcPr>
            <w:tcW w:w="0" w:type="auto"/>
            <w:vAlign w:val="center"/>
            <w:hideMark/>
          </w:tcPr>
          <w:p w14:paraId="3084410A"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Staged asset maturation</w:t>
            </w:r>
          </w:p>
        </w:tc>
      </w:tr>
      <w:tr w:rsidR="004E337A" w:rsidRPr="00B479AE" w14:paraId="6A3E2B77" w14:textId="77777777" w:rsidTr="004E337A">
        <w:trPr>
          <w:tblCellSpacing w:w="15" w:type="dxa"/>
        </w:trPr>
        <w:tc>
          <w:tcPr>
            <w:tcW w:w="0" w:type="auto"/>
            <w:vAlign w:val="center"/>
            <w:hideMark/>
          </w:tcPr>
          <w:p w14:paraId="4BC9ACD8"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Regenerative carrying capacity</w:t>
            </w:r>
          </w:p>
        </w:tc>
        <w:tc>
          <w:tcPr>
            <w:tcW w:w="0" w:type="auto"/>
            <w:vAlign w:val="center"/>
            <w:hideMark/>
          </w:tcPr>
          <w:p w14:paraId="12F8B4D6" w14:textId="77777777" w:rsidR="004E337A" w:rsidRPr="00B479AE" w:rsidRDefault="004E337A" w:rsidP="004E337A">
            <w:pPr>
              <w:spacing w:line="360" w:lineRule="auto"/>
              <w:rPr>
                <w:rFonts w:ascii="Baskerville Old Face" w:hAnsi="Baskerville Old Face"/>
                <w:i/>
                <w:iCs/>
                <w:sz w:val="22"/>
                <w:szCs w:val="22"/>
              </w:rPr>
            </w:pPr>
            <w:r w:rsidRPr="00B479AE">
              <w:rPr>
                <w:rFonts w:ascii="Baskerville Old Face" w:hAnsi="Baskerville Old Face"/>
                <w:i/>
                <w:iCs/>
                <w:sz w:val="22"/>
                <w:szCs w:val="22"/>
              </w:rPr>
              <w:t>Sustainable capital absorption capacity</w:t>
            </w:r>
          </w:p>
        </w:tc>
      </w:tr>
    </w:tbl>
    <w:p w14:paraId="3CDB57E6" w14:textId="77777777" w:rsidR="0092737A" w:rsidRPr="00B479AE" w:rsidRDefault="0092737A" w:rsidP="0092737A">
      <w:pPr>
        <w:spacing w:line="360" w:lineRule="auto"/>
        <w:rPr>
          <w:rFonts w:ascii="Baskerville Old Face" w:hAnsi="Baskerville Old Face"/>
          <w:i/>
          <w:iCs/>
        </w:rPr>
      </w:pPr>
      <w:r w:rsidRPr="00B479AE">
        <w:rPr>
          <w:rFonts w:ascii="Baskerville Old Face" w:hAnsi="Baskerville Old Face"/>
          <w:i/>
          <w:iCs/>
        </w:rPr>
        <w:t>The purpose of this matrix is not to reduce ecology to economics.</w:t>
      </w:r>
    </w:p>
    <w:p w14:paraId="45C7F503" w14:textId="77777777" w:rsidR="0092737A" w:rsidRPr="00B479AE" w:rsidRDefault="0092737A" w:rsidP="0092737A">
      <w:pPr>
        <w:spacing w:line="360" w:lineRule="auto"/>
        <w:rPr>
          <w:rFonts w:ascii="Baskerville Old Face" w:hAnsi="Baskerville Old Face"/>
          <w:i/>
          <w:iCs/>
        </w:rPr>
      </w:pPr>
      <w:r w:rsidRPr="00B479AE">
        <w:rPr>
          <w:rFonts w:ascii="Baskerville Old Face" w:hAnsi="Baskerville Old Face"/>
          <w:i/>
          <w:iCs/>
        </w:rPr>
        <w:t>Its purpose is to show that long-duration value emerges when systems circulate resources, preserve diversity, support cooperation, learn through feedback, and regenerate the conditions that make future value possible.</w:t>
      </w:r>
    </w:p>
    <w:p w14:paraId="230F417E" w14:textId="77777777" w:rsidR="0092737A" w:rsidRPr="00B479AE" w:rsidRDefault="0092737A" w:rsidP="0092737A">
      <w:pPr>
        <w:spacing w:line="360" w:lineRule="auto"/>
        <w:rPr>
          <w:rFonts w:ascii="Baskerville Old Face" w:hAnsi="Baskerville Old Face"/>
          <w:i/>
          <w:iCs/>
        </w:rPr>
      </w:pPr>
      <w:r w:rsidRPr="00B479AE">
        <w:rPr>
          <w:rFonts w:ascii="Baskerville Old Face" w:hAnsi="Baskerville Old Face"/>
          <w:i/>
          <w:iCs/>
        </w:rPr>
        <w:lastRenderedPageBreak/>
        <w:t>Prometheus uses this translation logic to design capital systems that behave less like extraction machines and more like living infrastructures.</w:t>
      </w:r>
    </w:p>
    <w:p w14:paraId="313A34ED" w14:textId="2DDCB874" w:rsidR="00CF458B" w:rsidRPr="00B479AE" w:rsidRDefault="00CF458B" w:rsidP="00CF458B">
      <w:pPr>
        <w:spacing w:line="360" w:lineRule="auto"/>
        <w:rPr>
          <w:rFonts w:ascii="Baskerville Old Face" w:hAnsi="Baskerville Old Face"/>
          <w:i/>
          <w:iCs/>
        </w:rPr>
      </w:pPr>
      <w:r w:rsidRPr="00B479AE">
        <w:rPr>
          <w:rFonts w:ascii="Baskerville Old Face" w:hAnsi="Baskerville Old Face"/>
          <w:i/>
          <w:iCs/>
        </w:rPr>
        <w:t>Prometheus translates this logic into infrastructure</w:t>
      </w:r>
      <w:r w:rsidR="001069F8" w:rsidRPr="00B479AE">
        <w:rPr>
          <w:rFonts w:ascii="Baskerville Old Face" w:hAnsi="Baskerville Old Face"/>
          <w:i/>
          <w:iCs/>
        </w:rPr>
        <w:t>.</w:t>
      </w:r>
    </w:p>
    <w:p w14:paraId="1EF24054" w14:textId="11BC077D" w:rsidR="00CF458B" w:rsidRPr="00B479AE" w:rsidRDefault="00CF458B" w:rsidP="00CF458B">
      <w:pPr>
        <w:spacing w:line="360" w:lineRule="auto"/>
        <w:rPr>
          <w:rFonts w:ascii="Baskerville Old Face" w:hAnsi="Baskerville Old Face"/>
          <w:i/>
          <w:iCs/>
        </w:rPr>
      </w:pPr>
      <w:r w:rsidRPr="00B479AE">
        <w:rPr>
          <w:rFonts w:ascii="Baskerville Old Face" w:hAnsi="Baskerville Old Face"/>
          <w:i/>
          <w:iCs/>
        </w:rPr>
        <w:t>It asks how capital, governance, technology, and measurement can be designed to support the regenerative circulation of value rather than the extraction of value from living systems.</w:t>
      </w:r>
    </w:p>
    <w:p w14:paraId="0DD68C43" w14:textId="06661A3D"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From extraction to regenerative capacity</w:t>
      </w:r>
    </w:p>
    <w:p w14:paraId="7ACFA67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central economic shift proposed by Prometheus is the movement from extraction-based value to regenerative capacity.</w:t>
      </w:r>
    </w:p>
    <w:p w14:paraId="0B3282B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Extraction-based systems ask how much value can be removed.</w:t>
      </w:r>
    </w:p>
    <w:p w14:paraId="2BCE869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Regenerative systems ask how much capacity can be increased.</w:t>
      </w:r>
    </w:p>
    <w:p w14:paraId="2D0D56D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distinction changes the meaning of productivity.</w:t>
      </w:r>
    </w:p>
    <w:p w14:paraId="73C8909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In a regenerative system, productivity is not measured only by immediate output.</w:t>
      </w:r>
    </w:p>
    <w:p w14:paraId="705F52E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is measured by the ability of a system to produce while strengthening the conditions that allow future production.</w:t>
      </w:r>
    </w:p>
    <w:p w14:paraId="13FB8F2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syntropic food forest, for example, does not derive value only from fruit, biomass, herbs, or marketable yield.</w:t>
      </w:r>
    </w:p>
    <w:p w14:paraId="34AEB58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also derives value from increasing soil organic matter, improving water retention, enhancing biodiversity, reducing external input dependency, stabilizing microclimate, and distributing ecological risk across multiple species and layers.</w:t>
      </w:r>
    </w:p>
    <w:p w14:paraId="2D772CB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system becomes more valuable as it becomes more alive, more coherent, more resilient, and more capable of self-renewal.</w:t>
      </w:r>
    </w:p>
    <w:p w14:paraId="4FFB9AE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seeks to make this value visible, measurable, verifiable, and financially legible.</w:t>
      </w:r>
    </w:p>
    <w:p w14:paraId="0271BC9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That is the transition from ecological restoration as cost to regeneration as infrastructure.</w:t>
      </w:r>
    </w:p>
    <w:p w14:paraId="27FC0001" w14:textId="77777777" w:rsidR="007E454C" w:rsidRDefault="007E454C" w:rsidP="00C537B9">
      <w:pPr>
        <w:spacing w:line="360" w:lineRule="auto"/>
        <w:rPr>
          <w:rFonts w:ascii="Baskerville Old Face" w:hAnsi="Baskerville Old Face"/>
          <w:b/>
          <w:bCs/>
          <w:i/>
          <w:iCs/>
        </w:rPr>
      </w:pPr>
    </w:p>
    <w:p w14:paraId="48965704" w14:textId="77777777" w:rsidR="007E454C" w:rsidRDefault="007E454C" w:rsidP="00C537B9">
      <w:pPr>
        <w:spacing w:line="360" w:lineRule="auto"/>
        <w:rPr>
          <w:rFonts w:ascii="Baskerville Old Face" w:hAnsi="Baskerville Old Face"/>
          <w:b/>
          <w:bCs/>
          <w:i/>
          <w:iCs/>
        </w:rPr>
      </w:pPr>
    </w:p>
    <w:p w14:paraId="2F180AE0" w14:textId="0998DE57" w:rsidR="00C537B9" w:rsidRPr="00B479AE" w:rsidRDefault="00C537B9" w:rsidP="00C537B9">
      <w:pPr>
        <w:spacing w:line="360" w:lineRule="auto"/>
        <w:rPr>
          <w:rFonts w:ascii="Baskerville Old Face" w:hAnsi="Baskerville Old Face"/>
          <w:b/>
          <w:bCs/>
          <w:i/>
          <w:iCs/>
        </w:rPr>
      </w:pPr>
      <w:r w:rsidRPr="00B479AE">
        <w:rPr>
          <w:rFonts w:ascii="Baskerville Old Face" w:hAnsi="Baskerville Old Face"/>
          <w:b/>
          <w:bCs/>
          <w:i/>
          <w:iCs/>
        </w:rPr>
        <w:lastRenderedPageBreak/>
        <w:t>Ecological Alignment Condition</w:t>
      </w:r>
    </w:p>
    <w:p w14:paraId="4865F4A3" w14:textId="77777777" w:rsidR="00C537B9" w:rsidRPr="007E454C" w:rsidRDefault="00C537B9" w:rsidP="00C537B9">
      <w:pPr>
        <w:spacing w:line="360" w:lineRule="auto"/>
        <w:rPr>
          <w:rFonts w:ascii="Baskerville Old Face" w:hAnsi="Baskerville Old Face"/>
          <w:i/>
          <w:iCs/>
        </w:rPr>
      </w:pPr>
      <w:r w:rsidRPr="00B479AE">
        <w:rPr>
          <w:rFonts w:ascii="Baskerville Old Face" w:hAnsi="Baskerville Old Face"/>
          <w:i/>
          <w:iCs/>
        </w:rPr>
        <w:t>The fundamental economic distinction between extractive and regenerative systems can be expressed through a simple ecological alignment condition:</w:t>
      </w:r>
    </w:p>
    <w:p w14:paraId="0A66F313" w14:textId="77777777" w:rsidR="00C537B9" w:rsidRPr="007E454C" w:rsidRDefault="00C537B9" w:rsidP="00C537B9">
      <w:pPr>
        <w:spacing w:line="360" w:lineRule="auto"/>
        <w:rPr>
          <w:rFonts w:ascii="Baskerville Old Face" w:hAnsi="Baskerville Old Face"/>
          <w:i/>
          <w:iCs/>
        </w:rPr>
      </w:pPr>
      <w:r w:rsidRPr="007E454C">
        <w:rPr>
          <w:rFonts w:ascii="Baskerville Old Face" w:hAnsi="Baskerville Old Face"/>
          <w:i/>
          <w:iCs/>
        </w:rPr>
        <w:t>regeneration ≥ extraction</w:t>
      </w:r>
    </w:p>
    <w:p w14:paraId="2A87DBEC"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This expression does not operate as an automatic enforcement rule.</w:t>
      </w:r>
    </w:p>
    <w:p w14:paraId="390CB32B"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It does not trigger token issuance.</w:t>
      </w:r>
    </w:p>
    <w:p w14:paraId="37424892"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It does not activate governance penalties.</w:t>
      </w:r>
    </w:p>
    <w:p w14:paraId="04E6DB9D"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It does not create financial rights.</w:t>
      </w:r>
    </w:p>
    <w:p w14:paraId="2783CFF5"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It does not replace MRV.</w:t>
      </w:r>
    </w:p>
    <w:p w14:paraId="06CDAD25"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It does not replace legal review.</w:t>
      </w:r>
    </w:p>
    <w:p w14:paraId="1B780E54"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It defines a constitutional direction of travel.</w:t>
      </w:r>
    </w:p>
    <w:p w14:paraId="67CA7498"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A system becomes regenerative only when the living capacity it restores, maintains, circulates, or increases is equal to or greater than the capacity it consumes, extracts, depletes, or externalizes over time.</w:t>
      </w:r>
    </w:p>
    <w:p w14:paraId="5CE7E161"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This condition reframes productivity.</w:t>
      </w:r>
    </w:p>
    <w:p w14:paraId="46BE313C"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In extractive systems, output may increase while the underlying life-support system declines.</w:t>
      </w:r>
    </w:p>
    <w:p w14:paraId="0973B353" w14:textId="77777777" w:rsidR="00C537B9" w:rsidRPr="007E454C" w:rsidRDefault="00C537B9" w:rsidP="00C537B9">
      <w:pPr>
        <w:spacing w:line="360" w:lineRule="auto"/>
        <w:rPr>
          <w:rFonts w:ascii="Baskerville Old Face" w:hAnsi="Baskerville Old Face"/>
          <w:i/>
          <w:iCs/>
        </w:rPr>
      </w:pPr>
      <w:r w:rsidRPr="00B479AE">
        <w:rPr>
          <w:rFonts w:ascii="Baskerville Old Face" w:hAnsi="Baskerville Old Face"/>
          <w:i/>
          <w:iCs/>
        </w:rPr>
        <w:t>In regenerative systems, output must be evaluated together with the condition of the living infrastructure that makes output possible.</w:t>
      </w:r>
    </w:p>
    <w:p w14:paraId="36B3398A" w14:textId="77777777" w:rsidR="00C537B9" w:rsidRPr="007E454C" w:rsidRDefault="00C537B9" w:rsidP="00C537B9">
      <w:pPr>
        <w:spacing w:line="360" w:lineRule="auto"/>
        <w:rPr>
          <w:rFonts w:ascii="Baskerville Old Face" w:hAnsi="Baskerville Old Face"/>
          <w:i/>
          <w:iCs/>
        </w:rPr>
      </w:pPr>
      <w:r w:rsidRPr="007E454C">
        <w:rPr>
          <w:rFonts w:ascii="Baskerville Old Face" w:hAnsi="Baskerville Old Face"/>
          <w:i/>
          <w:iCs/>
        </w:rPr>
        <w:t>The relevant question is therefore not only:</w:t>
      </w:r>
    </w:p>
    <w:p w14:paraId="14B33A6D" w14:textId="77777777" w:rsidR="00C537B9" w:rsidRPr="007E454C" w:rsidRDefault="00C537B9" w:rsidP="00C537B9">
      <w:pPr>
        <w:spacing w:line="360" w:lineRule="auto"/>
        <w:rPr>
          <w:rFonts w:ascii="Baskerville Old Face" w:hAnsi="Baskerville Old Face"/>
          <w:i/>
          <w:iCs/>
        </w:rPr>
      </w:pPr>
      <w:r w:rsidRPr="007E454C">
        <w:rPr>
          <w:rFonts w:ascii="Baskerville Old Face" w:hAnsi="Baskerville Old Face"/>
          <w:i/>
          <w:iCs/>
        </w:rPr>
        <w:t>What does the system produce?</w:t>
      </w:r>
    </w:p>
    <w:p w14:paraId="3AD53287" w14:textId="77777777" w:rsidR="00C537B9" w:rsidRPr="007E454C" w:rsidRDefault="00C537B9" w:rsidP="00C537B9">
      <w:pPr>
        <w:spacing w:line="360" w:lineRule="auto"/>
        <w:rPr>
          <w:rFonts w:ascii="Baskerville Old Face" w:hAnsi="Baskerville Old Face"/>
          <w:i/>
          <w:iCs/>
        </w:rPr>
      </w:pPr>
      <w:r w:rsidRPr="007E454C">
        <w:rPr>
          <w:rFonts w:ascii="Baskerville Old Face" w:hAnsi="Baskerville Old Face"/>
          <w:i/>
          <w:iCs/>
        </w:rPr>
        <w:t>The deeper question is:</w:t>
      </w:r>
    </w:p>
    <w:p w14:paraId="20003119" w14:textId="77777777" w:rsidR="00C537B9" w:rsidRPr="007E454C" w:rsidRDefault="00C537B9" w:rsidP="00C537B9">
      <w:pPr>
        <w:spacing w:line="360" w:lineRule="auto"/>
        <w:rPr>
          <w:rFonts w:ascii="Baskerville Old Face" w:hAnsi="Baskerville Old Face"/>
          <w:i/>
          <w:iCs/>
        </w:rPr>
      </w:pPr>
      <w:r w:rsidRPr="007E454C">
        <w:rPr>
          <w:rFonts w:ascii="Baskerville Old Face" w:hAnsi="Baskerville Old Face"/>
          <w:i/>
          <w:iCs/>
        </w:rPr>
        <w:t>What does the system leave more alive, more fertile, more resilient, more coherent, or more capable after producing?</w:t>
      </w:r>
    </w:p>
    <w:p w14:paraId="42684D92"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lastRenderedPageBreak/>
        <w:t>Within Prometheus, the ecological alignment condition is interpreted through evidence.</w:t>
      </w:r>
    </w:p>
    <w:p w14:paraId="3674AA70"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Regeneration must be observed.</w:t>
      </w:r>
    </w:p>
    <w:p w14:paraId="34BB60B5"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Extraction must be identified.</w:t>
      </w:r>
    </w:p>
    <w:p w14:paraId="1379C750"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Trade-offs must be disclosed.</w:t>
      </w:r>
    </w:p>
    <w:p w14:paraId="41E00D72"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Ecological improvement must be measured.</w:t>
      </w:r>
    </w:p>
    <w:p w14:paraId="4B70AFE5"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Confidence must be assigned.</w:t>
      </w:r>
    </w:p>
    <w:p w14:paraId="3D18CA18"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Admissibility must be reviewed.</w:t>
      </w:r>
    </w:p>
    <w:p w14:paraId="7B0DD5C1"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Only then can the system determine whether a project, OHE, PRU-relevant unit, or portfolio is genuinely moving toward regenerative alignment.</w:t>
      </w:r>
    </w:p>
    <w:p w14:paraId="5CCE418D"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The operative pathway is:</w:t>
      </w:r>
    </w:p>
    <w:p w14:paraId="6FB5A28D" w14:textId="77777777" w:rsidR="00C537B9" w:rsidRPr="007E454C" w:rsidRDefault="00C537B9" w:rsidP="00C537B9">
      <w:pPr>
        <w:spacing w:line="360" w:lineRule="auto"/>
        <w:rPr>
          <w:rFonts w:ascii="Baskerville Old Face" w:hAnsi="Baskerville Old Face"/>
          <w:i/>
          <w:iCs/>
        </w:rPr>
      </w:pPr>
      <w:r w:rsidRPr="007E454C">
        <w:rPr>
          <w:rFonts w:ascii="Baskerville Old Face" w:hAnsi="Baskerville Old Face"/>
          <w:i/>
          <w:iCs/>
        </w:rPr>
        <w:t xml:space="preserve">ecological alignment </w:t>
      </w:r>
      <w:r w:rsidRPr="007E454C">
        <w:rPr>
          <w:rFonts w:ascii="Times New Roman" w:hAnsi="Times New Roman" w:cs="Times New Roman"/>
          <w:i/>
          <w:iCs/>
        </w:rPr>
        <w:t>→</w:t>
      </w:r>
      <w:r w:rsidRPr="007E454C">
        <w:rPr>
          <w:rFonts w:ascii="Baskerville Old Face" w:hAnsi="Baskerville Old Face"/>
          <w:i/>
          <w:iCs/>
        </w:rPr>
        <w:t xml:space="preserve"> measured indicators </w:t>
      </w:r>
      <w:r w:rsidRPr="007E454C">
        <w:rPr>
          <w:rFonts w:ascii="Times New Roman" w:hAnsi="Times New Roman" w:cs="Times New Roman"/>
          <w:i/>
          <w:iCs/>
        </w:rPr>
        <w:t>→</w:t>
      </w:r>
      <w:r w:rsidRPr="007E454C">
        <w:rPr>
          <w:rFonts w:ascii="Baskerville Old Face" w:hAnsi="Baskerville Old Face"/>
          <w:i/>
          <w:iCs/>
        </w:rPr>
        <w:t xml:space="preserve"> MRV verification </w:t>
      </w:r>
      <w:r w:rsidRPr="007E454C">
        <w:rPr>
          <w:rFonts w:ascii="Times New Roman" w:hAnsi="Times New Roman" w:cs="Times New Roman"/>
          <w:i/>
          <w:iCs/>
        </w:rPr>
        <w:t>→</w:t>
      </w:r>
      <w:r w:rsidRPr="007E454C">
        <w:rPr>
          <w:rFonts w:ascii="Baskerville Old Face" w:hAnsi="Baskerville Old Face"/>
          <w:i/>
          <w:iCs/>
        </w:rPr>
        <w:t xml:space="preserve"> admissibility review </w:t>
      </w:r>
      <w:r w:rsidRPr="007E454C">
        <w:rPr>
          <w:rFonts w:ascii="Times New Roman" w:hAnsi="Times New Roman" w:cs="Times New Roman"/>
          <w:i/>
          <w:iCs/>
        </w:rPr>
        <w:t>→</w:t>
      </w:r>
      <w:r w:rsidRPr="007E454C">
        <w:rPr>
          <w:rFonts w:ascii="Baskerville Old Face" w:hAnsi="Baskerville Old Face"/>
          <w:i/>
          <w:iCs/>
        </w:rPr>
        <w:t xml:space="preserve"> value relevance</w:t>
      </w:r>
    </w:p>
    <w:p w14:paraId="2629DD61"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This protects Prometheus from superficial regeneration language.</w:t>
      </w:r>
    </w:p>
    <w:p w14:paraId="2F1EAA48"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A system cannot claim regenerative status merely because it plants trees, stores data, uses ecological branding, or speaks the language of impact.</w:t>
      </w:r>
    </w:p>
    <w:p w14:paraId="4677500B"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It must demonstrate, through evidence, that it is increasing living-system capacity relative to what it consumes.</w:t>
      </w:r>
    </w:p>
    <w:p w14:paraId="6A467F33"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The ecological alignment condition therefore serves as a constitutional compass:</w:t>
      </w:r>
    </w:p>
    <w:p w14:paraId="2D8AB320"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regeneration must meet or exceed extraction;</w:t>
      </w:r>
      <w:r w:rsidRPr="00B479AE">
        <w:rPr>
          <w:rFonts w:ascii="Baskerville Old Face" w:hAnsi="Baskerville Old Face"/>
          <w:i/>
          <w:iCs/>
        </w:rPr>
        <w:br/>
        <w:t>restoration must meet or exceed depletion;</w:t>
      </w:r>
      <w:r w:rsidRPr="00B479AE">
        <w:rPr>
          <w:rFonts w:ascii="Baskerville Old Face" w:hAnsi="Baskerville Old Face"/>
          <w:i/>
          <w:iCs/>
        </w:rPr>
        <w:br/>
        <w:t>living capacity must meet or exceed consumption;</w:t>
      </w:r>
      <w:r w:rsidRPr="00B479AE">
        <w:rPr>
          <w:rFonts w:ascii="Baskerville Old Face" w:hAnsi="Baskerville Old Face"/>
          <w:i/>
          <w:iCs/>
        </w:rPr>
        <w:br/>
        <w:t>future fertility must meet or exceed present use.</w:t>
      </w:r>
    </w:p>
    <w:p w14:paraId="3D06A62C" w14:textId="77777777" w:rsidR="00C537B9" w:rsidRPr="00B479AE" w:rsidRDefault="00C537B9" w:rsidP="00C537B9">
      <w:pPr>
        <w:spacing w:line="360" w:lineRule="auto"/>
        <w:rPr>
          <w:rFonts w:ascii="Baskerville Old Face" w:hAnsi="Baskerville Old Face"/>
          <w:i/>
          <w:iCs/>
        </w:rPr>
      </w:pPr>
      <w:r w:rsidRPr="00B479AE">
        <w:rPr>
          <w:rFonts w:ascii="Baskerville Old Face" w:hAnsi="Baskerville Old Face"/>
          <w:i/>
          <w:iCs/>
        </w:rPr>
        <w:t>This is the minimum threshold for a living economy.</w:t>
      </w:r>
    </w:p>
    <w:p w14:paraId="21270881" w14:textId="77777777" w:rsidR="00C537B9" w:rsidRPr="00B479AE" w:rsidRDefault="00C537B9" w:rsidP="00305A28">
      <w:pPr>
        <w:spacing w:line="360" w:lineRule="auto"/>
        <w:rPr>
          <w:rFonts w:ascii="Baskerville Old Face" w:hAnsi="Baskerville Old Face"/>
          <w:b/>
          <w:bCs/>
          <w:i/>
          <w:iCs/>
        </w:rPr>
      </w:pPr>
    </w:p>
    <w:p w14:paraId="605D1405" w14:textId="3A426B9C"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lastRenderedPageBreak/>
        <w:t>The principle of requisite variety</w:t>
      </w:r>
    </w:p>
    <w:p w14:paraId="6DD5E6D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Complex systems cannot be governed well through single-dimensional representations.</w:t>
      </w:r>
    </w:p>
    <w:p w14:paraId="4206EEC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living system contains many forms of value: ecological, biological, hydrological, nutritional, social, relational, operational, and financial.</w:t>
      </w:r>
    </w:p>
    <w:p w14:paraId="1F03F6A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When all of these dimensions are reduced to a single metric, the system loses necessary information.</w:t>
      </w:r>
    </w:p>
    <w:p w14:paraId="7619554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violates a fundamental insight from cybernetics and systems theory: the principle of requisite variety.</w:t>
      </w:r>
    </w:p>
    <w:p w14:paraId="44E8857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system can remain stable only if its internal variety is sufficient to respond to the variety of the environment in which it operates.</w:t>
      </w:r>
    </w:p>
    <w:p w14:paraId="2755F56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Modern financial systems often attempt to coordinate complex socio-ecological realities through monetary value alone.</w:t>
      </w:r>
    </w:p>
    <w:p w14:paraId="27B39CC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creates value compression.</w:t>
      </w:r>
    </w:p>
    <w:p w14:paraId="3093230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Ecological degradation becomes invisible until it appears as cost.</w:t>
      </w:r>
    </w:p>
    <w:p w14:paraId="17B403D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Social fragility becomes invisible until it appears as instability.</w:t>
      </w:r>
    </w:p>
    <w:p w14:paraId="7002F97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Health deterioration becomes invisible until it appears as medical expenditure.</w:t>
      </w:r>
    </w:p>
    <w:p w14:paraId="3D29E95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Water stress becomes invisible until it appears as crisis.</w:t>
      </w:r>
    </w:p>
    <w:p w14:paraId="0BEA23B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adopts a different approach.</w:t>
      </w:r>
    </w:p>
    <w:p w14:paraId="3068432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uses a multi-dimensional value architecture in which distinct layers of value remain distinguishable while becoming interoperable.</w:t>
      </w:r>
    </w:p>
    <w:p w14:paraId="2AE3E5D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Ecological value is observed through MRV.</w:t>
      </w:r>
    </w:p>
    <w:p w14:paraId="03F519F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Operational value is observed through production and activity.</w:t>
      </w:r>
    </w:p>
    <w:p w14:paraId="6CF1B65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Financial value is abstracted through PRU.</w:t>
      </w:r>
    </w:p>
    <w:p w14:paraId="0FEC84B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Governance and participation value are coordinated through TRBK and related mechanisms.</w:t>
      </w:r>
    </w:p>
    <w:p w14:paraId="7FAB3B8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Infrastructure value is supported through agent-centric digital systems.</w:t>
      </w:r>
    </w:p>
    <w:p w14:paraId="6718E52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These layers interact, but they are not collapsed into a single reductive unit.</w:t>
      </w:r>
    </w:p>
    <w:p w14:paraId="411C852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is essential.</w:t>
      </w:r>
    </w:p>
    <w:p w14:paraId="7E2CFD8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regenerative economy must represent the complexity of life without reducing life to one number.</w:t>
      </w:r>
    </w:p>
    <w:p w14:paraId="1F075ED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h•eart•h intelligence</w:t>
      </w:r>
    </w:p>
    <w:p w14:paraId="78CE317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concept of h•eart•h intelligence arises from a simple question:</w:t>
      </w:r>
    </w:p>
    <w:p w14:paraId="194DDBB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What would happen if human systems were designed to reflect the organizing principles of living ecosystems?</w:t>
      </w:r>
    </w:p>
    <w:p w14:paraId="5AF2914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h•eart•h intelligence is not intelligence separated from Earth.</w:t>
      </w:r>
    </w:p>
    <w:p w14:paraId="26BC71E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is intelligence rooted in the relationship between human awareness, ecological reality, technological coordination, and long-term responsibility.</w:t>
      </w:r>
    </w:p>
    <w:p w14:paraId="2669FF8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recognizes that human beings are not external observers of the biosphere.</w:t>
      </w:r>
    </w:p>
    <w:p w14:paraId="4B7CFE1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They are participants within it.</w:t>
      </w:r>
    </w:p>
    <w:p w14:paraId="152C919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has practical consequences.</w:t>
      </w:r>
    </w:p>
    <w:p w14:paraId="69DA5AD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financial system that ignores soil will misprice food.</w:t>
      </w:r>
    </w:p>
    <w:p w14:paraId="78DCF10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governance system that ignores human coherence will misread participation.</w:t>
      </w:r>
    </w:p>
    <w:p w14:paraId="4F16A4F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technological system that centralizes truth will struggle to represent distributed ecological reality.</w:t>
      </w:r>
    </w:p>
    <w:p w14:paraId="32C30C9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An investment system that rewards extraction faster than regeneration will eventually undermine its own collateral base.</w:t>
      </w:r>
    </w:p>
    <w:p w14:paraId="7FC5EE0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h•eart•h intelligence integrates analytical reasoning, ecological literacy, ethical responsibility, and distributed coordination.</w:t>
      </w:r>
    </w:p>
    <w:p w14:paraId="6749EDE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Within Prometheus, this becomes operational.</w:t>
      </w:r>
    </w:p>
    <w:p w14:paraId="1A38323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Human stewardship, ecological regeneration, agent-centric infrastructure, verification systems, and capital allocation are designed as complementary layers of one architecture.</w:t>
      </w:r>
    </w:p>
    <w:p w14:paraId="78EA975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Technology does not replace living systems.</w:t>
      </w:r>
    </w:p>
    <w:p w14:paraId="5ABD6D2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helps observe, coordinate, protect, and translate their regenerative performance.</w:t>
      </w:r>
    </w:p>
    <w:p w14:paraId="30123F9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Capital does not command life.</w:t>
      </w:r>
    </w:p>
    <w:p w14:paraId="471DB74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becomes more intelligent when guided by the evidence of life’s regeneration.</w:t>
      </w:r>
    </w:p>
    <w:p w14:paraId="5A0D069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From ESG narratives to verified regenerative assets</w:t>
      </w:r>
    </w:p>
    <w:p w14:paraId="40C1D87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Many contemporary sustainability systems remain trapped between narrative and reporting.</w:t>
      </w:r>
    </w:p>
    <w:p w14:paraId="679A4DB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They describe intentions, risks, commitments, disclosures, or offsets, but often struggle to connect ecological performance to verifiable, operational, and financeable value.</w:t>
      </w:r>
    </w:p>
    <w:p w14:paraId="25A4EC7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gap creates three problems.</w:t>
      </w:r>
    </w:p>
    <w:p w14:paraId="4310F39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First, sustainability language can become detached from measurable outcomes.</w:t>
      </w:r>
    </w:p>
    <w:p w14:paraId="7C5DB79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Second, ecological benefits can be counted without sufficient provenance or confidence.</w:t>
      </w:r>
    </w:p>
    <w:p w14:paraId="32588CC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Third, capital may be allocated based on symbolic alignment rather than verified regenerative performance.</w:t>
      </w:r>
    </w:p>
    <w:p w14:paraId="0A1E347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responds by moving from narrative to evidence.</w:t>
      </w:r>
    </w:p>
    <w:p w14:paraId="43CFA89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regenerative asset within Prometheus is not defined by branding, intention, or abstract environmental alignment.</w:t>
      </w:r>
    </w:p>
    <w:p w14:paraId="1082E61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is defined by measurable improvement in living-system performance, supported by evidence, provenance, verification, confidence scoring, and admissibility rules.</w:t>
      </w:r>
    </w:p>
    <w:p w14:paraId="08C206A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creates a new standard of value formation.</w:t>
      </w:r>
    </w:p>
    <w:p w14:paraId="1685152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Regenerative value becomes credible when it is:</w:t>
      </w:r>
    </w:p>
    <w:p w14:paraId="0A89114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observable in the field;</w:t>
      </w:r>
    </w:p>
    <w:p w14:paraId="476956D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measurable through disciplined methods;</w:t>
      </w:r>
    </w:p>
    <w:p w14:paraId="2F34715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verified across evidence streams;</w:t>
      </w:r>
    </w:p>
    <w:p w14:paraId="09ECA8D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linked to its source process;</w:t>
      </w:r>
    </w:p>
    <w:p w14:paraId="571512B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protected from double counting;</w:t>
      </w:r>
    </w:p>
    <w:p w14:paraId="5E7C10E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translated into PRU logic;</w:t>
      </w:r>
    </w:p>
    <w:p w14:paraId="58A17BF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and structured through appropriate governance and legal boundaries.</w:t>
      </w:r>
    </w:p>
    <w:p w14:paraId="461E350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is the transition from ESG language to verified regenerative infrastructure.</w:t>
      </w:r>
    </w:p>
    <w:p w14:paraId="0FE46BF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Strategic timing</w:t>
      </w:r>
    </w:p>
    <w:p w14:paraId="490F8FB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emergence of Prometheus reflects a convergence of structural forces.</w:t>
      </w:r>
    </w:p>
    <w:p w14:paraId="7509524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Ecological degradation is increasingly recognized as economic risk.</w:t>
      </w:r>
    </w:p>
    <w:p w14:paraId="01A6056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Climate volatility is affecting agriculture, infrastructure, insurance, water security, food supply chains, and territorial resilience.</w:t>
      </w:r>
    </w:p>
    <w:p w14:paraId="5929D5E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Health systems are absorbing the downstream effects of degraded food environments, chronic stress, sedentary lifestyles, and disconnection from living systems.</w:t>
      </w:r>
    </w:p>
    <w:p w14:paraId="35009D9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Capital markets are searching for real assets capable of preserving value under conditions of systemic instability.</w:t>
      </w:r>
    </w:p>
    <w:p w14:paraId="73AAB3D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Nature-related disclosure and target-setting frameworks are increasing the need for reliable ecological data.</w:t>
      </w:r>
    </w:p>
    <w:p w14:paraId="76C3622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RWA tokenization is creating new pathways for representing real-world assets through programmable digital infrastructure.</w:t>
      </w:r>
    </w:p>
    <w:p w14:paraId="409A556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At the same time, technology now allows more precise observation of regenerative systems.</w:t>
      </w:r>
    </w:p>
    <w:p w14:paraId="7BCB306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Sensors can measure field conditions.</w:t>
      </w:r>
    </w:p>
    <w:p w14:paraId="3D0CAD0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Laboratories can analyze soil, water, tissue, and biological indicators.</w:t>
      </w:r>
    </w:p>
    <w:p w14:paraId="2A575FB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Satellite and drone imagery can track vegetation, canopy, water stress, and land-cover dynamics.</w:t>
      </w:r>
    </w:p>
    <w:p w14:paraId="75004F8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AI can assist pattern recognition, anomaly detection, and decision support.</w:t>
      </w:r>
    </w:p>
    <w:p w14:paraId="27F758D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Distributed systems can preserve provenance, participant agency, and contextual validation.</w:t>
      </w:r>
    </w:p>
    <w:p w14:paraId="5717FA8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Together, these forces create a new possibility.</w:t>
      </w:r>
    </w:p>
    <w:p w14:paraId="4DF2353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Regeneration can move from moral aspiration to investable infrastructure.</w:t>
      </w:r>
    </w:p>
    <w:p w14:paraId="5FF0D06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is designed for this moment.</w:t>
      </w:r>
    </w:p>
    <w:p w14:paraId="3477F38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The capital reallocation thesis</w:t>
      </w:r>
    </w:p>
    <w:p w14:paraId="78C77D4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does not depend primarily on creating entirely new categories of spending.</w:t>
      </w:r>
    </w:p>
    <w:p w14:paraId="181D0B5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proposes a higher-quality destination for spending that already exists.</w:t>
      </w:r>
    </w:p>
    <w:p w14:paraId="2D48011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Large volumes of capital are already allocated to healthcare burdens, food-system dysfunction, environmental mitigation, disaster response, insurance losses, degraded infrastructure, social fragility, and downstream crisis management.</w:t>
      </w:r>
    </w:p>
    <w:p w14:paraId="3E5D861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opportunity is to redirect part of this expenditure upstream.</w:t>
      </w:r>
    </w:p>
    <w:p w14:paraId="24EE4B4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Instead of financing the consequences of degradation, capital can support infrastructures that reduce the production of degradation.</w:t>
      </w:r>
    </w:p>
    <w:p w14:paraId="64CA55E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One Human Ecosystems, regenerative land systems, verification infrastructure, distributed governance, and PRU-based underwriting create a pathway through which upstream regenerative capacity can become investable.</w:t>
      </w:r>
    </w:p>
    <w:p w14:paraId="414E75D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is the core reallocation thesis:</w:t>
      </w:r>
    </w:p>
    <w:p w14:paraId="7A0B29F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capital should move toward systems that increase the future capacity of life to sustain value.</w:t>
      </w:r>
    </w:p>
    <w:p w14:paraId="1955F4C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smallest operational expression of this thesis is the OHE.</w:t>
      </w:r>
    </w:p>
    <w:p w14:paraId="119C162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financial translation layer is the PRU.</w:t>
      </w:r>
    </w:p>
    <w:p w14:paraId="2C0A1E2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portfolio layer is the RAP.</w:t>
      </w:r>
    </w:p>
    <w:p w14:paraId="1B326A33" w14:textId="543027F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The institutional pathway is regenerative infrastructure.</w:t>
      </w:r>
      <w:r w:rsidR="002819DC" w:rsidRPr="00B479AE">
        <w:rPr>
          <w:rFonts w:ascii="Baskerville Old Face" w:hAnsi="Baskerville Old Face"/>
          <w:i/>
          <w:iCs/>
        </w:rPr>
        <w:t xml:space="preserve"> </w:t>
      </w:r>
    </w:p>
    <w:p w14:paraId="3838DA2C" w14:textId="77777777" w:rsidR="002819DC" w:rsidRPr="00B479AE" w:rsidRDefault="002819DC" w:rsidP="002819DC">
      <w:pPr>
        <w:spacing w:line="360" w:lineRule="auto"/>
        <w:rPr>
          <w:rFonts w:ascii="Baskerville Old Face" w:hAnsi="Baskerville Old Face"/>
          <w:i/>
          <w:iCs/>
        </w:rPr>
      </w:pPr>
      <w:r w:rsidRPr="00B479AE">
        <w:rPr>
          <w:rFonts w:ascii="Baskerville Old Face" w:hAnsi="Baskerville Old Face"/>
          <w:b/>
          <w:bCs/>
          <w:i/>
          <w:iCs/>
        </w:rPr>
        <w:t>From systemic cost to regenerative capital</w:t>
      </w:r>
    </w:p>
    <w:p w14:paraId="78168A6B" w14:textId="77777777" w:rsidR="002819DC" w:rsidRPr="00B479AE" w:rsidRDefault="002819DC" w:rsidP="002819DC">
      <w:pPr>
        <w:spacing w:line="360" w:lineRule="auto"/>
        <w:rPr>
          <w:rFonts w:ascii="Baskerville Old Face" w:hAnsi="Baskerville Old Face"/>
          <w:i/>
          <w:iCs/>
        </w:rPr>
      </w:pPr>
      <w:r w:rsidRPr="00B479AE">
        <w:rPr>
          <w:rFonts w:ascii="Baskerville Old Face" w:hAnsi="Baskerville Old Face"/>
          <w:i/>
          <w:iCs/>
        </w:rPr>
        <w:t>Prometheus does not assume that society lacks capital.</w:t>
      </w:r>
    </w:p>
    <w:p w14:paraId="13C9332B" w14:textId="77777777" w:rsidR="002819DC" w:rsidRPr="00B479AE" w:rsidRDefault="002819DC" w:rsidP="002819DC">
      <w:pPr>
        <w:spacing w:line="360" w:lineRule="auto"/>
        <w:rPr>
          <w:rFonts w:ascii="Baskerville Old Face" w:hAnsi="Baskerville Old Face"/>
          <w:i/>
          <w:iCs/>
        </w:rPr>
      </w:pPr>
      <w:r w:rsidRPr="00B479AE">
        <w:rPr>
          <w:rFonts w:ascii="Baskerville Old Face" w:hAnsi="Baskerville Old Face"/>
          <w:i/>
          <w:iCs/>
        </w:rPr>
        <w:t>It assumes that too much capital is allocated too late.</w:t>
      </w:r>
    </w:p>
    <w:p w14:paraId="28BCBBAF" w14:textId="77777777" w:rsidR="002819DC" w:rsidRPr="00B479AE" w:rsidRDefault="002819DC" w:rsidP="002819DC">
      <w:pPr>
        <w:spacing w:line="360" w:lineRule="auto"/>
        <w:rPr>
          <w:rFonts w:ascii="Baskerville Old Face" w:hAnsi="Baskerville Old Face"/>
          <w:i/>
          <w:iCs/>
        </w:rPr>
      </w:pPr>
      <w:r w:rsidRPr="00B479AE">
        <w:rPr>
          <w:rFonts w:ascii="Baskerville Old Face" w:hAnsi="Baskerville Old Face"/>
          <w:i/>
          <w:iCs/>
        </w:rPr>
        <w:t>Modern systems spend enormous resources downstream: healthcare burdens, emergency assistance, ecological remediation, crisis response, food insecurity, insurance losses, and social fragility.</w:t>
      </w:r>
    </w:p>
    <w:p w14:paraId="6B78F1DA" w14:textId="77777777" w:rsidR="002819DC" w:rsidRPr="00B479AE" w:rsidRDefault="002819DC" w:rsidP="002819DC">
      <w:pPr>
        <w:spacing w:line="360" w:lineRule="auto"/>
        <w:rPr>
          <w:rFonts w:ascii="Baskerville Old Face" w:hAnsi="Baskerville Old Face"/>
          <w:i/>
          <w:iCs/>
        </w:rPr>
      </w:pPr>
      <w:r w:rsidRPr="00B479AE">
        <w:rPr>
          <w:rFonts w:ascii="Baskerville Old Face" w:hAnsi="Baskerville Old Face"/>
          <w:i/>
          <w:iCs/>
        </w:rPr>
        <w:t>These expenditures often address the consequences of degradation rather than the infrastructures that could prevent degradation at the source.</w:t>
      </w:r>
    </w:p>
    <w:p w14:paraId="19E32AC3" w14:textId="77777777" w:rsidR="002819DC" w:rsidRPr="00B479AE" w:rsidRDefault="002819DC" w:rsidP="002819DC">
      <w:pPr>
        <w:spacing w:line="360" w:lineRule="auto"/>
        <w:rPr>
          <w:rFonts w:ascii="Baskerville Old Face" w:hAnsi="Baskerville Old Face"/>
          <w:i/>
          <w:iCs/>
        </w:rPr>
      </w:pPr>
      <w:r w:rsidRPr="00B479AE">
        <w:rPr>
          <w:rFonts w:ascii="Baskerville Old Face" w:hAnsi="Baskerville Old Face"/>
          <w:i/>
          <w:iCs/>
        </w:rPr>
        <w:t>This is the paradox of assistance.</w:t>
      </w:r>
    </w:p>
    <w:p w14:paraId="3AEC4A57" w14:textId="77777777" w:rsidR="002819DC" w:rsidRPr="00B479AE" w:rsidRDefault="002819DC" w:rsidP="002819DC">
      <w:pPr>
        <w:spacing w:line="360" w:lineRule="auto"/>
        <w:rPr>
          <w:rFonts w:ascii="Baskerville Old Face" w:hAnsi="Baskerville Old Face"/>
          <w:i/>
          <w:iCs/>
        </w:rPr>
      </w:pPr>
      <w:r w:rsidRPr="00B479AE">
        <w:rPr>
          <w:rFonts w:ascii="Baskerville Old Face" w:hAnsi="Baskerville Old Face"/>
          <w:i/>
          <w:iCs/>
        </w:rPr>
        <w:t>A society may spend heavily on hunger without rebuilding local food capacity.</w:t>
      </w:r>
    </w:p>
    <w:p w14:paraId="15ECBABC" w14:textId="77777777" w:rsidR="002819DC" w:rsidRPr="00B479AE" w:rsidRDefault="002819DC" w:rsidP="002819DC">
      <w:pPr>
        <w:spacing w:line="360" w:lineRule="auto"/>
        <w:rPr>
          <w:rFonts w:ascii="Baskerville Old Face" w:hAnsi="Baskerville Old Face"/>
          <w:i/>
          <w:iCs/>
        </w:rPr>
      </w:pPr>
      <w:r w:rsidRPr="00B479AE">
        <w:rPr>
          <w:rFonts w:ascii="Baskerville Old Face" w:hAnsi="Baskerville Old Face"/>
          <w:i/>
          <w:iCs/>
        </w:rPr>
        <w:t>It may spend heavily on disease without rebuilding metabolic health.</w:t>
      </w:r>
    </w:p>
    <w:p w14:paraId="35C46A95" w14:textId="77777777" w:rsidR="002819DC" w:rsidRPr="00B479AE" w:rsidRDefault="002819DC" w:rsidP="002819DC">
      <w:pPr>
        <w:spacing w:line="360" w:lineRule="auto"/>
        <w:rPr>
          <w:rFonts w:ascii="Baskerville Old Face" w:hAnsi="Baskerville Old Face"/>
          <w:i/>
          <w:iCs/>
        </w:rPr>
      </w:pPr>
      <w:r w:rsidRPr="00B479AE">
        <w:rPr>
          <w:rFonts w:ascii="Baskerville Old Face" w:hAnsi="Baskerville Old Face"/>
          <w:i/>
          <w:iCs/>
        </w:rPr>
        <w:t>It may spend heavily on disaster response without restoring soil, water, vegetation, and territorial resilience.</w:t>
      </w:r>
    </w:p>
    <w:p w14:paraId="4B399704" w14:textId="77777777" w:rsidR="002819DC" w:rsidRPr="00B479AE" w:rsidRDefault="002819DC" w:rsidP="002819DC">
      <w:pPr>
        <w:spacing w:line="360" w:lineRule="auto"/>
        <w:rPr>
          <w:rFonts w:ascii="Baskerville Old Face" w:hAnsi="Baskerville Old Face"/>
          <w:i/>
          <w:iCs/>
        </w:rPr>
      </w:pPr>
      <w:r w:rsidRPr="00B479AE">
        <w:rPr>
          <w:rFonts w:ascii="Baskerville Old Face" w:hAnsi="Baskerville Old Face"/>
          <w:i/>
          <w:iCs/>
        </w:rPr>
        <w:t>Prometheus proposes a structural inversion.</w:t>
      </w:r>
    </w:p>
    <w:p w14:paraId="7B6359D4" w14:textId="77777777" w:rsidR="002819DC" w:rsidRPr="00B479AE" w:rsidRDefault="002819DC" w:rsidP="002819DC">
      <w:pPr>
        <w:spacing w:line="360" w:lineRule="auto"/>
        <w:rPr>
          <w:rFonts w:ascii="Baskerville Old Face" w:hAnsi="Baskerville Old Face"/>
          <w:i/>
          <w:iCs/>
        </w:rPr>
      </w:pPr>
      <w:r w:rsidRPr="00B479AE">
        <w:rPr>
          <w:rFonts w:ascii="Baskerville Old Face" w:hAnsi="Baskerville Old Face"/>
          <w:i/>
          <w:iCs/>
        </w:rPr>
        <w:t>A portion of downstream expenditure can be redirected upstream into regenerative infrastructure capable of producing measurable ecological, nutritional, health, and resilience outcomes.</w:t>
      </w:r>
    </w:p>
    <w:p w14:paraId="2D7A1101" w14:textId="77777777" w:rsidR="002819DC" w:rsidRPr="00B479AE" w:rsidRDefault="002819DC" w:rsidP="002819DC">
      <w:pPr>
        <w:spacing w:line="360" w:lineRule="auto"/>
        <w:rPr>
          <w:rFonts w:ascii="Baskerville Old Face" w:hAnsi="Baskerville Old Face"/>
          <w:i/>
          <w:iCs/>
        </w:rPr>
      </w:pPr>
      <w:r w:rsidRPr="00B479AE">
        <w:rPr>
          <w:rFonts w:ascii="Baskerville Old Face" w:hAnsi="Baskerville Old Face"/>
          <w:i/>
          <w:iCs/>
        </w:rPr>
        <w:t>The strategic question is therefore not only how to fund regeneration.</w:t>
      </w:r>
    </w:p>
    <w:p w14:paraId="3EEB17EC" w14:textId="77777777" w:rsidR="002819DC" w:rsidRPr="00B479AE" w:rsidRDefault="002819DC" w:rsidP="002819DC">
      <w:pPr>
        <w:spacing w:line="360" w:lineRule="auto"/>
        <w:rPr>
          <w:rFonts w:ascii="Baskerville Old Face" w:hAnsi="Baskerville Old Face"/>
          <w:i/>
          <w:iCs/>
        </w:rPr>
      </w:pPr>
      <w:r w:rsidRPr="00B479AE">
        <w:rPr>
          <w:rFonts w:ascii="Baskerville Old Face" w:hAnsi="Baskerville Old Face"/>
          <w:i/>
          <w:iCs/>
        </w:rPr>
        <w:t>It is how to convert recurring systemic cost into durable regenerative capital.</w:t>
      </w:r>
    </w:p>
    <w:p w14:paraId="5C019A4A" w14:textId="77777777" w:rsidR="002819DC" w:rsidRPr="00B479AE" w:rsidRDefault="002819DC" w:rsidP="002819DC">
      <w:pPr>
        <w:spacing w:line="360" w:lineRule="auto"/>
        <w:rPr>
          <w:rFonts w:ascii="Baskerville Old Face" w:hAnsi="Baskerville Old Face"/>
          <w:i/>
          <w:iCs/>
        </w:rPr>
      </w:pPr>
      <w:r w:rsidRPr="00B479AE">
        <w:rPr>
          <w:rFonts w:ascii="Baskerville Old Face" w:hAnsi="Baskerville Old Face"/>
          <w:i/>
          <w:iCs/>
        </w:rPr>
        <w:t>The One Human Ecosystem is the smallest operational unit through which this reallocation thesis becomes concrete.</w:t>
      </w:r>
    </w:p>
    <w:p w14:paraId="7820DF5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Transition to the next part</w:t>
      </w:r>
    </w:p>
    <w:p w14:paraId="202440D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structural case for Prometheus begins with a simple recognition:</w:t>
      </w:r>
    </w:p>
    <w:p w14:paraId="29D8D2F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economic systems cannot remain stable while the living systems beneath them degrade.</w:t>
      </w:r>
    </w:p>
    <w:p w14:paraId="7E2263E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The next part of this White Paper develops the human dimension of this transition.</w:t>
      </w:r>
    </w:p>
    <w:p w14:paraId="085ED59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If regeneration is to become infrastructure, it must involve not only land, sensors, capital, and digital systems, but also the human beings who design, govern, steward, and participate in them.</w:t>
      </w:r>
    </w:p>
    <w:p w14:paraId="3935629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transformation of external systems requires a corresponding transformation of human infrastructure.</w:t>
      </w:r>
    </w:p>
    <w:p w14:paraId="6BDD2848" w14:textId="59A30DBA" w:rsidR="00305A28" w:rsidRPr="00B479AE" w:rsidRDefault="00305A28" w:rsidP="00305A28">
      <w:pPr>
        <w:spacing w:line="360" w:lineRule="auto"/>
        <w:rPr>
          <w:rFonts w:ascii="Baskerville Old Face" w:hAnsi="Baskerville Old Face"/>
          <w:i/>
          <w:iCs/>
        </w:rPr>
      </w:pPr>
    </w:p>
    <w:p w14:paraId="45B45589" w14:textId="1159A871" w:rsidR="00305A28" w:rsidRPr="00B479AE" w:rsidRDefault="00305A28" w:rsidP="002B4800">
      <w:pPr>
        <w:pStyle w:val="Titolo1"/>
        <w:rPr>
          <w:rFonts w:ascii="Baskerville Old Face" w:hAnsi="Baskerville Old Face"/>
          <w:b/>
          <w:bCs/>
          <w:i/>
          <w:iCs/>
          <w:sz w:val="24"/>
          <w:szCs w:val="24"/>
        </w:rPr>
      </w:pPr>
      <w:r w:rsidRPr="00B479AE">
        <w:rPr>
          <w:rFonts w:ascii="Baskerville Old Face" w:hAnsi="Baskerville Old Face"/>
          <w:b/>
          <w:bCs/>
          <w:i/>
          <w:iCs/>
          <w:sz w:val="24"/>
          <w:szCs w:val="24"/>
        </w:rPr>
        <w:t>PART II</w:t>
      </w:r>
      <w:r w:rsidR="002B4800" w:rsidRPr="00B479AE">
        <w:rPr>
          <w:rFonts w:ascii="Baskerville Old Face" w:hAnsi="Baskerville Old Face"/>
          <w:b/>
          <w:bCs/>
          <w:i/>
          <w:iCs/>
          <w:sz w:val="24"/>
          <w:szCs w:val="24"/>
        </w:rPr>
        <w:t xml:space="preserve"> - </w:t>
      </w:r>
      <w:r w:rsidRPr="00B479AE">
        <w:rPr>
          <w:rFonts w:ascii="Baskerville Old Face" w:hAnsi="Baskerville Old Face"/>
          <w:b/>
          <w:bCs/>
          <w:i/>
          <w:iCs/>
          <w:sz w:val="24"/>
          <w:szCs w:val="24"/>
        </w:rPr>
        <w:t>Human Infrastructure</w:t>
      </w:r>
    </w:p>
    <w:p w14:paraId="32424FD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The human dimension of regeneration</w:t>
      </w:r>
    </w:p>
    <w:p w14:paraId="34FEF57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Regeneration is not only a land-management strategy.</w:t>
      </w:r>
    </w:p>
    <w:p w14:paraId="341B3C0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is a civilizational capacity.</w:t>
      </w:r>
    </w:p>
    <w:p w14:paraId="13D9DC8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system can deploy sensors, satellites, dashboards, financial instruments, tokens, governance frameworks, and ecological models, but its long-term coherence still depends on the quality of the human beings and communities that operate it.</w:t>
      </w:r>
    </w:p>
    <w:p w14:paraId="27EE5C5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Every infrastructure ultimately rests on human infrastructure.</w:t>
      </w:r>
    </w:p>
    <w:p w14:paraId="7E5A71D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Transport systems require responsible operators.</w:t>
      </w:r>
    </w:p>
    <w:p w14:paraId="6ECF24D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Financial systems require trustworthy institutions.</w:t>
      </w:r>
    </w:p>
    <w:p w14:paraId="1BC457B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Digital systems require accountable developers and validators.</w:t>
      </w:r>
    </w:p>
    <w:p w14:paraId="5666EA9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Regenerative systems require stewards capable of observing, learning, adapting, cooperating, and protecting the living systems upon which their own prosperity depends.</w:t>
      </w:r>
    </w:p>
    <w:p w14:paraId="45418EA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therefore treats human infrastructure as a foundational layer of regenerative transformation.</w:t>
      </w:r>
    </w:p>
    <w:p w14:paraId="7F0A453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Human infrastructure includes the cognitive, physiological, relational, ethical, governance, and institutional capacities through which people become able to participate in long-duration regenerative systems.</w:t>
      </w:r>
    </w:p>
    <w:p w14:paraId="480DBFF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does not mean that human states replace ecological evidence.</w:t>
      </w:r>
    </w:p>
    <w:p w14:paraId="528B66E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It means that ecological regeneration, governance quality, and capital allocation are influenced by the coherence of the human systems that guide them.</w:t>
      </w:r>
    </w:p>
    <w:p w14:paraId="48F6F6B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transition toward regenerative infrastructure therefore requires both external and internal alignment.</w:t>
      </w:r>
    </w:p>
    <w:p w14:paraId="4563CC0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External alignment concerns land, water, soil, biodiversity, sensors, MRV, legal wrappers, and capital structures.</w:t>
      </w:r>
    </w:p>
    <w:p w14:paraId="20972AE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Internal alignment concerns perception, responsibility, participation, decision quality, stewardship, trust, and long-term coherence.</w:t>
      </w:r>
    </w:p>
    <w:p w14:paraId="6256554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integrates both.</w:t>
      </w:r>
    </w:p>
    <w:p w14:paraId="25138CA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The first living infrastructure</w:t>
      </w:r>
    </w:p>
    <w:p w14:paraId="7A08553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first living infrastructure is the human organism.</w:t>
      </w:r>
    </w:p>
    <w:p w14:paraId="2CB9D15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Before a human being designs a landscape, allocates capital, validates a dataset, votes in governance, or operates a regenerative system, that person perceives, interprets, decides, and acts through a living body.</w:t>
      </w:r>
    </w:p>
    <w:p w14:paraId="6FA0861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quality of those decisions is influenced by attention, stress, emotional regulation, physiological coherence, social trust, and the ability to perceive long-term consequences.</w:t>
      </w:r>
    </w:p>
    <w:p w14:paraId="7C45F76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insight has practical relevance.</w:t>
      </w:r>
    </w:p>
    <w:p w14:paraId="23300CF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Regenerative systems operate over time.</w:t>
      </w:r>
    </w:p>
    <w:p w14:paraId="056F548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They require patience, observation, delayed gratification, adaptive learning, and the capacity to remain aligned with living processes that do not obey the speed of speculative markets.</w:t>
      </w:r>
    </w:p>
    <w:p w14:paraId="1B097F6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degraded human decision environment can damage regenerative systems as surely as degraded soil can damage crops.</w:t>
      </w:r>
    </w:p>
    <w:p w14:paraId="56686DA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For this reason, Prometheus recognizes the human organism as part of the infrastructure of stewardship.</w:t>
      </w:r>
    </w:p>
    <w:p w14:paraId="7F43691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Human coherence is not treated as a mystical abstraction.</w:t>
      </w:r>
    </w:p>
    <w:p w14:paraId="5823BE3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It is treated as a practical condition that can improve decision quality, governance maturity, collaboration, and long-term system reliability.</w:t>
      </w:r>
    </w:p>
    <w:p w14:paraId="6E4557F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Heart, brain, and decision coherence</w:t>
      </w:r>
    </w:p>
    <w:p w14:paraId="754C6E9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Human cognition is not confined to abstract reasoning alone.</w:t>
      </w:r>
    </w:p>
    <w:p w14:paraId="103BFC1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human organism operates through integrated neurological, physiological, emotional, and relational systems.</w:t>
      </w:r>
    </w:p>
    <w:p w14:paraId="6841BDD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brain processes analytical information.</w:t>
      </w:r>
    </w:p>
    <w:p w14:paraId="3D1DAF2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nervous system regulates stress, attention, and readiness.</w:t>
      </w:r>
    </w:p>
    <w:p w14:paraId="36D4A21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heart participates in autonomic regulation and continuously interacts with the brain through physiological feedback loops.</w:t>
      </w:r>
    </w:p>
    <w:p w14:paraId="165C088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Research in neurocardiology and heart-rate variability suggests that coherent physiological states may be associated with improved emotional regulation, clearer perception, and more stable decision-making.</w:t>
      </w:r>
    </w:p>
    <w:p w14:paraId="63C0F72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Within Prometheus, this insight is treated conservatively and operationally.</w:t>
      </w:r>
    </w:p>
    <w:p w14:paraId="7CD60BD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Human coherence is not used as a substitute for scientific validation, MRV data, legal structuring, or governance rules.</w:t>
      </w:r>
    </w:p>
    <w:p w14:paraId="3A907F2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is treated as a supportive layer that may enhance the quality of participation.</w:t>
      </w:r>
    </w:p>
    <w:p w14:paraId="546A215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coherent steward may observe more carefully.</w:t>
      </w:r>
    </w:p>
    <w:p w14:paraId="068D758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coherent governance circle may deliberate more responsibly.</w:t>
      </w:r>
    </w:p>
    <w:p w14:paraId="7BE25FA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coherent community may resolve conflict with greater maturity.</w:t>
      </w:r>
    </w:p>
    <w:p w14:paraId="367BAE6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coherent investor may understand long-term value more clearly than a purely extractive or short-term actor.</w:t>
      </w:r>
    </w:p>
    <w:p w14:paraId="41DE9CA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value of this layer lies in its contribution to stewardship quality, not in replacing measurable ecological performance.</w:t>
      </w:r>
    </w:p>
    <w:p w14:paraId="3D2D0A96" w14:textId="77777777" w:rsidR="00DF35AF" w:rsidRPr="00B479AE" w:rsidRDefault="00DF35AF" w:rsidP="00305A28">
      <w:pPr>
        <w:spacing w:line="360" w:lineRule="auto"/>
        <w:rPr>
          <w:rFonts w:ascii="Baskerville Old Face" w:hAnsi="Baskerville Old Face"/>
          <w:b/>
          <w:bCs/>
          <w:i/>
          <w:iCs/>
        </w:rPr>
      </w:pPr>
    </w:p>
    <w:p w14:paraId="142BA5F5" w14:textId="581F2075"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lastRenderedPageBreak/>
        <w:t>The Human State Interface</w:t>
      </w:r>
    </w:p>
    <w:p w14:paraId="698A56D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may incorporate a voluntary Human State Interface, or HSI, as an optional human-coherence augmentation layer.</w:t>
      </w:r>
    </w:p>
    <w:p w14:paraId="7B32175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HSI is designed to represent human-state outputs in a structured, privacy-aware, interoperable, and non-intrusive manner.</w:t>
      </w:r>
    </w:p>
    <w:p w14:paraId="4BB78A3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Its purpose is not to control participants.</w:t>
      </w:r>
    </w:p>
    <w:p w14:paraId="5B3EB08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Its purpose is to support self-awareness, reflective governance, and better decision contexts.</w:t>
      </w:r>
    </w:p>
    <w:p w14:paraId="0F06321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mature HSI architecture should follow several principles:</w:t>
      </w:r>
    </w:p>
    <w:p w14:paraId="7BBD2F9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voluntary participation;</w:t>
      </w:r>
    </w:p>
    <w:p w14:paraId="23D6ADE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privacy-first design;</w:t>
      </w:r>
    </w:p>
    <w:p w14:paraId="7DD999A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no personally identifiable information by default;</w:t>
      </w:r>
    </w:p>
    <w:p w14:paraId="1FE7B03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explicit consent;</w:t>
      </w:r>
    </w:p>
    <w:p w14:paraId="1660429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time-bounded readings;</w:t>
      </w:r>
    </w:p>
    <w:p w14:paraId="05E66F9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confidence scoring;</w:t>
      </w:r>
    </w:p>
    <w:p w14:paraId="7453050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strict validation;</w:t>
      </w:r>
    </w:p>
    <w:p w14:paraId="2FF511A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interoperability across devices and producers;</w:t>
      </w:r>
    </w:p>
    <w:p w14:paraId="67B3C06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separation from coercive scoring systems;</w:t>
      </w:r>
    </w:p>
    <w:p w14:paraId="75EA511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clear limits on use in governance or financial contexts.</w:t>
      </w:r>
    </w:p>
    <w:p w14:paraId="3934E4D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In Prometheus, HSI-related data may support self-regulation, reflective participation, community coherence, and research into governance quality.</w:t>
      </w:r>
    </w:p>
    <w:p w14:paraId="3D3C336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does not authorize financial value.</w:t>
      </w:r>
    </w:p>
    <w:p w14:paraId="498D80D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does not replace MRV.</w:t>
      </w:r>
    </w:p>
    <w:p w14:paraId="549574D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does not determine ecological validity.</w:t>
      </w:r>
    </w:p>
    <w:p w14:paraId="04AFBAF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It does not become a gate of exclusion.</w:t>
      </w:r>
    </w:p>
    <w:p w14:paraId="64A54AC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Its role is developmental.</w:t>
      </w:r>
    </w:p>
    <w:p w14:paraId="3433CB4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supports the maturation of participants and communities without confusing human state data with ecological performance data.</w:t>
      </w:r>
    </w:p>
    <w:p w14:paraId="79CD8F9E" w14:textId="76C817C6" w:rsidR="00596183" w:rsidRPr="00B479AE" w:rsidRDefault="00596183" w:rsidP="00596183">
      <w:pPr>
        <w:spacing w:line="360" w:lineRule="auto"/>
        <w:rPr>
          <w:rFonts w:ascii="Baskerville Old Face" w:hAnsi="Baskerville Old Face"/>
          <w:b/>
          <w:bCs/>
          <w:i/>
          <w:iCs/>
        </w:rPr>
      </w:pPr>
      <w:r w:rsidRPr="00B479AE">
        <w:rPr>
          <w:rFonts w:ascii="Baskerville Old Face" w:hAnsi="Baskerville Old Face"/>
          <w:b/>
          <w:bCs/>
          <w:i/>
          <w:iCs/>
        </w:rPr>
        <w:t>Human Dignity Boundary Function</w:t>
      </w:r>
    </w:p>
    <w:p w14:paraId="5E0BAAF0"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Prometheus may observe human-state context.</w:t>
      </w:r>
    </w:p>
    <w:p w14:paraId="00A9B3D9"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Prometheus may support self-awareness.</w:t>
      </w:r>
    </w:p>
    <w:p w14:paraId="09654C93"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Prometheus may support reflective governance.</w:t>
      </w:r>
    </w:p>
    <w:p w14:paraId="0E37547C"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Prometheus may support stewardship training.</w:t>
      </w:r>
    </w:p>
    <w:p w14:paraId="7BB0D70C"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Prometheus may study the relationship between human state, decision quality, cooperation, and regenerative stewardship.</w:t>
      </w:r>
    </w:p>
    <w:p w14:paraId="4A36E02E"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But Prometheus must never reduce human dignity to a metric.</w:t>
      </w:r>
    </w:p>
    <w:p w14:paraId="36432DD6"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The human dignity boundary may be expressed as:</w:t>
      </w:r>
    </w:p>
    <w:p w14:paraId="4A423E83"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D_human &gt; Score_human</w:t>
      </w:r>
    </w:p>
    <w:p w14:paraId="6A650446"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This means that human dignity is always greater than any score, signal, credential, token record, governance record, physiological reading, AI interpretation, reputation signal, or behavioral trace.</w:t>
      </w:r>
    </w:p>
    <w:p w14:paraId="4061E5B8"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No measurement of a human state may become the measure of a human being.</w:t>
      </w:r>
    </w:p>
    <w:p w14:paraId="06B69A17"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A more complete boundary condition may be expressed as:</w:t>
      </w:r>
    </w:p>
    <w:p w14:paraId="26421A75"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Human Dignity ≠ f(HSI, SCI, wallet history, governance participation, token holdings, reputation, AI classification)</w:t>
      </w:r>
    </w:p>
    <w:p w14:paraId="50FDB386"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These signals may provide limited context in defined, consented, privacy-preserving, and review-bound settings.</w:t>
      </w:r>
    </w:p>
    <w:p w14:paraId="2FDCFE49"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They may not define human worth.</w:t>
      </w:r>
    </w:p>
    <w:p w14:paraId="4C1411DB"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lastRenderedPageBreak/>
        <w:t>They may not determine basic belonging.</w:t>
      </w:r>
    </w:p>
    <w:p w14:paraId="38FDE882"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They may not create social credit.</w:t>
      </w:r>
    </w:p>
    <w:p w14:paraId="7FCD96EB"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They may not create automatic exclusion.</w:t>
      </w:r>
    </w:p>
    <w:p w14:paraId="0D23B175"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They may not determine financial eligibility.</w:t>
      </w:r>
    </w:p>
    <w:p w14:paraId="2D5B8130"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They may not determine PRU value.</w:t>
      </w:r>
    </w:p>
    <w:p w14:paraId="2A77E44F"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They may not determine MRV validity.</w:t>
      </w:r>
    </w:p>
    <w:p w14:paraId="547E6451"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They may not determine ecological truth.</w:t>
      </w:r>
    </w:p>
    <w:p w14:paraId="0FDB6B6B"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They may not create investor rights.</w:t>
      </w:r>
    </w:p>
    <w:p w14:paraId="6FB4A23D"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They may not create token rights.</w:t>
      </w:r>
    </w:p>
    <w:p w14:paraId="7FC0EB1A"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They may not create constitutional authority.</w:t>
      </w:r>
    </w:p>
    <w:p w14:paraId="270848D8"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The HSI boundary may therefore be expressed as:</w:t>
      </w:r>
    </w:p>
    <w:p w14:paraId="03DF5ED0"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 xml:space="preserve">HSI_context </w:t>
      </w:r>
      <w:r w:rsidRPr="00B479AE">
        <w:rPr>
          <w:rFonts w:ascii="Times New Roman" w:hAnsi="Times New Roman" w:cs="Times New Roman"/>
          <w:i/>
          <w:iCs/>
        </w:rPr>
        <w:t>→</w:t>
      </w:r>
      <w:r w:rsidRPr="00B479AE">
        <w:rPr>
          <w:rFonts w:ascii="Baskerville Old Face" w:hAnsi="Baskerville Old Face"/>
          <w:i/>
          <w:iCs/>
        </w:rPr>
        <w:t xml:space="preserve"> self-reflection / stewardship training / governance learning / research</w:t>
      </w:r>
    </w:p>
    <w:p w14:paraId="2B450AF6"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not:</w:t>
      </w:r>
    </w:p>
    <w:p w14:paraId="12C23817"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 xml:space="preserve">HSI_context </w:t>
      </w:r>
      <w:r w:rsidRPr="00B479AE">
        <w:rPr>
          <w:rFonts w:ascii="Times New Roman" w:hAnsi="Times New Roman" w:cs="Times New Roman"/>
          <w:i/>
          <w:iCs/>
        </w:rPr>
        <w:t>→</w:t>
      </w:r>
      <w:r w:rsidRPr="00B479AE">
        <w:rPr>
          <w:rFonts w:ascii="Baskerville Old Face" w:hAnsi="Baskerville Old Face"/>
          <w:i/>
          <w:iCs/>
        </w:rPr>
        <w:t xml:space="preserve"> ranking / exclusion / financial modulation / governance authority / PRU value</w:t>
      </w:r>
    </w:p>
    <w:p w14:paraId="3FEE9117"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This distinction is non-negotiable.</w:t>
      </w:r>
    </w:p>
    <w:p w14:paraId="3E40E4D0"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Human-state data may inform participation context.</w:t>
      </w:r>
    </w:p>
    <w:p w14:paraId="5A96E803"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Participation context may inform reflective governance.</w:t>
      </w:r>
    </w:p>
    <w:p w14:paraId="6A4F9CDE"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Reflective governance may support stewardship quality.</w:t>
      </w:r>
    </w:p>
    <w:p w14:paraId="0B41F26E"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Only verified ecological evidence may support regenerative asset value.</w:t>
      </w:r>
    </w:p>
    <w:p w14:paraId="7BFE0A26"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The operational rule is:</w:t>
      </w:r>
    </w:p>
    <w:p w14:paraId="5BD849BE"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measure states;</w:t>
      </w:r>
      <w:r w:rsidRPr="00B479AE">
        <w:rPr>
          <w:rFonts w:ascii="Baskerville Old Face" w:hAnsi="Baskerville Old Face"/>
          <w:i/>
          <w:iCs/>
        </w:rPr>
        <w:br/>
        <w:t>never measure worth.</w:t>
      </w:r>
    </w:p>
    <w:p w14:paraId="1391D445"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lastRenderedPageBreak/>
        <w:t>Prometheus recognizes the human being as a participant in the living field, not as an object to be optimized, ranked, priced, scored, or governed by biometric inference.</w:t>
      </w:r>
    </w:p>
    <w:p w14:paraId="5C89112A"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This protects Prometheus from becoming a social-credit system, behavioral extraction machine, biometric governance layer, or AI-administered hierarchy.</w:t>
      </w:r>
    </w:p>
    <w:p w14:paraId="116457A5"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The dignity-preservation condition may be expressed as:</w:t>
      </w:r>
    </w:p>
    <w:p w14:paraId="5183112F"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 xml:space="preserve">D_preserved = Consent </w:t>
      </w:r>
      <w:r w:rsidRPr="00B479AE">
        <w:rPr>
          <w:rFonts w:ascii="Cambria" w:hAnsi="Cambria" w:cs="Cambria"/>
          <w:i/>
          <w:iCs/>
        </w:rPr>
        <w:t>·</w:t>
      </w:r>
      <w:r w:rsidRPr="00B479AE">
        <w:rPr>
          <w:rFonts w:ascii="Baskerville Old Face" w:hAnsi="Baskerville Old Face"/>
          <w:i/>
          <w:iCs/>
        </w:rPr>
        <w:t xml:space="preserve"> Privacy </w:t>
      </w:r>
      <w:r w:rsidRPr="00B479AE">
        <w:rPr>
          <w:rFonts w:ascii="Cambria" w:hAnsi="Cambria" w:cs="Cambria"/>
          <w:i/>
          <w:iCs/>
        </w:rPr>
        <w:t>·</w:t>
      </w:r>
      <w:r w:rsidRPr="00B479AE">
        <w:rPr>
          <w:rFonts w:ascii="Baskerville Old Face" w:hAnsi="Baskerville Old Face"/>
          <w:i/>
          <w:iCs/>
        </w:rPr>
        <w:t xml:space="preserve"> Purpose limitation </w:t>
      </w:r>
      <w:r w:rsidRPr="00B479AE">
        <w:rPr>
          <w:rFonts w:ascii="Cambria" w:hAnsi="Cambria" w:cs="Cambria"/>
          <w:i/>
          <w:iCs/>
        </w:rPr>
        <w:t>·</w:t>
      </w:r>
      <w:r w:rsidRPr="00B479AE">
        <w:rPr>
          <w:rFonts w:ascii="Baskerville Old Face" w:hAnsi="Baskerville Old Face"/>
          <w:i/>
          <w:iCs/>
        </w:rPr>
        <w:t xml:space="preserve"> Non-coercion </w:t>
      </w:r>
      <w:r w:rsidRPr="00B479AE">
        <w:rPr>
          <w:rFonts w:ascii="Cambria" w:hAnsi="Cambria" w:cs="Cambria"/>
          <w:i/>
          <w:iCs/>
        </w:rPr>
        <w:t>·</w:t>
      </w:r>
      <w:r w:rsidRPr="00B479AE">
        <w:rPr>
          <w:rFonts w:ascii="Baskerville Old Face" w:hAnsi="Baskerville Old Face"/>
          <w:i/>
          <w:iCs/>
        </w:rPr>
        <w:t xml:space="preserve"> Non-ranking </w:t>
      </w:r>
      <w:r w:rsidRPr="00B479AE">
        <w:rPr>
          <w:rFonts w:ascii="Cambria" w:hAnsi="Cambria" w:cs="Cambria"/>
          <w:i/>
          <w:iCs/>
        </w:rPr>
        <w:t>·</w:t>
      </w:r>
      <w:r w:rsidRPr="00B479AE">
        <w:rPr>
          <w:rFonts w:ascii="Baskerville Old Face" w:hAnsi="Baskerville Old Face"/>
          <w:i/>
          <w:iCs/>
        </w:rPr>
        <w:t xml:space="preserve"> Reviewability</w:t>
      </w:r>
    </w:p>
    <w:p w14:paraId="2C37136A"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If any of these conditions fails, human-state data should not be used in Prometheus workflows.</w:t>
      </w:r>
    </w:p>
    <w:p w14:paraId="57F08D18"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Where HSI, SCI, reputation, contribution history, or governance records are used, they must remain:</w:t>
      </w:r>
    </w:p>
    <w:p w14:paraId="4261A56A"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voluntary where human-state data is involved;</w:t>
      </w:r>
      <w:r w:rsidRPr="00B479AE">
        <w:rPr>
          <w:rFonts w:ascii="Baskerville Old Face" w:hAnsi="Baskerville Old Face"/>
          <w:i/>
          <w:iCs/>
        </w:rPr>
        <w:br/>
        <w:t>privacy-first;</w:t>
      </w:r>
      <w:r w:rsidRPr="00B479AE">
        <w:rPr>
          <w:rFonts w:ascii="Baskerville Old Face" w:hAnsi="Baskerville Old Face"/>
          <w:i/>
          <w:iCs/>
        </w:rPr>
        <w:br/>
        <w:t>purpose-limited;</w:t>
      </w:r>
      <w:r w:rsidRPr="00B479AE">
        <w:rPr>
          <w:rFonts w:ascii="Baskerville Old Face" w:hAnsi="Baskerville Old Face"/>
          <w:i/>
          <w:iCs/>
        </w:rPr>
        <w:br/>
        <w:t>explainable;</w:t>
      </w:r>
      <w:r w:rsidRPr="00B479AE">
        <w:rPr>
          <w:rFonts w:ascii="Baskerville Old Face" w:hAnsi="Baskerville Old Face"/>
          <w:i/>
          <w:iCs/>
        </w:rPr>
        <w:br/>
        <w:t>reviewable;</w:t>
      </w:r>
      <w:r w:rsidRPr="00B479AE">
        <w:rPr>
          <w:rFonts w:ascii="Baskerville Old Face" w:hAnsi="Baskerville Old Face"/>
          <w:i/>
          <w:iCs/>
        </w:rPr>
        <w:br/>
        <w:t>appealable where material;</w:t>
      </w:r>
      <w:r w:rsidRPr="00B479AE">
        <w:rPr>
          <w:rFonts w:ascii="Baskerville Old Face" w:hAnsi="Baskerville Old Face"/>
          <w:i/>
          <w:iCs/>
        </w:rPr>
        <w:br/>
        <w:t>separate from ecological value;</w:t>
      </w:r>
      <w:r w:rsidRPr="00B479AE">
        <w:rPr>
          <w:rFonts w:ascii="Baskerville Old Face" w:hAnsi="Baskerville Old Face"/>
          <w:i/>
          <w:iCs/>
        </w:rPr>
        <w:br/>
        <w:t>separate from investor rights;</w:t>
      </w:r>
      <w:r w:rsidRPr="00B479AE">
        <w:rPr>
          <w:rFonts w:ascii="Baskerville Old Face" w:hAnsi="Baskerville Old Face"/>
          <w:i/>
          <w:iCs/>
        </w:rPr>
        <w:br/>
        <w:t>separate from automatic governance authority;</w:t>
      </w:r>
      <w:r w:rsidRPr="00B479AE">
        <w:rPr>
          <w:rFonts w:ascii="Baskerville Old Face" w:hAnsi="Baskerville Old Face"/>
          <w:i/>
          <w:iCs/>
        </w:rPr>
        <w:br/>
        <w:t>separate from human worth.</w:t>
      </w:r>
    </w:p>
    <w:p w14:paraId="3713A93A"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This is the ethical and institutional floor of Prometheus.</w:t>
      </w:r>
    </w:p>
    <w:p w14:paraId="084FE81F"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Regeneration cannot be built by degrading the dignity of the people who participate in it.</w:t>
      </w:r>
    </w:p>
    <w:p w14:paraId="7C889CC3"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A living economy must protect life at every scale: soil, water, biodiversity, community, and person.</w:t>
      </w:r>
    </w:p>
    <w:p w14:paraId="45355E23" w14:textId="77777777" w:rsidR="00596183" w:rsidRPr="00B479AE" w:rsidRDefault="00596183" w:rsidP="00596183">
      <w:pPr>
        <w:spacing w:line="360" w:lineRule="auto"/>
        <w:rPr>
          <w:rFonts w:ascii="Baskerville Old Face" w:hAnsi="Baskerville Old Face"/>
          <w:b/>
          <w:bCs/>
          <w:i/>
          <w:iCs/>
        </w:rPr>
      </w:pPr>
      <w:r w:rsidRPr="00B479AE">
        <w:rPr>
          <w:rFonts w:ascii="Baskerville Old Face" w:hAnsi="Baskerville Old Face"/>
          <w:b/>
          <w:bCs/>
          <w:i/>
          <w:iCs/>
        </w:rPr>
        <w:t>Formula boundary</w:t>
      </w:r>
    </w:p>
    <w:p w14:paraId="2B694C6B"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D_human, HSI_context, and D_preserved are constitutional and methodological boundary expressions.</w:t>
      </w:r>
    </w:p>
    <w:p w14:paraId="01A56756"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They do not create automatic legal rights, medical claims, employment rights, governance authority, or institutional enforcement by themselves.</w:t>
      </w:r>
    </w:p>
    <w:p w14:paraId="417A0624"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lastRenderedPageBreak/>
        <w:t>They define the Prometheus internal boundary for human-state data, reputation signals, governance records, AI classifications, and participation context.</w:t>
      </w:r>
    </w:p>
    <w:p w14:paraId="014A59E4"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Formal consequences require the relevant governance, legal, ethical, technical, or constitutional review pathway.</w:t>
      </w:r>
    </w:p>
    <w:p w14:paraId="3DDD4C5F" w14:textId="77777777" w:rsidR="00596183" w:rsidRPr="00B479AE" w:rsidRDefault="00596183" w:rsidP="00596183">
      <w:pPr>
        <w:spacing w:line="360" w:lineRule="auto"/>
        <w:rPr>
          <w:rFonts w:ascii="Baskerville Old Face" w:hAnsi="Baskerville Old Face"/>
          <w:b/>
          <w:bCs/>
          <w:i/>
          <w:iCs/>
        </w:rPr>
      </w:pPr>
      <w:r w:rsidRPr="00B479AE">
        <w:rPr>
          <w:rFonts w:ascii="Baskerville Old Face" w:hAnsi="Baskerville Old Face"/>
          <w:b/>
          <w:bCs/>
          <w:i/>
          <w:iCs/>
        </w:rPr>
        <w:t>Operational rule</w:t>
      </w:r>
    </w:p>
    <w:p w14:paraId="6DC7B575"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The operational rule is:</w:t>
      </w:r>
    </w:p>
    <w:p w14:paraId="2189430A"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human-state data may support reflection;</w:t>
      </w:r>
      <w:r w:rsidRPr="00B479AE">
        <w:rPr>
          <w:rFonts w:ascii="Baskerville Old Face" w:hAnsi="Baskerville Old Face"/>
          <w:i/>
          <w:iCs/>
        </w:rPr>
        <w:br/>
        <w:t>it may not become domination.</w:t>
      </w:r>
    </w:p>
    <w:p w14:paraId="29DDA216"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Prometheus may help humans become more coherent.</w:t>
      </w:r>
    </w:p>
    <w:p w14:paraId="369FFC76"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It may not use coherence to decide who is more human.</w:t>
      </w:r>
    </w:p>
    <w:p w14:paraId="32A505DF" w14:textId="77777777" w:rsidR="00596183" w:rsidRPr="00B479AE" w:rsidRDefault="00596183" w:rsidP="00596183">
      <w:pPr>
        <w:spacing w:line="360" w:lineRule="auto"/>
        <w:rPr>
          <w:rFonts w:ascii="Baskerville Old Face" w:hAnsi="Baskerville Old Face"/>
          <w:i/>
          <w:iCs/>
        </w:rPr>
      </w:pPr>
      <w:r w:rsidRPr="00B479AE">
        <w:rPr>
          <w:rFonts w:ascii="Baskerville Old Face" w:hAnsi="Baskerville Old Face"/>
          <w:i/>
          <w:iCs/>
        </w:rPr>
        <w:t>This is the human dignity firewall.</w:t>
      </w:r>
    </w:p>
    <w:p w14:paraId="1DB8A3A2" w14:textId="66FC665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b/>
          <w:bCs/>
          <w:i/>
          <w:iCs/>
        </w:rPr>
        <w:t>Technical Note — Human State Interface Contract</w:t>
      </w:r>
    </w:p>
    <w:p w14:paraId="4F6A3825"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The Human State Interface, or HSI, is the voluntary, privacy-first interface through which human-state data may be represented within Prometheus without becoming coercive, deterministic, or financially authoritative.</w:t>
      </w:r>
    </w:p>
    <w:p w14:paraId="38F8C96B"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Its purpose is not to measure human worth.</w:t>
      </w:r>
    </w:p>
    <w:p w14:paraId="3B53EFE1"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Its purpose is not to rank participants.</w:t>
      </w:r>
    </w:p>
    <w:p w14:paraId="1E2654B2"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Its purpose is not to create a social-credit layer.</w:t>
      </w:r>
    </w:p>
    <w:p w14:paraId="3F8BEEDB"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Its purpose is to create a structured, interoperable, and privacy-preserving contract for representing limited human-state outputs when participants voluntarily choose to use them for self-awareness, reflective governance, stewardship training, or research into decision quality.</w:t>
      </w:r>
    </w:p>
    <w:p w14:paraId="76571841"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b/>
          <w:bCs/>
          <w:i/>
          <w:iCs/>
        </w:rPr>
        <w:t>The need for a canonical human-state contract</w:t>
      </w:r>
    </w:p>
    <w:p w14:paraId="064A6782"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Modern systems increasingly attempt to model aspects of human state: attention, stress, affect, engagement, coherence, fatigue, circadian rhythm, and decision readiness.</w:t>
      </w:r>
    </w:p>
    <w:p w14:paraId="6F719D4C"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These signals may be generated through different devices, applications, models, and methods.</w:t>
      </w:r>
    </w:p>
    <w:p w14:paraId="74AC59DA"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lastRenderedPageBreak/>
        <w:t>Without a shared interface, human-state systems become fragmented, vendor-specific, and difficult to compare.</w:t>
      </w:r>
    </w:p>
    <w:p w14:paraId="12FFFA1B"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They may also become dangerous if privacy, consent, confidence, and time boundaries are not explicit.</w:t>
      </w:r>
    </w:p>
    <w:p w14:paraId="012AA5AB"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HSI addresses this problem by defining a canonical, language-agnostic contract for representing human-state outputs.</w:t>
      </w:r>
    </w:p>
    <w:p w14:paraId="5C224C03"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HSI does not prescribe which sensors must be used.</w:t>
      </w:r>
    </w:p>
    <w:p w14:paraId="2ACB0674"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 does not prescribe which inference algorithm must be used.</w:t>
      </w:r>
    </w:p>
    <w:p w14:paraId="49C35CA4"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 does not prescribe a single device, model, SDK, or vendor.</w:t>
      </w:r>
    </w:p>
    <w:p w14:paraId="66C5EAE0"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 defines the representation layer.</w:t>
      </w:r>
    </w:p>
    <w:p w14:paraId="51D07169"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This allows independent systems to produce, consume, validate, and combine human-state data without collapsing Prometheus into one biometric platform.</w:t>
      </w:r>
    </w:p>
    <w:p w14:paraId="449BA169"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b/>
          <w:bCs/>
          <w:i/>
          <w:iCs/>
        </w:rPr>
        <w:t>Design principles</w:t>
      </w:r>
    </w:p>
    <w:p w14:paraId="218C11F0"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HSI is governed by several principles.</w:t>
      </w:r>
    </w:p>
    <w:p w14:paraId="1598E108"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b/>
          <w:bCs/>
          <w:i/>
          <w:iCs/>
        </w:rPr>
        <w:t>Contract-only by design.</w:t>
      </w:r>
      <w:r w:rsidRPr="00B479AE">
        <w:rPr>
          <w:rFonts w:ascii="Baskerville Old Face" w:hAnsi="Baskerville Old Face"/>
          <w:i/>
          <w:iCs/>
        </w:rPr>
        <w:br/>
        <w:t>HSI defines the interface, not the inference model. Innovation in wearables, HRV analysis, physiological modeling, psychological state modeling, or coherence training can evolve independently without breaking compatibility.</w:t>
      </w:r>
    </w:p>
    <w:p w14:paraId="24FDB644"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b/>
          <w:bCs/>
          <w:i/>
          <w:iCs/>
        </w:rPr>
        <w:t>Time as a first-class concept.</w:t>
      </w:r>
      <w:r w:rsidRPr="00B479AE">
        <w:rPr>
          <w:rFonts w:ascii="Baskerville Old Face" w:hAnsi="Baskerville Old Face"/>
          <w:i/>
          <w:iCs/>
        </w:rPr>
        <w:br/>
        <w:t>Each reading must be scoped to a defined time window. This prevents ambiguity between instantaneous states, short intervals, and aggregated conditions.</w:t>
      </w:r>
    </w:p>
    <w:p w14:paraId="344617AF"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b/>
          <w:bCs/>
          <w:i/>
          <w:iCs/>
        </w:rPr>
        <w:t>Confidence as a required signal.</w:t>
      </w:r>
      <w:r w:rsidRPr="00B479AE">
        <w:rPr>
          <w:rFonts w:ascii="Baskerville Old Face" w:hAnsi="Baskerville Old Face"/>
          <w:i/>
          <w:iCs/>
        </w:rPr>
        <w:br/>
        <w:t>Each reading should include a confidence value. This allows the system to distinguish between strong, weak, partial, noisy, or uncertain signals.</w:t>
      </w:r>
    </w:p>
    <w:p w14:paraId="00076B45"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b/>
          <w:bCs/>
          <w:i/>
          <w:iCs/>
        </w:rPr>
        <w:t>Privacy-first defaults.</w:t>
      </w:r>
      <w:r w:rsidRPr="00B479AE">
        <w:rPr>
          <w:rFonts w:ascii="Baskerville Old Face" w:hAnsi="Baskerville Old Face"/>
          <w:i/>
          <w:iCs/>
        </w:rPr>
        <w:br/>
        <w:t xml:space="preserve">HSI should avoid personally identifiable information by default. Human-state data must be treated as </w:t>
      </w:r>
      <w:r w:rsidRPr="00B479AE">
        <w:rPr>
          <w:rFonts w:ascii="Baskerville Old Face" w:hAnsi="Baskerville Old Face"/>
          <w:i/>
          <w:iCs/>
        </w:rPr>
        <w:lastRenderedPageBreak/>
        <w:t>sensitive. Aggregation, minimization, consent, and privacy boundaries should be built into the data structure.</w:t>
      </w:r>
    </w:p>
    <w:p w14:paraId="37AAEF9D"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b/>
          <w:bCs/>
          <w:i/>
          <w:iCs/>
        </w:rPr>
        <w:t>Strict validation.</w:t>
      </w:r>
      <w:r w:rsidRPr="00B479AE">
        <w:rPr>
          <w:rFonts w:ascii="Baskerville Old Face" w:hAnsi="Baskerville Old Face"/>
          <w:i/>
          <w:iCs/>
        </w:rPr>
        <w:br/>
        <w:t>Malformed, incomplete, non-consented, or non-compliant payloads should not be silently accepted. Human-state data must pass explicit validation before being used in any Prometheus context.</w:t>
      </w:r>
    </w:p>
    <w:p w14:paraId="33B720B2"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b/>
          <w:bCs/>
          <w:i/>
          <w:iCs/>
        </w:rPr>
        <w:t>Separation from financial authority.</w:t>
      </w:r>
      <w:r w:rsidRPr="00B479AE">
        <w:rPr>
          <w:rFonts w:ascii="Baskerville Old Face" w:hAnsi="Baskerville Old Face"/>
          <w:i/>
          <w:iCs/>
        </w:rPr>
        <w:br/>
        <w:t>HSI data must not determine PRU value, ecological validity, investor entitlement, land rights, token rights, or human worth.</w:t>
      </w:r>
    </w:p>
    <w:p w14:paraId="136E18CB"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b/>
          <w:bCs/>
          <w:i/>
          <w:iCs/>
        </w:rPr>
        <w:t>Voluntary participation.</w:t>
      </w:r>
      <w:r w:rsidRPr="00B479AE">
        <w:rPr>
          <w:rFonts w:ascii="Baskerville Old Face" w:hAnsi="Baskerville Old Face"/>
          <w:i/>
          <w:iCs/>
        </w:rPr>
        <w:br/>
        <w:t>No participant should be forced to provide HSI data as a condition of basic belonging, dignity, or access to ordinary participation.</w:t>
      </w:r>
    </w:p>
    <w:p w14:paraId="01B9EC35" w14:textId="1E8830D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b/>
          <w:bCs/>
          <w:i/>
          <w:iCs/>
        </w:rPr>
        <w:t>Integration with the Prometheus kernel</w:t>
      </w:r>
    </w:p>
    <w:p w14:paraId="54A7532B"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Within Prometheus, HSI may serve as a human biolayer: a structured bridge between voluntary human-state signals and the wider governance, stewardship, and learning architecture.</w:t>
      </w:r>
    </w:p>
    <w:p w14:paraId="322E6F04"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Potentially relevant data may include:</w:t>
      </w:r>
    </w:p>
    <w:p w14:paraId="3A65C77E"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HRV-related coherence indicators;</w:t>
      </w:r>
      <w:r w:rsidRPr="00B479AE">
        <w:rPr>
          <w:rFonts w:ascii="Baskerville Old Face" w:hAnsi="Baskerville Old Face"/>
          <w:i/>
          <w:iCs/>
        </w:rPr>
        <w:br/>
        <w:t>• stress or recovery indicators;</w:t>
      </w:r>
      <w:r w:rsidRPr="00B479AE">
        <w:rPr>
          <w:rFonts w:ascii="Baskerville Old Face" w:hAnsi="Baskerville Old Face"/>
          <w:i/>
          <w:iCs/>
        </w:rPr>
        <w:br/>
        <w:t>• attentional state indicators;</w:t>
      </w:r>
      <w:r w:rsidRPr="00B479AE">
        <w:rPr>
          <w:rFonts w:ascii="Baskerville Old Face" w:hAnsi="Baskerville Old Face"/>
          <w:i/>
          <w:iCs/>
        </w:rPr>
        <w:br/>
        <w:t>• circadian or fatigue context;</w:t>
      </w:r>
      <w:r w:rsidRPr="00B479AE">
        <w:rPr>
          <w:rFonts w:ascii="Baskerville Old Face" w:hAnsi="Baskerville Old Face"/>
          <w:i/>
          <w:iCs/>
        </w:rPr>
        <w:br/>
        <w:t>• reflective self-reporting;</w:t>
      </w:r>
      <w:r w:rsidRPr="00B479AE">
        <w:rPr>
          <w:rFonts w:ascii="Baskerville Old Face" w:hAnsi="Baskerville Old Face"/>
          <w:i/>
          <w:iCs/>
        </w:rPr>
        <w:br/>
        <w:t>• consented training or stewardship readiness signals;</w:t>
      </w:r>
      <w:r w:rsidRPr="00B479AE">
        <w:rPr>
          <w:rFonts w:ascii="Baskerville Old Face" w:hAnsi="Baskerville Old Face"/>
          <w:i/>
          <w:iCs/>
        </w:rPr>
        <w:br/>
        <w:t>• aggregated group-coherence indicators for research or governance reflection.</w:t>
      </w:r>
    </w:p>
    <w:p w14:paraId="6DA2FAD9"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This data may support:</w:t>
      </w:r>
    </w:p>
    <w:p w14:paraId="207E3B03"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self-regulation;</w:t>
      </w:r>
      <w:r w:rsidRPr="00B479AE">
        <w:rPr>
          <w:rFonts w:ascii="Baskerville Old Face" w:hAnsi="Baskerville Old Face"/>
          <w:i/>
          <w:iCs/>
        </w:rPr>
        <w:br/>
        <w:t>• coherence training;</w:t>
      </w:r>
      <w:r w:rsidRPr="00B479AE">
        <w:rPr>
          <w:rFonts w:ascii="Baskerville Old Face" w:hAnsi="Baskerville Old Face"/>
          <w:i/>
          <w:iCs/>
        </w:rPr>
        <w:br/>
        <w:t>• stewardship preparation;</w:t>
      </w:r>
      <w:r w:rsidRPr="00B479AE">
        <w:rPr>
          <w:rFonts w:ascii="Baskerville Old Face" w:hAnsi="Baskerville Old Face"/>
          <w:i/>
          <w:iCs/>
        </w:rPr>
        <w:br/>
        <w:t>• reflective governance;</w:t>
      </w:r>
      <w:r w:rsidRPr="00B479AE">
        <w:rPr>
          <w:rFonts w:ascii="Baskerville Old Face" w:hAnsi="Baskerville Old Face"/>
          <w:i/>
          <w:iCs/>
        </w:rPr>
        <w:br/>
        <w:t>• conflict-awareness processes;</w:t>
      </w:r>
      <w:r w:rsidRPr="00B479AE">
        <w:rPr>
          <w:rFonts w:ascii="Baskerville Old Face" w:hAnsi="Baskerville Old Face"/>
          <w:i/>
          <w:iCs/>
        </w:rPr>
        <w:br/>
      </w:r>
      <w:r w:rsidRPr="00B479AE">
        <w:rPr>
          <w:rFonts w:ascii="Baskerville Old Face" w:hAnsi="Baskerville Old Face"/>
          <w:i/>
          <w:iCs/>
        </w:rPr>
        <w:lastRenderedPageBreak/>
        <w:t>• research into the relationship between human state and decision quality;</w:t>
      </w:r>
      <w:r w:rsidRPr="00B479AE">
        <w:rPr>
          <w:rFonts w:ascii="Baskerville Old Face" w:hAnsi="Baskerville Old Face"/>
          <w:i/>
          <w:iCs/>
        </w:rPr>
        <w:br/>
        <w:t>• non-coercive community learning.</w:t>
      </w:r>
    </w:p>
    <w:p w14:paraId="25AAB663"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 must not support:</w:t>
      </w:r>
    </w:p>
    <w:p w14:paraId="2123B4B5" w14:textId="24EC83DD"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human ranking;</w:t>
      </w:r>
      <w:r w:rsidRPr="00B479AE">
        <w:rPr>
          <w:rFonts w:ascii="Baskerville Old Face" w:hAnsi="Baskerville Old Face"/>
          <w:i/>
          <w:iCs/>
        </w:rPr>
        <w:br/>
        <w:t>• coercive scoring;</w:t>
      </w:r>
      <w:r w:rsidRPr="00B479AE">
        <w:rPr>
          <w:rFonts w:ascii="Baskerville Old Face" w:hAnsi="Baskerville Old Face"/>
          <w:i/>
          <w:iCs/>
        </w:rPr>
        <w:br/>
        <w:t>• exclusion by biometric profile;</w:t>
      </w:r>
      <w:r w:rsidRPr="00B479AE">
        <w:rPr>
          <w:rFonts w:ascii="Baskerville Old Face" w:hAnsi="Baskerville Old Face"/>
          <w:i/>
          <w:iCs/>
        </w:rPr>
        <w:br/>
        <w:t>• automatic governance authority;</w:t>
      </w:r>
      <w:r w:rsidRPr="00B479AE">
        <w:rPr>
          <w:rFonts w:ascii="Baskerville Old Face" w:hAnsi="Baskerville Old Face"/>
          <w:i/>
          <w:iCs/>
        </w:rPr>
        <w:br/>
        <w:t>• financial value attribution;</w:t>
      </w:r>
      <w:r w:rsidRPr="00B479AE">
        <w:rPr>
          <w:rFonts w:ascii="Baskerville Old Face" w:hAnsi="Baskerville Old Face"/>
          <w:i/>
          <w:iCs/>
        </w:rPr>
        <w:br/>
        <w:t xml:space="preserve">• </w:t>
      </w:r>
      <w:r w:rsidR="00BF1A97" w:rsidRPr="00B479AE">
        <w:rPr>
          <w:rFonts w:ascii="Baskerville Old Face" w:hAnsi="Baskerville Old Face"/>
          <w:i/>
          <w:iCs/>
        </w:rPr>
        <w:t>PRU value analysis</w:t>
      </w:r>
      <w:r w:rsidRPr="00B479AE">
        <w:rPr>
          <w:rFonts w:ascii="Baskerville Old Face" w:hAnsi="Baskerville Old Face"/>
          <w:i/>
          <w:iCs/>
        </w:rPr>
        <w:t>;</w:t>
      </w:r>
      <w:r w:rsidRPr="00B479AE">
        <w:rPr>
          <w:rFonts w:ascii="Baskerville Old Face" w:hAnsi="Baskerville Old Face"/>
          <w:i/>
          <w:iCs/>
        </w:rPr>
        <w:br/>
        <w:t>• investor rights;</w:t>
      </w:r>
      <w:r w:rsidRPr="00B479AE">
        <w:rPr>
          <w:rFonts w:ascii="Baskerville Old Face" w:hAnsi="Baskerville Old Face"/>
          <w:i/>
          <w:iCs/>
        </w:rPr>
        <w:br/>
        <w:t>• ecological claim validation.</w:t>
      </w:r>
    </w:p>
    <w:p w14:paraId="71D834D4"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The boundary is simple:</w:t>
      </w:r>
    </w:p>
    <w:p w14:paraId="0E6FA83F"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measurable physiology may inform participation context;</w:t>
      </w:r>
    </w:p>
    <w:p w14:paraId="6C963CD8"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participation context may inform governance reflection;</w:t>
      </w:r>
    </w:p>
    <w:p w14:paraId="5AA92101"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governance reflection may support system maturity;</w:t>
      </w:r>
    </w:p>
    <w:p w14:paraId="25640AFE"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only verified ecological evidence may support regenerative asset value.</w:t>
      </w:r>
    </w:p>
    <w:p w14:paraId="0A066DC5"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b/>
          <w:bCs/>
          <w:i/>
          <w:iCs/>
        </w:rPr>
        <w:t>Simplified HSI payload structure</w:t>
      </w:r>
    </w:p>
    <w:p w14:paraId="33ADDA96"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A simplified HSI payload may include:</w:t>
      </w:r>
    </w:p>
    <w:p w14:paraId="2FA772ED"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w:t>
      </w:r>
    </w:p>
    <w:p w14:paraId="45F0BE0C"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xml:space="preserve">  "observed_at_utc": "2026-02-13T10:00:00Z",</w:t>
      </w:r>
    </w:p>
    <w:p w14:paraId="3FB7A4EE"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xml:space="preserve">  "window": {</w:t>
      </w:r>
    </w:p>
    <w:p w14:paraId="033F1EBF"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xml:space="preserve">    "start_utc": "2026-02-13T09:45:00Z",</w:t>
      </w:r>
    </w:p>
    <w:p w14:paraId="278B4886"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xml:space="preserve">    "end_utc": "2026-02-13T10:00:00Z"</w:t>
      </w:r>
    </w:p>
    <w:p w14:paraId="256A0CEF"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xml:space="preserve">  },</w:t>
      </w:r>
    </w:p>
    <w:p w14:paraId="707EE58B"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xml:space="preserve">  "source": {</w:t>
      </w:r>
    </w:p>
    <w:p w14:paraId="4F38F297"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lastRenderedPageBreak/>
        <w:t xml:space="preserve">    "producer_type": "wearable_or_app",</w:t>
      </w:r>
    </w:p>
    <w:p w14:paraId="56BF76AD"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xml:space="preserve">    "method_version": "v1.0"</w:t>
      </w:r>
    </w:p>
    <w:p w14:paraId="0A38B34D"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xml:space="preserve">  },</w:t>
      </w:r>
    </w:p>
    <w:p w14:paraId="3C434C64"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xml:space="preserve">  "axes": {</w:t>
      </w:r>
    </w:p>
    <w:p w14:paraId="7CD673BD"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xml:space="preserve">    "coherence": {</w:t>
      </w:r>
    </w:p>
    <w:p w14:paraId="4A230A94"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xml:space="preserve">      "hrv_coherence": {</w:t>
      </w:r>
    </w:p>
    <w:p w14:paraId="3D599F6A"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xml:space="preserve">        "value": 72,</w:t>
      </w:r>
    </w:p>
    <w:p w14:paraId="32458292"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xml:space="preserve">        "confidence": 0.90</w:t>
      </w:r>
    </w:p>
    <w:p w14:paraId="2FAEE572"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xml:space="preserve">      }</w:t>
      </w:r>
    </w:p>
    <w:p w14:paraId="63A5080D"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xml:space="preserve">    }</w:t>
      </w:r>
    </w:p>
    <w:p w14:paraId="4D32B90F"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xml:space="preserve">  },</w:t>
      </w:r>
    </w:p>
    <w:p w14:paraId="2DF2423A"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xml:space="preserve">  "privacy": {</w:t>
      </w:r>
    </w:p>
    <w:p w14:paraId="41E37360"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xml:space="preserve">    "no_pii": true,</w:t>
      </w:r>
    </w:p>
    <w:p w14:paraId="4DCE0E94"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xml:space="preserve">    "consent_scope": "self_reflection_and_governance_research",</w:t>
      </w:r>
    </w:p>
    <w:p w14:paraId="75122266"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xml:space="preserve">    "retention_policy": "time_limited"</w:t>
      </w:r>
    </w:p>
    <w:p w14:paraId="53BE8CB4"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 xml:space="preserve">  }</w:t>
      </w:r>
    </w:p>
    <w:p w14:paraId="5028B3BA"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w:t>
      </w:r>
    </w:p>
    <w:p w14:paraId="4483B459"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This structure is intentionally minimal.</w:t>
      </w:r>
    </w:p>
    <w:p w14:paraId="0BAA82A4"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The point is not to over-specify the human being.</w:t>
      </w:r>
    </w:p>
    <w:p w14:paraId="27628BEC"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The point is to define enough structure to preserve consent, time, confidence, privacy, and interoperability.</w:t>
      </w:r>
    </w:p>
    <w:p w14:paraId="0A9E9502"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b/>
          <w:bCs/>
          <w:i/>
          <w:iCs/>
        </w:rPr>
        <w:t>The heart as cognitive and physiological infrastructure</w:t>
      </w:r>
    </w:p>
    <w:p w14:paraId="00C73104"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lastRenderedPageBreak/>
        <w:t>Prometheus treats the heart not as a mystical authority, but as a physiological signal generator within an integrated human organism.</w:t>
      </w:r>
    </w:p>
    <w:p w14:paraId="74B01E46"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The heart, nervous system, brain, breath, endocrine system, and emotional state participate in dynamic feedback.</w:t>
      </w:r>
    </w:p>
    <w:p w14:paraId="238649A3"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Research on heart-rate variability, neurocardiology, psychophysiological coherence, and autonomic regulation suggests that physiological coherence may be associated with improved emotional regulation, attention, stress recovery, and decision conditions.</w:t>
      </w:r>
    </w:p>
    <w:p w14:paraId="71C3A7F0"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Within Prometheus, this insight is used conservatively.</w:t>
      </w:r>
    </w:p>
    <w:p w14:paraId="7A0E8517"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Physiological coherence may support better participation conditions, including attention, emotional regulation, and deliberative quality.</w:t>
      </w:r>
    </w:p>
    <w:p w14:paraId="1A14BA92"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 does not convert coherence into financial authority.</w:t>
      </w:r>
    </w:p>
    <w:p w14:paraId="28462638"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 does not make a person more worthy.</w:t>
      </w:r>
    </w:p>
    <w:p w14:paraId="2634E825"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 does not create investor ranking.</w:t>
      </w:r>
    </w:p>
    <w:p w14:paraId="56BA96F3"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 does not replace governance rules.</w:t>
      </w:r>
    </w:p>
    <w:p w14:paraId="4F3DDB5E"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 does not replace ecological verification.</w:t>
      </w:r>
    </w:p>
    <w:p w14:paraId="13157EFE"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 allows HSI data, where voluntarily provided and properly validated, to support reflective governance, stewardship training, and research into the relationship between human state and decision quality.</w:t>
      </w:r>
    </w:p>
    <w:p w14:paraId="3AB58195"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b/>
          <w:bCs/>
          <w:i/>
          <w:iCs/>
        </w:rPr>
        <w:t>Electromagnetic Analogy and Scientific Boundary</w:t>
      </w:r>
    </w:p>
    <w:p w14:paraId="60390A84"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The Human State Interface may also be framed through a conservative electromagnetic analogy.</w:t>
      </w:r>
    </w:p>
    <w:p w14:paraId="07555E8C"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In physics, the Zeeman effect shows that magnetic fields can alter the measurable spectral structure of atomic systems.</w:t>
      </w:r>
    </w:p>
    <w:p w14:paraId="7118C63F"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The Stark effect shows that electric fields can alter the measurable spectral structure of atomic systems.</w:t>
      </w:r>
    </w:p>
    <w:p w14:paraId="5E7A513A"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lastRenderedPageBreak/>
        <w:t>These effects demonstrate a general scientific principle: fields can interact with matter in ways that become observable through disciplined measurement.</w:t>
      </w:r>
    </w:p>
    <w:p w14:paraId="158AFF1B"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Prometheus does not extend this principle into an unsupported claim that human cardiac fields determine ecological value, financial value, governance rights, investor rights, or interpersonal outcomes.</w:t>
      </w:r>
    </w:p>
    <w:p w14:paraId="10696AE8"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The analogy is used only to clarify why measurable physiological fields, rhythms, and coherence patterns may deserve structured observation within a voluntary human-state interface.</w:t>
      </w:r>
    </w:p>
    <w:p w14:paraId="3736ED52"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Within Prometheus, the heart is therefore not treated as an oracle.</w:t>
      </w:r>
    </w:p>
    <w:p w14:paraId="513B2E9E"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 is treated as one important physiological source of signals that may provide useful information about stress, coherence, attention, emotional regulation, and participation quality.</w:t>
      </w:r>
    </w:p>
    <w:p w14:paraId="66783658"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Research on HRV, neurocardiology, psychophysiological coherence, and cardio-electromagnetic communication may inform the design of HSI as an optional research and governance-support layer.</w:t>
      </w:r>
    </w:p>
    <w:p w14:paraId="2CC9AABB"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However, HSI data remains strictly bounded.</w:t>
      </w:r>
    </w:p>
    <w:p w14:paraId="4FA79CD4"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 does not determine ecological validity.</w:t>
      </w:r>
    </w:p>
    <w:p w14:paraId="6C384322"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 does not authorize PRU value.</w:t>
      </w:r>
    </w:p>
    <w:p w14:paraId="4574728D"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 does not create investor entitlement.</w:t>
      </w:r>
    </w:p>
    <w:p w14:paraId="1F5B6729"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 does not replace MRV.</w:t>
      </w:r>
    </w:p>
    <w:p w14:paraId="109164DE"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 does not rank human worth.</w:t>
      </w:r>
    </w:p>
    <w:p w14:paraId="34D74B60"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 does not operate as a social-credit system.</w:t>
      </w:r>
    </w:p>
    <w:p w14:paraId="42737A97"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Its function is to support reflective participation, coherence training, governance maturity, and research into the relationship between human state, decision quality, and stewardship behavior.</w:t>
      </w:r>
    </w:p>
    <w:p w14:paraId="6332CF17" w14:textId="77777777" w:rsidR="0059048F" w:rsidRPr="00B479AE" w:rsidRDefault="0059048F" w:rsidP="0059048F">
      <w:pPr>
        <w:spacing w:line="360" w:lineRule="auto"/>
        <w:rPr>
          <w:rFonts w:ascii="Baskerville Old Face" w:hAnsi="Baskerville Old Face"/>
          <w:i/>
          <w:iCs/>
        </w:rPr>
      </w:pPr>
      <w:r w:rsidRPr="00B479AE">
        <w:rPr>
          <w:rFonts w:ascii="Baskerville Old Face" w:hAnsi="Baskerville Old Face"/>
          <w:i/>
          <w:iCs/>
        </w:rPr>
        <w:t>This boundary allows Prometheus to remain open to frontier science without allowing frontier hypotheses to contaminate financial admissibility.</w:t>
      </w:r>
    </w:p>
    <w:p w14:paraId="567140F7" w14:textId="77777777" w:rsidR="007E454C" w:rsidRDefault="007E454C" w:rsidP="00305A28">
      <w:pPr>
        <w:spacing w:line="360" w:lineRule="auto"/>
        <w:rPr>
          <w:rFonts w:ascii="Baskerville Old Face" w:hAnsi="Baskerville Old Face"/>
          <w:b/>
          <w:bCs/>
          <w:i/>
          <w:iCs/>
        </w:rPr>
      </w:pPr>
    </w:p>
    <w:p w14:paraId="1EF13370" w14:textId="77777777" w:rsidR="007E454C" w:rsidRDefault="007E454C" w:rsidP="00305A28">
      <w:pPr>
        <w:spacing w:line="360" w:lineRule="auto"/>
        <w:rPr>
          <w:rFonts w:ascii="Baskerville Old Face" w:hAnsi="Baskerville Old Face"/>
          <w:b/>
          <w:bCs/>
          <w:i/>
          <w:iCs/>
        </w:rPr>
      </w:pPr>
    </w:p>
    <w:p w14:paraId="420B3C96" w14:textId="51D6225D"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lastRenderedPageBreak/>
        <w:t>From aspiration to architecture</w:t>
      </w:r>
    </w:p>
    <w:p w14:paraId="44202AB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Throughout history, freedom, responsibility, cooperation, and stewardship have often been described as ideals.</w:t>
      </w:r>
    </w:p>
    <w:p w14:paraId="2114BC9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They have been invoked in spiritual traditions, political systems, ethical philosophies, and constitutional frameworks.</w:t>
      </w:r>
    </w:p>
    <w:p w14:paraId="33932F6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Yet ideals remain fragile when they are not supported by infrastructure.</w:t>
      </w:r>
    </w:p>
    <w:p w14:paraId="308ED17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Freedom without responsibility can become extraction.</w:t>
      </w:r>
    </w:p>
    <w:p w14:paraId="7205D76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Responsibility without freedom can become submission.</w:t>
      </w:r>
    </w:p>
    <w:p w14:paraId="6524A3B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Technology without ethics can become control.</w:t>
      </w:r>
    </w:p>
    <w:p w14:paraId="49A8961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Capital without ecological limits can become depletion.</w:t>
      </w:r>
    </w:p>
    <w:p w14:paraId="6392D38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Governance without transparency can become capture.</w:t>
      </w:r>
    </w:p>
    <w:p w14:paraId="12CB01A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Regeneration requires a third path: voluntary alignment with living systems, supported by structures that make coherent behavior easier to sustain over time.</w:t>
      </w:r>
    </w:p>
    <w:p w14:paraId="110BEC7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therefore translates aspiration into architecture.</w:t>
      </w:r>
    </w:p>
    <w:p w14:paraId="117B67E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does not rely only on goodwill.</w:t>
      </w:r>
    </w:p>
    <w:p w14:paraId="464EA8A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creates structures that support evidence, feedback, stewardship, governance maturity, and accountability.</w:t>
      </w:r>
    </w:p>
    <w:p w14:paraId="52A8889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includes:</w:t>
      </w:r>
    </w:p>
    <w:p w14:paraId="268D3A7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constitutional constraints;</w:t>
      </w:r>
    </w:p>
    <w:p w14:paraId="1307A0E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verification-first processes;</w:t>
      </w:r>
    </w:p>
    <w:p w14:paraId="26B4529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agent-centric data sovereignty;</w:t>
      </w:r>
    </w:p>
    <w:p w14:paraId="6ED1968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transparent value accounting;</w:t>
      </w:r>
    </w:p>
    <w:p w14:paraId="7988251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multi-stakeholder governance;</w:t>
      </w:r>
    </w:p>
    <w:p w14:paraId="7704976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 bounded pilot implementation;</w:t>
      </w:r>
    </w:p>
    <w:p w14:paraId="0630805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reviewable evidence chains;</w:t>
      </w:r>
    </w:p>
    <w:p w14:paraId="0DB764B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capital structures linked to verified performance.</w:t>
      </w:r>
    </w:p>
    <w:p w14:paraId="4F9E95C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In this architecture, freedom becomes more than an abstract right.</w:t>
      </w:r>
    </w:p>
    <w:p w14:paraId="11E56F2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becomes the capacity to participate in systems that do not force human beings to choose between survival and ecological integrity.</w:t>
      </w:r>
    </w:p>
    <w:p w14:paraId="29E50B6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Structural sovereignty</w:t>
      </w:r>
    </w:p>
    <w:p w14:paraId="52F3FE2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Structural sovereignty refers to the degree to which individuals and communities possess meaningful participation in the infrastructures upon which they depend.</w:t>
      </w:r>
    </w:p>
    <w:p w14:paraId="756B23A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includes access to land, data, identity, governance, productive resources, and digital coordination systems.</w:t>
      </w:r>
    </w:p>
    <w:p w14:paraId="2A43513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When these infrastructures are centralized, opaque, or extractive, participants may appear free while remaining dependent on systems they cannot understand, influence, or exit.</w:t>
      </w:r>
    </w:p>
    <w:p w14:paraId="738FE14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strengthens structural sovereignty through agent-centric digital infrastructure, distributed validation, local stewardship, and governance models that preserve participant agency.</w:t>
      </w:r>
    </w:p>
    <w:p w14:paraId="71C25E5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objective is not isolation.</w:t>
      </w:r>
    </w:p>
    <w:p w14:paraId="48AB4CD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objective is participation without capture.</w:t>
      </w:r>
    </w:p>
    <w:p w14:paraId="6EAF7DF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regenerative system requires people and communities to remain connected to the sources of their own value: land, food, water, data, relationships, and decision processes.</w:t>
      </w:r>
    </w:p>
    <w:p w14:paraId="5D81415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Decision sovereignty</w:t>
      </w:r>
    </w:p>
    <w:p w14:paraId="42B5100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Decision sovereignty concerns alignment between declared values and actual behavior.</w:t>
      </w:r>
    </w:p>
    <w:p w14:paraId="3733EF4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Many systems declare sustainability while financing depletion.</w:t>
      </w:r>
    </w:p>
    <w:p w14:paraId="5E7016E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Many institutions declare care while externalizing harm.</w:t>
      </w:r>
    </w:p>
    <w:p w14:paraId="0D2B125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Many individuals declare ecological responsibility while remaining trapped in infrastructures that reward the opposite.</w:t>
      </w:r>
    </w:p>
    <w:p w14:paraId="486AF0C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Decision sovereignty therefore asks whether choices are aligned with the principles that a system claims to serve.</w:t>
      </w:r>
    </w:p>
    <w:p w14:paraId="49A3574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In Prometheus, decision sovereignty is supported through visibility, feedback, and governance discipline.</w:t>
      </w:r>
    </w:p>
    <w:p w14:paraId="1A585B5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Participants are not merely asked to believe in regeneration.</w:t>
      </w:r>
    </w:p>
    <w:p w14:paraId="4AB41D6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They are invited to observe whether their actions contribute to it.</w:t>
      </w:r>
    </w:p>
    <w:p w14:paraId="7AD9A0C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turns governance from ideological assertion into developmental feedback.</w:t>
      </w:r>
    </w:p>
    <w:p w14:paraId="09F91B3B" w14:textId="0E597EB1"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Resilience sovereignty</w:t>
      </w:r>
    </w:p>
    <w:p w14:paraId="3496578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Resilience sovereignty refers to the capacity of individuals, communities, and territories to reorganize under stress without losing coherence.</w:t>
      </w:r>
    </w:p>
    <w:p w14:paraId="06A8157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includes ecological resilience, economic diversification, social trust, adaptive governance, and the capacity to learn from disturbance.</w:t>
      </w:r>
    </w:p>
    <w:p w14:paraId="794BED5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community with high resilience sovereignty can face drought, market shifts, supply disruptions, governance tensions, or operational difficulties without collapsing into extraction or fragmentation.</w:t>
      </w:r>
    </w:p>
    <w:p w14:paraId="70DBFEA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supports resilience sovereignty through diversified regenerative units, local production, distributed infrastructure, MRV feedback, and portfolio logic.</w:t>
      </w:r>
    </w:p>
    <w:p w14:paraId="42C5891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Resilience is not treated as a slogan.</w:t>
      </w:r>
    </w:p>
    <w:p w14:paraId="2F29F0C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becomes observable through system behavior over time.</w:t>
      </w:r>
    </w:p>
    <w:p w14:paraId="7706FAE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Relational sovereignty</w:t>
      </w:r>
    </w:p>
    <w:p w14:paraId="61D540D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Relational sovereignty reflects the quality of relationships within and between communities.</w:t>
      </w:r>
    </w:p>
    <w:p w14:paraId="4D267EB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Living systems demonstrate that resilience depends on cooperation, mutualism, redundancy, trust, and distributed contribution.</w:t>
      </w:r>
    </w:p>
    <w:p w14:paraId="58D7BB7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Human systems follow the same pattern.</w:t>
      </w:r>
    </w:p>
    <w:p w14:paraId="673FE30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A regenerative economy cannot be sustained by isolated actors maximizing private extraction.</w:t>
      </w:r>
    </w:p>
    <w:p w14:paraId="18F4733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requires relational fields capable of sharing knowledge, coordinating action, resolving conflict, protecting common resources, and circulating value.</w:t>
      </w:r>
    </w:p>
    <w:p w14:paraId="74F57E6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supports relational sovereignty through Stewardship Circles, participant governance, transparent value flows, and contribution-based coordination.</w:t>
      </w:r>
    </w:p>
    <w:p w14:paraId="08FF9C8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goal is not centralized harmony.</w:t>
      </w:r>
    </w:p>
    <w:p w14:paraId="512394D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goal is resilient cooperation.</w:t>
      </w:r>
    </w:p>
    <w:p w14:paraId="5D12F598" w14:textId="24CDF416"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The Sovereignty Coherence Index</w:t>
      </w:r>
    </w:p>
    <w:p w14:paraId="3B64A61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Sovereignty Coherence Index, or SCI, is introduced as a diagnostic instrument within the Prometheus framework.</w:t>
      </w:r>
    </w:p>
    <w:p w14:paraId="1F45242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Its purpose is to help individuals, communities, and governance structures observe the alignment between behavior, infrastructure, participation, and regenerative responsibility.</w:t>
      </w:r>
    </w:p>
    <w:p w14:paraId="3A8833B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SCI is not a mechanism of domination.</w:t>
      </w:r>
    </w:p>
    <w:p w14:paraId="163608D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is not a social-credit system.</w:t>
      </w:r>
    </w:p>
    <w:p w14:paraId="31FE13D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is not a financial collateral substitute.</w:t>
      </w:r>
    </w:p>
    <w:p w14:paraId="7B4D1DD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is not a centralized authority assigning moral worth.</w:t>
      </w:r>
    </w:p>
    <w:p w14:paraId="587E940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functions as a reflective map of coherence.</w:t>
      </w:r>
    </w:p>
    <w:p w14:paraId="0B02939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SCI may observe dimensions such as:</w:t>
      </w:r>
    </w:p>
    <w:p w14:paraId="7CE3B0C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structural sovereignty;</w:t>
      </w:r>
    </w:p>
    <w:p w14:paraId="4602E99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decision sovereignty;</w:t>
      </w:r>
    </w:p>
    <w:p w14:paraId="78C7169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resilience sovereignty;</w:t>
      </w:r>
    </w:p>
    <w:p w14:paraId="08BACAE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relational sovereignty;</w:t>
      </w:r>
    </w:p>
    <w:p w14:paraId="0106687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governance participation;</w:t>
      </w:r>
    </w:p>
    <w:p w14:paraId="6DE27CB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 contribution quality;</w:t>
      </w:r>
    </w:p>
    <w:p w14:paraId="24D6558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consistency between declared values and system actions;</w:t>
      </w:r>
    </w:p>
    <w:p w14:paraId="4D9B656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capacity to preserve coherence under stress.</w:t>
      </w:r>
    </w:p>
    <w:p w14:paraId="5D8EAA1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Its function is developmental rather than punitive.</w:t>
      </w:r>
    </w:p>
    <w:p w14:paraId="4520F81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Participants and communities can use SCI-related insights to understand where alignment is strong, where fragility exists, and where governance maturity can improve.</w:t>
      </w:r>
    </w:p>
    <w:p w14:paraId="1CDB921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In institutional terms, SCI may support governance eligibility, incentive modulation, risk awareness, and system maturity tracking.</w:t>
      </w:r>
    </w:p>
    <w:p w14:paraId="2E7FFAC9" w14:textId="1BC524AE"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 xml:space="preserve">It should remain distinct from MRV integrity, </w:t>
      </w:r>
      <w:r w:rsidR="00BF1A97" w:rsidRPr="00B479AE">
        <w:rPr>
          <w:rFonts w:ascii="Baskerville Old Face" w:hAnsi="Baskerville Old Face"/>
          <w:i/>
          <w:iCs/>
        </w:rPr>
        <w:t>PRU value analysis</w:t>
      </w:r>
      <w:r w:rsidRPr="00B479AE">
        <w:rPr>
          <w:rFonts w:ascii="Baskerville Old Face" w:hAnsi="Baskerville Old Face"/>
          <w:i/>
          <w:iCs/>
        </w:rPr>
        <w:t>, legal rights, and direct financial entitlement.</w:t>
      </w:r>
    </w:p>
    <w:p w14:paraId="7EC4AB9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separation preserves credibility.</w:t>
      </w:r>
    </w:p>
    <w:p w14:paraId="59F8818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Human coherence can inform governance.</w:t>
      </w:r>
    </w:p>
    <w:p w14:paraId="2D8DC34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Ecological evidence must govern ecological value.</w:t>
      </w:r>
    </w:p>
    <w:p w14:paraId="32894D3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Maturity before power</w:t>
      </w:r>
    </w:p>
    <w:p w14:paraId="5864095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Regenerative governance requires maturity before power.</w:t>
      </w:r>
    </w:p>
    <w:p w14:paraId="10C6A6E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Power without maturity destabilizes systems.</w:t>
      </w:r>
    </w:p>
    <w:p w14:paraId="2FFD6EB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Capital without restraint extracts.</w:t>
      </w:r>
    </w:p>
    <w:p w14:paraId="288C4B6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Governance without self-awareness captures.</w:t>
      </w:r>
    </w:p>
    <w:p w14:paraId="2936673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Technology without responsibility centralizes.</w:t>
      </w:r>
    </w:p>
    <w:p w14:paraId="27239CC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therefore treats participation as a process of maturation.</w:t>
      </w:r>
    </w:p>
    <w:p w14:paraId="1C423D4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does not mean exclusion from the system.</w:t>
      </w:r>
    </w:p>
    <w:p w14:paraId="3436D05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means that responsibility expands as coherence, contribution, and demonstrated stewardship mature.</w:t>
      </w:r>
    </w:p>
    <w:p w14:paraId="35E2C4B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Living systems follow a similar pattern.</w:t>
      </w:r>
    </w:p>
    <w:p w14:paraId="57A15BA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forest does not become complex in one season.</w:t>
      </w:r>
    </w:p>
    <w:p w14:paraId="6446C25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Soil does not become fertile by declaration.</w:t>
      </w:r>
    </w:p>
    <w:p w14:paraId="099AF3F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Mycorrhizal networks do not appear because a plan demands them.</w:t>
      </w:r>
    </w:p>
    <w:p w14:paraId="188E8C4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They emerge through time, relationship, feedback, and conditions that allow complexity to stabilize.</w:t>
      </w:r>
    </w:p>
    <w:p w14:paraId="2FA813B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Human governance in Prometheus follows the same logic.</w:t>
      </w:r>
    </w:p>
    <w:p w14:paraId="5E09862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Authority should grow with coherence.</w:t>
      </w:r>
    </w:p>
    <w:p w14:paraId="2E6D9B1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Influence should grow with contribution.</w:t>
      </w:r>
    </w:p>
    <w:p w14:paraId="3DE33E9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Rights should be linked to responsibility.</w:t>
      </w:r>
    </w:p>
    <w:p w14:paraId="51E4BEA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Participation should deepen through practice.</w:t>
      </w:r>
    </w:p>
    <w:p w14:paraId="4F74104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Cooperation as evolutionary strategy</w:t>
      </w:r>
    </w:p>
    <w:p w14:paraId="32A118F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Biological systems demonstrate that cooperation is not sentimental.</w:t>
      </w:r>
    </w:p>
    <w:p w14:paraId="69474C7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is strategic.</w:t>
      </w:r>
    </w:p>
    <w:p w14:paraId="6F4C51E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Mutualistic relationships between plants and fungi, flowers and pollinators, soil organisms and roots, predators and prey, and diverse species within ecosystems all contribute to resilience.</w:t>
      </w:r>
    </w:p>
    <w:p w14:paraId="5DF0113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Competition exists in nature, but it is embedded within larger webs of interdependence.</w:t>
      </w:r>
    </w:p>
    <w:p w14:paraId="5DD171A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Systems dominated only by extraction and competition become fragile.</w:t>
      </w:r>
    </w:p>
    <w:p w14:paraId="4700F0A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Systems capable of cooperation, reciprocity, and feedback can generate surplus without degrading their own foundations.</w:t>
      </w:r>
    </w:p>
    <w:p w14:paraId="0A1BFA6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Human systems mirror this pattern.</w:t>
      </w:r>
    </w:p>
    <w:p w14:paraId="6E60FCF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Trust, listening, mutual care, shared learning, and cooperative governance are not soft values outside the economy.</w:t>
      </w:r>
    </w:p>
    <w:p w14:paraId="19D512CE"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They are infrastructure for long-term coordination.</w:t>
      </w:r>
    </w:p>
    <w:p w14:paraId="1E3F2D8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Prometheus therefore treats cooperation as a design principle.</w:t>
      </w:r>
    </w:p>
    <w:p w14:paraId="78C31CF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Not imposed cooperation.</w:t>
      </w:r>
    </w:p>
    <w:p w14:paraId="703BFA8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Not naïve harmony.</w:t>
      </w:r>
    </w:p>
    <w:p w14:paraId="480757E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But structured, verifiable, role-based cooperation aligned with living-system performance.</w:t>
      </w:r>
    </w:p>
    <w:p w14:paraId="5CC2FAD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The ethical roots of Prometheus</w:t>
      </w:r>
    </w:p>
    <w:p w14:paraId="3F1D514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is grounded in a simple ethical recognition:</w:t>
      </w:r>
    </w:p>
    <w:p w14:paraId="62C529A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life does not flourish in isolation.</w:t>
      </w:r>
    </w:p>
    <w:p w14:paraId="40DCB3D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river moves water beyond itself.</w:t>
      </w:r>
    </w:p>
    <w:p w14:paraId="6DECA28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tree gives fruit and shade beyond itself.</w:t>
      </w:r>
    </w:p>
    <w:p w14:paraId="2A236025"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soil feeds life by receiving what falls back into it.</w:t>
      </w:r>
    </w:p>
    <w:p w14:paraId="2A2C3C4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sun radiates without possession.</w:t>
      </w:r>
    </w:p>
    <w:p w14:paraId="7E11BC5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Living systems reveal a law of generative circulation.</w:t>
      </w:r>
    </w:p>
    <w:p w14:paraId="0973778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Value circulates before it accumulates.</w:t>
      </w:r>
    </w:p>
    <w:p w14:paraId="2DBD3DC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Regeneration begins when human systems learn to participate in that circulation without interrupting it.</w:t>
      </w:r>
    </w:p>
    <w:p w14:paraId="4FF6C21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ethical root gives Prometheus its direction.</w:t>
      </w:r>
    </w:p>
    <w:p w14:paraId="488005C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framework is not built to maximize extraction under a green label.</w:t>
      </w:r>
    </w:p>
    <w:p w14:paraId="726A89F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is built to support a sacred pact with Earth, future generations, children, families, communities, and all beings capable of participating in life-enhancing systems.</w:t>
      </w:r>
    </w:p>
    <w:p w14:paraId="7C3ADCE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pact becomes operational when it is translated into rules, governance, MRV, capital discipline, and implementation boundaries.</w:t>
      </w:r>
    </w:p>
    <w:p w14:paraId="7939A1F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Ethics become infrastructure when they shape what the system is allowed to do.</w:t>
      </w:r>
    </w:p>
    <w:p w14:paraId="3306AFE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Human infrastructure as capital-market discipline</w:t>
      </w:r>
    </w:p>
    <w:p w14:paraId="22964B6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At first glance, human infrastructure may appear distant from capital markets.</w:t>
      </w:r>
    </w:p>
    <w:p w14:paraId="7AD7107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In reality, it is central to long-duration investment.</w:t>
      </w:r>
    </w:p>
    <w:p w14:paraId="279ECC7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Institutional capital depends on governance quality, operational discipline, execution reliability, trust, transparency, and the capacity to manage complexity over time.</w:t>
      </w:r>
    </w:p>
    <w:p w14:paraId="1215DB9A"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All of these are human infrastructure variables.</w:t>
      </w:r>
    </w:p>
    <w:p w14:paraId="6B966089"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regenerative asset can fail if stewardship is weak.</w:t>
      </w:r>
    </w:p>
    <w:p w14:paraId="03024D7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PRU methodology can lose credibility if governance becomes inflated.</w:t>
      </w:r>
    </w:p>
    <w:p w14:paraId="0A61FAF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token layer can become speculative if participants lack discipline.</w:t>
      </w:r>
    </w:p>
    <w:p w14:paraId="6BE676F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An OHE can underperform if management quality is poor.</w:t>
      </w:r>
    </w:p>
    <w:p w14:paraId="036E649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An SPV can become fragile if incentives are misaligned.</w:t>
      </w:r>
    </w:p>
    <w:p w14:paraId="3D14FBF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verification system can lose trust if human review is weak.</w:t>
      </w:r>
    </w:p>
    <w:p w14:paraId="6914400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therefore integrates human infrastructure into its risk architecture.</w:t>
      </w:r>
    </w:p>
    <w:p w14:paraId="48E81C16"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recognizes that the quality of human participation affects ecological outcomes, governance reliability, operational continuity, and investor confidence.</w:t>
      </w:r>
    </w:p>
    <w:p w14:paraId="0B8A5AE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This is not a spiritual aside.</w:t>
      </w:r>
    </w:p>
    <w:p w14:paraId="55CDFA6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is a capital-readiness condition.</w:t>
      </w:r>
    </w:p>
    <w:p w14:paraId="5A0C1AE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The human role in verified regeneration</w:t>
      </w:r>
    </w:p>
    <w:p w14:paraId="1D70254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Prometheus does not remove the human being from regeneration.</w:t>
      </w:r>
    </w:p>
    <w:p w14:paraId="72539C3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restores the human being to a responsible position within it.</w:t>
      </w:r>
    </w:p>
    <w:p w14:paraId="0C9DC2E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Technology observes.</w:t>
      </w:r>
    </w:p>
    <w:p w14:paraId="1B49E8D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Sensors measure.</w:t>
      </w:r>
    </w:p>
    <w:p w14:paraId="7D753A71"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Satellites reveal patterns.</w:t>
      </w:r>
    </w:p>
    <w:p w14:paraId="154FFAD0"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lastRenderedPageBreak/>
        <w:t>AI assists interpretation.</w:t>
      </w:r>
    </w:p>
    <w:p w14:paraId="3855B77C"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Holochain preserves agent-centric coordination.</w:t>
      </w:r>
    </w:p>
    <w:p w14:paraId="4B6CD32F"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Valueflows structures events.</w:t>
      </w:r>
    </w:p>
    <w:p w14:paraId="28EE8253"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PRU translates verified performance.</w:t>
      </w:r>
    </w:p>
    <w:p w14:paraId="610A723B"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Capital allocates resources.</w:t>
      </w:r>
    </w:p>
    <w:p w14:paraId="68CD379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Yet human beings still steward land, interpret context, resolve conflict, make commitments, and choose whether to align with living systems or extract from them.</w:t>
      </w:r>
    </w:p>
    <w:p w14:paraId="23DAAD38"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human role is therefore not replaced.</w:t>
      </w:r>
    </w:p>
    <w:p w14:paraId="1733FF8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It is clarified.</w:t>
      </w:r>
    </w:p>
    <w:p w14:paraId="40DDE09D"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A regenerative civilization requires human beings capable of acting as stewards rather than consumers, participants rather than spectators, and co-creators rather than extractors.</w:t>
      </w:r>
    </w:p>
    <w:p w14:paraId="1AFEBE5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b/>
          <w:bCs/>
          <w:i/>
          <w:iCs/>
        </w:rPr>
        <w:t>Transition to the next part</w:t>
      </w:r>
    </w:p>
    <w:p w14:paraId="39D86772"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Human infrastructure establishes the internal and governance conditions for regeneration.</w:t>
      </w:r>
    </w:p>
    <w:p w14:paraId="3E054C77"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The next part turns to the biophysical foundation.</w:t>
      </w:r>
    </w:p>
    <w:p w14:paraId="6C535914" w14:textId="77777777" w:rsidR="00305A28" w:rsidRPr="00B479AE" w:rsidRDefault="00305A28" w:rsidP="00305A28">
      <w:pPr>
        <w:spacing w:line="360" w:lineRule="auto"/>
        <w:rPr>
          <w:rFonts w:ascii="Baskerville Old Face" w:hAnsi="Baskerville Old Face"/>
          <w:i/>
          <w:iCs/>
        </w:rPr>
      </w:pPr>
      <w:r w:rsidRPr="00B479AE">
        <w:rPr>
          <w:rFonts w:ascii="Baskerville Old Face" w:hAnsi="Baskerville Old Face"/>
          <w:i/>
          <w:iCs/>
        </w:rPr>
        <w:t>If human coherence provides stewardship capacity, ecological science provides the measurable basis of regeneration itself.</w:t>
      </w:r>
    </w:p>
    <w:p w14:paraId="548D4B07" w14:textId="77777777" w:rsidR="00305A28" w:rsidRDefault="00305A28" w:rsidP="00305A28">
      <w:pPr>
        <w:spacing w:line="360" w:lineRule="auto"/>
        <w:rPr>
          <w:rFonts w:ascii="Baskerville Old Face" w:hAnsi="Baskerville Old Face"/>
          <w:i/>
          <w:iCs/>
        </w:rPr>
      </w:pPr>
      <w:r w:rsidRPr="00B479AE">
        <w:rPr>
          <w:rFonts w:ascii="Baskerville Old Face" w:hAnsi="Baskerville Old Face"/>
          <w:i/>
          <w:iCs/>
        </w:rPr>
        <w:t>The following section develops the scientific foundations of Prometheus: soil, water, biodiversity, syntropic succession, ecological relationships, and the measurable dynamics through which living systems regenerate.</w:t>
      </w:r>
    </w:p>
    <w:p w14:paraId="48AE23C2" w14:textId="77777777" w:rsidR="007E454C" w:rsidRPr="00B479AE" w:rsidRDefault="007E454C" w:rsidP="00305A28">
      <w:pPr>
        <w:spacing w:line="360" w:lineRule="auto"/>
        <w:rPr>
          <w:rFonts w:ascii="Baskerville Old Face" w:hAnsi="Baskerville Old Face"/>
          <w:i/>
          <w:iCs/>
        </w:rPr>
      </w:pPr>
    </w:p>
    <w:p w14:paraId="2F85A002" w14:textId="5C15C48B" w:rsidR="00EE4728" w:rsidRPr="00B479AE" w:rsidRDefault="00EE4728" w:rsidP="002B4800">
      <w:pPr>
        <w:pStyle w:val="Titolo1"/>
        <w:rPr>
          <w:rFonts w:ascii="Baskerville Old Face" w:hAnsi="Baskerville Old Face"/>
          <w:b/>
          <w:bCs/>
          <w:i/>
          <w:iCs/>
          <w:sz w:val="24"/>
          <w:szCs w:val="24"/>
        </w:rPr>
      </w:pPr>
      <w:r w:rsidRPr="00B479AE">
        <w:rPr>
          <w:rFonts w:ascii="Baskerville Old Face" w:hAnsi="Baskerville Old Face"/>
          <w:b/>
          <w:bCs/>
          <w:i/>
          <w:iCs/>
          <w:sz w:val="24"/>
          <w:szCs w:val="24"/>
        </w:rPr>
        <w:t>PART III</w:t>
      </w:r>
      <w:r w:rsidR="002B4800" w:rsidRPr="00B479AE">
        <w:rPr>
          <w:rFonts w:ascii="Baskerville Old Face" w:hAnsi="Baskerville Old Face"/>
          <w:b/>
          <w:bCs/>
          <w:i/>
          <w:iCs/>
          <w:sz w:val="24"/>
          <w:szCs w:val="24"/>
        </w:rPr>
        <w:t xml:space="preserve"> - </w:t>
      </w:r>
      <w:r w:rsidRPr="00B479AE">
        <w:rPr>
          <w:rFonts w:ascii="Baskerville Old Face" w:hAnsi="Baskerville Old Face"/>
          <w:b/>
          <w:bCs/>
          <w:i/>
          <w:iCs/>
          <w:sz w:val="24"/>
          <w:szCs w:val="24"/>
        </w:rPr>
        <w:t>Biophysical Foundation of Regeneration</w:t>
      </w:r>
    </w:p>
    <w:p w14:paraId="34582E24"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b/>
          <w:bCs/>
          <w:i/>
          <w:iCs/>
        </w:rPr>
        <w:t>Regeneration as measurable life-process</w:t>
      </w:r>
    </w:p>
    <w:p w14:paraId="28C1295E" w14:textId="6F56B2D2"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Regeneration is not a metaphor.</w:t>
      </w:r>
      <w:r w:rsidR="007E454C">
        <w:rPr>
          <w:rFonts w:ascii="Baskerville Old Face" w:hAnsi="Baskerville Old Face"/>
          <w:i/>
          <w:iCs/>
        </w:rPr>
        <w:t xml:space="preserve"> </w:t>
      </w:r>
      <w:r w:rsidRPr="00B479AE">
        <w:rPr>
          <w:rFonts w:ascii="Baskerville Old Face" w:hAnsi="Baskerville Old Face"/>
          <w:i/>
          <w:iCs/>
        </w:rPr>
        <w:t>It is a measurable property of living systems.</w:t>
      </w:r>
    </w:p>
    <w:p w14:paraId="155CC255"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lastRenderedPageBreak/>
        <w:t>A living system regenerates when its capacity to support life, organize energy, circulate nutrients, retain water, host biodiversity, produce biomass, and adapt to stress increases over time.</w:t>
      </w:r>
    </w:p>
    <w:p w14:paraId="2297FFC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In ecological terms, regeneration can be observed through changes in soil structure, organic matter, microbial activity, water infiltration, vegetation complexity, biodiversity, biomass cycling, productive stability, and resilience under disturbance.</w:t>
      </w:r>
    </w:p>
    <w:p w14:paraId="6F86DF15" w14:textId="77E4D9A8" w:rsidR="0020351E" w:rsidRPr="00B479AE" w:rsidRDefault="0020351E" w:rsidP="0020351E">
      <w:pPr>
        <w:spacing w:line="360" w:lineRule="auto"/>
        <w:rPr>
          <w:rFonts w:ascii="Baskerville Old Face" w:hAnsi="Baskerville Old Face"/>
          <w:b/>
          <w:bCs/>
          <w:i/>
          <w:iCs/>
        </w:rPr>
      </w:pPr>
      <w:r w:rsidRPr="00B479AE">
        <w:rPr>
          <w:rFonts w:ascii="Baskerville Old Face" w:hAnsi="Baskerville Old Face"/>
          <w:b/>
          <w:bCs/>
          <w:i/>
          <w:iCs/>
        </w:rPr>
        <w:t>Regenerative Performance Function</w:t>
      </w:r>
    </w:p>
    <w:p w14:paraId="24290F0F" w14:textId="77777777" w:rsidR="0020351E" w:rsidRPr="00B479AE" w:rsidRDefault="0020351E" w:rsidP="0020351E">
      <w:pPr>
        <w:spacing w:line="360" w:lineRule="auto"/>
        <w:rPr>
          <w:rFonts w:ascii="Baskerville Old Face" w:hAnsi="Baskerville Old Face"/>
          <w:i/>
          <w:iCs/>
        </w:rPr>
      </w:pPr>
      <w:r w:rsidRPr="00B479AE">
        <w:rPr>
          <w:rFonts w:ascii="Baskerville Old Face" w:hAnsi="Baskerville Old Face"/>
          <w:i/>
          <w:iCs/>
        </w:rPr>
        <w:t>Regeneration is not a single-variable outcome.</w:t>
      </w:r>
    </w:p>
    <w:p w14:paraId="5633719D" w14:textId="77777777" w:rsidR="0020351E" w:rsidRPr="00B479AE" w:rsidRDefault="0020351E" w:rsidP="0020351E">
      <w:pPr>
        <w:spacing w:line="360" w:lineRule="auto"/>
        <w:rPr>
          <w:rFonts w:ascii="Baskerville Old Face" w:hAnsi="Baskerville Old Face"/>
          <w:i/>
          <w:iCs/>
        </w:rPr>
      </w:pPr>
      <w:r w:rsidRPr="00B479AE">
        <w:rPr>
          <w:rFonts w:ascii="Baskerville Old Face" w:hAnsi="Baskerville Old Face"/>
          <w:i/>
          <w:iCs/>
        </w:rPr>
        <w:t>It emerges from the interaction among soil, water, biodiversity, management, time, succession, stratification, and ecological context.</w:t>
      </w:r>
    </w:p>
    <w:p w14:paraId="0E9A7299" w14:textId="77777777" w:rsidR="0020351E" w:rsidRPr="00B479AE" w:rsidRDefault="0020351E" w:rsidP="0020351E">
      <w:pPr>
        <w:spacing w:line="360" w:lineRule="auto"/>
        <w:rPr>
          <w:rFonts w:ascii="Baskerville Old Face" w:hAnsi="Baskerville Old Face"/>
          <w:i/>
          <w:iCs/>
        </w:rPr>
      </w:pPr>
      <w:r w:rsidRPr="00B479AE">
        <w:rPr>
          <w:rFonts w:ascii="Baskerville Old Face" w:hAnsi="Baskerville Old Face"/>
          <w:i/>
          <w:iCs/>
        </w:rPr>
        <w:t>A simplified regenerative performance function may be expressed as:</w:t>
      </w:r>
    </w:p>
    <w:p w14:paraId="562B13E6" w14:textId="77777777" w:rsidR="0020351E" w:rsidRPr="00B479AE" w:rsidRDefault="0020351E" w:rsidP="0020351E">
      <w:pPr>
        <w:spacing w:line="360" w:lineRule="auto"/>
        <w:rPr>
          <w:rFonts w:ascii="Baskerville Old Face" w:hAnsi="Baskerville Old Face"/>
          <w:i/>
          <w:iCs/>
        </w:rPr>
      </w:pPr>
      <w:r w:rsidRPr="00B479AE">
        <w:rPr>
          <w:rFonts w:ascii="Baskerville Old Face" w:hAnsi="Baskerville Old Face"/>
          <w:b/>
          <w:bCs/>
          <w:i/>
          <w:iCs/>
        </w:rPr>
        <w:t>Regeneration = f(soil, water, biodiversity, management, time, succession, stratification)</w:t>
      </w:r>
    </w:p>
    <w:p w14:paraId="4DA740DC" w14:textId="77777777" w:rsidR="0020351E" w:rsidRPr="00B479AE" w:rsidRDefault="0020351E" w:rsidP="0020351E">
      <w:pPr>
        <w:spacing w:line="360" w:lineRule="auto"/>
        <w:rPr>
          <w:rFonts w:ascii="Baskerville Old Face" w:hAnsi="Baskerville Old Face"/>
          <w:i/>
          <w:iCs/>
        </w:rPr>
      </w:pPr>
      <w:r w:rsidRPr="00B479AE">
        <w:rPr>
          <w:rFonts w:ascii="Baskerville Old Face" w:hAnsi="Baskerville Old Face"/>
          <w:i/>
          <w:iCs/>
        </w:rPr>
        <w:t>This formulation is not intended to reduce regeneration to a mechanical equation.</w:t>
      </w:r>
    </w:p>
    <w:p w14:paraId="24701DC0" w14:textId="77777777" w:rsidR="0020351E" w:rsidRPr="00B479AE" w:rsidRDefault="0020351E" w:rsidP="0020351E">
      <w:pPr>
        <w:spacing w:line="360" w:lineRule="auto"/>
        <w:rPr>
          <w:rFonts w:ascii="Baskerville Old Face" w:hAnsi="Baskerville Old Face"/>
          <w:i/>
          <w:iCs/>
        </w:rPr>
      </w:pPr>
      <w:r w:rsidRPr="00B479AE">
        <w:rPr>
          <w:rFonts w:ascii="Baskerville Old Face" w:hAnsi="Baskerville Old Face"/>
          <w:i/>
          <w:iCs/>
        </w:rPr>
        <w:t>It is a conceptual and methodological expression.</w:t>
      </w:r>
    </w:p>
    <w:p w14:paraId="7C3222D1" w14:textId="77777777" w:rsidR="0020351E" w:rsidRPr="00B479AE" w:rsidRDefault="0020351E" w:rsidP="0020351E">
      <w:pPr>
        <w:spacing w:line="360" w:lineRule="auto"/>
        <w:rPr>
          <w:rFonts w:ascii="Baskerville Old Face" w:hAnsi="Baskerville Old Face"/>
          <w:i/>
          <w:iCs/>
        </w:rPr>
      </w:pPr>
      <w:r w:rsidRPr="00B479AE">
        <w:rPr>
          <w:rFonts w:ascii="Baskerville Old Face" w:hAnsi="Baskerville Old Face"/>
          <w:i/>
          <w:iCs/>
        </w:rPr>
        <w:t>It clarifies that regenerative performance depends on multiple interacting dimensions:</w:t>
      </w:r>
    </w:p>
    <w:p w14:paraId="2A6EA47D" w14:textId="77777777" w:rsidR="0020351E" w:rsidRPr="00B479AE" w:rsidRDefault="0020351E" w:rsidP="0020351E">
      <w:pPr>
        <w:spacing w:line="360" w:lineRule="auto"/>
        <w:rPr>
          <w:rFonts w:ascii="Baskerville Old Face" w:hAnsi="Baskerville Old Face"/>
          <w:i/>
          <w:iCs/>
        </w:rPr>
      </w:pPr>
      <w:r w:rsidRPr="00B479AE">
        <w:rPr>
          <w:rFonts w:ascii="Baskerville Old Face" w:hAnsi="Baskerville Old Face"/>
          <w:i/>
          <w:iCs/>
        </w:rPr>
        <w:t>soil function;</w:t>
      </w:r>
      <w:r w:rsidRPr="00B479AE">
        <w:rPr>
          <w:rFonts w:ascii="Baskerville Old Face" w:hAnsi="Baskerville Old Face"/>
          <w:i/>
          <w:iCs/>
        </w:rPr>
        <w:br/>
        <w:t>water retention and circulation;</w:t>
      </w:r>
      <w:r w:rsidRPr="00B479AE">
        <w:rPr>
          <w:rFonts w:ascii="Baskerville Old Face" w:hAnsi="Baskerville Old Face"/>
          <w:i/>
          <w:iCs/>
        </w:rPr>
        <w:br/>
        <w:t>biodiversity and functional diversity;</w:t>
      </w:r>
      <w:r w:rsidRPr="00B479AE">
        <w:rPr>
          <w:rFonts w:ascii="Baskerville Old Face" w:hAnsi="Baskerville Old Face"/>
          <w:i/>
          <w:iCs/>
        </w:rPr>
        <w:br/>
        <w:t>management quality;</w:t>
      </w:r>
      <w:r w:rsidRPr="00B479AE">
        <w:rPr>
          <w:rFonts w:ascii="Baskerville Old Face" w:hAnsi="Baskerville Old Face"/>
          <w:i/>
          <w:iCs/>
        </w:rPr>
        <w:br/>
        <w:t>time and biological maturation;</w:t>
      </w:r>
      <w:r w:rsidRPr="00B479AE">
        <w:rPr>
          <w:rFonts w:ascii="Baskerville Old Face" w:hAnsi="Baskerville Old Face"/>
          <w:i/>
          <w:iCs/>
        </w:rPr>
        <w:br/>
        <w:t>successional dynamics;</w:t>
      </w:r>
      <w:r w:rsidRPr="00B479AE">
        <w:rPr>
          <w:rFonts w:ascii="Baskerville Old Face" w:hAnsi="Baskerville Old Face"/>
          <w:i/>
          <w:iCs/>
        </w:rPr>
        <w:br/>
        <w:t>stratified photosynthetic architecture.</w:t>
      </w:r>
    </w:p>
    <w:p w14:paraId="71A90CEC" w14:textId="77777777" w:rsidR="0020351E" w:rsidRPr="00B479AE" w:rsidRDefault="0020351E" w:rsidP="0020351E">
      <w:pPr>
        <w:spacing w:line="360" w:lineRule="auto"/>
        <w:rPr>
          <w:rFonts w:ascii="Baskerville Old Face" w:hAnsi="Baskerville Old Face"/>
          <w:i/>
          <w:iCs/>
        </w:rPr>
      </w:pPr>
      <w:r w:rsidRPr="00B479AE">
        <w:rPr>
          <w:rFonts w:ascii="Baskerville Old Face" w:hAnsi="Baskerville Old Face"/>
          <w:i/>
          <w:iCs/>
        </w:rPr>
        <w:t>A regenerative system should therefore not be evaluated only by immediate yield.</w:t>
      </w:r>
    </w:p>
    <w:p w14:paraId="7D61BECE" w14:textId="77777777" w:rsidR="0020351E" w:rsidRPr="00B479AE" w:rsidRDefault="0020351E" w:rsidP="0020351E">
      <w:pPr>
        <w:spacing w:line="360" w:lineRule="auto"/>
        <w:rPr>
          <w:rFonts w:ascii="Baskerville Old Face" w:hAnsi="Baskerville Old Face"/>
          <w:i/>
          <w:iCs/>
        </w:rPr>
      </w:pPr>
      <w:r w:rsidRPr="00B479AE">
        <w:rPr>
          <w:rFonts w:ascii="Baskerville Old Face" w:hAnsi="Baskerville Old Face"/>
          <w:i/>
          <w:iCs/>
        </w:rPr>
        <w:t>It should be evaluated by the degree to which it increases the future capacity of the living system to remain fertile, productive, resilient, diverse, and adaptive over time.</w:t>
      </w:r>
    </w:p>
    <w:p w14:paraId="29E1D574" w14:textId="77777777" w:rsidR="0020351E" w:rsidRPr="00B479AE" w:rsidRDefault="0020351E" w:rsidP="0020351E">
      <w:pPr>
        <w:spacing w:line="360" w:lineRule="auto"/>
        <w:rPr>
          <w:rFonts w:ascii="Baskerville Old Face" w:hAnsi="Baskerville Old Face"/>
          <w:i/>
          <w:iCs/>
        </w:rPr>
      </w:pPr>
      <w:r w:rsidRPr="00B479AE">
        <w:rPr>
          <w:rFonts w:ascii="Baskerville Old Face" w:hAnsi="Baskerville Old Face"/>
          <w:i/>
          <w:iCs/>
        </w:rPr>
        <w:t>The boundary condition is:</w:t>
      </w:r>
    </w:p>
    <w:p w14:paraId="57C69D47" w14:textId="77777777" w:rsidR="0020351E" w:rsidRPr="007E454C" w:rsidRDefault="0020351E" w:rsidP="0020351E">
      <w:pPr>
        <w:spacing w:line="360" w:lineRule="auto"/>
        <w:rPr>
          <w:rFonts w:ascii="Baskerville Old Face" w:hAnsi="Baskerville Old Face"/>
          <w:i/>
          <w:iCs/>
        </w:rPr>
      </w:pPr>
      <w:r w:rsidRPr="007E454C">
        <w:rPr>
          <w:rFonts w:ascii="Baskerville Old Face" w:hAnsi="Baskerville Old Face"/>
          <w:i/>
          <w:iCs/>
        </w:rPr>
        <w:t xml:space="preserve">Regenerative performance </w:t>
      </w:r>
      <w:r w:rsidRPr="007E454C">
        <w:rPr>
          <w:rFonts w:ascii="Cambria Math" w:hAnsi="Cambria Math" w:cs="Cambria Math"/>
          <w:i/>
          <w:iCs/>
        </w:rPr>
        <w:t>∝</w:t>
      </w:r>
      <w:r w:rsidRPr="007E454C">
        <w:rPr>
          <w:rFonts w:ascii="Baskerville Old Face" w:hAnsi="Baskerville Old Face"/>
          <w:i/>
          <w:iCs/>
        </w:rPr>
        <w:t xml:space="preserve"> design </w:t>
      </w:r>
      <w:r w:rsidRPr="007E454C">
        <w:rPr>
          <w:rFonts w:ascii="Baskerville Old Face" w:hAnsi="Baskerville Old Face" w:cs="Baskerville Old Face"/>
          <w:i/>
          <w:iCs/>
        </w:rPr>
        <w:t>×</w:t>
      </w:r>
      <w:r w:rsidRPr="007E454C">
        <w:rPr>
          <w:rFonts w:ascii="Baskerville Old Face" w:hAnsi="Baskerville Old Face"/>
          <w:i/>
          <w:iCs/>
        </w:rPr>
        <w:t xml:space="preserve"> management </w:t>
      </w:r>
      <w:r w:rsidRPr="007E454C">
        <w:rPr>
          <w:rFonts w:ascii="Baskerville Old Face" w:hAnsi="Baskerville Old Face" w:cs="Baskerville Old Face"/>
          <w:i/>
          <w:iCs/>
        </w:rPr>
        <w:t>×</w:t>
      </w:r>
      <w:r w:rsidRPr="007E454C">
        <w:rPr>
          <w:rFonts w:ascii="Baskerville Old Face" w:hAnsi="Baskerville Old Face"/>
          <w:i/>
          <w:iCs/>
        </w:rPr>
        <w:t xml:space="preserve"> context</w:t>
      </w:r>
    </w:p>
    <w:p w14:paraId="798C9A56" w14:textId="77777777" w:rsidR="0020351E" w:rsidRPr="00B479AE" w:rsidRDefault="0020351E" w:rsidP="0020351E">
      <w:pPr>
        <w:spacing w:line="360" w:lineRule="auto"/>
        <w:rPr>
          <w:rFonts w:ascii="Baskerville Old Face" w:hAnsi="Baskerville Old Face"/>
          <w:i/>
          <w:iCs/>
        </w:rPr>
      </w:pPr>
      <w:r w:rsidRPr="00B479AE">
        <w:rPr>
          <w:rFonts w:ascii="Baskerville Old Face" w:hAnsi="Baskerville Old Face"/>
          <w:i/>
          <w:iCs/>
        </w:rPr>
        <w:lastRenderedPageBreak/>
        <w:t>This means that regeneration is not automatic.</w:t>
      </w:r>
    </w:p>
    <w:p w14:paraId="2209C483" w14:textId="77777777" w:rsidR="0020351E" w:rsidRPr="00B479AE" w:rsidRDefault="0020351E" w:rsidP="0020351E">
      <w:pPr>
        <w:spacing w:line="360" w:lineRule="auto"/>
        <w:rPr>
          <w:rFonts w:ascii="Baskerville Old Face" w:hAnsi="Baskerville Old Face"/>
          <w:i/>
          <w:iCs/>
        </w:rPr>
      </w:pPr>
      <w:r w:rsidRPr="00B479AE">
        <w:rPr>
          <w:rFonts w:ascii="Baskerville Old Face" w:hAnsi="Baskerville Old Face"/>
          <w:i/>
          <w:iCs/>
        </w:rPr>
        <w:t>A system does not become regenerative merely because it uses regenerative language, diverse planting, syntropic terminology, or ecological intention.</w:t>
      </w:r>
    </w:p>
    <w:p w14:paraId="6BC4A563" w14:textId="77777777" w:rsidR="0020351E" w:rsidRPr="00B479AE" w:rsidRDefault="0020351E" w:rsidP="0020351E">
      <w:pPr>
        <w:spacing w:line="360" w:lineRule="auto"/>
        <w:rPr>
          <w:rFonts w:ascii="Baskerville Old Face" w:hAnsi="Baskerville Old Face"/>
          <w:i/>
          <w:iCs/>
        </w:rPr>
      </w:pPr>
      <w:r w:rsidRPr="00B479AE">
        <w:rPr>
          <w:rFonts w:ascii="Baskerville Old Face" w:hAnsi="Baskerville Old Face"/>
          <w:i/>
          <w:iCs/>
        </w:rPr>
        <w:t>Its performance depends on the quality of design, the continuity of stewardship, the suitability of species selection, the hydrological context, the soil baseline, the climatic conditions, the maturity of the system, and the feedback discipline through which it is managed.</w:t>
      </w:r>
    </w:p>
    <w:p w14:paraId="7209B1F6" w14:textId="77777777" w:rsidR="0020351E" w:rsidRPr="00B479AE" w:rsidRDefault="0020351E" w:rsidP="0020351E">
      <w:pPr>
        <w:spacing w:line="360" w:lineRule="auto"/>
        <w:rPr>
          <w:rFonts w:ascii="Baskerville Old Face" w:hAnsi="Baskerville Old Face"/>
          <w:i/>
          <w:iCs/>
        </w:rPr>
      </w:pPr>
      <w:r w:rsidRPr="00B479AE">
        <w:rPr>
          <w:rFonts w:ascii="Baskerville Old Face" w:hAnsi="Baskerville Old Face"/>
          <w:i/>
          <w:iCs/>
        </w:rPr>
        <w:t>This is essential for Prometheus.</w:t>
      </w:r>
    </w:p>
    <w:p w14:paraId="78FD12E4" w14:textId="77777777" w:rsidR="0020351E" w:rsidRPr="00B479AE" w:rsidRDefault="0020351E" w:rsidP="0020351E">
      <w:pPr>
        <w:spacing w:line="360" w:lineRule="auto"/>
        <w:rPr>
          <w:rFonts w:ascii="Baskerville Old Face" w:hAnsi="Baskerville Old Face"/>
          <w:i/>
          <w:iCs/>
        </w:rPr>
      </w:pPr>
      <w:r w:rsidRPr="00B479AE">
        <w:rPr>
          <w:rFonts w:ascii="Baskerville Old Face" w:hAnsi="Baskerville Old Face"/>
          <w:i/>
          <w:iCs/>
        </w:rPr>
        <w:t>The One Human Ecosystem is not treated as a decorative ecological unit.</w:t>
      </w:r>
    </w:p>
    <w:p w14:paraId="3B0EEE01" w14:textId="123AE9C4" w:rsidR="0020351E" w:rsidRPr="00B479AE" w:rsidRDefault="0020351E" w:rsidP="0020351E">
      <w:pPr>
        <w:spacing w:line="360" w:lineRule="auto"/>
        <w:rPr>
          <w:rFonts w:ascii="Baskerville Old Face" w:hAnsi="Baskerville Old Face"/>
          <w:i/>
          <w:iCs/>
        </w:rPr>
      </w:pPr>
      <w:r w:rsidRPr="00B479AE">
        <w:rPr>
          <w:rFonts w:ascii="Baskerville Old Face" w:hAnsi="Baskerville Old Face"/>
          <w:i/>
          <w:iCs/>
        </w:rPr>
        <w:t>It is treated as a living infrastructure whose performance must be observed, measured, verified, and improved through time.</w:t>
      </w:r>
      <w:r w:rsidR="007E454C">
        <w:rPr>
          <w:rFonts w:ascii="Baskerville Old Face" w:hAnsi="Baskerville Old Face"/>
          <w:i/>
          <w:iCs/>
        </w:rPr>
        <w:t xml:space="preserve"> </w:t>
      </w:r>
      <w:r w:rsidRPr="00B479AE">
        <w:rPr>
          <w:rFonts w:ascii="Baskerville Old Face" w:hAnsi="Baskerville Old Face"/>
          <w:i/>
          <w:iCs/>
        </w:rPr>
        <w:t>The operational implication is clear:</w:t>
      </w:r>
    </w:p>
    <w:p w14:paraId="46CD6A24" w14:textId="77777777" w:rsidR="0020351E" w:rsidRPr="00B479AE" w:rsidRDefault="0020351E" w:rsidP="0020351E">
      <w:pPr>
        <w:spacing w:line="360" w:lineRule="auto"/>
        <w:rPr>
          <w:rFonts w:ascii="Baskerville Old Face" w:hAnsi="Baskerville Old Face"/>
          <w:i/>
          <w:iCs/>
        </w:rPr>
      </w:pPr>
      <w:r w:rsidRPr="00B479AE">
        <w:rPr>
          <w:rFonts w:ascii="Baskerville Old Face" w:hAnsi="Baskerville Old Face"/>
          <w:i/>
          <w:iCs/>
        </w:rPr>
        <w:t>design creates potential;</w:t>
      </w:r>
      <w:r w:rsidRPr="00B479AE">
        <w:rPr>
          <w:rFonts w:ascii="Baskerville Old Face" w:hAnsi="Baskerville Old Face"/>
          <w:i/>
          <w:iCs/>
        </w:rPr>
        <w:br/>
        <w:t>management activates potential;</w:t>
      </w:r>
      <w:r w:rsidRPr="00B479AE">
        <w:rPr>
          <w:rFonts w:ascii="Baskerville Old Face" w:hAnsi="Baskerville Old Face"/>
          <w:i/>
          <w:iCs/>
        </w:rPr>
        <w:br/>
        <w:t>context conditions potential;</w:t>
      </w:r>
      <w:r w:rsidRPr="00B479AE">
        <w:rPr>
          <w:rFonts w:ascii="Baskerville Old Face" w:hAnsi="Baskerville Old Face"/>
          <w:i/>
          <w:iCs/>
        </w:rPr>
        <w:br/>
        <w:t>time tests potential;</w:t>
      </w:r>
      <w:r w:rsidRPr="00B479AE">
        <w:rPr>
          <w:rFonts w:ascii="Baskerville Old Face" w:hAnsi="Baskerville Old Face"/>
          <w:i/>
          <w:iCs/>
        </w:rPr>
        <w:br/>
        <w:t>MRV verifies performance.</w:t>
      </w:r>
    </w:p>
    <w:p w14:paraId="516DAF62" w14:textId="77777777" w:rsidR="0020351E" w:rsidRPr="00B479AE" w:rsidRDefault="0020351E" w:rsidP="0020351E">
      <w:pPr>
        <w:spacing w:line="360" w:lineRule="auto"/>
        <w:rPr>
          <w:rFonts w:ascii="Baskerville Old Face" w:hAnsi="Baskerville Old Face"/>
          <w:i/>
          <w:iCs/>
        </w:rPr>
      </w:pPr>
      <w:r w:rsidRPr="00B479AE">
        <w:rPr>
          <w:rFonts w:ascii="Baskerville Old Face" w:hAnsi="Baskerville Old Face"/>
          <w:i/>
          <w:iCs/>
        </w:rPr>
        <w:t>Only verified performance may become relevant to PRU logic.</w:t>
      </w:r>
    </w:p>
    <w:p w14:paraId="3C3C91BE"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In economic terms, regeneration becomes relevant when these changes increase the long-term productive capacity of a territory while reducing fragility, dependency, and systemic risk.</w:t>
      </w:r>
    </w:p>
    <w:p w14:paraId="7AB00A0D"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Prometheus begins from this biophysical reality.</w:t>
      </w:r>
    </w:p>
    <w:p w14:paraId="4E7E815E"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The framework does not treat regeneration as a decorative sustainability label.</w:t>
      </w:r>
    </w:p>
    <w:p w14:paraId="6635DBAC"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It treats regeneration as the increase of living-system coherence.</w:t>
      </w:r>
    </w:p>
    <w:p w14:paraId="3B393E3C"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This coherence can be observed, measured, interpreted, verified, and progressively translated into capital-admissible value.</w:t>
      </w:r>
    </w:p>
    <w:p w14:paraId="1E155B17"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b/>
          <w:bCs/>
          <w:i/>
          <w:iCs/>
        </w:rPr>
        <w:t>Scientific evidence hierarchy</w:t>
      </w:r>
    </w:p>
    <w:p w14:paraId="34544C4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Prometheus adopts an explicit hierarchy of evidence.</w:t>
      </w:r>
    </w:p>
    <w:p w14:paraId="20FF5893"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lastRenderedPageBreak/>
        <w:t>This hierarchy is necessary because regenerative systems operate across multiple domains: soil science, agroecology, hydrology, biodiversity, nutrition, human health, complexity science, distributed systems, and finance.</w:t>
      </w:r>
    </w:p>
    <w:p w14:paraId="7EF5C0E3"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Some domains are well established.</w:t>
      </w:r>
    </w:p>
    <w:p w14:paraId="34F5BB3A"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Others are emerging.</w:t>
      </w:r>
    </w:p>
    <w:p w14:paraId="521C762A"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Some remain exploratory and must be treated as research directions rather than as core underwriting assumptions.</w:t>
      </w:r>
    </w:p>
    <w:p w14:paraId="28EDF7C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The Prometheus framework therefore distinguishes three levels of scientific evidence.</w:t>
      </w:r>
    </w:p>
    <w:p w14:paraId="090979C9" w14:textId="3F37B6E8" w:rsidR="00DD592F" w:rsidRPr="00B479AE" w:rsidRDefault="00DD592F" w:rsidP="00DD592F">
      <w:pPr>
        <w:spacing w:line="360" w:lineRule="auto"/>
        <w:rPr>
          <w:rFonts w:ascii="Baskerville Old Face" w:hAnsi="Baskerville Old Face"/>
          <w:b/>
          <w:bCs/>
          <w:i/>
          <w:iCs/>
        </w:rPr>
      </w:pPr>
      <w:r w:rsidRPr="00B479AE">
        <w:rPr>
          <w:rFonts w:ascii="Baskerville Old Face" w:hAnsi="Baskerville Old Face"/>
          <w:b/>
          <w:bCs/>
          <w:i/>
          <w:iCs/>
        </w:rPr>
        <w:t>Scientific Evidence Hierarchy</w:t>
      </w:r>
    </w:p>
    <w:p w14:paraId="4B91B849" w14:textId="77777777" w:rsidR="00DD592F" w:rsidRPr="00B479AE" w:rsidRDefault="00DD592F" w:rsidP="00DD592F">
      <w:pPr>
        <w:spacing w:line="360" w:lineRule="auto"/>
        <w:rPr>
          <w:rFonts w:ascii="Baskerville Old Face" w:hAnsi="Baskerville Old Face"/>
          <w:i/>
          <w:iCs/>
        </w:rPr>
      </w:pPr>
      <w:r w:rsidRPr="00B479AE">
        <w:rPr>
          <w:rFonts w:ascii="Baskerville Old Face" w:hAnsi="Baskerville Old Face"/>
          <w:i/>
          <w:iCs/>
        </w:rPr>
        <w:t>Prometheus classifies scientific claims according to evidence maturity.</w:t>
      </w:r>
    </w:p>
    <w:p w14:paraId="30579F10" w14:textId="77777777" w:rsidR="00DD592F" w:rsidRPr="00B479AE" w:rsidRDefault="00DD592F" w:rsidP="00DD592F">
      <w:pPr>
        <w:spacing w:line="360" w:lineRule="auto"/>
        <w:rPr>
          <w:rFonts w:ascii="Baskerville Old Face" w:hAnsi="Baskerville Old Face"/>
          <w:i/>
          <w:iCs/>
        </w:rPr>
      </w:pPr>
      <w:r w:rsidRPr="00B479AE">
        <w:rPr>
          <w:rFonts w:ascii="Baskerville Old Face" w:hAnsi="Baskerville Old Face"/>
          <w:i/>
          <w:iCs/>
        </w:rPr>
        <w:t>This protects the system from overclaiming while allowing it to remain open to emerging science.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0"/>
        <w:gridCol w:w="2588"/>
        <w:gridCol w:w="3452"/>
        <w:gridCol w:w="2148"/>
      </w:tblGrid>
      <w:tr w:rsidR="00DD592F" w:rsidRPr="00B479AE" w14:paraId="4C30D81D" w14:textId="77777777" w:rsidTr="00DD592F">
        <w:trPr>
          <w:tblHeader/>
          <w:tblCellSpacing w:w="15" w:type="dxa"/>
        </w:trPr>
        <w:tc>
          <w:tcPr>
            <w:tcW w:w="0" w:type="auto"/>
            <w:vAlign w:val="center"/>
            <w:hideMark/>
          </w:tcPr>
          <w:p w14:paraId="2AC085F1" w14:textId="77777777" w:rsidR="00DD592F" w:rsidRPr="00B479AE" w:rsidRDefault="00DD592F" w:rsidP="00DD592F">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Evidence tier</w:t>
            </w:r>
          </w:p>
        </w:tc>
        <w:tc>
          <w:tcPr>
            <w:tcW w:w="0" w:type="auto"/>
            <w:vAlign w:val="center"/>
            <w:hideMark/>
          </w:tcPr>
          <w:p w14:paraId="36DF31B0" w14:textId="77777777" w:rsidR="00DD592F" w:rsidRPr="00B479AE" w:rsidRDefault="00DD592F" w:rsidP="00DD592F">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c>
          <w:tcPr>
            <w:tcW w:w="0" w:type="auto"/>
            <w:vAlign w:val="center"/>
            <w:hideMark/>
          </w:tcPr>
          <w:p w14:paraId="2B81FD30" w14:textId="77777777" w:rsidR="00DD592F" w:rsidRPr="00B479AE" w:rsidRDefault="00DD592F" w:rsidP="00DD592F">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Examples</w:t>
            </w:r>
          </w:p>
        </w:tc>
        <w:tc>
          <w:tcPr>
            <w:tcW w:w="0" w:type="auto"/>
            <w:vAlign w:val="center"/>
            <w:hideMark/>
          </w:tcPr>
          <w:p w14:paraId="34DAE285" w14:textId="77777777" w:rsidR="00DD592F" w:rsidRPr="00B479AE" w:rsidRDefault="00DD592F" w:rsidP="00DD592F">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Use inside Prometheus</w:t>
            </w:r>
          </w:p>
        </w:tc>
      </w:tr>
      <w:tr w:rsidR="00DD592F" w:rsidRPr="00B479AE" w14:paraId="465BAE93" w14:textId="77777777" w:rsidTr="00DD592F">
        <w:trPr>
          <w:tblCellSpacing w:w="15" w:type="dxa"/>
        </w:trPr>
        <w:tc>
          <w:tcPr>
            <w:tcW w:w="0" w:type="auto"/>
            <w:vAlign w:val="center"/>
            <w:hideMark/>
          </w:tcPr>
          <w:p w14:paraId="08DFBB89" w14:textId="77777777" w:rsidR="00DD592F" w:rsidRPr="00B479AE" w:rsidRDefault="00DD592F" w:rsidP="00DD592F">
            <w:pPr>
              <w:spacing w:line="360" w:lineRule="auto"/>
              <w:rPr>
                <w:rFonts w:ascii="Baskerville Old Face" w:hAnsi="Baskerville Old Face"/>
                <w:i/>
                <w:iCs/>
                <w:sz w:val="22"/>
                <w:szCs w:val="22"/>
              </w:rPr>
            </w:pPr>
            <w:r w:rsidRPr="00B479AE">
              <w:rPr>
                <w:rFonts w:ascii="Baskerville Old Face" w:hAnsi="Baskerville Old Face"/>
                <w:i/>
                <w:iCs/>
                <w:sz w:val="22"/>
                <w:szCs w:val="22"/>
              </w:rPr>
              <w:t>Tier 1 — Established science</w:t>
            </w:r>
          </w:p>
        </w:tc>
        <w:tc>
          <w:tcPr>
            <w:tcW w:w="0" w:type="auto"/>
            <w:vAlign w:val="center"/>
            <w:hideMark/>
          </w:tcPr>
          <w:p w14:paraId="0A2A38EF" w14:textId="77777777" w:rsidR="00DD592F" w:rsidRPr="00B479AE" w:rsidRDefault="00DD592F" w:rsidP="00DD592F">
            <w:pPr>
              <w:spacing w:line="360" w:lineRule="auto"/>
              <w:rPr>
                <w:rFonts w:ascii="Baskerville Old Face" w:hAnsi="Baskerville Old Face"/>
                <w:i/>
                <w:iCs/>
                <w:sz w:val="22"/>
                <w:szCs w:val="22"/>
              </w:rPr>
            </w:pPr>
            <w:r w:rsidRPr="00B479AE">
              <w:rPr>
                <w:rFonts w:ascii="Baskerville Old Face" w:hAnsi="Baskerville Old Face"/>
                <w:i/>
                <w:iCs/>
                <w:sz w:val="22"/>
                <w:szCs w:val="22"/>
              </w:rPr>
              <w:t>Domains supported by strong empirical evidence, broad scientific acceptance, and repeated practical validation</w:t>
            </w:r>
          </w:p>
        </w:tc>
        <w:tc>
          <w:tcPr>
            <w:tcW w:w="0" w:type="auto"/>
            <w:vAlign w:val="center"/>
            <w:hideMark/>
          </w:tcPr>
          <w:p w14:paraId="10D6EB37" w14:textId="77777777" w:rsidR="00DD592F" w:rsidRPr="00B479AE" w:rsidRDefault="00DD592F" w:rsidP="00DD592F">
            <w:pPr>
              <w:spacing w:line="360" w:lineRule="auto"/>
              <w:rPr>
                <w:rFonts w:ascii="Baskerville Old Face" w:hAnsi="Baskerville Old Face"/>
                <w:i/>
                <w:iCs/>
                <w:sz w:val="22"/>
                <w:szCs w:val="22"/>
              </w:rPr>
            </w:pPr>
            <w:r w:rsidRPr="00B479AE">
              <w:rPr>
                <w:rFonts w:ascii="Baskerville Old Face" w:hAnsi="Baskerville Old Face"/>
                <w:i/>
                <w:iCs/>
                <w:sz w:val="22"/>
                <w:szCs w:val="22"/>
              </w:rPr>
              <w:t>Soil organic matter, soil organic carbon, soil biology, infiltration, hydrology, agroforestry resilience, biodiversity-resilience relationships, MRV discipline</w:t>
            </w:r>
          </w:p>
        </w:tc>
        <w:tc>
          <w:tcPr>
            <w:tcW w:w="0" w:type="auto"/>
            <w:vAlign w:val="center"/>
            <w:hideMark/>
          </w:tcPr>
          <w:p w14:paraId="200A4DE9" w14:textId="77777777" w:rsidR="00DD592F" w:rsidRPr="00B479AE" w:rsidRDefault="00DD592F" w:rsidP="00DD592F">
            <w:pPr>
              <w:spacing w:line="360" w:lineRule="auto"/>
              <w:rPr>
                <w:rFonts w:ascii="Baskerville Old Face" w:hAnsi="Baskerville Old Face"/>
                <w:i/>
                <w:iCs/>
                <w:sz w:val="22"/>
                <w:szCs w:val="22"/>
              </w:rPr>
            </w:pPr>
            <w:r w:rsidRPr="00B479AE">
              <w:rPr>
                <w:rFonts w:ascii="Baskerville Old Face" w:hAnsi="Baskerville Old Face"/>
                <w:i/>
                <w:iCs/>
                <w:sz w:val="22"/>
                <w:szCs w:val="22"/>
              </w:rPr>
              <w:t>Core methodology, operational design, conservative underwriting logic</w:t>
            </w:r>
          </w:p>
        </w:tc>
      </w:tr>
      <w:tr w:rsidR="00DD592F" w:rsidRPr="00B479AE" w14:paraId="5E3B6E6B" w14:textId="77777777" w:rsidTr="00DD592F">
        <w:trPr>
          <w:tblCellSpacing w:w="15" w:type="dxa"/>
        </w:trPr>
        <w:tc>
          <w:tcPr>
            <w:tcW w:w="0" w:type="auto"/>
            <w:vAlign w:val="center"/>
            <w:hideMark/>
          </w:tcPr>
          <w:p w14:paraId="46450974" w14:textId="77777777" w:rsidR="00DD592F" w:rsidRPr="00B479AE" w:rsidRDefault="00DD592F" w:rsidP="00DD592F">
            <w:pPr>
              <w:spacing w:line="360" w:lineRule="auto"/>
              <w:rPr>
                <w:rFonts w:ascii="Baskerville Old Face" w:hAnsi="Baskerville Old Face"/>
                <w:i/>
                <w:iCs/>
                <w:sz w:val="22"/>
                <w:szCs w:val="22"/>
              </w:rPr>
            </w:pPr>
            <w:r w:rsidRPr="00B479AE">
              <w:rPr>
                <w:rFonts w:ascii="Baskerville Old Face" w:hAnsi="Baskerville Old Face"/>
                <w:i/>
                <w:iCs/>
                <w:sz w:val="22"/>
                <w:szCs w:val="22"/>
              </w:rPr>
              <w:t>Tier 2 — Emerging science</w:t>
            </w:r>
          </w:p>
        </w:tc>
        <w:tc>
          <w:tcPr>
            <w:tcW w:w="0" w:type="auto"/>
            <w:vAlign w:val="center"/>
            <w:hideMark/>
          </w:tcPr>
          <w:p w14:paraId="61888EFD" w14:textId="77777777" w:rsidR="00DD592F" w:rsidRPr="00B479AE" w:rsidRDefault="00DD592F" w:rsidP="00DD592F">
            <w:pPr>
              <w:spacing w:line="360" w:lineRule="auto"/>
              <w:rPr>
                <w:rFonts w:ascii="Baskerville Old Face" w:hAnsi="Baskerville Old Face"/>
                <w:i/>
                <w:iCs/>
                <w:sz w:val="22"/>
                <w:szCs w:val="22"/>
              </w:rPr>
            </w:pPr>
            <w:r w:rsidRPr="00B479AE">
              <w:rPr>
                <w:rFonts w:ascii="Baskerville Old Face" w:hAnsi="Baskerville Old Face"/>
                <w:i/>
                <w:iCs/>
                <w:sz w:val="22"/>
                <w:szCs w:val="22"/>
              </w:rPr>
              <w:t>Domains supported by converging evidence, active research, and growing practical validation</w:t>
            </w:r>
          </w:p>
        </w:tc>
        <w:tc>
          <w:tcPr>
            <w:tcW w:w="0" w:type="auto"/>
            <w:vAlign w:val="center"/>
            <w:hideMark/>
          </w:tcPr>
          <w:p w14:paraId="4EE276AC" w14:textId="77777777" w:rsidR="00DD592F" w:rsidRPr="00B479AE" w:rsidRDefault="00DD592F" w:rsidP="00DD592F">
            <w:pPr>
              <w:spacing w:line="360" w:lineRule="auto"/>
              <w:rPr>
                <w:rFonts w:ascii="Baskerville Old Face" w:hAnsi="Baskerville Old Face"/>
                <w:i/>
                <w:iCs/>
                <w:sz w:val="22"/>
                <w:szCs w:val="22"/>
              </w:rPr>
            </w:pPr>
            <w:r w:rsidRPr="00B479AE">
              <w:rPr>
                <w:rFonts w:ascii="Baskerville Old Face" w:hAnsi="Baskerville Old Face"/>
                <w:i/>
                <w:iCs/>
                <w:sz w:val="22"/>
                <w:szCs w:val="22"/>
              </w:rPr>
              <w:t>Syntropic agroforestry, common mycorrhizal networks, plant biochemical signaling, regenerative nutrition, distributed MRV, agent-centric verification</w:t>
            </w:r>
          </w:p>
        </w:tc>
        <w:tc>
          <w:tcPr>
            <w:tcW w:w="0" w:type="auto"/>
            <w:vAlign w:val="center"/>
            <w:hideMark/>
          </w:tcPr>
          <w:p w14:paraId="60EF7A80" w14:textId="77777777" w:rsidR="00DD592F" w:rsidRPr="00B479AE" w:rsidRDefault="00DD592F" w:rsidP="00DD592F">
            <w:pPr>
              <w:spacing w:line="360" w:lineRule="auto"/>
              <w:rPr>
                <w:rFonts w:ascii="Baskerville Old Face" w:hAnsi="Baskerville Old Face"/>
                <w:i/>
                <w:iCs/>
                <w:sz w:val="22"/>
                <w:szCs w:val="22"/>
              </w:rPr>
            </w:pPr>
            <w:r w:rsidRPr="00B479AE">
              <w:rPr>
                <w:rFonts w:ascii="Baskerville Old Face" w:hAnsi="Baskerville Old Face"/>
                <w:i/>
                <w:iCs/>
                <w:sz w:val="22"/>
                <w:szCs w:val="22"/>
              </w:rPr>
              <w:t>Pilot learning, indicator development, confidence-scored modeling</w:t>
            </w:r>
          </w:p>
        </w:tc>
      </w:tr>
      <w:tr w:rsidR="00DD592F" w:rsidRPr="00B479AE" w14:paraId="79D68678" w14:textId="77777777" w:rsidTr="00DD592F">
        <w:trPr>
          <w:tblCellSpacing w:w="15" w:type="dxa"/>
        </w:trPr>
        <w:tc>
          <w:tcPr>
            <w:tcW w:w="0" w:type="auto"/>
            <w:vAlign w:val="center"/>
            <w:hideMark/>
          </w:tcPr>
          <w:p w14:paraId="2907EA9F" w14:textId="77777777" w:rsidR="00DD592F" w:rsidRPr="00B479AE" w:rsidRDefault="00DD592F" w:rsidP="00DD592F">
            <w:pPr>
              <w:spacing w:line="360" w:lineRule="auto"/>
              <w:rPr>
                <w:rFonts w:ascii="Baskerville Old Face" w:hAnsi="Baskerville Old Face"/>
                <w:i/>
                <w:iCs/>
                <w:sz w:val="22"/>
                <w:szCs w:val="22"/>
              </w:rPr>
            </w:pPr>
            <w:r w:rsidRPr="00B479AE">
              <w:rPr>
                <w:rFonts w:ascii="Baskerville Old Face" w:hAnsi="Baskerville Old Face"/>
                <w:i/>
                <w:iCs/>
                <w:sz w:val="22"/>
                <w:szCs w:val="22"/>
              </w:rPr>
              <w:t>Tier 3 — Exploratory hypotheses</w:t>
            </w:r>
          </w:p>
        </w:tc>
        <w:tc>
          <w:tcPr>
            <w:tcW w:w="0" w:type="auto"/>
            <w:vAlign w:val="center"/>
            <w:hideMark/>
          </w:tcPr>
          <w:p w14:paraId="2FC090E2" w14:textId="77777777" w:rsidR="00DD592F" w:rsidRPr="00B479AE" w:rsidRDefault="00DD592F" w:rsidP="00DD592F">
            <w:pPr>
              <w:spacing w:line="360" w:lineRule="auto"/>
              <w:rPr>
                <w:rFonts w:ascii="Baskerville Old Face" w:hAnsi="Baskerville Old Face"/>
                <w:i/>
                <w:iCs/>
                <w:sz w:val="22"/>
                <w:szCs w:val="22"/>
              </w:rPr>
            </w:pPr>
            <w:r w:rsidRPr="00B479AE">
              <w:rPr>
                <w:rFonts w:ascii="Baskerville Old Face" w:hAnsi="Baskerville Old Face"/>
                <w:i/>
                <w:iCs/>
                <w:sz w:val="22"/>
                <w:szCs w:val="22"/>
              </w:rPr>
              <w:t>Concepts that may be meaningful or promising but are not required for operational validity</w:t>
            </w:r>
          </w:p>
        </w:tc>
        <w:tc>
          <w:tcPr>
            <w:tcW w:w="0" w:type="auto"/>
            <w:vAlign w:val="center"/>
            <w:hideMark/>
          </w:tcPr>
          <w:p w14:paraId="0982EDA5" w14:textId="77777777" w:rsidR="00DD592F" w:rsidRPr="00B479AE" w:rsidRDefault="00DD592F" w:rsidP="00DD592F">
            <w:pPr>
              <w:spacing w:line="360" w:lineRule="auto"/>
              <w:rPr>
                <w:rFonts w:ascii="Baskerville Old Face" w:hAnsi="Baskerville Old Face"/>
                <w:i/>
                <w:iCs/>
                <w:sz w:val="22"/>
                <w:szCs w:val="22"/>
              </w:rPr>
            </w:pPr>
            <w:r w:rsidRPr="00B479AE">
              <w:rPr>
                <w:rFonts w:ascii="Baskerville Old Face" w:hAnsi="Baskerville Old Face"/>
                <w:i/>
                <w:iCs/>
                <w:sz w:val="22"/>
                <w:szCs w:val="22"/>
              </w:rPr>
              <w:t>Structured water, subtle field hypotheses, frontier biofield interpretations, early-stage coherence models</w:t>
            </w:r>
          </w:p>
        </w:tc>
        <w:tc>
          <w:tcPr>
            <w:tcW w:w="0" w:type="auto"/>
            <w:vAlign w:val="center"/>
            <w:hideMark/>
          </w:tcPr>
          <w:p w14:paraId="7EE3879D" w14:textId="77777777" w:rsidR="00DD592F" w:rsidRPr="00B479AE" w:rsidRDefault="00DD592F" w:rsidP="00DD592F">
            <w:pPr>
              <w:spacing w:line="360" w:lineRule="auto"/>
              <w:rPr>
                <w:rFonts w:ascii="Baskerville Old Face" w:hAnsi="Baskerville Old Face"/>
                <w:i/>
                <w:iCs/>
                <w:sz w:val="22"/>
                <w:szCs w:val="22"/>
              </w:rPr>
            </w:pPr>
            <w:r w:rsidRPr="00B479AE">
              <w:rPr>
                <w:rFonts w:ascii="Baskerville Old Face" w:hAnsi="Baskerville Old Face"/>
                <w:i/>
                <w:iCs/>
                <w:sz w:val="22"/>
                <w:szCs w:val="22"/>
              </w:rPr>
              <w:t>Research only, appendix parking, no core financial admissibility</w:t>
            </w:r>
          </w:p>
        </w:tc>
      </w:tr>
    </w:tbl>
    <w:p w14:paraId="6190A4AC" w14:textId="77777777" w:rsidR="006821AE" w:rsidRPr="00B479AE" w:rsidRDefault="006821AE" w:rsidP="006821AE">
      <w:pPr>
        <w:spacing w:line="360" w:lineRule="auto"/>
        <w:rPr>
          <w:rFonts w:ascii="Baskerville Old Face" w:hAnsi="Baskerville Old Face"/>
          <w:i/>
          <w:iCs/>
        </w:rPr>
      </w:pPr>
      <w:r w:rsidRPr="00B479AE">
        <w:rPr>
          <w:rFonts w:ascii="Baskerville Old Face" w:hAnsi="Baskerville Old Face"/>
          <w:i/>
          <w:iCs/>
        </w:rPr>
        <w:t>The operational rule is:</w:t>
      </w:r>
    </w:p>
    <w:p w14:paraId="050A5033" w14:textId="77777777" w:rsidR="006821AE" w:rsidRPr="00B479AE" w:rsidRDefault="006821AE" w:rsidP="006821AE">
      <w:pPr>
        <w:spacing w:line="360" w:lineRule="auto"/>
        <w:rPr>
          <w:rFonts w:ascii="Baskerville Old Face" w:hAnsi="Baskerville Old Face"/>
          <w:i/>
          <w:iCs/>
        </w:rPr>
      </w:pPr>
      <w:r w:rsidRPr="00B479AE">
        <w:rPr>
          <w:rFonts w:ascii="Baskerville Old Face" w:hAnsi="Baskerville Old Face"/>
          <w:i/>
          <w:iCs/>
        </w:rPr>
        <w:lastRenderedPageBreak/>
        <w:t>Tier 1 grounds the system.</w:t>
      </w:r>
    </w:p>
    <w:p w14:paraId="77B375B6" w14:textId="77777777" w:rsidR="006821AE" w:rsidRPr="00B479AE" w:rsidRDefault="006821AE" w:rsidP="006821AE">
      <w:pPr>
        <w:spacing w:line="360" w:lineRule="auto"/>
        <w:rPr>
          <w:rFonts w:ascii="Baskerville Old Face" w:hAnsi="Baskerville Old Face"/>
          <w:i/>
          <w:iCs/>
        </w:rPr>
      </w:pPr>
      <w:r w:rsidRPr="00B479AE">
        <w:rPr>
          <w:rFonts w:ascii="Baskerville Old Face" w:hAnsi="Baskerville Old Face"/>
          <w:i/>
          <w:iCs/>
        </w:rPr>
        <w:t>Tier 2 informs design and pilot learning.</w:t>
      </w:r>
    </w:p>
    <w:p w14:paraId="3AB7C85F" w14:textId="77777777" w:rsidR="006821AE" w:rsidRPr="00B479AE" w:rsidRDefault="006821AE" w:rsidP="006821AE">
      <w:pPr>
        <w:spacing w:line="360" w:lineRule="auto"/>
        <w:rPr>
          <w:rFonts w:ascii="Baskerville Old Face" w:hAnsi="Baskerville Old Face"/>
          <w:i/>
          <w:iCs/>
        </w:rPr>
      </w:pPr>
      <w:r w:rsidRPr="00B479AE">
        <w:rPr>
          <w:rFonts w:ascii="Baskerville Old Face" w:hAnsi="Baskerville Old Face"/>
          <w:i/>
          <w:iCs/>
        </w:rPr>
        <w:t>Tier 3 may inspire research.</w:t>
      </w:r>
    </w:p>
    <w:p w14:paraId="378EA4BA" w14:textId="77777777" w:rsidR="006821AE" w:rsidRPr="00B479AE" w:rsidRDefault="006821AE" w:rsidP="006821AE">
      <w:pPr>
        <w:spacing w:line="360" w:lineRule="auto"/>
        <w:rPr>
          <w:rFonts w:ascii="Baskerville Old Face" w:hAnsi="Baskerville Old Face"/>
          <w:i/>
          <w:iCs/>
        </w:rPr>
      </w:pPr>
      <w:r w:rsidRPr="00B479AE">
        <w:rPr>
          <w:rFonts w:ascii="Baskerville Old Face" w:hAnsi="Baskerville Old Face"/>
          <w:i/>
          <w:iCs/>
        </w:rPr>
        <w:t>Only evidence that satisfies MRV, confidence, methodology, and admissibility may enter PRU value logic.</w:t>
      </w:r>
    </w:p>
    <w:p w14:paraId="4C479B48" w14:textId="17F8C309"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b/>
          <w:bCs/>
          <w:i/>
          <w:iCs/>
        </w:rPr>
        <w:t>Tier 1 — Established science</w:t>
      </w:r>
    </w:p>
    <w:p w14:paraId="721CFB03"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Tier 1 includes domains supported by strong empirical evidence, broad scientific acceptance, and repeated practical validation.</w:t>
      </w:r>
    </w:p>
    <w:p w14:paraId="5CD68478"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These domains form the non-negotiable scientific foundation of Prometheus.</w:t>
      </w:r>
    </w:p>
    <w:p w14:paraId="2CA4DC77"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They include:</w:t>
      </w:r>
    </w:p>
    <w:p w14:paraId="4BAA9826"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soil organic matter and soil organic carbon as indicators of fertility, structure, and long-term soil function;</w:t>
      </w:r>
    </w:p>
    <w:p w14:paraId="6A9BB841"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the role of soil biology in nutrient cycling, aggregation, water infiltration, and productivity;</w:t>
      </w:r>
    </w:p>
    <w:p w14:paraId="72F87645"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biodiversity as a contributor to ecosystem resilience;</w:t>
      </w:r>
    </w:p>
    <w:p w14:paraId="40DE1B0B"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agroforestry as a productive and resilient land-use model;</w:t>
      </w:r>
    </w:p>
    <w:p w14:paraId="23C05714"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water infiltration, retention, and landscape hydrology as critical determinants of ecological productivity;</w:t>
      </w:r>
    </w:p>
    <w:p w14:paraId="24D96B31"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the relationship between diversified food systems, nutritional quality, and public-health resilience;</w:t>
      </w:r>
    </w:p>
    <w:p w14:paraId="43F1F0DF"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the relevance of monitoring, reporting, and verification for credible environmental claims.</w:t>
      </w:r>
    </w:p>
    <w:p w14:paraId="33B26C16"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Tier 1 evidence supports the operational core of Prometheus.</w:t>
      </w:r>
    </w:p>
    <w:p w14:paraId="5EE94FFF"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The system must remain valid even under conservative evaluation criteria grounded only in these domains.</w:t>
      </w:r>
    </w:p>
    <w:p w14:paraId="5E19579B" w14:textId="77777777" w:rsidR="007E454C" w:rsidRDefault="007E454C" w:rsidP="00EE4728">
      <w:pPr>
        <w:spacing w:line="360" w:lineRule="auto"/>
        <w:rPr>
          <w:rFonts w:ascii="Baskerville Old Face" w:hAnsi="Baskerville Old Face"/>
          <w:b/>
          <w:bCs/>
          <w:i/>
          <w:iCs/>
        </w:rPr>
      </w:pPr>
    </w:p>
    <w:p w14:paraId="37AED8D5" w14:textId="7926BC79"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b/>
          <w:bCs/>
          <w:i/>
          <w:iCs/>
        </w:rPr>
        <w:lastRenderedPageBreak/>
        <w:t>Tier 2 — Emerging science</w:t>
      </w:r>
    </w:p>
    <w:p w14:paraId="49C12C22"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Tier 2 includes domains supported by converging evidence, active research, and growing practical validation, but still requiring continued observation across contexts.</w:t>
      </w:r>
    </w:p>
    <w:p w14:paraId="12C6FC81"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These domains inform system design and pilot learning.</w:t>
      </w:r>
    </w:p>
    <w:p w14:paraId="76D1A6C5"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They include:</w:t>
      </w:r>
    </w:p>
    <w:p w14:paraId="63F7BF76"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syntropic agroforestry and accelerated ecological succession;</w:t>
      </w:r>
    </w:p>
    <w:p w14:paraId="3279014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common mycorrhizal networks and plant-fungal resource exchange;</w:t>
      </w:r>
    </w:p>
    <w:p w14:paraId="67332B2E"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secondary metabolites, volatile organic compounds, and biochemical signaling in plant communities;</w:t>
      </w:r>
    </w:p>
    <w:p w14:paraId="310C5F80"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regenerative agriculture impacts on nutritional density;</w:t>
      </w:r>
    </w:p>
    <w:p w14:paraId="42B87888"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complex adaptive systems applied to socio-ecological and financial architectures;</w:t>
      </w:r>
    </w:p>
    <w:p w14:paraId="39F4DABD"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distributed MRV and agent-centric verification systems;</w:t>
      </w:r>
    </w:p>
    <w:p w14:paraId="01785CA1"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AI-assisted ecological interpretation and decision support.</w:t>
      </w:r>
    </w:p>
    <w:p w14:paraId="0186496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Tier 2 evidence can guide design, modeling, and indicator development.</w:t>
      </w:r>
    </w:p>
    <w:p w14:paraId="17BAE81C"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It should be used with confidence scoring, explicit uncertainty, and progressive validation through pilot data.</w:t>
      </w:r>
    </w:p>
    <w:p w14:paraId="78674A87"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b/>
          <w:bCs/>
          <w:i/>
          <w:iCs/>
        </w:rPr>
        <w:t>Tier 3 — Exploratory hypotheses</w:t>
      </w:r>
    </w:p>
    <w:p w14:paraId="2DA3121F"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Tier 3 includes concepts that may be scientifically interesting, philosophically meaningful, or practically inspiring, but are not required for the operational validity of Prometheus.</w:t>
      </w:r>
    </w:p>
    <w:p w14:paraId="63FAEEE0"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These may include speculative or early-stage interpretations of water structure, biofield dynamics, subtle coherence effects, or other frontier hypotheses.</w:t>
      </w:r>
    </w:p>
    <w:p w14:paraId="2CAAE962"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Prometheus can observe and research these areas without allowing them to govern core financial claims.</w:t>
      </w:r>
    </w:p>
    <w:p w14:paraId="33C81E8F"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This boundary is essential.</w:t>
      </w:r>
    </w:p>
    <w:p w14:paraId="1F491224"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lastRenderedPageBreak/>
        <w:t>The credibility of Prometheus depends on the ability to distinguish between established evidence, emerging evidence, and exploratory inquiry.</w:t>
      </w:r>
    </w:p>
    <w:p w14:paraId="5149BFC6"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What is not yet verified may inspire research.</w:t>
      </w:r>
    </w:p>
    <w:p w14:paraId="154F00D3"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What is verified may enter methodology.</w:t>
      </w:r>
    </w:p>
    <w:p w14:paraId="12DF55BA"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What satisfies admissibility may enter value.</w:t>
      </w:r>
    </w:p>
    <w:p w14:paraId="1CE88774"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b/>
          <w:bCs/>
          <w:i/>
          <w:iCs/>
        </w:rPr>
        <w:t>Epistemic discipline</w:t>
      </w:r>
    </w:p>
    <w:p w14:paraId="1FA1408A"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The Prometheus scientific position is simple:</w:t>
      </w:r>
    </w:p>
    <w:p w14:paraId="0835A7FB"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life is complex, but complexity is not an excuse for vagueness.</w:t>
      </w:r>
    </w:p>
    <w:p w14:paraId="0D7A045B"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Regeneration involves nonlinear interactions, emergent properties, and context-specific outcomes.</w:t>
      </w:r>
    </w:p>
    <w:p w14:paraId="1D05C511"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This makes measurement difficult, but not impossible.</w:t>
      </w:r>
    </w:p>
    <w:p w14:paraId="0165E4E3"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Prometheus therefore adopts epistemic discipline.</w:t>
      </w:r>
    </w:p>
    <w:p w14:paraId="3D0A856C"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Each claim must be associated with an evidence tier.</w:t>
      </w:r>
    </w:p>
    <w:p w14:paraId="57AD597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Each indicator must be associated with method, provenance, uncertainty, and confidence.</w:t>
      </w:r>
    </w:p>
    <w:p w14:paraId="304E6913"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Each value translation must remain constrained by admissibility rules.</w:t>
      </w:r>
    </w:p>
    <w:p w14:paraId="4B21C9E1"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This allows the system to remain open to frontier science without becoming dependent on unverified assumptions.</w:t>
      </w:r>
    </w:p>
    <w:p w14:paraId="6A4A9D9E"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A regenerative infrastructure system must be visionary enough to recognize emerging patterns and rigorous enough to survive institutional scrutiny.</w:t>
      </w:r>
    </w:p>
    <w:p w14:paraId="4B8DB148"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Prometheus is built for both.</w:t>
      </w:r>
    </w:p>
    <w:p w14:paraId="15D6ECCD"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b/>
          <w:bCs/>
          <w:i/>
          <w:iCs/>
        </w:rPr>
        <w:t>The relational architecture of living systems</w:t>
      </w:r>
    </w:p>
    <w:p w14:paraId="71473F8C"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Living systems are defined by relationships.</w:t>
      </w:r>
    </w:p>
    <w:p w14:paraId="555DDE36"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A forest is not merely a collection of trees.</w:t>
      </w:r>
    </w:p>
    <w:p w14:paraId="0D229D4E"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A soil is not merely a mineral substrate.</w:t>
      </w:r>
    </w:p>
    <w:p w14:paraId="03F96B18"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lastRenderedPageBreak/>
        <w:t>A farm is not merely an arrangement of crops.</w:t>
      </w:r>
    </w:p>
    <w:p w14:paraId="128E1C36"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An ecosystem is a network of exchanges, constraints, signals, feedback loops, organisms, flows, and temporal patterns.</w:t>
      </w:r>
    </w:p>
    <w:p w14:paraId="70DD08B3"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Plants interact with fungi, bacteria, insects, birds, animals, water, minerals, sunlight, wind, and human stewardship.</w:t>
      </w:r>
    </w:p>
    <w:p w14:paraId="6AA3A6FF"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Microorganisms decompose organic matter and release nutrients.</w:t>
      </w:r>
    </w:p>
    <w:p w14:paraId="234A7B1A"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Mycorrhizal fungi extend root systems and mediate exchanges.</w:t>
      </w:r>
    </w:p>
    <w:p w14:paraId="7B614E96"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Pollinators support reproduction.</w:t>
      </w:r>
    </w:p>
    <w:p w14:paraId="5F10CEE5"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Predators regulate populations.</w:t>
      </w:r>
    </w:p>
    <w:p w14:paraId="22DE1184"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Diversity distributes ecological functions across many actors.</w:t>
      </w:r>
    </w:p>
    <w:p w14:paraId="3C52C520"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Water connects atmosphere, soil, plants, organisms, and climate.</w:t>
      </w:r>
    </w:p>
    <w:p w14:paraId="4E61441A"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Regeneration occurs when these relationships become more coherent.</w:t>
      </w:r>
    </w:p>
    <w:p w14:paraId="047E6D5E"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This coherence can be expressed through several properties:</w:t>
      </w:r>
    </w:p>
    <w:p w14:paraId="0136736A"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increased circulation of nutrients;</w:t>
      </w:r>
    </w:p>
    <w:p w14:paraId="20F648D4"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increased biological diversity;</w:t>
      </w:r>
    </w:p>
    <w:p w14:paraId="2354C403"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increased redundancy of ecological functions;</w:t>
      </w:r>
    </w:p>
    <w:p w14:paraId="05F061A6"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increased water retention;</w:t>
      </w:r>
    </w:p>
    <w:p w14:paraId="71DEE220"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increased biomass cycling;</w:t>
      </w:r>
    </w:p>
    <w:p w14:paraId="0E95CC64"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increased productive stability;</w:t>
      </w:r>
    </w:p>
    <w:p w14:paraId="23CEE3A2"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reduced external input dependency;</w:t>
      </w:r>
    </w:p>
    <w:p w14:paraId="52FF8662"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reduced vulnerability to disturbance.</w:t>
      </w:r>
    </w:p>
    <w:p w14:paraId="2FD330D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Prometheus treats these properties as measurable expressions of living-system intelligence.</w:t>
      </w:r>
    </w:p>
    <w:p w14:paraId="5405C71A"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b/>
          <w:bCs/>
          <w:i/>
          <w:iCs/>
        </w:rPr>
        <w:lastRenderedPageBreak/>
        <w:t>Syntropic succession</w:t>
      </w:r>
    </w:p>
    <w:p w14:paraId="7CB41B37"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Syntropic systems are based on the principle that life tends toward increasing complexity, organization, and cooperation when conditions support succession.</w:t>
      </w:r>
    </w:p>
    <w:p w14:paraId="248506F7"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In natural ecosystems, succession describes the temporal process through which plant communities evolve from pioneer stages toward more complex and stable ecological structures.</w:t>
      </w:r>
    </w:p>
    <w:p w14:paraId="1E69007C"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Syntropic design uses this principle intentionally.</w:t>
      </w:r>
    </w:p>
    <w:p w14:paraId="3D4444DA"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It introduces species across multiple successional stages, organizes them through stratification, and manages biomass to accelerate ecological development.</w:t>
      </w:r>
    </w:p>
    <w:p w14:paraId="7F1234AF"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The result is not a static plantation.</w:t>
      </w:r>
    </w:p>
    <w:p w14:paraId="787C2770"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It is a dynamic living system.</w:t>
      </w:r>
    </w:p>
    <w:p w14:paraId="4E01FC48"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Syntropic systems use:</w:t>
      </w:r>
    </w:p>
    <w:p w14:paraId="3D383517"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pioneer species to prepare soil and microclimate;</w:t>
      </w:r>
    </w:p>
    <w:p w14:paraId="30599284"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secondary species to increase structure and production;</w:t>
      </w:r>
    </w:p>
    <w:p w14:paraId="77569FA7"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longer-cycle species to build canopy, biomass, and stability;</w:t>
      </w:r>
    </w:p>
    <w:p w14:paraId="5137B15E"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ground cover to protect soil;</w:t>
      </w:r>
    </w:p>
    <w:p w14:paraId="609C4BF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pruning to stimulate growth and return organic matter;</w:t>
      </w:r>
    </w:p>
    <w:p w14:paraId="671B6DB7"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diversity to distribute risk;</w:t>
      </w:r>
    </w:p>
    <w:p w14:paraId="224CF2A7"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stratification to increase photosynthetic efficiency.</w:t>
      </w:r>
    </w:p>
    <w:p w14:paraId="7D05BD17"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In this architecture, productivity emerges from ecological succession rather than from input intensification alone.</w:t>
      </w:r>
    </w:p>
    <w:p w14:paraId="6034260C"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A syntropic system becomes more productive because relationships mature.</w:t>
      </w:r>
    </w:p>
    <w:p w14:paraId="4BA47C97"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Soil improves.</w:t>
      </w:r>
    </w:p>
    <w:p w14:paraId="004C8BB8"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Water retention increases.</w:t>
      </w:r>
    </w:p>
    <w:p w14:paraId="1398C3AD"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lastRenderedPageBreak/>
        <w:t>Biomass cycling accelerates.</w:t>
      </w:r>
    </w:p>
    <w:p w14:paraId="66976F4E"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Microclimates stabilize.</w:t>
      </w:r>
    </w:p>
    <w:p w14:paraId="5A95F907"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Root networks deepen.</w:t>
      </w:r>
    </w:p>
    <w:p w14:paraId="467F70F6"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Species interactions become more functional.</w:t>
      </w:r>
    </w:p>
    <w:p w14:paraId="221D6B08"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Prometheus uses syntropic succession as one of the biophysical foundations of the One Human Ecosystem.</w:t>
      </w:r>
    </w:p>
    <w:p w14:paraId="08EE23E3" w14:textId="24CD46DC" w:rsidR="00DF18AE" w:rsidRPr="00B479AE" w:rsidRDefault="00DF18AE" w:rsidP="00DF18AE">
      <w:pPr>
        <w:spacing w:line="360" w:lineRule="auto"/>
        <w:rPr>
          <w:rFonts w:ascii="Baskerville Old Face" w:hAnsi="Baskerville Old Face"/>
          <w:b/>
          <w:bCs/>
          <w:i/>
          <w:iCs/>
        </w:rPr>
      </w:pPr>
      <w:r w:rsidRPr="00B479AE">
        <w:rPr>
          <w:rFonts w:ascii="Baskerville Old Face" w:hAnsi="Baskerville Old Face"/>
          <w:b/>
          <w:bCs/>
          <w:i/>
          <w:iCs/>
        </w:rPr>
        <w:t>Comparative Production Dynamics: Conventional and Syntropic Systems</w:t>
      </w:r>
    </w:p>
    <w:p w14:paraId="32E36E0B" w14:textId="77777777" w:rsidR="00DF18AE" w:rsidRPr="00B479AE" w:rsidRDefault="00DF18AE" w:rsidP="00DF18AE">
      <w:pPr>
        <w:spacing w:line="360" w:lineRule="auto"/>
        <w:rPr>
          <w:rFonts w:ascii="Baskerville Old Face" w:hAnsi="Baskerville Old Face"/>
          <w:i/>
          <w:iCs/>
        </w:rPr>
      </w:pPr>
      <w:r w:rsidRPr="00B479AE">
        <w:rPr>
          <w:rFonts w:ascii="Baskerville Old Face" w:hAnsi="Baskerville Old Face"/>
          <w:i/>
          <w:iCs/>
        </w:rPr>
        <w:t>Syntropic systems differ from conventional agriculture not only in technique, but in production logic.</w:t>
      </w:r>
    </w:p>
    <w:p w14:paraId="5A0166C6" w14:textId="77777777" w:rsidR="00DF18AE" w:rsidRPr="00B479AE" w:rsidRDefault="00DF18AE" w:rsidP="00DF18AE">
      <w:pPr>
        <w:spacing w:line="360" w:lineRule="auto"/>
        <w:rPr>
          <w:rFonts w:ascii="Baskerville Old Face" w:hAnsi="Baskerville Old Face"/>
          <w:i/>
          <w:iCs/>
        </w:rPr>
      </w:pPr>
      <w:r w:rsidRPr="00B479AE">
        <w:rPr>
          <w:rFonts w:ascii="Baskerville Old Face" w:hAnsi="Baskerville Old Face"/>
          <w:i/>
          <w:iCs/>
        </w:rPr>
        <w:t>Conventional systems tend to rely on external input intensification.</w:t>
      </w:r>
    </w:p>
    <w:p w14:paraId="02D09E6A" w14:textId="0D42B3A6" w:rsidR="00DF18AE" w:rsidRDefault="00DF18AE" w:rsidP="00DF18AE">
      <w:pPr>
        <w:spacing w:line="360" w:lineRule="auto"/>
        <w:rPr>
          <w:rFonts w:ascii="Baskerville Old Face" w:hAnsi="Baskerville Old Face"/>
          <w:i/>
          <w:iCs/>
        </w:rPr>
      </w:pPr>
      <w:r w:rsidRPr="00B479AE">
        <w:rPr>
          <w:rFonts w:ascii="Baskerville Old Face" w:hAnsi="Baskerville Old Face"/>
          <w:i/>
          <w:iCs/>
        </w:rPr>
        <w:t>Syntropic systems seek to increase productivity through succession, stratification, biomass cycling, soil regeneration, water retention, biodiversity, and ecological cooperation.</w:t>
      </w:r>
      <w:r w:rsidR="007E454C">
        <w:rPr>
          <w:rFonts w:ascii="Baskerville Old Face" w:hAnsi="Baskerville Old Face"/>
          <w:i/>
          <w:iCs/>
        </w:rPr>
        <w:t xml:space="preserve"> </w:t>
      </w:r>
    </w:p>
    <w:p w14:paraId="3E59F126" w14:textId="77777777" w:rsidR="007E454C" w:rsidRDefault="007E454C" w:rsidP="00DF18AE">
      <w:pPr>
        <w:spacing w:line="360" w:lineRule="auto"/>
        <w:rPr>
          <w:rFonts w:ascii="Baskerville Old Face" w:hAnsi="Baskerville Old Face"/>
          <w:i/>
          <w:iCs/>
        </w:rPr>
      </w:pPr>
    </w:p>
    <w:p w14:paraId="5DB010DC" w14:textId="77777777" w:rsidR="007E454C" w:rsidRDefault="007E454C" w:rsidP="00DF18AE">
      <w:pPr>
        <w:spacing w:line="360" w:lineRule="auto"/>
        <w:rPr>
          <w:rFonts w:ascii="Baskerville Old Face" w:hAnsi="Baskerville Old Face"/>
          <w:i/>
          <w:iCs/>
        </w:rPr>
      </w:pPr>
    </w:p>
    <w:p w14:paraId="45400C39" w14:textId="77777777" w:rsidR="007E454C" w:rsidRDefault="007E454C" w:rsidP="00DF18AE">
      <w:pPr>
        <w:spacing w:line="360" w:lineRule="auto"/>
        <w:rPr>
          <w:rFonts w:ascii="Baskerville Old Face" w:hAnsi="Baskerville Old Face"/>
          <w:i/>
          <w:iCs/>
        </w:rPr>
      </w:pPr>
    </w:p>
    <w:p w14:paraId="3CBED731" w14:textId="77777777" w:rsidR="007E454C" w:rsidRDefault="007E454C" w:rsidP="00DF18AE">
      <w:pPr>
        <w:spacing w:line="360" w:lineRule="auto"/>
        <w:rPr>
          <w:rFonts w:ascii="Baskerville Old Face" w:hAnsi="Baskerville Old Face"/>
          <w:i/>
          <w:iCs/>
        </w:rPr>
      </w:pPr>
    </w:p>
    <w:p w14:paraId="71D70FCA" w14:textId="77777777" w:rsidR="007E454C" w:rsidRDefault="007E454C" w:rsidP="00DF18AE">
      <w:pPr>
        <w:spacing w:line="360" w:lineRule="auto"/>
        <w:rPr>
          <w:rFonts w:ascii="Baskerville Old Face" w:hAnsi="Baskerville Old Face"/>
          <w:i/>
          <w:iCs/>
        </w:rPr>
      </w:pPr>
    </w:p>
    <w:p w14:paraId="3C133490" w14:textId="77777777" w:rsidR="007E454C" w:rsidRDefault="007E454C" w:rsidP="00DF18AE">
      <w:pPr>
        <w:spacing w:line="360" w:lineRule="auto"/>
        <w:rPr>
          <w:rFonts w:ascii="Baskerville Old Face" w:hAnsi="Baskerville Old Face"/>
          <w:i/>
          <w:iCs/>
        </w:rPr>
      </w:pPr>
    </w:p>
    <w:p w14:paraId="380A0C36" w14:textId="77777777" w:rsidR="007E454C" w:rsidRDefault="007E454C" w:rsidP="00DF18AE">
      <w:pPr>
        <w:spacing w:line="360" w:lineRule="auto"/>
        <w:rPr>
          <w:rFonts w:ascii="Baskerville Old Face" w:hAnsi="Baskerville Old Face"/>
          <w:i/>
          <w:iCs/>
        </w:rPr>
      </w:pPr>
    </w:p>
    <w:p w14:paraId="6A3CCA53" w14:textId="77777777" w:rsidR="007E454C" w:rsidRDefault="007E454C" w:rsidP="00DF18AE">
      <w:pPr>
        <w:spacing w:line="360" w:lineRule="auto"/>
        <w:rPr>
          <w:rFonts w:ascii="Baskerville Old Face" w:hAnsi="Baskerville Old Face"/>
          <w:i/>
          <w:iCs/>
        </w:rPr>
      </w:pPr>
    </w:p>
    <w:p w14:paraId="3656F276" w14:textId="77777777" w:rsidR="007E454C" w:rsidRDefault="007E454C" w:rsidP="00DF18AE">
      <w:pPr>
        <w:spacing w:line="360" w:lineRule="auto"/>
        <w:rPr>
          <w:rFonts w:ascii="Baskerville Old Face" w:hAnsi="Baskerville Old Face"/>
          <w:i/>
          <w:iCs/>
        </w:rPr>
      </w:pPr>
    </w:p>
    <w:p w14:paraId="661E1E45" w14:textId="77777777" w:rsidR="007E454C" w:rsidRPr="00B479AE" w:rsidRDefault="007E454C" w:rsidP="00DF18AE">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4"/>
        <w:gridCol w:w="3691"/>
        <w:gridCol w:w="4103"/>
      </w:tblGrid>
      <w:tr w:rsidR="00DF18AE" w:rsidRPr="00B479AE" w14:paraId="0E46977F" w14:textId="77777777" w:rsidTr="00DF18AE">
        <w:trPr>
          <w:tblHeader/>
          <w:tblCellSpacing w:w="15" w:type="dxa"/>
        </w:trPr>
        <w:tc>
          <w:tcPr>
            <w:tcW w:w="0" w:type="auto"/>
            <w:vAlign w:val="center"/>
            <w:hideMark/>
          </w:tcPr>
          <w:p w14:paraId="297BD528" w14:textId="77777777" w:rsidR="00DF18AE" w:rsidRPr="00B479AE" w:rsidRDefault="00DF18AE" w:rsidP="00DF18AE">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Aspect</w:t>
            </w:r>
          </w:p>
        </w:tc>
        <w:tc>
          <w:tcPr>
            <w:tcW w:w="0" w:type="auto"/>
            <w:vAlign w:val="center"/>
            <w:hideMark/>
          </w:tcPr>
          <w:p w14:paraId="0EAD19D4" w14:textId="77777777" w:rsidR="00DF18AE" w:rsidRPr="00B479AE" w:rsidRDefault="00DF18AE" w:rsidP="00DF18AE">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Conventional agriculture</w:t>
            </w:r>
          </w:p>
        </w:tc>
        <w:tc>
          <w:tcPr>
            <w:tcW w:w="0" w:type="auto"/>
            <w:vAlign w:val="center"/>
            <w:hideMark/>
          </w:tcPr>
          <w:p w14:paraId="21C499A2" w14:textId="77777777" w:rsidR="00DF18AE" w:rsidRPr="00B479AE" w:rsidRDefault="00DF18AE" w:rsidP="00DF18AE">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Syntropic systems</w:t>
            </w:r>
          </w:p>
        </w:tc>
      </w:tr>
      <w:tr w:rsidR="00DF18AE" w:rsidRPr="00B479AE" w14:paraId="7295D17E" w14:textId="77777777" w:rsidTr="00DF18AE">
        <w:trPr>
          <w:tblCellSpacing w:w="15" w:type="dxa"/>
        </w:trPr>
        <w:tc>
          <w:tcPr>
            <w:tcW w:w="0" w:type="auto"/>
            <w:vAlign w:val="center"/>
            <w:hideMark/>
          </w:tcPr>
          <w:p w14:paraId="452EAD17"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Production logic</w:t>
            </w:r>
          </w:p>
        </w:tc>
        <w:tc>
          <w:tcPr>
            <w:tcW w:w="0" w:type="auto"/>
            <w:vAlign w:val="center"/>
            <w:hideMark/>
          </w:tcPr>
          <w:p w14:paraId="2AB32FE9"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Output-first</w:t>
            </w:r>
          </w:p>
        </w:tc>
        <w:tc>
          <w:tcPr>
            <w:tcW w:w="0" w:type="auto"/>
            <w:vAlign w:val="center"/>
            <w:hideMark/>
          </w:tcPr>
          <w:p w14:paraId="3741CE58"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System-health-first, then output</w:t>
            </w:r>
          </w:p>
        </w:tc>
      </w:tr>
      <w:tr w:rsidR="00DF18AE" w:rsidRPr="00B479AE" w14:paraId="3F64E9FA" w14:textId="77777777" w:rsidTr="00DF18AE">
        <w:trPr>
          <w:tblCellSpacing w:w="15" w:type="dxa"/>
        </w:trPr>
        <w:tc>
          <w:tcPr>
            <w:tcW w:w="0" w:type="auto"/>
            <w:vAlign w:val="center"/>
            <w:hideMark/>
          </w:tcPr>
          <w:p w14:paraId="7892D292"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Yield trend</w:t>
            </w:r>
          </w:p>
        </w:tc>
        <w:tc>
          <w:tcPr>
            <w:tcW w:w="0" w:type="auto"/>
            <w:vAlign w:val="center"/>
            <w:hideMark/>
          </w:tcPr>
          <w:p w14:paraId="33A5185C"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Often stable, input-dependent, or declining under stress</w:t>
            </w:r>
          </w:p>
        </w:tc>
        <w:tc>
          <w:tcPr>
            <w:tcW w:w="0" w:type="auto"/>
            <w:vAlign w:val="center"/>
            <w:hideMark/>
          </w:tcPr>
          <w:p w14:paraId="5FA45BDC"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Potentially increasing as ecological maturity develops</w:t>
            </w:r>
          </w:p>
        </w:tc>
      </w:tr>
      <w:tr w:rsidR="00DF18AE" w:rsidRPr="00B479AE" w14:paraId="6945BD48" w14:textId="77777777" w:rsidTr="00DF18AE">
        <w:trPr>
          <w:tblCellSpacing w:w="15" w:type="dxa"/>
        </w:trPr>
        <w:tc>
          <w:tcPr>
            <w:tcW w:w="0" w:type="auto"/>
            <w:vAlign w:val="center"/>
            <w:hideMark/>
          </w:tcPr>
          <w:p w14:paraId="1D70FA9B"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Soil fertility</w:t>
            </w:r>
          </w:p>
        </w:tc>
        <w:tc>
          <w:tcPr>
            <w:tcW w:w="0" w:type="auto"/>
            <w:vAlign w:val="center"/>
            <w:hideMark/>
          </w:tcPr>
          <w:p w14:paraId="124ADD89"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Often declining without external correction</w:t>
            </w:r>
          </w:p>
        </w:tc>
        <w:tc>
          <w:tcPr>
            <w:tcW w:w="0" w:type="auto"/>
            <w:vAlign w:val="center"/>
            <w:hideMark/>
          </w:tcPr>
          <w:p w14:paraId="5D218059"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Increasing when biomass, roots, microbes, and organic matter accumulate</w:t>
            </w:r>
          </w:p>
        </w:tc>
      </w:tr>
      <w:tr w:rsidR="00DF18AE" w:rsidRPr="00B479AE" w14:paraId="5F8E1031" w14:textId="77777777" w:rsidTr="00DF18AE">
        <w:trPr>
          <w:tblCellSpacing w:w="15" w:type="dxa"/>
        </w:trPr>
        <w:tc>
          <w:tcPr>
            <w:tcW w:w="0" w:type="auto"/>
            <w:vAlign w:val="center"/>
            <w:hideMark/>
          </w:tcPr>
          <w:p w14:paraId="337B6306"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Input use</w:t>
            </w:r>
          </w:p>
        </w:tc>
        <w:tc>
          <w:tcPr>
            <w:tcW w:w="0" w:type="auto"/>
            <w:vAlign w:val="center"/>
            <w:hideMark/>
          </w:tcPr>
          <w:p w14:paraId="1F92BE4A"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High and structurally recurring</w:t>
            </w:r>
          </w:p>
        </w:tc>
        <w:tc>
          <w:tcPr>
            <w:tcW w:w="0" w:type="auto"/>
            <w:vAlign w:val="center"/>
            <w:hideMark/>
          </w:tcPr>
          <w:p w14:paraId="5B9ADFF1"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Decreasing as internal cycling improves</w:t>
            </w:r>
          </w:p>
        </w:tc>
      </w:tr>
      <w:tr w:rsidR="00DF18AE" w:rsidRPr="00B479AE" w14:paraId="2A50C6B8" w14:textId="77777777" w:rsidTr="00DF18AE">
        <w:trPr>
          <w:tblCellSpacing w:w="15" w:type="dxa"/>
        </w:trPr>
        <w:tc>
          <w:tcPr>
            <w:tcW w:w="0" w:type="auto"/>
            <w:vAlign w:val="center"/>
            <w:hideMark/>
          </w:tcPr>
          <w:p w14:paraId="68101A5D"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Water performance</w:t>
            </w:r>
          </w:p>
        </w:tc>
        <w:tc>
          <w:tcPr>
            <w:tcW w:w="0" w:type="auto"/>
            <w:vAlign w:val="center"/>
            <w:hideMark/>
          </w:tcPr>
          <w:p w14:paraId="4CD05792"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Vulnerable to runoff, evaporation, compaction, and drought stress</w:t>
            </w:r>
          </w:p>
        </w:tc>
        <w:tc>
          <w:tcPr>
            <w:tcW w:w="0" w:type="auto"/>
            <w:vAlign w:val="center"/>
            <w:hideMark/>
          </w:tcPr>
          <w:p w14:paraId="6FBC6A8E"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Improved through infiltration, retention, cover, roots, and microclimate</w:t>
            </w:r>
          </w:p>
        </w:tc>
      </w:tr>
      <w:tr w:rsidR="00DF18AE" w:rsidRPr="00B479AE" w14:paraId="329534A2" w14:textId="77777777" w:rsidTr="00DF18AE">
        <w:trPr>
          <w:tblCellSpacing w:w="15" w:type="dxa"/>
        </w:trPr>
        <w:tc>
          <w:tcPr>
            <w:tcW w:w="0" w:type="auto"/>
            <w:vAlign w:val="center"/>
            <w:hideMark/>
          </w:tcPr>
          <w:p w14:paraId="77E44181"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Biodiversity</w:t>
            </w:r>
          </w:p>
        </w:tc>
        <w:tc>
          <w:tcPr>
            <w:tcW w:w="0" w:type="auto"/>
            <w:vAlign w:val="center"/>
            <w:hideMark/>
          </w:tcPr>
          <w:p w14:paraId="0AB1E8B4"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Simplified</w:t>
            </w:r>
          </w:p>
        </w:tc>
        <w:tc>
          <w:tcPr>
            <w:tcW w:w="0" w:type="auto"/>
            <w:vAlign w:val="center"/>
            <w:hideMark/>
          </w:tcPr>
          <w:p w14:paraId="6638F829"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Functionally diversified</w:t>
            </w:r>
          </w:p>
        </w:tc>
      </w:tr>
      <w:tr w:rsidR="00DF18AE" w:rsidRPr="00B479AE" w14:paraId="12612E6A" w14:textId="77777777" w:rsidTr="00DF18AE">
        <w:trPr>
          <w:tblCellSpacing w:w="15" w:type="dxa"/>
        </w:trPr>
        <w:tc>
          <w:tcPr>
            <w:tcW w:w="0" w:type="auto"/>
            <w:vAlign w:val="center"/>
            <w:hideMark/>
          </w:tcPr>
          <w:p w14:paraId="2110E85F"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Risk profile</w:t>
            </w:r>
          </w:p>
        </w:tc>
        <w:tc>
          <w:tcPr>
            <w:tcW w:w="0" w:type="auto"/>
            <w:vAlign w:val="center"/>
            <w:hideMark/>
          </w:tcPr>
          <w:p w14:paraId="20AF3CDC"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Concentrated around crop, input, climate, and market exposure</w:t>
            </w:r>
          </w:p>
        </w:tc>
        <w:tc>
          <w:tcPr>
            <w:tcW w:w="0" w:type="auto"/>
            <w:vAlign w:val="center"/>
            <w:hideMark/>
          </w:tcPr>
          <w:p w14:paraId="7DBE8E2C"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Distributed across species, layers, functions, and ecological relationships</w:t>
            </w:r>
          </w:p>
        </w:tc>
      </w:tr>
      <w:tr w:rsidR="00DF18AE" w:rsidRPr="00B479AE" w14:paraId="33BB7A66" w14:textId="77777777" w:rsidTr="00DF18AE">
        <w:trPr>
          <w:tblCellSpacing w:w="15" w:type="dxa"/>
        </w:trPr>
        <w:tc>
          <w:tcPr>
            <w:tcW w:w="0" w:type="auto"/>
            <w:vAlign w:val="center"/>
            <w:hideMark/>
          </w:tcPr>
          <w:p w14:paraId="353E58DF"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Resilience</w:t>
            </w:r>
          </w:p>
        </w:tc>
        <w:tc>
          <w:tcPr>
            <w:tcW w:w="0" w:type="auto"/>
            <w:vAlign w:val="center"/>
            <w:hideMark/>
          </w:tcPr>
          <w:p w14:paraId="33E43DFA"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Low to moderate, depending on external support</w:t>
            </w:r>
          </w:p>
        </w:tc>
        <w:tc>
          <w:tcPr>
            <w:tcW w:w="0" w:type="auto"/>
            <w:vAlign w:val="center"/>
            <w:hideMark/>
          </w:tcPr>
          <w:p w14:paraId="562A66ED"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Potentially high where design, stewardship, and context are strong</w:t>
            </w:r>
          </w:p>
        </w:tc>
      </w:tr>
      <w:tr w:rsidR="00DF18AE" w:rsidRPr="00B479AE" w14:paraId="3A075BDA" w14:textId="77777777" w:rsidTr="00DF18AE">
        <w:trPr>
          <w:tblCellSpacing w:w="15" w:type="dxa"/>
        </w:trPr>
        <w:tc>
          <w:tcPr>
            <w:tcW w:w="0" w:type="auto"/>
            <w:vAlign w:val="center"/>
            <w:hideMark/>
          </w:tcPr>
          <w:p w14:paraId="3A536EE6"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Biomass role</w:t>
            </w:r>
          </w:p>
        </w:tc>
        <w:tc>
          <w:tcPr>
            <w:tcW w:w="0" w:type="auto"/>
            <w:vAlign w:val="center"/>
            <w:hideMark/>
          </w:tcPr>
          <w:p w14:paraId="2DD25136"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Often removed, burned, wasted, or treated as residue</w:t>
            </w:r>
          </w:p>
        </w:tc>
        <w:tc>
          <w:tcPr>
            <w:tcW w:w="0" w:type="auto"/>
            <w:vAlign w:val="center"/>
            <w:hideMark/>
          </w:tcPr>
          <w:p w14:paraId="78824E6B"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Returned to the system as metabolic infrastructure</w:t>
            </w:r>
          </w:p>
        </w:tc>
      </w:tr>
      <w:tr w:rsidR="00DF18AE" w:rsidRPr="00B479AE" w14:paraId="0E756559" w14:textId="77777777" w:rsidTr="00DF18AE">
        <w:trPr>
          <w:tblCellSpacing w:w="15" w:type="dxa"/>
        </w:trPr>
        <w:tc>
          <w:tcPr>
            <w:tcW w:w="0" w:type="auto"/>
            <w:vAlign w:val="center"/>
            <w:hideMark/>
          </w:tcPr>
          <w:p w14:paraId="475B9323"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Pest and disease dynamics</w:t>
            </w:r>
          </w:p>
        </w:tc>
        <w:tc>
          <w:tcPr>
            <w:tcW w:w="0" w:type="auto"/>
            <w:vAlign w:val="center"/>
            <w:hideMark/>
          </w:tcPr>
          <w:p w14:paraId="1F28707F"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Often managed through external control</w:t>
            </w:r>
          </w:p>
        </w:tc>
        <w:tc>
          <w:tcPr>
            <w:tcW w:w="0" w:type="auto"/>
            <w:vAlign w:val="center"/>
            <w:hideMark/>
          </w:tcPr>
          <w:p w14:paraId="6D707640"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Potentially buffered through diversity, succession, and ecological regulation</w:t>
            </w:r>
          </w:p>
        </w:tc>
      </w:tr>
      <w:tr w:rsidR="00DF18AE" w:rsidRPr="00B479AE" w14:paraId="67E5FE11" w14:textId="77777777" w:rsidTr="00DF18AE">
        <w:trPr>
          <w:tblCellSpacing w:w="15" w:type="dxa"/>
        </w:trPr>
        <w:tc>
          <w:tcPr>
            <w:tcW w:w="0" w:type="auto"/>
            <w:vAlign w:val="center"/>
            <w:hideMark/>
          </w:tcPr>
          <w:p w14:paraId="48BDB09E"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Long-term productivity</w:t>
            </w:r>
          </w:p>
        </w:tc>
        <w:tc>
          <w:tcPr>
            <w:tcW w:w="0" w:type="auto"/>
            <w:vAlign w:val="center"/>
            <w:hideMark/>
          </w:tcPr>
          <w:p w14:paraId="302D7A76"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Maintained through external inputs</w:t>
            </w:r>
          </w:p>
        </w:tc>
        <w:tc>
          <w:tcPr>
            <w:tcW w:w="0" w:type="auto"/>
            <w:vAlign w:val="center"/>
            <w:hideMark/>
          </w:tcPr>
          <w:p w14:paraId="5BBFCB45"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Built through ecological maturation</w:t>
            </w:r>
          </w:p>
        </w:tc>
      </w:tr>
      <w:tr w:rsidR="00DF18AE" w:rsidRPr="00B479AE" w14:paraId="0C584397" w14:textId="77777777" w:rsidTr="00DF18AE">
        <w:trPr>
          <w:tblCellSpacing w:w="15" w:type="dxa"/>
        </w:trPr>
        <w:tc>
          <w:tcPr>
            <w:tcW w:w="0" w:type="auto"/>
            <w:vAlign w:val="center"/>
            <w:hideMark/>
          </w:tcPr>
          <w:p w14:paraId="7D50B082"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Value logic</w:t>
            </w:r>
          </w:p>
        </w:tc>
        <w:tc>
          <w:tcPr>
            <w:tcW w:w="0" w:type="auto"/>
            <w:vAlign w:val="center"/>
            <w:hideMark/>
          </w:tcPr>
          <w:p w14:paraId="1B905F5E"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Revenue from output</w:t>
            </w:r>
          </w:p>
        </w:tc>
        <w:tc>
          <w:tcPr>
            <w:tcW w:w="0" w:type="auto"/>
            <w:vAlign w:val="center"/>
            <w:hideMark/>
          </w:tcPr>
          <w:p w14:paraId="0CA7619C" w14:textId="77777777" w:rsidR="00DF18AE" w:rsidRPr="00B479AE" w:rsidRDefault="00DF18AE" w:rsidP="00DF18AE">
            <w:pPr>
              <w:spacing w:line="360" w:lineRule="auto"/>
              <w:rPr>
                <w:rFonts w:ascii="Baskerville Old Face" w:hAnsi="Baskerville Old Face"/>
                <w:i/>
                <w:iCs/>
                <w:sz w:val="22"/>
                <w:szCs w:val="22"/>
              </w:rPr>
            </w:pPr>
            <w:r w:rsidRPr="00B479AE">
              <w:rPr>
                <w:rFonts w:ascii="Baskerville Old Face" w:hAnsi="Baskerville Old Face"/>
                <w:i/>
                <w:iCs/>
                <w:sz w:val="22"/>
                <w:szCs w:val="22"/>
              </w:rPr>
              <w:t>Value from output plus improved future productive capacity</w:t>
            </w:r>
          </w:p>
        </w:tc>
      </w:tr>
    </w:tbl>
    <w:p w14:paraId="652776C6" w14:textId="77777777" w:rsidR="001A0AC2" w:rsidRPr="00B479AE" w:rsidRDefault="001A0AC2" w:rsidP="001A0AC2">
      <w:pPr>
        <w:spacing w:line="360" w:lineRule="auto"/>
        <w:rPr>
          <w:rFonts w:ascii="Baskerville Old Face" w:hAnsi="Baskerville Old Face"/>
          <w:i/>
          <w:iCs/>
        </w:rPr>
      </w:pPr>
      <w:r w:rsidRPr="00B479AE">
        <w:rPr>
          <w:rFonts w:ascii="Baskerville Old Face" w:hAnsi="Baskerville Old Face"/>
          <w:i/>
          <w:iCs/>
        </w:rPr>
        <w:t>This comparison is conceptual and must be interpreted conservatively.</w:t>
      </w:r>
    </w:p>
    <w:p w14:paraId="36046A4A" w14:textId="77777777" w:rsidR="001A0AC2" w:rsidRPr="00B479AE" w:rsidRDefault="001A0AC2" w:rsidP="001A0AC2">
      <w:pPr>
        <w:spacing w:line="360" w:lineRule="auto"/>
        <w:rPr>
          <w:rFonts w:ascii="Baskerville Old Face" w:hAnsi="Baskerville Old Face"/>
          <w:i/>
          <w:iCs/>
        </w:rPr>
      </w:pPr>
      <w:r w:rsidRPr="00B479AE">
        <w:rPr>
          <w:rFonts w:ascii="Baskerville Old Face" w:hAnsi="Baskerville Old Face"/>
          <w:i/>
          <w:iCs/>
        </w:rPr>
        <w:t>Syntropic systems are not plug-and-play.</w:t>
      </w:r>
    </w:p>
    <w:p w14:paraId="626E62FC" w14:textId="77777777" w:rsidR="001A0AC2" w:rsidRPr="00B479AE" w:rsidRDefault="001A0AC2" w:rsidP="001A0AC2">
      <w:pPr>
        <w:spacing w:line="360" w:lineRule="auto"/>
        <w:rPr>
          <w:rFonts w:ascii="Baskerville Old Face" w:hAnsi="Baskerville Old Face"/>
          <w:i/>
          <w:iCs/>
        </w:rPr>
      </w:pPr>
      <w:r w:rsidRPr="00B479AE">
        <w:rPr>
          <w:rFonts w:ascii="Baskerville Old Face" w:hAnsi="Baskerville Old Face"/>
          <w:i/>
          <w:iCs/>
        </w:rPr>
        <w:lastRenderedPageBreak/>
        <w:t>Their performance depends on design quality, management skill, ecological context, species selection, water conditions, soil baseline, time, and stewardship continuity.</w:t>
      </w:r>
    </w:p>
    <w:p w14:paraId="3FD8500A" w14:textId="77777777" w:rsidR="001A0AC2" w:rsidRPr="00B479AE" w:rsidRDefault="001A0AC2" w:rsidP="001A0AC2">
      <w:pPr>
        <w:spacing w:line="360" w:lineRule="auto"/>
        <w:rPr>
          <w:rFonts w:ascii="Baskerville Old Face" w:hAnsi="Baskerville Old Face"/>
          <w:i/>
          <w:iCs/>
        </w:rPr>
      </w:pPr>
      <w:r w:rsidRPr="00B479AE">
        <w:rPr>
          <w:rFonts w:ascii="Baskerville Old Face" w:hAnsi="Baskerville Old Face"/>
          <w:i/>
          <w:iCs/>
        </w:rPr>
        <w:t>The correct boundary condition is:</w:t>
      </w:r>
    </w:p>
    <w:p w14:paraId="68835816" w14:textId="77777777" w:rsidR="001A0AC2" w:rsidRPr="00B479AE" w:rsidRDefault="001A0AC2" w:rsidP="001A0AC2">
      <w:pPr>
        <w:spacing w:line="360" w:lineRule="auto"/>
        <w:rPr>
          <w:rFonts w:ascii="Baskerville Old Face" w:hAnsi="Baskerville Old Face"/>
          <w:i/>
          <w:iCs/>
        </w:rPr>
      </w:pPr>
      <w:r w:rsidRPr="00B479AE">
        <w:rPr>
          <w:rFonts w:ascii="Baskerville Old Face" w:hAnsi="Baskerville Old Face"/>
          <w:b/>
          <w:bCs/>
          <w:i/>
          <w:iCs/>
        </w:rPr>
        <w:t xml:space="preserve">Regenerative performance </w:t>
      </w:r>
      <w:r w:rsidRPr="00B479AE">
        <w:rPr>
          <w:rFonts w:ascii="Cambria Math" w:hAnsi="Cambria Math" w:cs="Cambria Math"/>
          <w:b/>
          <w:bCs/>
          <w:i/>
          <w:iCs/>
        </w:rPr>
        <w:t>∝</w:t>
      </w:r>
      <w:r w:rsidRPr="00B479AE">
        <w:rPr>
          <w:rFonts w:ascii="Baskerville Old Face" w:hAnsi="Baskerville Old Face"/>
          <w:b/>
          <w:bCs/>
          <w:i/>
          <w:iCs/>
        </w:rPr>
        <w:t xml:space="preserve"> design </w:t>
      </w:r>
      <w:r w:rsidRPr="00B479AE">
        <w:rPr>
          <w:rFonts w:ascii="Baskerville Old Face" w:hAnsi="Baskerville Old Face" w:cs="Baskerville Old Face"/>
          <w:b/>
          <w:bCs/>
          <w:i/>
          <w:iCs/>
        </w:rPr>
        <w:t>×</w:t>
      </w:r>
      <w:r w:rsidRPr="00B479AE">
        <w:rPr>
          <w:rFonts w:ascii="Baskerville Old Face" w:hAnsi="Baskerville Old Face"/>
          <w:b/>
          <w:bCs/>
          <w:i/>
          <w:iCs/>
        </w:rPr>
        <w:t xml:space="preserve"> management </w:t>
      </w:r>
      <w:r w:rsidRPr="00B479AE">
        <w:rPr>
          <w:rFonts w:ascii="Baskerville Old Face" w:hAnsi="Baskerville Old Face" w:cs="Baskerville Old Face"/>
          <w:b/>
          <w:bCs/>
          <w:i/>
          <w:iCs/>
        </w:rPr>
        <w:t>×</w:t>
      </w:r>
      <w:r w:rsidRPr="00B479AE">
        <w:rPr>
          <w:rFonts w:ascii="Baskerville Old Face" w:hAnsi="Baskerville Old Face"/>
          <w:b/>
          <w:bCs/>
          <w:i/>
          <w:iCs/>
        </w:rPr>
        <w:t xml:space="preserve"> context</w:t>
      </w:r>
    </w:p>
    <w:p w14:paraId="11D736A3" w14:textId="77777777" w:rsidR="001A0AC2" w:rsidRPr="00B479AE" w:rsidRDefault="001A0AC2" w:rsidP="001A0AC2">
      <w:pPr>
        <w:spacing w:line="360" w:lineRule="auto"/>
        <w:rPr>
          <w:rFonts w:ascii="Baskerville Old Face" w:hAnsi="Baskerville Old Face"/>
          <w:i/>
          <w:iCs/>
        </w:rPr>
      </w:pPr>
      <w:r w:rsidRPr="00B479AE">
        <w:rPr>
          <w:rFonts w:ascii="Baskerville Old Face" w:hAnsi="Baskerville Old Face"/>
          <w:i/>
          <w:iCs/>
        </w:rPr>
        <w:t>In Prometheus, this table supports PRU logic because it clarifies why productive value, ecological maturity, input independence, and resilience must be measured together.</w:t>
      </w:r>
    </w:p>
    <w:p w14:paraId="5D9FC754" w14:textId="1F97EE20"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b/>
          <w:bCs/>
          <w:i/>
          <w:iCs/>
        </w:rPr>
        <w:t>Stratification and photosynthetic intelligence</w:t>
      </w:r>
    </w:p>
    <w:p w14:paraId="55AECEE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A key feature of syntropic systems is vertical stratification.</w:t>
      </w:r>
    </w:p>
    <w:p w14:paraId="2E44A1FA"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Plants occupy different layers of space: ground cover, low shrubs, medium shrubs, understory trees, canopy trees, emergent trees, vines, and transitional layers.</w:t>
      </w:r>
    </w:p>
    <w:p w14:paraId="1A06CBCA"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This vertical organization allows the system to capture more sunlight, protect soil, reduce evaporation, create habitat, and increase total biological productivity within a compact area.</w:t>
      </w:r>
    </w:p>
    <w:p w14:paraId="11C4C14D"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In conventional monocultural systems, much solar energy is lost because the architecture is flat, simplified, and biologically sparse.</w:t>
      </w:r>
    </w:p>
    <w:p w14:paraId="4438744C"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In a stratified system, solar energy is captured across multiple layers and converted into biomass, food, shade, roots, organic matter, habitat, and microclimate.</w:t>
      </w:r>
    </w:p>
    <w:p w14:paraId="44D272D5"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This is one of the reasons why a small regenerative unit can produce multiple forms of value simultaneously.</w:t>
      </w:r>
    </w:p>
    <w:p w14:paraId="588C2C72"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The system produces food.</w:t>
      </w:r>
    </w:p>
    <w:p w14:paraId="1491EDCE"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It produces biomass.</w:t>
      </w:r>
    </w:p>
    <w:p w14:paraId="3D5CA9E3"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It produces soil cover.</w:t>
      </w:r>
    </w:p>
    <w:p w14:paraId="26EE5032"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It produces habitat.</w:t>
      </w:r>
    </w:p>
    <w:p w14:paraId="1F8742C4"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It produces water retention.</w:t>
      </w:r>
    </w:p>
    <w:p w14:paraId="23192050"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It produces resilience.</w:t>
      </w:r>
    </w:p>
    <w:p w14:paraId="15F95F01"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lastRenderedPageBreak/>
        <w:t>The productive function is therefore multidimensional.</w:t>
      </w:r>
    </w:p>
    <w:p w14:paraId="13168020"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Prometheus treats this multidimensionality as a value feature, not as accounting noise.</w:t>
      </w:r>
    </w:p>
    <w:p w14:paraId="613E156D" w14:textId="45675D79"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b/>
          <w:bCs/>
          <w:i/>
          <w:iCs/>
        </w:rPr>
        <w:t>Soil as metabolic infrastructure</w:t>
      </w:r>
    </w:p>
    <w:p w14:paraId="25C8F394"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Soil is not inert matter.</w:t>
      </w:r>
    </w:p>
    <w:p w14:paraId="29354DB5"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It is metabolic infrastructure.</w:t>
      </w:r>
    </w:p>
    <w:p w14:paraId="7CF2E387"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Healthy soil is a living interface among minerals, organic matter, water, roots, fungi, bacteria, invertebrates, gases, nutrients, and biochemical signals.</w:t>
      </w:r>
    </w:p>
    <w:p w14:paraId="0D0FBCE3"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Its condition determines whether a landscape can retain water, support plants, cycle nutrients, buffer stress, and recover from disturbance.</w:t>
      </w:r>
    </w:p>
    <w:p w14:paraId="2FCE1A45"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Prometheus treats soil function as one of the primary indicators of regenerative performance.</w:t>
      </w:r>
    </w:p>
    <w:p w14:paraId="10D29FB0"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Key soil dimensions include:</w:t>
      </w:r>
    </w:p>
    <w:p w14:paraId="7B44D583"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soil organic carbon;</w:t>
      </w:r>
    </w:p>
    <w:p w14:paraId="1ABFF3BC"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organic matter;</w:t>
      </w:r>
    </w:p>
    <w:p w14:paraId="50F63190"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aggregate stability;</w:t>
      </w:r>
    </w:p>
    <w:p w14:paraId="0FD838FB"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bulk density;</w:t>
      </w:r>
    </w:p>
    <w:p w14:paraId="750EBC96"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infiltration capacity;</w:t>
      </w:r>
    </w:p>
    <w:p w14:paraId="5165CAAA"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microbial biomass;</w:t>
      </w:r>
    </w:p>
    <w:p w14:paraId="491CC57B"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earthworm activity;</w:t>
      </w:r>
    </w:p>
    <w:p w14:paraId="6FD0E4D6"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nutrient availability;</w:t>
      </w:r>
    </w:p>
    <w:p w14:paraId="3BE7C7D3"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pH balance;</w:t>
      </w:r>
    </w:p>
    <w:p w14:paraId="45E9BAA6"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salinity;</w:t>
      </w:r>
    </w:p>
    <w:p w14:paraId="32AA59B5"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root development;</w:t>
      </w:r>
    </w:p>
    <w:p w14:paraId="4C4041B4"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lastRenderedPageBreak/>
        <w:t>• mycorrhizal colonization;</w:t>
      </w:r>
    </w:p>
    <w:p w14:paraId="58258522"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soil moisture dynamics.</w:t>
      </w:r>
    </w:p>
    <w:p w14:paraId="32715506"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The regenerative direction is clear.</w:t>
      </w:r>
    </w:p>
    <w:p w14:paraId="40D7A1B1"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As soil organic matter increases, structure improves.</w:t>
      </w:r>
    </w:p>
    <w:p w14:paraId="2B62ED53"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As structure improves, infiltration increases.</w:t>
      </w:r>
    </w:p>
    <w:p w14:paraId="0D3763D2"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As infiltration increases, water retention improves.</w:t>
      </w:r>
    </w:p>
    <w:p w14:paraId="20FD1A86"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As water retention improves, plant stress decreases.</w:t>
      </w:r>
    </w:p>
    <w:p w14:paraId="28EF591A"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As plant stress decreases, biomass production stabilizes.</w:t>
      </w:r>
    </w:p>
    <w:p w14:paraId="013A0CCC"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As biomass returns to soil, organic matter increases again.</w:t>
      </w:r>
    </w:p>
    <w:p w14:paraId="2B099320"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This creates a reinforcing loop:</w:t>
      </w:r>
    </w:p>
    <w:p w14:paraId="295E0220"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soil life</w:t>
      </w:r>
      <w:r w:rsidRPr="00B479AE">
        <w:rPr>
          <w:rFonts w:ascii="Baskerville Old Face" w:hAnsi="Baskerville Old Face"/>
          <w:i/>
          <w:iCs/>
        </w:rPr>
        <w:br/>
        <w:t>water retention</w:t>
      </w:r>
      <w:r w:rsidRPr="00B479AE">
        <w:rPr>
          <w:rFonts w:ascii="Baskerville Old Face" w:hAnsi="Baskerville Old Face"/>
          <w:i/>
          <w:iCs/>
        </w:rPr>
        <w:br/>
        <w:t>plant growth</w:t>
      </w:r>
      <w:r w:rsidRPr="00B479AE">
        <w:rPr>
          <w:rFonts w:ascii="Baskerville Old Face" w:hAnsi="Baskerville Old Face"/>
          <w:i/>
          <w:iCs/>
        </w:rPr>
        <w:br/>
        <w:t>biomass cycling</w:t>
      </w:r>
      <w:r w:rsidRPr="00B479AE">
        <w:rPr>
          <w:rFonts w:ascii="Baskerville Old Face" w:hAnsi="Baskerville Old Face"/>
          <w:i/>
          <w:iCs/>
        </w:rPr>
        <w:br/>
        <w:t>soil organic matter</w:t>
      </w:r>
      <w:r w:rsidRPr="00B479AE">
        <w:rPr>
          <w:rFonts w:ascii="Baskerville Old Face" w:hAnsi="Baskerville Old Face"/>
          <w:i/>
          <w:iCs/>
        </w:rPr>
        <w:br/>
        <w:t>resilience.</w:t>
      </w:r>
    </w:p>
    <w:p w14:paraId="16846041"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This loop is one of the core engines of regenerative value.</w:t>
      </w:r>
    </w:p>
    <w:p w14:paraId="6F6D588B"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b/>
          <w:bCs/>
          <w:i/>
          <w:iCs/>
        </w:rPr>
        <w:t>Water as circulatory infrastructure</w:t>
      </w:r>
    </w:p>
    <w:p w14:paraId="50EAB42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Water is the circulatory system of landscapes.</w:t>
      </w:r>
    </w:p>
    <w:p w14:paraId="570E5B17"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Its movement determines fertility, vegetation, temperature, productivity, erosion, drought exposure, and biological activity.</w:t>
      </w:r>
    </w:p>
    <w:p w14:paraId="5CC9652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A degraded landscape often sheds water quickly.</w:t>
      </w:r>
    </w:p>
    <w:p w14:paraId="353AADA3"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Rainfall becomes runoff.</w:t>
      </w:r>
    </w:p>
    <w:p w14:paraId="27241497"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Runoff becomes erosion.</w:t>
      </w:r>
    </w:p>
    <w:p w14:paraId="2E36BE8C"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lastRenderedPageBreak/>
        <w:t>Erosion removes soil.</w:t>
      </w:r>
    </w:p>
    <w:p w14:paraId="0538C49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Dry soil reduces microbial activity.</w:t>
      </w:r>
    </w:p>
    <w:p w14:paraId="6DDADCD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Vegetation declines.</w:t>
      </w:r>
    </w:p>
    <w:p w14:paraId="005764AD"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The system becomes hotter, drier, more fragile, and more dependent on external intervention.</w:t>
      </w:r>
    </w:p>
    <w:p w14:paraId="33BDED6E"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A regenerative landscape slows, spreads, stores, and infiltrates water.</w:t>
      </w:r>
    </w:p>
    <w:p w14:paraId="184A71BA"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Micro-basins, swales, contour design, mulching, root systems, organic matter, vegetation cover, and soil biology all contribute to hydrological recovery.</w:t>
      </w:r>
    </w:p>
    <w:p w14:paraId="7AF9A97C"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The regenerative cascade can be expressed as:</w:t>
      </w:r>
    </w:p>
    <w:p w14:paraId="56E7EDBC"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water retention</w:t>
      </w:r>
      <w:r w:rsidRPr="00B479AE">
        <w:rPr>
          <w:rFonts w:ascii="Baskerville Old Face" w:hAnsi="Baskerville Old Face"/>
          <w:i/>
          <w:iCs/>
        </w:rPr>
        <w:br/>
        <w:t>soil moisture</w:t>
      </w:r>
      <w:r w:rsidRPr="00B479AE">
        <w:rPr>
          <w:rFonts w:ascii="Baskerville Old Face" w:hAnsi="Baskerville Old Face"/>
          <w:i/>
          <w:iCs/>
        </w:rPr>
        <w:br/>
        <w:t>microbial activity</w:t>
      </w:r>
      <w:r w:rsidRPr="00B479AE">
        <w:rPr>
          <w:rFonts w:ascii="Baskerville Old Face" w:hAnsi="Baskerville Old Face"/>
          <w:i/>
          <w:iCs/>
        </w:rPr>
        <w:br/>
        <w:t>plant growth</w:t>
      </w:r>
      <w:r w:rsidRPr="00B479AE">
        <w:rPr>
          <w:rFonts w:ascii="Baskerville Old Face" w:hAnsi="Baskerville Old Face"/>
          <w:i/>
          <w:iCs/>
        </w:rPr>
        <w:br/>
        <w:t>biomass return</w:t>
      </w:r>
      <w:r w:rsidRPr="00B479AE">
        <w:rPr>
          <w:rFonts w:ascii="Baskerville Old Face" w:hAnsi="Baskerville Old Face"/>
          <w:i/>
          <w:iCs/>
        </w:rPr>
        <w:br/>
        <w:t>soil structure</w:t>
      </w:r>
      <w:r w:rsidRPr="00B479AE">
        <w:rPr>
          <w:rFonts w:ascii="Baskerville Old Face" w:hAnsi="Baskerville Old Face"/>
          <w:i/>
          <w:iCs/>
        </w:rPr>
        <w:br/>
        <w:t>microclimate stabilization</w:t>
      </w:r>
      <w:r w:rsidRPr="00B479AE">
        <w:rPr>
          <w:rFonts w:ascii="Baskerville Old Face" w:hAnsi="Baskerville Old Face"/>
          <w:i/>
          <w:iCs/>
        </w:rPr>
        <w:br/>
        <w:t>resilience.</w:t>
      </w:r>
    </w:p>
    <w:p w14:paraId="1A983086"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Prometheus treats water not merely as a resource, but as an infrastructural flow.</w:t>
      </w:r>
    </w:p>
    <w:p w14:paraId="5B8A3562"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Water performance is therefore central to MRV.</w:t>
      </w:r>
    </w:p>
    <w:p w14:paraId="602ECCFD"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Relevant indicators may include:</w:t>
      </w:r>
    </w:p>
    <w:p w14:paraId="7E7ADE52"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infiltration rate;</w:t>
      </w:r>
    </w:p>
    <w:p w14:paraId="4AAFFCE1"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soil moisture at multiple depths;</w:t>
      </w:r>
    </w:p>
    <w:p w14:paraId="5C851EC6"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water retention after rainfall;</w:t>
      </w:r>
    </w:p>
    <w:p w14:paraId="79FA865D"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runoff reduction;</w:t>
      </w:r>
    </w:p>
    <w:p w14:paraId="1B01A855"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evapotranspiration context;</w:t>
      </w:r>
    </w:p>
    <w:p w14:paraId="29A372D0"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irrigation requirement per unit of output;</w:t>
      </w:r>
    </w:p>
    <w:p w14:paraId="7E78564C"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lastRenderedPageBreak/>
        <w:t>• hydrological buffering under drought stress;</w:t>
      </w:r>
    </w:p>
    <w:p w14:paraId="69939F6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vegetation response after rainfall events.</w:t>
      </w:r>
    </w:p>
    <w:p w14:paraId="5F577E72"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The more effectively a system retains and cycles water, the more resilient its biological and economic performance becomes.</w:t>
      </w:r>
    </w:p>
    <w:p w14:paraId="51BFAAC2" w14:textId="54D6E9C0" w:rsidR="005E4912" w:rsidRPr="00B479AE" w:rsidRDefault="005E4912" w:rsidP="005E4912">
      <w:pPr>
        <w:spacing w:line="360" w:lineRule="auto"/>
        <w:rPr>
          <w:rFonts w:ascii="Baskerville Old Face" w:hAnsi="Baskerville Old Face"/>
          <w:i/>
          <w:iCs/>
        </w:rPr>
      </w:pPr>
      <w:r w:rsidRPr="00B479AE">
        <w:rPr>
          <w:rFonts w:ascii="Baskerville Old Face" w:hAnsi="Baskerville Old Face"/>
          <w:b/>
          <w:bCs/>
          <w:i/>
          <w:iCs/>
        </w:rPr>
        <w:t>Research Note — The One Water Principle</w:t>
      </w:r>
    </w:p>
    <w:p w14:paraId="4106A89F" w14:textId="77777777" w:rsidR="005E4912" w:rsidRPr="00B479AE" w:rsidRDefault="005E4912" w:rsidP="005E4912">
      <w:pPr>
        <w:spacing w:line="360" w:lineRule="auto"/>
        <w:rPr>
          <w:rFonts w:ascii="Baskerville Old Face" w:hAnsi="Baskerville Old Face"/>
          <w:i/>
          <w:iCs/>
        </w:rPr>
      </w:pPr>
      <w:r w:rsidRPr="00B479AE">
        <w:rPr>
          <w:rFonts w:ascii="Baskerville Old Face" w:hAnsi="Baskerville Old Face"/>
          <w:i/>
          <w:iCs/>
        </w:rPr>
        <w:t>Prometheus treats water as circulatory infrastructure across multiple scales.</w:t>
      </w:r>
    </w:p>
    <w:p w14:paraId="377FB4ED" w14:textId="77777777" w:rsidR="005E4912" w:rsidRPr="00B479AE" w:rsidRDefault="005E4912" w:rsidP="005E4912">
      <w:pPr>
        <w:spacing w:line="360" w:lineRule="auto"/>
        <w:rPr>
          <w:rFonts w:ascii="Baskerville Old Face" w:hAnsi="Baskerville Old Face"/>
          <w:i/>
          <w:iCs/>
        </w:rPr>
      </w:pPr>
      <w:r w:rsidRPr="00B479AE">
        <w:rPr>
          <w:rFonts w:ascii="Baskerville Old Face" w:hAnsi="Baskerville Old Face"/>
          <w:i/>
          <w:iCs/>
        </w:rPr>
        <w:t>At landscape scale, water regulates fertility, vegetation, erosion, temperature, drought exposure, and biological productivity.</w:t>
      </w:r>
    </w:p>
    <w:p w14:paraId="394CC7C8" w14:textId="77777777" w:rsidR="005E4912" w:rsidRPr="00B479AE" w:rsidRDefault="005E4912" w:rsidP="005E4912">
      <w:pPr>
        <w:spacing w:line="360" w:lineRule="auto"/>
        <w:rPr>
          <w:rFonts w:ascii="Baskerville Old Face" w:hAnsi="Baskerville Old Face"/>
          <w:i/>
          <w:iCs/>
        </w:rPr>
      </w:pPr>
      <w:r w:rsidRPr="00B479AE">
        <w:rPr>
          <w:rFonts w:ascii="Baskerville Old Face" w:hAnsi="Baskerville Old Face"/>
          <w:i/>
          <w:iCs/>
        </w:rPr>
        <w:t>At ecosystem scale, water transports nutrients, supports microbial activity, enables plant growth, and connects soil, atmosphere, roots, organisms, and climate.</w:t>
      </w:r>
    </w:p>
    <w:p w14:paraId="51991BC5" w14:textId="77777777" w:rsidR="005E4912" w:rsidRPr="00B479AE" w:rsidRDefault="005E4912" w:rsidP="005E4912">
      <w:pPr>
        <w:spacing w:line="360" w:lineRule="auto"/>
        <w:rPr>
          <w:rFonts w:ascii="Baskerville Old Face" w:hAnsi="Baskerville Old Face"/>
          <w:i/>
          <w:iCs/>
        </w:rPr>
      </w:pPr>
      <w:r w:rsidRPr="00B479AE">
        <w:rPr>
          <w:rFonts w:ascii="Baskerville Old Face" w:hAnsi="Baskerville Old Face"/>
          <w:i/>
          <w:iCs/>
        </w:rPr>
        <w:t>At organism scale, water is the metabolic medium through which cellular processes, nutrient movement, thermal regulation, and physiological function occur.</w:t>
      </w:r>
    </w:p>
    <w:p w14:paraId="79CB45C8" w14:textId="77777777" w:rsidR="005E4912" w:rsidRPr="00B479AE" w:rsidRDefault="005E4912" w:rsidP="005E4912">
      <w:pPr>
        <w:spacing w:line="360" w:lineRule="auto"/>
        <w:rPr>
          <w:rFonts w:ascii="Baskerville Old Face" w:hAnsi="Baskerville Old Face"/>
          <w:i/>
          <w:iCs/>
        </w:rPr>
      </w:pPr>
      <w:r w:rsidRPr="00B479AE">
        <w:rPr>
          <w:rFonts w:ascii="Baskerville Old Face" w:hAnsi="Baskerville Old Face"/>
          <w:i/>
          <w:iCs/>
        </w:rPr>
        <w:t>At community scale, water determines agriculture, health, settlement, resilience, and territorial continuity.</w:t>
      </w:r>
    </w:p>
    <w:p w14:paraId="0640F51B" w14:textId="77777777" w:rsidR="005E4912" w:rsidRPr="00B479AE" w:rsidRDefault="005E4912" w:rsidP="005E4912">
      <w:pPr>
        <w:spacing w:line="360" w:lineRule="auto"/>
        <w:rPr>
          <w:rFonts w:ascii="Baskerville Old Face" w:hAnsi="Baskerville Old Face"/>
          <w:i/>
          <w:iCs/>
        </w:rPr>
      </w:pPr>
      <w:r w:rsidRPr="00B479AE">
        <w:rPr>
          <w:rFonts w:ascii="Baskerville Old Face" w:hAnsi="Baskerville Old Face"/>
          <w:i/>
          <w:iCs/>
        </w:rPr>
        <w:t>This multi-scale view can be summarized as the One Water principle.</w:t>
      </w:r>
    </w:p>
    <w:p w14:paraId="2131B619" w14:textId="1747661B" w:rsidR="00D7057C" w:rsidRPr="00B479AE" w:rsidRDefault="00D7057C" w:rsidP="00D7057C">
      <w:pPr>
        <w:spacing w:line="360" w:lineRule="auto"/>
        <w:rPr>
          <w:rFonts w:ascii="Baskerville Old Face" w:hAnsi="Baskerville Old Face"/>
          <w:b/>
          <w:bCs/>
          <w:i/>
          <w:iCs/>
        </w:rPr>
      </w:pPr>
      <w:r w:rsidRPr="00B479AE">
        <w:rPr>
          <w:rFonts w:ascii="Baskerville Old Face" w:hAnsi="Baskerville Old Face"/>
          <w:b/>
          <w:bCs/>
          <w:i/>
          <w:iCs/>
        </w:rPr>
        <w:t>One Water Principle — Multi-Scale Function</w:t>
      </w:r>
    </w:p>
    <w:p w14:paraId="0B23950F" w14:textId="77777777" w:rsidR="00D7057C" w:rsidRPr="00B479AE" w:rsidRDefault="00D7057C" w:rsidP="00D7057C">
      <w:pPr>
        <w:spacing w:line="360" w:lineRule="auto"/>
        <w:rPr>
          <w:rFonts w:ascii="Baskerville Old Face" w:hAnsi="Baskerville Old Face"/>
          <w:i/>
          <w:iCs/>
        </w:rPr>
      </w:pPr>
      <w:r w:rsidRPr="00B479AE">
        <w:rPr>
          <w:rFonts w:ascii="Baskerville Old Face" w:hAnsi="Baskerville Old Face"/>
          <w:i/>
          <w:iCs/>
        </w:rPr>
        <w:t>Water functions across multiple scales at the same time.</w:t>
      </w:r>
    </w:p>
    <w:p w14:paraId="6F1A07DC" w14:textId="77777777" w:rsidR="00D7057C" w:rsidRPr="00B479AE" w:rsidRDefault="00D7057C" w:rsidP="00D7057C">
      <w:pPr>
        <w:spacing w:line="360" w:lineRule="auto"/>
        <w:rPr>
          <w:rFonts w:ascii="Baskerville Old Face" w:hAnsi="Baskerville Old Face"/>
          <w:i/>
          <w:iCs/>
        </w:rPr>
      </w:pPr>
      <w:r w:rsidRPr="00B479AE">
        <w:rPr>
          <w:rFonts w:ascii="Baskerville Old Face" w:hAnsi="Baskerville Old Face"/>
          <w:i/>
          <w:iCs/>
        </w:rPr>
        <w:t>It is not only a resource.</w:t>
      </w:r>
    </w:p>
    <w:p w14:paraId="54AC7197" w14:textId="77777777" w:rsidR="00D7057C" w:rsidRDefault="00D7057C" w:rsidP="00D7057C">
      <w:pPr>
        <w:spacing w:line="360" w:lineRule="auto"/>
        <w:rPr>
          <w:rFonts w:ascii="Baskerville Old Face" w:hAnsi="Baskerville Old Face"/>
          <w:i/>
          <w:iCs/>
        </w:rPr>
      </w:pPr>
      <w:r w:rsidRPr="00B479AE">
        <w:rPr>
          <w:rFonts w:ascii="Baskerville Old Face" w:hAnsi="Baskerville Old Face"/>
          <w:i/>
          <w:iCs/>
        </w:rPr>
        <w:t>It is a connective medium through which landscapes, organisms, communities, economies, and capital systems remain alive.</w:t>
      </w:r>
    </w:p>
    <w:p w14:paraId="318CFCAD" w14:textId="77777777" w:rsidR="007E454C" w:rsidRDefault="007E454C" w:rsidP="00D7057C">
      <w:pPr>
        <w:spacing w:line="360" w:lineRule="auto"/>
        <w:rPr>
          <w:rFonts w:ascii="Baskerville Old Face" w:hAnsi="Baskerville Old Face"/>
          <w:i/>
          <w:iCs/>
        </w:rPr>
      </w:pPr>
    </w:p>
    <w:p w14:paraId="395F52A1" w14:textId="77777777" w:rsidR="007E454C" w:rsidRPr="00B479AE" w:rsidRDefault="007E454C" w:rsidP="00D7057C">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8"/>
        <w:gridCol w:w="8490"/>
      </w:tblGrid>
      <w:tr w:rsidR="00D7057C" w:rsidRPr="00B479AE" w14:paraId="1E6F213E" w14:textId="77777777" w:rsidTr="00D7057C">
        <w:trPr>
          <w:tblHeader/>
          <w:tblCellSpacing w:w="15" w:type="dxa"/>
        </w:trPr>
        <w:tc>
          <w:tcPr>
            <w:tcW w:w="0" w:type="auto"/>
            <w:vAlign w:val="center"/>
            <w:hideMark/>
          </w:tcPr>
          <w:p w14:paraId="00AA3C52" w14:textId="77777777" w:rsidR="00D7057C" w:rsidRPr="00B479AE" w:rsidRDefault="00D7057C" w:rsidP="00D7057C">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Scale</w:t>
            </w:r>
          </w:p>
        </w:tc>
        <w:tc>
          <w:tcPr>
            <w:tcW w:w="0" w:type="auto"/>
            <w:vAlign w:val="center"/>
            <w:hideMark/>
          </w:tcPr>
          <w:p w14:paraId="1DD8BA48" w14:textId="77777777" w:rsidR="00D7057C" w:rsidRPr="00B479AE" w:rsidRDefault="00D7057C" w:rsidP="00D7057C">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Function within Prometheus</w:t>
            </w:r>
          </w:p>
        </w:tc>
      </w:tr>
      <w:tr w:rsidR="00D7057C" w:rsidRPr="00B479AE" w14:paraId="535B37A1" w14:textId="77777777" w:rsidTr="00D7057C">
        <w:trPr>
          <w:tblCellSpacing w:w="15" w:type="dxa"/>
        </w:trPr>
        <w:tc>
          <w:tcPr>
            <w:tcW w:w="0" w:type="auto"/>
            <w:vAlign w:val="center"/>
            <w:hideMark/>
          </w:tcPr>
          <w:p w14:paraId="285B18A3" w14:textId="77777777" w:rsidR="00D7057C" w:rsidRPr="00B479AE" w:rsidRDefault="00D7057C" w:rsidP="00D7057C">
            <w:pPr>
              <w:spacing w:line="360" w:lineRule="auto"/>
              <w:rPr>
                <w:rFonts w:ascii="Baskerville Old Face" w:hAnsi="Baskerville Old Face"/>
                <w:i/>
                <w:iCs/>
                <w:sz w:val="22"/>
                <w:szCs w:val="22"/>
              </w:rPr>
            </w:pPr>
            <w:r w:rsidRPr="00B479AE">
              <w:rPr>
                <w:rFonts w:ascii="Baskerville Old Face" w:hAnsi="Baskerville Old Face"/>
                <w:i/>
                <w:iCs/>
                <w:sz w:val="22"/>
                <w:szCs w:val="22"/>
              </w:rPr>
              <w:t>Landscape</w:t>
            </w:r>
          </w:p>
        </w:tc>
        <w:tc>
          <w:tcPr>
            <w:tcW w:w="0" w:type="auto"/>
            <w:vAlign w:val="center"/>
            <w:hideMark/>
          </w:tcPr>
          <w:p w14:paraId="49CCDD86" w14:textId="77777777" w:rsidR="00D7057C" w:rsidRPr="00B479AE" w:rsidRDefault="00D7057C" w:rsidP="00D7057C">
            <w:pPr>
              <w:spacing w:line="360" w:lineRule="auto"/>
              <w:rPr>
                <w:rFonts w:ascii="Baskerville Old Face" w:hAnsi="Baskerville Old Face"/>
                <w:i/>
                <w:iCs/>
                <w:sz w:val="22"/>
                <w:szCs w:val="22"/>
              </w:rPr>
            </w:pPr>
            <w:r w:rsidRPr="00B479AE">
              <w:rPr>
                <w:rFonts w:ascii="Baskerville Old Face" w:hAnsi="Baskerville Old Face"/>
                <w:i/>
                <w:iCs/>
                <w:sz w:val="22"/>
                <w:szCs w:val="22"/>
              </w:rPr>
              <w:t>Hydrological regulation, infiltration, erosion control, vegetation support, microclimate stabilization</w:t>
            </w:r>
          </w:p>
        </w:tc>
      </w:tr>
      <w:tr w:rsidR="00D7057C" w:rsidRPr="00B479AE" w14:paraId="3509E686" w14:textId="77777777" w:rsidTr="00D7057C">
        <w:trPr>
          <w:tblCellSpacing w:w="15" w:type="dxa"/>
        </w:trPr>
        <w:tc>
          <w:tcPr>
            <w:tcW w:w="0" w:type="auto"/>
            <w:vAlign w:val="center"/>
            <w:hideMark/>
          </w:tcPr>
          <w:p w14:paraId="6D720AD4" w14:textId="77777777" w:rsidR="00D7057C" w:rsidRPr="00B479AE" w:rsidRDefault="00D7057C" w:rsidP="00D7057C">
            <w:pPr>
              <w:spacing w:line="360" w:lineRule="auto"/>
              <w:rPr>
                <w:rFonts w:ascii="Baskerville Old Face" w:hAnsi="Baskerville Old Face"/>
                <w:i/>
                <w:iCs/>
                <w:sz w:val="22"/>
                <w:szCs w:val="22"/>
              </w:rPr>
            </w:pPr>
            <w:r w:rsidRPr="00B479AE">
              <w:rPr>
                <w:rFonts w:ascii="Baskerville Old Face" w:hAnsi="Baskerville Old Face"/>
                <w:i/>
                <w:iCs/>
                <w:sz w:val="22"/>
                <w:szCs w:val="22"/>
              </w:rPr>
              <w:t>Ecosystem</w:t>
            </w:r>
          </w:p>
        </w:tc>
        <w:tc>
          <w:tcPr>
            <w:tcW w:w="0" w:type="auto"/>
            <w:vAlign w:val="center"/>
            <w:hideMark/>
          </w:tcPr>
          <w:p w14:paraId="4B166412" w14:textId="77777777" w:rsidR="00D7057C" w:rsidRPr="00B479AE" w:rsidRDefault="00D7057C" w:rsidP="00D7057C">
            <w:pPr>
              <w:spacing w:line="360" w:lineRule="auto"/>
              <w:rPr>
                <w:rFonts w:ascii="Baskerville Old Face" w:hAnsi="Baskerville Old Face"/>
                <w:i/>
                <w:iCs/>
                <w:sz w:val="22"/>
                <w:szCs w:val="22"/>
              </w:rPr>
            </w:pPr>
            <w:r w:rsidRPr="00B479AE">
              <w:rPr>
                <w:rFonts w:ascii="Baskerville Old Face" w:hAnsi="Baskerville Old Face"/>
                <w:i/>
                <w:iCs/>
                <w:sz w:val="22"/>
                <w:szCs w:val="22"/>
              </w:rPr>
              <w:t>Nutrient transport, microbial activity, biomass production, root function, biodiversity support</w:t>
            </w:r>
          </w:p>
        </w:tc>
      </w:tr>
      <w:tr w:rsidR="00D7057C" w:rsidRPr="00B479AE" w14:paraId="210F1620" w14:textId="77777777" w:rsidTr="00D7057C">
        <w:trPr>
          <w:tblCellSpacing w:w="15" w:type="dxa"/>
        </w:trPr>
        <w:tc>
          <w:tcPr>
            <w:tcW w:w="0" w:type="auto"/>
            <w:vAlign w:val="center"/>
            <w:hideMark/>
          </w:tcPr>
          <w:p w14:paraId="57DD704E" w14:textId="77777777" w:rsidR="00D7057C" w:rsidRPr="00B479AE" w:rsidRDefault="00D7057C" w:rsidP="00D7057C">
            <w:pPr>
              <w:spacing w:line="360" w:lineRule="auto"/>
              <w:rPr>
                <w:rFonts w:ascii="Baskerville Old Face" w:hAnsi="Baskerville Old Face"/>
                <w:i/>
                <w:iCs/>
                <w:sz w:val="22"/>
                <w:szCs w:val="22"/>
              </w:rPr>
            </w:pPr>
            <w:r w:rsidRPr="00B479AE">
              <w:rPr>
                <w:rFonts w:ascii="Baskerville Old Face" w:hAnsi="Baskerville Old Face"/>
                <w:i/>
                <w:iCs/>
                <w:sz w:val="22"/>
                <w:szCs w:val="22"/>
              </w:rPr>
              <w:t>Soil</w:t>
            </w:r>
          </w:p>
        </w:tc>
        <w:tc>
          <w:tcPr>
            <w:tcW w:w="0" w:type="auto"/>
            <w:vAlign w:val="center"/>
            <w:hideMark/>
          </w:tcPr>
          <w:p w14:paraId="652A4111" w14:textId="77777777" w:rsidR="00D7057C" w:rsidRPr="00B479AE" w:rsidRDefault="00D7057C" w:rsidP="00D7057C">
            <w:pPr>
              <w:spacing w:line="360" w:lineRule="auto"/>
              <w:rPr>
                <w:rFonts w:ascii="Baskerville Old Face" w:hAnsi="Baskerville Old Face"/>
                <w:i/>
                <w:iCs/>
                <w:sz w:val="22"/>
                <w:szCs w:val="22"/>
              </w:rPr>
            </w:pPr>
            <w:r w:rsidRPr="00B479AE">
              <w:rPr>
                <w:rFonts w:ascii="Baskerville Old Face" w:hAnsi="Baskerville Old Face"/>
                <w:i/>
                <w:iCs/>
                <w:sz w:val="22"/>
                <w:szCs w:val="22"/>
              </w:rPr>
              <w:t>Aggregation, porosity, microbial metabolism, organic matter transformation, mineral exchange</w:t>
            </w:r>
          </w:p>
        </w:tc>
      </w:tr>
      <w:tr w:rsidR="00D7057C" w:rsidRPr="00B479AE" w14:paraId="2B234E63" w14:textId="77777777" w:rsidTr="00D7057C">
        <w:trPr>
          <w:tblCellSpacing w:w="15" w:type="dxa"/>
        </w:trPr>
        <w:tc>
          <w:tcPr>
            <w:tcW w:w="0" w:type="auto"/>
            <w:vAlign w:val="center"/>
            <w:hideMark/>
          </w:tcPr>
          <w:p w14:paraId="5AD08125" w14:textId="77777777" w:rsidR="00D7057C" w:rsidRPr="00B479AE" w:rsidRDefault="00D7057C" w:rsidP="00D7057C">
            <w:pPr>
              <w:spacing w:line="360" w:lineRule="auto"/>
              <w:rPr>
                <w:rFonts w:ascii="Baskerville Old Face" w:hAnsi="Baskerville Old Face"/>
                <w:i/>
                <w:iCs/>
                <w:sz w:val="22"/>
                <w:szCs w:val="22"/>
              </w:rPr>
            </w:pPr>
            <w:r w:rsidRPr="00B479AE">
              <w:rPr>
                <w:rFonts w:ascii="Baskerville Old Face" w:hAnsi="Baskerville Old Face"/>
                <w:i/>
                <w:iCs/>
                <w:sz w:val="22"/>
                <w:szCs w:val="22"/>
              </w:rPr>
              <w:t>Plant</w:t>
            </w:r>
          </w:p>
        </w:tc>
        <w:tc>
          <w:tcPr>
            <w:tcW w:w="0" w:type="auto"/>
            <w:vAlign w:val="center"/>
            <w:hideMark/>
          </w:tcPr>
          <w:p w14:paraId="0BF75923" w14:textId="77777777" w:rsidR="00D7057C" w:rsidRPr="00B479AE" w:rsidRDefault="00D7057C" w:rsidP="00D7057C">
            <w:pPr>
              <w:spacing w:line="360" w:lineRule="auto"/>
              <w:rPr>
                <w:rFonts w:ascii="Baskerville Old Face" w:hAnsi="Baskerville Old Face"/>
                <w:i/>
                <w:iCs/>
                <w:sz w:val="22"/>
                <w:szCs w:val="22"/>
              </w:rPr>
            </w:pPr>
            <w:r w:rsidRPr="00B479AE">
              <w:rPr>
                <w:rFonts w:ascii="Baskerville Old Face" w:hAnsi="Baskerville Old Face"/>
                <w:i/>
                <w:iCs/>
                <w:sz w:val="22"/>
                <w:szCs w:val="22"/>
              </w:rPr>
              <w:t>Sap flow, nutrient movement, photosynthesis support, thermal regulation, stress response</w:t>
            </w:r>
          </w:p>
        </w:tc>
      </w:tr>
      <w:tr w:rsidR="00D7057C" w:rsidRPr="00B479AE" w14:paraId="737CFB05" w14:textId="77777777" w:rsidTr="00D7057C">
        <w:trPr>
          <w:tblCellSpacing w:w="15" w:type="dxa"/>
        </w:trPr>
        <w:tc>
          <w:tcPr>
            <w:tcW w:w="0" w:type="auto"/>
            <w:vAlign w:val="center"/>
            <w:hideMark/>
          </w:tcPr>
          <w:p w14:paraId="0482E810" w14:textId="77777777" w:rsidR="00D7057C" w:rsidRPr="00B479AE" w:rsidRDefault="00D7057C" w:rsidP="00D7057C">
            <w:pPr>
              <w:spacing w:line="360" w:lineRule="auto"/>
              <w:rPr>
                <w:rFonts w:ascii="Baskerville Old Face" w:hAnsi="Baskerville Old Face"/>
                <w:i/>
                <w:iCs/>
                <w:sz w:val="22"/>
                <w:szCs w:val="22"/>
              </w:rPr>
            </w:pPr>
            <w:r w:rsidRPr="00B479AE">
              <w:rPr>
                <w:rFonts w:ascii="Baskerville Old Face" w:hAnsi="Baskerville Old Face"/>
                <w:i/>
                <w:iCs/>
                <w:sz w:val="22"/>
                <w:szCs w:val="22"/>
              </w:rPr>
              <w:t>Organism</w:t>
            </w:r>
          </w:p>
        </w:tc>
        <w:tc>
          <w:tcPr>
            <w:tcW w:w="0" w:type="auto"/>
            <w:vAlign w:val="center"/>
            <w:hideMark/>
          </w:tcPr>
          <w:p w14:paraId="2D0D54DA" w14:textId="77777777" w:rsidR="00D7057C" w:rsidRPr="00B479AE" w:rsidRDefault="00D7057C" w:rsidP="00D7057C">
            <w:pPr>
              <w:spacing w:line="360" w:lineRule="auto"/>
              <w:rPr>
                <w:rFonts w:ascii="Baskerville Old Face" w:hAnsi="Baskerville Old Face"/>
                <w:i/>
                <w:iCs/>
                <w:sz w:val="22"/>
                <w:szCs w:val="22"/>
              </w:rPr>
            </w:pPr>
            <w:r w:rsidRPr="00B479AE">
              <w:rPr>
                <w:rFonts w:ascii="Baskerville Old Face" w:hAnsi="Baskerville Old Face"/>
                <w:i/>
                <w:iCs/>
                <w:sz w:val="22"/>
                <w:szCs w:val="22"/>
              </w:rPr>
              <w:t>Metabolic medium, cellular function, thermal regulation, nutrient movement, physiological vitality</w:t>
            </w:r>
          </w:p>
        </w:tc>
      </w:tr>
      <w:tr w:rsidR="00D7057C" w:rsidRPr="00B479AE" w14:paraId="3C5CBABB" w14:textId="77777777" w:rsidTr="00D7057C">
        <w:trPr>
          <w:tblCellSpacing w:w="15" w:type="dxa"/>
        </w:trPr>
        <w:tc>
          <w:tcPr>
            <w:tcW w:w="0" w:type="auto"/>
            <w:vAlign w:val="center"/>
            <w:hideMark/>
          </w:tcPr>
          <w:p w14:paraId="1CB6E821" w14:textId="77777777" w:rsidR="00D7057C" w:rsidRPr="00B479AE" w:rsidRDefault="00D7057C" w:rsidP="00D7057C">
            <w:pPr>
              <w:spacing w:line="360" w:lineRule="auto"/>
              <w:rPr>
                <w:rFonts w:ascii="Baskerville Old Face" w:hAnsi="Baskerville Old Face"/>
                <w:i/>
                <w:iCs/>
                <w:sz w:val="22"/>
                <w:szCs w:val="22"/>
              </w:rPr>
            </w:pPr>
            <w:r w:rsidRPr="00B479AE">
              <w:rPr>
                <w:rFonts w:ascii="Baskerville Old Face" w:hAnsi="Baskerville Old Face"/>
                <w:i/>
                <w:iCs/>
                <w:sz w:val="22"/>
                <w:szCs w:val="22"/>
              </w:rPr>
              <w:t>Community</w:t>
            </w:r>
          </w:p>
        </w:tc>
        <w:tc>
          <w:tcPr>
            <w:tcW w:w="0" w:type="auto"/>
            <w:vAlign w:val="center"/>
            <w:hideMark/>
          </w:tcPr>
          <w:p w14:paraId="2FF3F076" w14:textId="77777777" w:rsidR="00D7057C" w:rsidRPr="00B479AE" w:rsidRDefault="00D7057C" w:rsidP="00D7057C">
            <w:pPr>
              <w:spacing w:line="360" w:lineRule="auto"/>
              <w:rPr>
                <w:rFonts w:ascii="Baskerville Old Face" w:hAnsi="Baskerville Old Face"/>
                <w:i/>
                <w:iCs/>
                <w:sz w:val="22"/>
                <w:szCs w:val="22"/>
              </w:rPr>
            </w:pPr>
            <w:r w:rsidRPr="00B479AE">
              <w:rPr>
                <w:rFonts w:ascii="Baskerville Old Face" w:hAnsi="Baskerville Old Face"/>
                <w:i/>
                <w:iCs/>
                <w:sz w:val="22"/>
                <w:szCs w:val="22"/>
              </w:rPr>
              <w:t>Agriculture, food security, health, settlement, resilience, and territorial continuity</w:t>
            </w:r>
          </w:p>
        </w:tc>
      </w:tr>
      <w:tr w:rsidR="00D7057C" w:rsidRPr="00B479AE" w14:paraId="0685B49D" w14:textId="77777777" w:rsidTr="00D7057C">
        <w:trPr>
          <w:tblCellSpacing w:w="15" w:type="dxa"/>
        </w:trPr>
        <w:tc>
          <w:tcPr>
            <w:tcW w:w="0" w:type="auto"/>
            <w:vAlign w:val="center"/>
            <w:hideMark/>
          </w:tcPr>
          <w:p w14:paraId="4C7465EF" w14:textId="77777777" w:rsidR="00D7057C" w:rsidRPr="00B479AE" w:rsidRDefault="00D7057C" w:rsidP="00D7057C">
            <w:pPr>
              <w:spacing w:line="360" w:lineRule="auto"/>
              <w:rPr>
                <w:rFonts w:ascii="Baskerville Old Face" w:hAnsi="Baskerville Old Face"/>
                <w:i/>
                <w:iCs/>
                <w:sz w:val="22"/>
                <w:szCs w:val="22"/>
              </w:rPr>
            </w:pPr>
            <w:r w:rsidRPr="00B479AE">
              <w:rPr>
                <w:rFonts w:ascii="Baskerville Old Face" w:hAnsi="Baskerville Old Face"/>
                <w:i/>
                <w:iCs/>
                <w:sz w:val="22"/>
                <w:szCs w:val="22"/>
              </w:rPr>
              <w:t>Economy</w:t>
            </w:r>
          </w:p>
        </w:tc>
        <w:tc>
          <w:tcPr>
            <w:tcW w:w="0" w:type="auto"/>
            <w:vAlign w:val="center"/>
            <w:hideMark/>
          </w:tcPr>
          <w:p w14:paraId="28775F09" w14:textId="77777777" w:rsidR="00D7057C" w:rsidRPr="00B479AE" w:rsidRDefault="00D7057C" w:rsidP="00D7057C">
            <w:pPr>
              <w:spacing w:line="360" w:lineRule="auto"/>
              <w:rPr>
                <w:rFonts w:ascii="Baskerville Old Face" w:hAnsi="Baskerville Old Face"/>
                <w:i/>
                <w:iCs/>
                <w:sz w:val="22"/>
                <w:szCs w:val="22"/>
              </w:rPr>
            </w:pPr>
            <w:r w:rsidRPr="00B479AE">
              <w:rPr>
                <w:rFonts w:ascii="Baskerville Old Face" w:hAnsi="Baskerville Old Face"/>
                <w:i/>
                <w:iCs/>
                <w:sz w:val="22"/>
                <w:szCs w:val="22"/>
              </w:rPr>
              <w:t>Long-term productive capacity, risk buffering, infrastructure resilience, and capital-readiness</w:t>
            </w:r>
          </w:p>
        </w:tc>
      </w:tr>
      <w:tr w:rsidR="00D7057C" w:rsidRPr="00B479AE" w14:paraId="142D6618" w14:textId="77777777" w:rsidTr="00D7057C">
        <w:trPr>
          <w:tblCellSpacing w:w="15" w:type="dxa"/>
        </w:trPr>
        <w:tc>
          <w:tcPr>
            <w:tcW w:w="0" w:type="auto"/>
            <w:vAlign w:val="center"/>
            <w:hideMark/>
          </w:tcPr>
          <w:p w14:paraId="526EA46E" w14:textId="77777777" w:rsidR="00D7057C" w:rsidRPr="00B479AE" w:rsidRDefault="00D7057C" w:rsidP="00D7057C">
            <w:pPr>
              <w:spacing w:line="360" w:lineRule="auto"/>
              <w:rPr>
                <w:rFonts w:ascii="Baskerville Old Face" w:hAnsi="Baskerville Old Face"/>
                <w:i/>
                <w:iCs/>
                <w:sz w:val="22"/>
                <w:szCs w:val="22"/>
              </w:rPr>
            </w:pPr>
            <w:r w:rsidRPr="00B479AE">
              <w:rPr>
                <w:rFonts w:ascii="Baskerville Old Face" w:hAnsi="Baskerville Old Face"/>
                <w:i/>
                <w:iCs/>
                <w:sz w:val="22"/>
                <w:szCs w:val="22"/>
              </w:rPr>
              <w:t>MRV layer</w:t>
            </w:r>
          </w:p>
        </w:tc>
        <w:tc>
          <w:tcPr>
            <w:tcW w:w="0" w:type="auto"/>
            <w:vAlign w:val="center"/>
            <w:hideMark/>
          </w:tcPr>
          <w:p w14:paraId="79A6EF0B" w14:textId="77777777" w:rsidR="00D7057C" w:rsidRPr="00B479AE" w:rsidRDefault="00D7057C" w:rsidP="00D7057C">
            <w:pPr>
              <w:spacing w:line="360" w:lineRule="auto"/>
              <w:rPr>
                <w:rFonts w:ascii="Baskerville Old Face" w:hAnsi="Baskerville Old Face"/>
                <w:i/>
                <w:iCs/>
                <w:sz w:val="22"/>
                <w:szCs w:val="22"/>
              </w:rPr>
            </w:pPr>
            <w:r w:rsidRPr="00B479AE">
              <w:rPr>
                <w:rFonts w:ascii="Baskerville Old Face" w:hAnsi="Baskerville Old Face"/>
                <w:i/>
                <w:iCs/>
                <w:sz w:val="22"/>
                <w:szCs w:val="22"/>
              </w:rPr>
              <w:t>Observable hydrological evidence through soil moisture, infiltration, retention, runoff, water quality, and drought response</w:t>
            </w:r>
          </w:p>
        </w:tc>
      </w:tr>
      <w:tr w:rsidR="00D7057C" w:rsidRPr="00B479AE" w14:paraId="41C58DE4" w14:textId="77777777" w:rsidTr="00D7057C">
        <w:trPr>
          <w:tblCellSpacing w:w="15" w:type="dxa"/>
        </w:trPr>
        <w:tc>
          <w:tcPr>
            <w:tcW w:w="0" w:type="auto"/>
            <w:vAlign w:val="center"/>
            <w:hideMark/>
          </w:tcPr>
          <w:p w14:paraId="2CB26C2E" w14:textId="77777777" w:rsidR="00D7057C" w:rsidRPr="00B479AE" w:rsidRDefault="00D7057C" w:rsidP="00D7057C">
            <w:pPr>
              <w:spacing w:line="360" w:lineRule="auto"/>
              <w:rPr>
                <w:rFonts w:ascii="Baskerville Old Face" w:hAnsi="Baskerville Old Face"/>
                <w:i/>
                <w:iCs/>
                <w:sz w:val="22"/>
                <w:szCs w:val="22"/>
              </w:rPr>
            </w:pPr>
            <w:r w:rsidRPr="00B479AE">
              <w:rPr>
                <w:rFonts w:ascii="Baskerville Old Face" w:hAnsi="Baskerville Old Face"/>
                <w:i/>
                <w:iCs/>
                <w:sz w:val="22"/>
                <w:szCs w:val="22"/>
              </w:rPr>
              <w:t>PRU layer</w:t>
            </w:r>
          </w:p>
        </w:tc>
        <w:tc>
          <w:tcPr>
            <w:tcW w:w="0" w:type="auto"/>
            <w:vAlign w:val="center"/>
            <w:hideMark/>
          </w:tcPr>
          <w:p w14:paraId="53ECE2CC" w14:textId="77777777" w:rsidR="00D7057C" w:rsidRPr="00B479AE" w:rsidRDefault="00D7057C" w:rsidP="00D7057C">
            <w:pPr>
              <w:spacing w:line="360" w:lineRule="auto"/>
              <w:rPr>
                <w:rFonts w:ascii="Baskerville Old Face" w:hAnsi="Baskerville Old Face"/>
                <w:i/>
                <w:iCs/>
                <w:sz w:val="22"/>
                <w:szCs w:val="22"/>
              </w:rPr>
            </w:pPr>
            <w:r w:rsidRPr="00B479AE">
              <w:rPr>
                <w:rFonts w:ascii="Baskerville Old Face" w:hAnsi="Baskerville Old Face"/>
                <w:i/>
                <w:iCs/>
                <w:sz w:val="22"/>
                <w:szCs w:val="22"/>
              </w:rPr>
              <w:t>Hydrological resilience as a value-relevant indicator where evidence, confidence, and admissibility support its use</w:t>
            </w:r>
          </w:p>
        </w:tc>
      </w:tr>
      <w:tr w:rsidR="00D7057C" w:rsidRPr="00B479AE" w14:paraId="1890E6D8" w14:textId="77777777" w:rsidTr="00D7057C">
        <w:trPr>
          <w:tblCellSpacing w:w="15" w:type="dxa"/>
        </w:trPr>
        <w:tc>
          <w:tcPr>
            <w:tcW w:w="0" w:type="auto"/>
            <w:vAlign w:val="center"/>
            <w:hideMark/>
          </w:tcPr>
          <w:p w14:paraId="52E13F3D" w14:textId="77777777" w:rsidR="00D7057C" w:rsidRPr="00B479AE" w:rsidRDefault="00D7057C" w:rsidP="00D7057C">
            <w:pPr>
              <w:spacing w:line="360" w:lineRule="auto"/>
              <w:rPr>
                <w:rFonts w:ascii="Baskerville Old Face" w:hAnsi="Baskerville Old Face"/>
                <w:i/>
                <w:iCs/>
                <w:sz w:val="22"/>
                <w:szCs w:val="22"/>
              </w:rPr>
            </w:pPr>
            <w:r w:rsidRPr="00B479AE">
              <w:rPr>
                <w:rFonts w:ascii="Baskerville Old Face" w:hAnsi="Baskerville Old Face"/>
                <w:i/>
                <w:iCs/>
                <w:sz w:val="22"/>
                <w:szCs w:val="22"/>
              </w:rPr>
              <w:t>RAP layer</w:t>
            </w:r>
          </w:p>
        </w:tc>
        <w:tc>
          <w:tcPr>
            <w:tcW w:w="0" w:type="auto"/>
            <w:vAlign w:val="center"/>
            <w:hideMark/>
          </w:tcPr>
          <w:p w14:paraId="2643F814" w14:textId="77777777" w:rsidR="00D7057C" w:rsidRPr="00B479AE" w:rsidRDefault="00D7057C" w:rsidP="00D7057C">
            <w:pPr>
              <w:spacing w:line="360" w:lineRule="auto"/>
              <w:rPr>
                <w:rFonts w:ascii="Baskerville Old Face" w:hAnsi="Baskerville Old Face"/>
                <w:i/>
                <w:iCs/>
                <w:sz w:val="22"/>
                <w:szCs w:val="22"/>
              </w:rPr>
            </w:pPr>
            <w:r w:rsidRPr="00B479AE">
              <w:rPr>
                <w:rFonts w:ascii="Baskerville Old Face" w:hAnsi="Baskerville Old Face"/>
                <w:i/>
                <w:iCs/>
                <w:sz w:val="22"/>
                <w:szCs w:val="22"/>
              </w:rPr>
              <w:t>Portfolio-level water-risk analysis across sites, climates, watersheds, and regenerative designs</w:t>
            </w:r>
          </w:p>
        </w:tc>
      </w:tr>
    </w:tbl>
    <w:p w14:paraId="1EDD9F77" w14:textId="77777777" w:rsidR="00D7057C" w:rsidRPr="00B479AE" w:rsidRDefault="00D7057C" w:rsidP="00D7057C">
      <w:pPr>
        <w:spacing w:line="360" w:lineRule="auto"/>
        <w:rPr>
          <w:rFonts w:ascii="Baskerville Old Face" w:hAnsi="Baskerville Old Face"/>
          <w:i/>
          <w:iCs/>
        </w:rPr>
      </w:pPr>
      <w:r w:rsidRPr="00B479AE">
        <w:rPr>
          <w:rFonts w:ascii="Baskerville Old Face" w:hAnsi="Baskerville Old Face"/>
          <w:i/>
          <w:iCs/>
        </w:rPr>
        <w:t>This multi-scale view allows Prometheus to treat water performance as a primary indicator of regenerative infrastructure.</w:t>
      </w:r>
    </w:p>
    <w:p w14:paraId="373B5E84" w14:textId="77777777" w:rsidR="00D7057C" w:rsidRPr="00B479AE" w:rsidRDefault="00D7057C" w:rsidP="00D7057C">
      <w:pPr>
        <w:spacing w:line="360" w:lineRule="auto"/>
        <w:rPr>
          <w:rFonts w:ascii="Baskerville Old Face" w:hAnsi="Baskerville Old Face"/>
          <w:i/>
          <w:iCs/>
        </w:rPr>
      </w:pPr>
      <w:r w:rsidRPr="00B479AE">
        <w:rPr>
          <w:rFonts w:ascii="Baskerville Old Face" w:hAnsi="Baskerville Old Face"/>
          <w:i/>
          <w:iCs/>
        </w:rPr>
        <w:t>A system that retains and cycles water more effectively becomes more biologically resilient, operationally stable, and economically credible.</w:t>
      </w:r>
    </w:p>
    <w:p w14:paraId="0507D292" w14:textId="62B34A3C" w:rsidR="005E4912" w:rsidRPr="00B479AE" w:rsidRDefault="005E4912" w:rsidP="005E4912">
      <w:pPr>
        <w:spacing w:line="360" w:lineRule="auto"/>
        <w:rPr>
          <w:rFonts w:ascii="Baskerville Old Face" w:hAnsi="Baskerville Old Face"/>
          <w:i/>
          <w:iCs/>
        </w:rPr>
      </w:pPr>
      <w:r w:rsidRPr="00B479AE">
        <w:rPr>
          <w:rFonts w:ascii="Baskerville Old Face" w:hAnsi="Baskerville Old Face"/>
          <w:i/>
          <w:iCs/>
        </w:rPr>
        <w:t>Water is not only a resource to be consumed.</w:t>
      </w:r>
    </w:p>
    <w:p w14:paraId="1825E2A3" w14:textId="77777777" w:rsidR="005E4912" w:rsidRPr="00B479AE" w:rsidRDefault="005E4912" w:rsidP="005E4912">
      <w:pPr>
        <w:spacing w:line="360" w:lineRule="auto"/>
        <w:rPr>
          <w:rFonts w:ascii="Baskerville Old Face" w:hAnsi="Baskerville Old Face"/>
          <w:i/>
          <w:iCs/>
        </w:rPr>
      </w:pPr>
      <w:r w:rsidRPr="00B479AE">
        <w:rPr>
          <w:rFonts w:ascii="Baskerville Old Face" w:hAnsi="Baskerville Old Face"/>
          <w:i/>
          <w:iCs/>
        </w:rPr>
        <w:t>It is a connective medium through which landscapes, organisms, communities, and economies remain alive.</w:t>
      </w:r>
    </w:p>
    <w:p w14:paraId="00745884" w14:textId="77777777" w:rsidR="005E4912" w:rsidRPr="00B479AE" w:rsidRDefault="005E4912" w:rsidP="005E4912">
      <w:pPr>
        <w:spacing w:line="360" w:lineRule="auto"/>
        <w:rPr>
          <w:rFonts w:ascii="Baskerville Old Face" w:hAnsi="Baskerville Old Face"/>
          <w:i/>
          <w:iCs/>
        </w:rPr>
      </w:pPr>
      <w:r w:rsidRPr="00B479AE">
        <w:rPr>
          <w:rFonts w:ascii="Baskerville Old Face" w:hAnsi="Baskerville Old Face"/>
          <w:i/>
          <w:iCs/>
        </w:rPr>
        <w:t>Prometheus therefore treats hydrological performance as one of the primary indicators of regenerative infrastructure.</w:t>
      </w:r>
    </w:p>
    <w:p w14:paraId="0A747681" w14:textId="77777777" w:rsidR="005E4912" w:rsidRPr="00B479AE" w:rsidRDefault="005E4912" w:rsidP="005E4912">
      <w:pPr>
        <w:spacing w:line="360" w:lineRule="auto"/>
        <w:rPr>
          <w:rFonts w:ascii="Baskerville Old Face" w:hAnsi="Baskerville Old Face"/>
          <w:i/>
          <w:iCs/>
        </w:rPr>
      </w:pPr>
      <w:r w:rsidRPr="00B479AE">
        <w:rPr>
          <w:rFonts w:ascii="Baskerville Old Face" w:hAnsi="Baskerville Old Face"/>
          <w:i/>
          <w:iCs/>
        </w:rPr>
        <w:lastRenderedPageBreak/>
        <w:t>More speculative interpretations of water structure, vortex dynamics, or subtle biological organization may inspire research, but they remain outside core financial admissibility unless supported by evidence, methodology, and verification.</w:t>
      </w:r>
    </w:p>
    <w:p w14:paraId="3A9ACC8E" w14:textId="33FBBACB"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b/>
          <w:bCs/>
          <w:i/>
          <w:iCs/>
        </w:rPr>
        <w:t>Biodiversity as distributed resilience</w:t>
      </w:r>
    </w:p>
    <w:p w14:paraId="5FA64810"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Biodiversity is not ornamental complexity.</w:t>
      </w:r>
    </w:p>
    <w:p w14:paraId="09277DE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It is distributed resilience.</w:t>
      </w:r>
    </w:p>
    <w:p w14:paraId="4B15FCEE"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A system with many species, functions, root depths, flowering periods, habitat niches, and biological interactions can respond to disturbance more effectively than a simplified system.</w:t>
      </w:r>
    </w:p>
    <w:p w14:paraId="25951386"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Biodiversity contributes to:</w:t>
      </w:r>
    </w:p>
    <w:p w14:paraId="631AC615"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pollination;</w:t>
      </w:r>
    </w:p>
    <w:p w14:paraId="152DFBA2"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pest regulation;</w:t>
      </w:r>
    </w:p>
    <w:p w14:paraId="201B2DD3"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nutrient cycling;</w:t>
      </w:r>
    </w:p>
    <w:p w14:paraId="4DB9C56D"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habitat creation;</w:t>
      </w:r>
    </w:p>
    <w:p w14:paraId="6AD7D544"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soil biology;</w:t>
      </w:r>
    </w:p>
    <w:p w14:paraId="751D7667"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genetic diversity;</w:t>
      </w:r>
    </w:p>
    <w:p w14:paraId="0654526B"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productive diversification;</w:t>
      </w:r>
    </w:p>
    <w:p w14:paraId="6BEA963B"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adaptive capacity;</w:t>
      </w:r>
    </w:p>
    <w:p w14:paraId="21923A97"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climate resilience.</w:t>
      </w:r>
    </w:p>
    <w:p w14:paraId="01DE6EBA"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In Prometheus, biodiversity is treated as both an ecological indicator and a risk variable.</w:t>
      </w:r>
    </w:p>
    <w:p w14:paraId="4D4A8E11"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A biologically diverse system may reduce dependency on single crops, single revenue streams, single ecological functions, and single points of failure.</w:t>
      </w:r>
    </w:p>
    <w:p w14:paraId="4038FA5E"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This does not mean that all diversity is equally valuable.</w:t>
      </w:r>
    </w:p>
    <w:p w14:paraId="64E9D0F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Functional diversity matters.</w:t>
      </w:r>
    </w:p>
    <w:p w14:paraId="7902BEB7"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lastRenderedPageBreak/>
        <w:t>The relevant question is not only how many species exist, but what roles they perform.</w:t>
      </w:r>
    </w:p>
    <w:p w14:paraId="795B5FA6"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A regenerative biodiversity assessment should therefore consider:</w:t>
      </w:r>
    </w:p>
    <w:p w14:paraId="4171562C"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species richness;</w:t>
      </w:r>
    </w:p>
    <w:p w14:paraId="34039AFF"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functional diversity;</w:t>
      </w:r>
    </w:p>
    <w:p w14:paraId="095DE748"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pollinator support;</w:t>
      </w:r>
    </w:p>
    <w:p w14:paraId="727E62EF"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habitat continuity;</w:t>
      </w:r>
    </w:p>
    <w:p w14:paraId="75A66A5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canopy and understory structure;</w:t>
      </w:r>
    </w:p>
    <w:p w14:paraId="0C4ADE88"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root-depth diversity;</w:t>
      </w:r>
    </w:p>
    <w:p w14:paraId="2F47C72C"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seasonal production distribution;</w:t>
      </w:r>
    </w:p>
    <w:p w14:paraId="6FB0AC90"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ecological corridors;</w:t>
      </w:r>
    </w:p>
    <w:p w14:paraId="67D8F863"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resilience under stress.</w:t>
      </w:r>
    </w:p>
    <w:p w14:paraId="09BDD35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Biodiversity becomes financially relevant when it contributes to stability, productivity, reduced input dependency, and risk compression.</w:t>
      </w:r>
    </w:p>
    <w:p w14:paraId="5261A797"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b/>
          <w:bCs/>
          <w:i/>
          <w:iCs/>
        </w:rPr>
        <w:t>Biomass cycling</w:t>
      </w:r>
    </w:p>
    <w:p w14:paraId="076736C8"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Biomass cycling is one of the central mechanisms through which syntropic systems build fertility.</w:t>
      </w:r>
    </w:p>
    <w:p w14:paraId="1DAD51DA"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Leaves, branches, pruning material, root turnover, crop residues, cover crops, and organic inputs return carbon and nutrients to the soil.</w:t>
      </w:r>
    </w:p>
    <w:p w14:paraId="1D29DEB5"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This process feeds microorganisms, improves structure, protects soil from heat and erosion, and supports water retention.</w:t>
      </w:r>
    </w:p>
    <w:p w14:paraId="6A51764E"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In extractive systems, biomass is often removed, burned, wasted, or treated as a by-product.</w:t>
      </w:r>
    </w:p>
    <w:p w14:paraId="52348326"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In regenerative systems, biomass is a metabolic flow.</w:t>
      </w:r>
    </w:p>
    <w:p w14:paraId="43982976"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Pruning becomes activation.</w:t>
      </w:r>
    </w:p>
    <w:p w14:paraId="3F7B79D8"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Mulching becomes protection.</w:t>
      </w:r>
    </w:p>
    <w:p w14:paraId="7EFE357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lastRenderedPageBreak/>
        <w:t>Organic matter becomes fertility.</w:t>
      </w:r>
    </w:p>
    <w:p w14:paraId="79565345"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Fertility becomes productivity.</w:t>
      </w:r>
    </w:p>
    <w:p w14:paraId="7FC5890E"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Productivity becomes more biomass.</w:t>
      </w:r>
    </w:p>
    <w:p w14:paraId="5827DC30"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This creates another reinforcing loop:</w:t>
      </w:r>
    </w:p>
    <w:p w14:paraId="0C371241"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photosynthesis</w:t>
      </w:r>
      <w:r w:rsidRPr="00B479AE">
        <w:rPr>
          <w:rFonts w:ascii="Baskerville Old Face" w:hAnsi="Baskerville Old Face"/>
          <w:i/>
          <w:iCs/>
        </w:rPr>
        <w:br/>
        <w:t>biomass</w:t>
      </w:r>
      <w:r w:rsidRPr="00B479AE">
        <w:rPr>
          <w:rFonts w:ascii="Baskerville Old Face" w:hAnsi="Baskerville Old Face"/>
          <w:i/>
          <w:iCs/>
        </w:rPr>
        <w:br/>
        <w:t>soil cover</w:t>
      </w:r>
      <w:r w:rsidRPr="00B479AE">
        <w:rPr>
          <w:rFonts w:ascii="Baskerville Old Face" w:hAnsi="Baskerville Old Face"/>
          <w:i/>
          <w:iCs/>
        </w:rPr>
        <w:br/>
        <w:t>microbial activity</w:t>
      </w:r>
      <w:r w:rsidRPr="00B479AE">
        <w:rPr>
          <w:rFonts w:ascii="Baskerville Old Face" w:hAnsi="Baskerville Old Face"/>
          <w:i/>
          <w:iCs/>
        </w:rPr>
        <w:br/>
        <w:t>nutrient cycling</w:t>
      </w:r>
      <w:r w:rsidRPr="00B479AE">
        <w:rPr>
          <w:rFonts w:ascii="Baskerville Old Face" w:hAnsi="Baskerville Old Face"/>
          <w:i/>
          <w:iCs/>
        </w:rPr>
        <w:br/>
        <w:t>water retention</w:t>
      </w:r>
      <w:r w:rsidRPr="00B479AE">
        <w:rPr>
          <w:rFonts w:ascii="Baskerville Old Face" w:hAnsi="Baskerville Old Face"/>
          <w:i/>
          <w:iCs/>
        </w:rPr>
        <w:br/>
        <w:t>plant growth</w:t>
      </w:r>
      <w:r w:rsidRPr="00B479AE">
        <w:rPr>
          <w:rFonts w:ascii="Baskerville Old Face" w:hAnsi="Baskerville Old Face"/>
          <w:i/>
          <w:iCs/>
        </w:rPr>
        <w:br/>
        <w:t>photosynthesis.</w:t>
      </w:r>
    </w:p>
    <w:p w14:paraId="37C401E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Prometheus treats biomass cycling as a measurable design and management function.</w:t>
      </w:r>
    </w:p>
    <w:p w14:paraId="758A0741"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Relevant indicators may include:</w:t>
      </w:r>
    </w:p>
    <w:p w14:paraId="4B4550FB"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biomass produced;</w:t>
      </w:r>
    </w:p>
    <w:p w14:paraId="3D409D80"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biomass returned to soil;</w:t>
      </w:r>
    </w:p>
    <w:p w14:paraId="72E71C0D"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pruning frequency;</w:t>
      </w:r>
    </w:p>
    <w:p w14:paraId="272C15C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ground cover percentage;</w:t>
      </w:r>
    </w:p>
    <w:p w14:paraId="614C8B9F"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organic matter input;</w:t>
      </w:r>
    </w:p>
    <w:p w14:paraId="5095372A"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decomposition rate;</w:t>
      </w:r>
    </w:p>
    <w:p w14:paraId="07722F63"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soil organic matter change;</w:t>
      </w:r>
    </w:p>
    <w:p w14:paraId="4290965F"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productivity response.</w:t>
      </w:r>
    </w:p>
    <w:p w14:paraId="3FE59733" w14:textId="18F1C887" w:rsidR="00EE4728" w:rsidRDefault="00EE4728" w:rsidP="00EE4728">
      <w:pPr>
        <w:spacing w:line="360" w:lineRule="auto"/>
        <w:rPr>
          <w:rFonts w:ascii="Baskerville Old Face" w:hAnsi="Baskerville Old Face"/>
          <w:i/>
          <w:iCs/>
        </w:rPr>
      </w:pPr>
      <w:r w:rsidRPr="00B479AE">
        <w:rPr>
          <w:rFonts w:ascii="Baskerville Old Face" w:hAnsi="Baskerville Old Face"/>
          <w:i/>
          <w:iCs/>
        </w:rPr>
        <w:t>A system that cycles biomass well becomes less dependent on external inputs and more capable of self-maintenance.</w:t>
      </w:r>
      <w:r w:rsidR="007E454C">
        <w:rPr>
          <w:rFonts w:ascii="Baskerville Old Face" w:hAnsi="Baskerville Old Face"/>
          <w:i/>
          <w:iCs/>
        </w:rPr>
        <w:t xml:space="preserve"> </w:t>
      </w:r>
    </w:p>
    <w:p w14:paraId="27ACE0B5" w14:textId="77777777" w:rsidR="007E454C" w:rsidRPr="00B479AE" w:rsidRDefault="007E454C" w:rsidP="00EE4728">
      <w:pPr>
        <w:spacing w:line="360" w:lineRule="auto"/>
        <w:rPr>
          <w:rFonts w:ascii="Baskerville Old Face" w:hAnsi="Baskerville Old Face"/>
          <w:i/>
          <w:iCs/>
        </w:rPr>
      </w:pPr>
    </w:p>
    <w:p w14:paraId="65E64D73"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b/>
          <w:bCs/>
          <w:i/>
          <w:iCs/>
        </w:rPr>
        <w:lastRenderedPageBreak/>
        <w:t>Mycorrhizal and biochemical intelligence</w:t>
      </w:r>
    </w:p>
    <w:p w14:paraId="4F363162"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Living systems coordinate through more than visible structure.</w:t>
      </w:r>
    </w:p>
    <w:p w14:paraId="6D115910"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Plants, fungi, microorganisms, insects, and soil organisms participate in biochemical and symbiotic networks.</w:t>
      </w:r>
    </w:p>
    <w:p w14:paraId="4D929A32"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Mycorrhizal fungi can connect plant roots, extend access to nutrients and water, and participate in resource exchange.</w:t>
      </w:r>
    </w:p>
    <w:p w14:paraId="0C3252D9"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Plants release root exudates that shape microbial communities.</w:t>
      </w:r>
    </w:p>
    <w:p w14:paraId="01A10AC7"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Secondary metabolites and volatile organic compounds can influence defense, attraction, inhibition, stress response, and ecological signaling.</w:t>
      </w:r>
    </w:p>
    <w:p w14:paraId="1A2733C3"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These processes are scientifically important, but operationally complex.</w:t>
      </w:r>
    </w:p>
    <w:p w14:paraId="6CF96D8B"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Prometheus therefore treats them with tiered rigor.</w:t>
      </w:r>
    </w:p>
    <w:p w14:paraId="37EC718F"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At the core level, the system does not require continuous measurement of every biochemical or fungal interaction.</w:t>
      </w:r>
    </w:p>
    <w:p w14:paraId="04CD4728"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Instead, it uses a combination of direct and proxy indicators.</w:t>
      </w:r>
    </w:p>
    <w:p w14:paraId="522F7297"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Direct indicators may include:</w:t>
      </w:r>
    </w:p>
    <w:p w14:paraId="014BF961"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mycorrhizal colonization tests;</w:t>
      </w:r>
    </w:p>
    <w:p w14:paraId="5AAAAEA4"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fungal richness or presence;</w:t>
      </w:r>
    </w:p>
    <w:p w14:paraId="60FAB074"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root health analysis;</w:t>
      </w:r>
    </w:p>
    <w:p w14:paraId="0C504682"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microbial biomass;</w:t>
      </w:r>
    </w:p>
    <w:p w14:paraId="7EADA012"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targeted metabolite assays in research-grade pilots.</w:t>
      </w:r>
    </w:p>
    <w:p w14:paraId="65E2D13E"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Proxy indicators may include:</w:t>
      </w:r>
    </w:p>
    <w:p w14:paraId="4982175B"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improved drought performance;</w:t>
      </w:r>
    </w:p>
    <w:p w14:paraId="1EC6E41D"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reduced plant mortality;</w:t>
      </w:r>
    </w:p>
    <w:p w14:paraId="4F29EF25"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lastRenderedPageBreak/>
        <w:t>• faster recovery after stress;</w:t>
      </w:r>
    </w:p>
    <w:p w14:paraId="16C84AA4"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lower disease incidence;</w:t>
      </w:r>
    </w:p>
    <w:p w14:paraId="1CE43425"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reduced output variance;</w:t>
      </w:r>
    </w:p>
    <w:p w14:paraId="79B13C9D"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stronger performance near ecological hub plants;</w:t>
      </w:r>
    </w:p>
    <w:p w14:paraId="1F6F56B0"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 improved soil biological indicators.</w:t>
      </w:r>
    </w:p>
    <w:p w14:paraId="0D5D56F6"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This approach allows Prometheus to recognize the importance of underground and biochemical intelligence without overstating what can be measured in routine deployment.</w:t>
      </w:r>
    </w:p>
    <w:p w14:paraId="50DDD79C" w14:textId="77777777" w:rsidR="00EE4728" w:rsidRPr="00B479AE" w:rsidRDefault="00EE4728" w:rsidP="00EE4728">
      <w:pPr>
        <w:spacing w:line="360" w:lineRule="auto"/>
        <w:rPr>
          <w:rFonts w:ascii="Baskerville Old Face" w:hAnsi="Baskerville Old Face"/>
          <w:i/>
          <w:iCs/>
        </w:rPr>
      </w:pPr>
      <w:r w:rsidRPr="00B479AE">
        <w:rPr>
          <w:rFonts w:ascii="Baskerville Old Face" w:hAnsi="Baskerville Old Face"/>
          <w:i/>
          <w:iCs/>
        </w:rPr>
        <w:t>The model remains open to deeper science while remaining grounded in verifiable evidence.</w:t>
      </w:r>
    </w:p>
    <w:p w14:paraId="5EEB377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Technical Note — Biochemical, Mycorrhizal, and Soil Intelligence</w:t>
      </w:r>
    </w:p>
    <w:p w14:paraId="00BBF48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 productive superiority of a syntropic system does not arise only from planting density, succession, stratification, or reduced external inputs.</w:t>
      </w:r>
    </w:p>
    <w:p w14:paraId="45A185A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It emerges from a deeper layer of ecological organization.</w:t>
      </w:r>
    </w:p>
    <w:p w14:paraId="60918653"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A syntropic One Human Ecosystem can be understood as a multilayer ecological network in which plants, fungi, microbes, soil fauna, water, nutrients, organic matter, microelements, roots, and biochemical signals co-regulate one another over time.</w:t>
      </w:r>
    </w:p>
    <w:p w14:paraId="49DB12F7"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This perspective is consistent with three complementary scientific domains.</w:t>
      </w:r>
    </w:p>
    <w:p w14:paraId="74736E63"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First, mycorrhizal-network research suggests that plant communities may be connected through fungal relationships capable of influencing access to water, carbon, nitrogen, phosphorus, stress response, and plant–soil communication.</w:t>
      </w:r>
    </w:p>
    <w:p w14:paraId="0B5EB1F2"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Second, research on allelopathy, secondary metabolites, volatile organic compounds, phenolics, terpenoids, and plant signaling shows that plants actively shape their ecological context through biochemical interaction.</w:t>
      </w:r>
    </w:p>
    <w:p w14:paraId="4ADD4CA2"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Third, soil ecology demonstrates that earthworms, bacteria, fungi, mesofauna, organic matter, moisture, minerals, and microelements form a metabolic engine that regulates fertility, porosity, infiltration, nutrient cycling, buffering capacity, and long-term resilience.</w:t>
      </w:r>
    </w:p>
    <w:p w14:paraId="26D1B3C7"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lastRenderedPageBreak/>
        <w:t>Prometheus treats these domains as scientifically important but operationally complex.</w:t>
      </w:r>
    </w:p>
    <w:p w14:paraId="55EA935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They are not used as automatic financial claims.</w:t>
      </w:r>
    </w:p>
    <w:p w14:paraId="232427DC"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They are used to define testable hypotheses, measurable indicators, confidence-scored evidence bundles, and future PRU-relevant signals.</w:t>
      </w:r>
    </w:p>
    <w:p w14:paraId="3D19EAEE"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 purpose of this note is therefore not to claim that every biochemical or fungal interaction can be directly measured or monetized.</w:t>
      </w:r>
    </w:p>
    <w:p w14:paraId="2656754B"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Its purpose is to define how underground intelligence, biochemical coordination, and soil metabolic function may become observable, modelable, and eventually financially relevant when supported by evidence.</w:t>
      </w:r>
    </w:p>
    <w:p w14:paraId="5DDE8700" w14:textId="77777777" w:rsidR="009B5C78" w:rsidRPr="007E454C" w:rsidRDefault="009B5C78" w:rsidP="009B5C78">
      <w:pPr>
        <w:spacing w:line="360" w:lineRule="auto"/>
        <w:rPr>
          <w:rFonts w:ascii="Baskerville Old Face" w:hAnsi="Baskerville Old Face"/>
          <w:i/>
          <w:iCs/>
        </w:rPr>
      </w:pPr>
      <w:r w:rsidRPr="00B479AE">
        <w:rPr>
          <w:rFonts w:ascii="Baskerville Old Face" w:hAnsi="Baskerville Old Face"/>
          <w:b/>
          <w:bCs/>
          <w:i/>
          <w:iCs/>
        </w:rPr>
        <w:t>1. Multilayer ecological network representation</w:t>
      </w:r>
    </w:p>
    <w:p w14:paraId="3CEDF327"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A syntropic OHE may be represented conceptually as a multilayer graph:</w:t>
      </w:r>
    </w:p>
    <w:p w14:paraId="0F95E514" w14:textId="77777777" w:rsidR="009B5C78" w:rsidRPr="005907F1" w:rsidRDefault="009B5C78" w:rsidP="009B5C78">
      <w:pPr>
        <w:spacing w:line="360" w:lineRule="auto"/>
        <w:rPr>
          <w:rFonts w:ascii="Baskerville Old Face" w:hAnsi="Baskerville Old Face"/>
          <w:i/>
          <w:iCs/>
          <w:lang w:val="it-IT"/>
        </w:rPr>
      </w:pPr>
      <w:r w:rsidRPr="005907F1">
        <w:rPr>
          <w:rFonts w:ascii="Baskerville Old Face" w:hAnsi="Baskerville Old Face"/>
          <w:i/>
          <w:iCs/>
          <w:lang w:val="it-IT"/>
        </w:rPr>
        <w:t>G = (V, E_air, E_root, E_fungal, E_met, E_soil)</w:t>
      </w:r>
    </w:p>
    <w:p w14:paraId="0481F5CE"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where:</w:t>
      </w:r>
    </w:p>
    <w:p w14:paraId="08BF8288"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V represents the set of biological nodes, such as plants, plant guilds, hub species, ecological productive units, or functional vegetation groups;</w:t>
      </w:r>
    </w:p>
    <w:p w14:paraId="35FF52B4"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E_air represents aerial interactions, including pollination, herbivory, beneficial insects, parasitoids, volatile organic compounds, canopy effects, and microclimate influence;</w:t>
      </w:r>
    </w:p>
    <w:p w14:paraId="1F149F2E"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E_root represents root-zone interactions, including water access, nutrient overlap, exudates, competition, facilitation, and rhizosphere dynamics;</w:t>
      </w:r>
    </w:p>
    <w:p w14:paraId="752B6EBD"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E_fungal represents mycorrhizal links, including fungal connectivity, resource transfer, stress signaling, and plant–fungal cooperation;</w:t>
      </w:r>
    </w:p>
    <w:p w14:paraId="1E44505C"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E_met represents biochemical signaling, including primary and secondary metabolites, phenolics, terpenoids, volatile compounds, inducible defense, facilitation, and inhibition;</w:t>
      </w:r>
    </w:p>
    <w:p w14:paraId="3DCB8B1A"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E_soil represents soil-fauna and decomposition-mediated interactions, including earthworms, microbial activity, organic matter turnover, porosity, aggregation, mineralization, and microelement buffering.</w:t>
      </w:r>
    </w:p>
    <w:p w14:paraId="44A42855"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lastRenderedPageBreak/>
        <w:t>The main layers can be summarized as follows: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7"/>
        <w:gridCol w:w="5289"/>
        <w:gridCol w:w="2722"/>
      </w:tblGrid>
      <w:tr w:rsidR="009B5C78" w:rsidRPr="007E454C" w14:paraId="6F04082D" w14:textId="77777777" w:rsidTr="007E454C">
        <w:trPr>
          <w:tblHeader/>
          <w:tblCellSpacing w:w="15" w:type="dxa"/>
        </w:trPr>
        <w:tc>
          <w:tcPr>
            <w:tcW w:w="0" w:type="auto"/>
            <w:vAlign w:val="center"/>
            <w:hideMark/>
          </w:tcPr>
          <w:p w14:paraId="68AC0E15" w14:textId="77777777" w:rsidR="009B5C78" w:rsidRPr="007E454C" w:rsidRDefault="009B5C78" w:rsidP="009B5C78">
            <w:pPr>
              <w:spacing w:line="360" w:lineRule="auto"/>
              <w:rPr>
                <w:rFonts w:ascii="Baskerville Old Face" w:hAnsi="Baskerville Old Face"/>
                <w:b/>
                <w:bCs/>
                <w:i/>
                <w:iCs/>
                <w:sz w:val="22"/>
                <w:szCs w:val="22"/>
              </w:rPr>
            </w:pPr>
            <w:r w:rsidRPr="007E454C">
              <w:rPr>
                <w:rFonts w:ascii="Baskerville Old Face" w:hAnsi="Baskerville Old Face"/>
                <w:b/>
                <w:bCs/>
                <w:i/>
                <w:iCs/>
                <w:sz w:val="22"/>
                <w:szCs w:val="22"/>
              </w:rPr>
              <w:t>Layer</w:t>
            </w:r>
          </w:p>
        </w:tc>
        <w:tc>
          <w:tcPr>
            <w:tcW w:w="0" w:type="auto"/>
            <w:vAlign w:val="center"/>
            <w:hideMark/>
          </w:tcPr>
          <w:p w14:paraId="2BA5273A" w14:textId="77777777" w:rsidR="009B5C78" w:rsidRPr="007E454C" w:rsidRDefault="009B5C78" w:rsidP="009B5C78">
            <w:pPr>
              <w:spacing w:line="360" w:lineRule="auto"/>
              <w:rPr>
                <w:rFonts w:ascii="Baskerville Old Face" w:hAnsi="Baskerville Old Face"/>
                <w:b/>
                <w:bCs/>
                <w:i/>
                <w:iCs/>
                <w:sz w:val="22"/>
                <w:szCs w:val="22"/>
              </w:rPr>
            </w:pPr>
            <w:r w:rsidRPr="007E454C">
              <w:rPr>
                <w:rFonts w:ascii="Baskerville Old Face" w:hAnsi="Baskerville Old Face"/>
                <w:b/>
                <w:bCs/>
                <w:i/>
                <w:iCs/>
                <w:sz w:val="22"/>
                <w:szCs w:val="22"/>
              </w:rPr>
              <w:t>Function</w:t>
            </w:r>
          </w:p>
        </w:tc>
        <w:tc>
          <w:tcPr>
            <w:tcW w:w="0" w:type="auto"/>
            <w:vAlign w:val="center"/>
            <w:hideMark/>
          </w:tcPr>
          <w:p w14:paraId="79DEAF9D" w14:textId="77777777" w:rsidR="009B5C78" w:rsidRPr="007E454C" w:rsidRDefault="009B5C78" w:rsidP="009B5C78">
            <w:pPr>
              <w:spacing w:line="360" w:lineRule="auto"/>
              <w:rPr>
                <w:rFonts w:ascii="Baskerville Old Face" w:hAnsi="Baskerville Old Face"/>
                <w:b/>
                <w:bCs/>
                <w:i/>
                <w:iCs/>
                <w:sz w:val="22"/>
                <w:szCs w:val="22"/>
              </w:rPr>
            </w:pPr>
            <w:r w:rsidRPr="007E454C">
              <w:rPr>
                <w:rFonts w:ascii="Baskerville Old Face" w:hAnsi="Baskerville Old Face"/>
                <w:b/>
                <w:bCs/>
                <w:i/>
                <w:iCs/>
                <w:sz w:val="22"/>
                <w:szCs w:val="22"/>
              </w:rPr>
              <w:t>Example variables</w:t>
            </w:r>
          </w:p>
        </w:tc>
      </w:tr>
      <w:tr w:rsidR="009B5C78" w:rsidRPr="007E454C" w14:paraId="3ED09004" w14:textId="77777777" w:rsidTr="007E454C">
        <w:trPr>
          <w:tblCellSpacing w:w="15" w:type="dxa"/>
        </w:trPr>
        <w:tc>
          <w:tcPr>
            <w:tcW w:w="0" w:type="auto"/>
            <w:vAlign w:val="center"/>
            <w:hideMark/>
          </w:tcPr>
          <w:p w14:paraId="08BAA727" w14:textId="77777777" w:rsidR="009B5C78" w:rsidRPr="007E454C" w:rsidRDefault="009B5C78" w:rsidP="009B5C78">
            <w:pPr>
              <w:spacing w:line="360" w:lineRule="auto"/>
              <w:rPr>
                <w:rFonts w:ascii="Baskerville Old Face" w:hAnsi="Baskerville Old Face"/>
                <w:i/>
                <w:iCs/>
                <w:sz w:val="22"/>
                <w:szCs w:val="22"/>
              </w:rPr>
            </w:pPr>
            <w:r w:rsidRPr="007E454C">
              <w:rPr>
                <w:rFonts w:ascii="Baskerville Old Face" w:hAnsi="Baskerville Old Face"/>
                <w:i/>
                <w:iCs/>
                <w:sz w:val="22"/>
                <w:szCs w:val="22"/>
              </w:rPr>
              <w:t>Aerial layer</w:t>
            </w:r>
          </w:p>
        </w:tc>
        <w:tc>
          <w:tcPr>
            <w:tcW w:w="0" w:type="auto"/>
            <w:vAlign w:val="center"/>
            <w:hideMark/>
          </w:tcPr>
          <w:p w14:paraId="7BAB3FEE" w14:textId="77777777" w:rsidR="009B5C78" w:rsidRPr="007E454C" w:rsidRDefault="009B5C78" w:rsidP="009B5C78">
            <w:pPr>
              <w:spacing w:line="360" w:lineRule="auto"/>
              <w:rPr>
                <w:rFonts w:ascii="Baskerville Old Face" w:hAnsi="Baskerville Old Face"/>
                <w:i/>
                <w:iCs/>
                <w:sz w:val="22"/>
                <w:szCs w:val="22"/>
              </w:rPr>
            </w:pPr>
            <w:r w:rsidRPr="007E454C">
              <w:rPr>
                <w:rFonts w:ascii="Baskerville Old Face" w:hAnsi="Baskerville Old Face"/>
                <w:i/>
                <w:iCs/>
                <w:sz w:val="22"/>
                <w:szCs w:val="22"/>
              </w:rPr>
              <w:t>VOCs, insects, parasitoids, pollination, herbivory, canopy effects</w:t>
            </w:r>
          </w:p>
        </w:tc>
        <w:tc>
          <w:tcPr>
            <w:tcW w:w="0" w:type="auto"/>
            <w:vAlign w:val="center"/>
            <w:hideMark/>
          </w:tcPr>
          <w:p w14:paraId="73C09993" w14:textId="77777777" w:rsidR="009B5C78" w:rsidRPr="007E454C" w:rsidRDefault="009B5C78" w:rsidP="009B5C78">
            <w:pPr>
              <w:spacing w:line="360" w:lineRule="auto"/>
              <w:rPr>
                <w:rFonts w:ascii="Baskerville Old Face" w:hAnsi="Baskerville Old Face"/>
                <w:i/>
                <w:iCs/>
                <w:sz w:val="22"/>
                <w:szCs w:val="22"/>
              </w:rPr>
            </w:pPr>
            <w:r w:rsidRPr="007E454C">
              <w:rPr>
                <w:rFonts w:ascii="Baskerville Old Face" w:hAnsi="Baskerville Old Face"/>
                <w:i/>
                <w:iCs/>
                <w:sz w:val="22"/>
                <w:szCs w:val="22"/>
              </w:rPr>
              <w:t>V_i, I_i, P_i</w:t>
            </w:r>
          </w:p>
        </w:tc>
      </w:tr>
      <w:tr w:rsidR="009B5C78" w:rsidRPr="007E454C" w14:paraId="6A458073" w14:textId="77777777" w:rsidTr="007E454C">
        <w:trPr>
          <w:tblCellSpacing w:w="15" w:type="dxa"/>
        </w:trPr>
        <w:tc>
          <w:tcPr>
            <w:tcW w:w="0" w:type="auto"/>
            <w:vAlign w:val="center"/>
            <w:hideMark/>
          </w:tcPr>
          <w:p w14:paraId="6231CDC8" w14:textId="77777777" w:rsidR="009B5C78" w:rsidRPr="007E454C" w:rsidRDefault="009B5C78" w:rsidP="009B5C78">
            <w:pPr>
              <w:spacing w:line="360" w:lineRule="auto"/>
              <w:rPr>
                <w:rFonts w:ascii="Baskerville Old Face" w:hAnsi="Baskerville Old Face"/>
                <w:i/>
                <w:iCs/>
                <w:sz w:val="22"/>
                <w:szCs w:val="22"/>
              </w:rPr>
            </w:pPr>
            <w:r w:rsidRPr="007E454C">
              <w:rPr>
                <w:rFonts w:ascii="Baskerville Old Face" w:hAnsi="Baskerville Old Face"/>
                <w:i/>
                <w:iCs/>
                <w:sz w:val="22"/>
                <w:szCs w:val="22"/>
              </w:rPr>
              <w:t>Root layer</w:t>
            </w:r>
          </w:p>
        </w:tc>
        <w:tc>
          <w:tcPr>
            <w:tcW w:w="0" w:type="auto"/>
            <w:vAlign w:val="center"/>
            <w:hideMark/>
          </w:tcPr>
          <w:p w14:paraId="2BB053D0" w14:textId="77777777" w:rsidR="009B5C78" w:rsidRPr="007E454C" w:rsidRDefault="009B5C78" w:rsidP="009B5C78">
            <w:pPr>
              <w:spacing w:line="360" w:lineRule="auto"/>
              <w:rPr>
                <w:rFonts w:ascii="Baskerville Old Face" w:hAnsi="Baskerville Old Face"/>
                <w:i/>
                <w:iCs/>
                <w:sz w:val="22"/>
                <w:szCs w:val="22"/>
              </w:rPr>
            </w:pPr>
            <w:r w:rsidRPr="007E454C">
              <w:rPr>
                <w:rFonts w:ascii="Baskerville Old Face" w:hAnsi="Baskerville Old Face"/>
                <w:i/>
                <w:iCs/>
                <w:sz w:val="22"/>
                <w:szCs w:val="22"/>
              </w:rPr>
              <w:t>Water, nutrients, root overlap, exudates, rhizosphere activity</w:t>
            </w:r>
          </w:p>
        </w:tc>
        <w:tc>
          <w:tcPr>
            <w:tcW w:w="0" w:type="auto"/>
            <w:vAlign w:val="center"/>
            <w:hideMark/>
          </w:tcPr>
          <w:p w14:paraId="268C2A75" w14:textId="77777777" w:rsidR="009B5C78" w:rsidRPr="007E454C" w:rsidRDefault="009B5C78" w:rsidP="009B5C78">
            <w:pPr>
              <w:spacing w:line="360" w:lineRule="auto"/>
              <w:rPr>
                <w:rFonts w:ascii="Baskerville Old Face" w:hAnsi="Baskerville Old Face"/>
                <w:i/>
                <w:iCs/>
                <w:sz w:val="22"/>
                <w:szCs w:val="22"/>
              </w:rPr>
            </w:pPr>
            <w:r w:rsidRPr="007E454C">
              <w:rPr>
                <w:rFonts w:ascii="Baskerville Old Face" w:hAnsi="Baskerville Old Face"/>
                <w:i/>
                <w:iCs/>
                <w:sz w:val="22"/>
                <w:szCs w:val="22"/>
              </w:rPr>
              <w:t>W_i, N_i, R_i</w:t>
            </w:r>
          </w:p>
        </w:tc>
      </w:tr>
      <w:tr w:rsidR="009B5C78" w:rsidRPr="007E454C" w14:paraId="785BE8CA" w14:textId="77777777" w:rsidTr="007E454C">
        <w:trPr>
          <w:tblCellSpacing w:w="15" w:type="dxa"/>
        </w:trPr>
        <w:tc>
          <w:tcPr>
            <w:tcW w:w="0" w:type="auto"/>
            <w:vAlign w:val="center"/>
            <w:hideMark/>
          </w:tcPr>
          <w:p w14:paraId="075DB397" w14:textId="77777777" w:rsidR="009B5C78" w:rsidRPr="007E454C" w:rsidRDefault="009B5C78" w:rsidP="009B5C78">
            <w:pPr>
              <w:spacing w:line="360" w:lineRule="auto"/>
              <w:rPr>
                <w:rFonts w:ascii="Baskerville Old Face" w:hAnsi="Baskerville Old Face"/>
                <w:i/>
                <w:iCs/>
                <w:sz w:val="22"/>
                <w:szCs w:val="22"/>
              </w:rPr>
            </w:pPr>
            <w:r w:rsidRPr="007E454C">
              <w:rPr>
                <w:rFonts w:ascii="Baskerville Old Face" w:hAnsi="Baskerville Old Face"/>
                <w:i/>
                <w:iCs/>
                <w:sz w:val="22"/>
                <w:szCs w:val="22"/>
              </w:rPr>
              <w:t>Mycorrhizal layer</w:t>
            </w:r>
          </w:p>
        </w:tc>
        <w:tc>
          <w:tcPr>
            <w:tcW w:w="0" w:type="auto"/>
            <w:vAlign w:val="center"/>
            <w:hideMark/>
          </w:tcPr>
          <w:p w14:paraId="30BF6C57" w14:textId="77777777" w:rsidR="009B5C78" w:rsidRPr="007E454C" w:rsidRDefault="009B5C78" w:rsidP="009B5C78">
            <w:pPr>
              <w:spacing w:line="360" w:lineRule="auto"/>
              <w:rPr>
                <w:rFonts w:ascii="Baskerville Old Face" w:hAnsi="Baskerville Old Face"/>
                <w:i/>
                <w:iCs/>
                <w:sz w:val="22"/>
                <w:szCs w:val="22"/>
              </w:rPr>
            </w:pPr>
            <w:r w:rsidRPr="007E454C">
              <w:rPr>
                <w:rFonts w:ascii="Baskerville Old Face" w:hAnsi="Baskerville Old Face"/>
                <w:i/>
                <w:iCs/>
                <w:sz w:val="22"/>
                <w:szCs w:val="22"/>
              </w:rPr>
              <w:t>Resource redistribution, fungal connectivity, stress signaling</w:t>
            </w:r>
          </w:p>
        </w:tc>
        <w:tc>
          <w:tcPr>
            <w:tcW w:w="0" w:type="auto"/>
            <w:vAlign w:val="center"/>
            <w:hideMark/>
          </w:tcPr>
          <w:p w14:paraId="3AAC2032" w14:textId="77777777" w:rsidR="009B5C78" w:rsidRPr="007E454C" w:rsidRDefault="009B5C78" w:rsidP="009B5C78">
            <w:pPr>
              <w:spacing w:line="360" w:lineRule="auto"/>
              <w:rPr>
                <w:rFonts w:ascii="Baskerville Old Face" w:hAnsi="Baskerville Old Face"/>
                <w:i/>
                <w:iCs/>
                <w:sz w:val="22"/>
                <w:szCs w:val="22"/>
              </w:rPr>
            </w:pPr>
            <w:r w:rsidRPr="007E454C">
              <w:rPr>
                <w:rFonts w:ascii="Baskerville Old Face" w:hAnsi="Baskerville Old Face"/>
                <w:i/>
                <w:iCs/>
                <w:sz w:val="22"/>
                <w:szCs w:val="22"/>
              </w:rPr>
              <w:t>F_ij, C_i, N_ij^trans, S_ij^chem</w:t>
            </w:r>
          </w:p>
        </w:tc>
      </w:tr>
      <w:tr w:rsidR="009B5C78" w:rsidRPr="0087733D" w14:paraId="2990B05F" w14:textId="77777777" w:rsidTr="007E454C">
        <w:trPr>
          <w:tblCellSpacing w:w="15" w:type="dxa"/>
        </w:trPr>
        <w:tc>
          <w:tcPr>
            <w:tcW w:w="0" w:type="auto"/>
            <w:vAlign w:val="center"/>
            <w:hideMark/>
          </w:tcPr>
          <w:p w14:paraId="78FE8A49" w14:textId="77777777" w:rsidR="009B5C78" w:rsidRPr="007E454C" w:rsidRDefault="009B5C78" w:rsidP="009B5C78">
            <w:pPr>
              <w:spacing w:line="360" w:lineRule="auto"/>
              <w:rPr>
                <w:rFonts w:ascii="Baskerville Old Face" w:hAnsi="Baskerville Old Face"/>
                <w:i/>
                <w:iCs/>
                <w:sz w:val="22"/>
                <w:szCs w:val="22"/>
              </w:rPr>
            </w:pPr>
            <w:r w:rsidRPr="007E454C">
              <w:rPr>
                <w:rFonts w:ascii="Baskerville Old Face" w:hAnsi="Baskerville Old Face"/>
                <w:i/>
                <w:iCs/>
                <w:sz w:val="22"/>
                <w:szCs w:val="22"/>
              </w:rPr>
              <w:t>Metabolic layer</w:t>
            </w:r>
          </w:p>
        </w:tc>
        <w:tc>
          <w:tcPr>
            <w:tcW w:w="0" w:type="auto"/>
            <w:vAlign w:val="center"/>
            <w:hideMark/>
          </w:tcPr>
          <w:p w14:paraId="580C0AEE" w14:textId="77777777" w:rsidR="009B5C78" w:rsidRPr="007E454C" w:rsidRDefault="009B5C78" w:rsidP="009B5C78">
            <w:pPr>
              <w:spacing w:line="360" w:lineRule="auto"/>
              <w:rPr>
                <w:rFonts w:ascii="Baskerville Old Face" w:hAnsi="Baskerville Old Face"/>
                <w:i/>
                <w:iCs/>
                <w:sz w:val="22"/>
                <w:szCs w:val="22"/>
              </w:rPr>
            </w:pPr>
            <w:r w:rsidRPr="007E454C">
              <w:rPr>
                <w:rFonts w:ascii="Baskerville Old Face" w:hAnsi="Baskerville Old Face"/>
                <w:i/>
                <w:iCs/>
                <w:sz w:val="22"/>
                <w:szCs w:val="22"/>
              </w:rPr>
              <w:t>Primary and secondary metabolites, biochemical response</w:t>
            </w:r>
          </w:p>
        </w:tc>
        <w:tc>
          <w:tcPr>
            <w:tcW w:w="0" w:type="auto"/>
            <w:vAlign w:val="center"/>
            <w:hideMark/>
          </w:tcPr>
          <w:p w14:paraId="610C2267" w14:textId="77777777" w:rsidR="009B5C78" w:rsidRPr="005907F1" w:rsidRDefault="009B5C78" w:rsidP="009B5C78">
            <w:pPr>
              <w:spacing w:line="360" w:lineRule="auto"/>
              <w:rPr>
                <w:rFonts w:ascii="Baskerville Old Face" w:hAnsi="Baskerville Old Face"/>
                <w:i/>
                <w:iCs/>
                <w:sz w:val="22"/>
                <w:szCs w:val="22"/>
                <w:lang w:val="it-IT"/>
              </w:rPr>
            </w:pPr>
            <w:r w:rsidRPr="005907F1">
              <w:rPr>
                <w:rFonts w:ascii="Baskerville Old Face" w:hAnsi="Baskerville Old Face"/>
                <w:i/>
                <w:iCs/>
                <w:sz w:val="22"/>
                <w:szCs w:val="22"/>
                <w:lang w:val="it-IT"/>
              </w:rPr>
              <w:t>M_i^prim, M_i^sec</w:t>
            </w:r>
          </w:p>
        </w:tc>
      </w:tr>
      <w:tr w:rsidR="009B5C78" w:rsidRPr="007E454C" w14:paraId="024C5F29" w14:textId="77777777" w:rsidTr="007E454C">
        <w:trPr>
          <w:tblCellSpacing w:w="15" w:type="dxa"/>
        </w:trPr>
        <w:tc>
          <w:tcPr>
            <w:tcW w:w="0" w:type="auto"/>
            <w:vAlign w:val="center"/>
            <w:hideMark/>
          </w:tcPr>
          <w:p w14:paraId="2ECAF605" w14:textId="77777777" w:rsidR="009B5C78" w:rsidRPr="007E454C" w:rsidRDefault="009B5C78" w:rsidP="009B5C78">
            <w:pPr>
              <w:spacing w:line="360" w:lineRule="auto"/>
              <w:rPr>
                <w:rFonts w:ascii="Baskerville Old Face" w:hAnsi="Baskerville Old Face"/>
                <w:i/>
                <w:iCs/>
                <w:sz w:val="22"/>
                <w:szCs w:val="22"/>
              </w:rPr>
            </w:pPr>
            <w:r w:rsidRPr="007E454C">
              <w:rPr>
                <w:rFonts w:ascii="Baskerville Old Face" w:hAnsi="Baskerville Old Face"/>
                <w:i/>
                <w:iCs/>
                <w:sz w:val="22"/>
                <w:szCs w:val="22"/>
              </w:rPr>
              <w:t>Soil biotic layer</w:t>
            </w:r>
          </w:p>
        </w:tc>
        <w:tc>
          <w:tcPr>
            <w:tcW w:w="0" w:type="auto"/>
            <w:vAlign w:val="center"/>
            <w:hideMark/>
          </w:tcPr>
          <w:p w14:paraId="3B4CD890" w14:textId="77777777" w:rsidR="009B5C78" w:rsidRPr="007E454C" w:rsidRDefault="009B5C78" w:rsidP="009B5C78">
            <w:pPr>
              <w:spacing w:line="360" w:lineRule="auto"/>
              <w:rPr>
                <w:rFonts w:ascii="Baskerville Old Face" w:hAnsi="Baskerville Old Face"/>
                <w:i/>
                <w:iCs/>
                <w:sz w:val="22"/>
                <w:szCs w:val="22"/>
              </w:rPr>
            </w:pPr>
            <w:r w:rsidRPr="007E454C">
              <w:rPr>
                <w:rFonts w:ascii="Baskerville Old Face" w:hAnsi="Baskerville Old Face"/>
                <w:i/>
                <w:iCs/>
                <w:sz w:val="22"/>
                <w:szCs w:val="22"/>
              </w:rPr>
              <w:t>Organic matter turnover, earthworms, microbes, microelements</w:t>
            </w:r>
          </w:p>
        </w:tc>
        <w:tc>
          <w:tcPr>
            <w:tcW w:w="0" w:type="auto"/>
            <w:vAlign w:val="center"/>
            <w:hideMark/>
          </w:tcPr>
          <w:p w14:paraId="0E1CCF60" w14:textId="77777777" w:rsidR="009B5C78" w:rsidRPr="007E454C" w:rsidRDefault="009B5C78" w:rsidP="009B5C78">
            <w:pPr>
              <w:spacing w:line="360" w:lineRule="auto"/>
              <w:rPr>
                <w:rFonts w:ascii="Baskerville Old Face" w:hAnsi="Baskerville Old Face"/>
                <w:i/>
                <w:iCs/>
                <w:sz w:val="22"/>
                <w:szCs w:val="22"/>
              </w:rPr>
            </w:pPr>
            <w:r w:rsidRPr="007E454C">
              <w:rPr>
                <w:rFonts w:ascii="Baskerville Old Face" w:hAnsi="Baskerville Old Face"/>
                <w:i/>
                <w:iCs/>
                <w:sz w:val="22"/>
                <w:szCs w:val="22"/>
              </w:rPr>
              <w:t xml:space="preserve">O_i, E_i, </w:t>
            </w:r>
            <w:r w:rsidRPr="007E454C">
              <w:rPr>
                <w:rFonts w:ascii="Cambria" w:hAnsi="Cambria" w:cs="Cambria"/>
                <w:i/>
                <w:iCs/>
                <w:sz w:val="22"/>
                <w:szCs w:val="22"/>
              </w:rPr>
              <w:t>μ</w:t>
            </w:r>
            <w:r w:rsidRPr="007E454C">
              <w:rPr>
                <w:rFonts w:ascii="Baskerville Old Face" w:hAnsi="Baskerville Old Face"/>
                <w:i/>
                <w:iCs/>
                <w:sz w:val="22"/>
                <w:szCs w:val="22"/>
              </w:rPr>
              <w:t xml:space="preserve">_i, </w:t>
            </w:r>
            <w:r w:rsidRPr="007E454C">
              <w:rPr>
                <w:rFonts w:ascii="Cambria" w:hAnsi="Cambria" w:cs="Cambria"/>
                <w:i/>
                <w:iCs/>
                <w:sz w:val="22"/>
                <w:szCs w:val="22"/>
              </w:rPr>
              <w:t>Θ</w:t>
            </w:r>
            <w:r w:rsidRPr="007E454C">
              <w:rPr>
                <w:rFonts w:ascii="Baskerville Old Face" w:hAnsi="Baskerville Old Face"/>
                <w:i/>
                <w:iCs/>
                <w:sz w:val="22"/>
                <w:szCs w:val="22"/>
              </w:rPr>
              <w:t>_i</w:t>
            </w:r>
          </w:p>
        </w:tc>
      </w:tr>
      <w:tr w:rsidR="009B5C78" w:rsidRPr="007E454C" w14:paraId="06A6AFDA" w14:textId="77777777" w:rsidTr="007E454C">
        <w:trPr>
          <w:tblCellSpacing w:w="15" w:type="dxa"/>
        </w:trPr>
        <w:tc>
          <w:tcPr>
            <w:tcW w:w="0" w:type="auto"/>
            <w:vAlign w:val="center"/>
            <w:hideMark/>
          </w:tcPr>
          <w:p w14:paraId="46EB4DBC" w14:textId="77777777" w:rsidR="009B5C78" w:rsidRPr="007E454C" w:rsidRDefault="009B5C78" w:rsidP="009B5C78">
            <w:pPr>
              <w:spacing w:line="360" w:lineRule="auto"/>
              <w:rPr>
                <w:rFonts w:ascii="Baskerville Old Face" w:hAnsi="Baskerville Old Face"/>
                <w:i/>
                <w:iCs/>
                <w:sz w:val="22"/>
                <w:szCs w:val="22"/>
              </w:rPr>
            </w:pPr>
            <w:r w:rsidRPr="007E454C">
              <w:rPr>
                <w:rFonts w:ascii="Baskerville Old Face" w:hAnsi="Baskerville Old Face"/>
                <w:i/>
                <w:iCs/>
                <w:sz w:val="22"/>
                <w:szCs w:val="22"/>
              </w:rPr>
              <w:t>Successional layer</w:t>
            </w:r>
          </w:p>
        </w:tc>
        <w:tc>
          <w:tcPr>
            <w:tcW w:w="0" w:type="auto"/>
            <w:vAlign w:val="center"/>
            <w:hideMark/>
          </w:tcPr>
          <w:p w14:paraId="4C11F4B9" w14:textId="77777777" w:rsidR="009B5C78" w:rsidRPr="007E454C" w:rsidRDefault="009B5C78" w:rsidP="009B5C78">
            <w:pPr>
              <w:spacing w:line="360" w:lineRule="auto"/>
              <w:rPr>
                <w:rFonts w:ascii="Baskerville Old Face" w:hAnsi="Baskerville Old Face"/>
                <w:i/>
                <w:iCs/>
                <w:sz w:val="22"/>
                <w:szCs w:val="22"/>
              </w:rPr>
            </w:pPr>
            <w:r w:rsidRPr="007E454C">
              <w:rPr>
                <w:rFonts w:ascii="Baskerville Old Face" w:hAnsi="Baskerville Old Face"/>
                <w:i/>
                <w:iCs/>
                <w:sz w:val="22"/>
                <w:szCs w:val="22"/>
              </w:rPr>
              <w:t>Pioneer, secondary, climax-like maturity dynamics</w:t>
            </w:r>
          </w:p>
        </w:tc>
        <w:tc>
          <w:tcPr>
            <w:tcW w:w="0" w:type="auto"/>
            <w:vAlign w:val="center"/>
            <w:hideMark/>
          </w:tcPr>
          <w:p w14:paraId="67E63C5D" w14:textId="77777777" w:rsidR="009B5C78" w:rsidRPr="007E454C" w:rsidRDefault="009B5C78" w:rsidP="009B5C78">
            <w:pPr>
              <w:spacing w:line="360" w:lineRule="auto"/>
              <w:rPr>
                <w:rFonts w:ascii="Baskerville Old Face" w:hAnsi="Baskerville Old Face"/>
                <w:i/>
                <w:iCs/>
                <w:sz w:val="22"/>
                <w:szCs w:val="22"/>
              </w:rPr>
            </w:pPr>
            <w:r w:rsidRPr="007E454C">
              <w:rPr>
                <w:rFonts w:ascii="Baskerville Old Face" w:hAnsi="Baskerville Old Face"/>
                <w:i/>
                <w:iCs/>
                <w:sz w:val="22"/>
                <w:szCs w:val="22"/>
              </w:rPr>
              <w:t>S_i(t)</w:t>
            </w:r>
          </w:p>
        </w:tc>
      </w:tr>
    </w:tbl>
    <w:p w14:paraId="43B4FF88"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This representation matters because it shifts the interpretation of the OHE from a planted area to a cooperative ecological system.</w:t>
      </w:r>
    </w:p>
    <w:p w14:paraId="11BBED3C"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 system is not only a collection of species.</w:t>
      </w:r>
    </w:p>
    <w:p w14:paraId="7188CEB1"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It is a network of interactions.</w:t>
      </w:r>
    </w:p>
    <w:p w14:paraId="286E497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2. Node state vector</w:t>
      </w:r>
    </w:p>
    <w:p w14:paraId="2A057376" w14:textId="77777777" w:rsidR="009B5C78" w:rsidRPr="007E454C" w:rsidRDefault="009B5C78" w:rsidP="009B5C78">
      <w:pPr>
        <w:spacing w:line="360" w:lineRule="auto"/>
        <w:rPr>
          <w:rFonts w:ascii="Baskerville Old Face" w:hAnsi="Baskerville Old Face"/>
          <w:i/>
          <w:iCs/>
        </w:rPr>
      </w:pPr>
      <w:r w:rsidRPr="00B479AE">
        <w:rPr>
          <w:rFonts w:ascii="Baskerville Old Face" w:hAnsi="Baskerville Old Face"/>
          <w:i/>
          <w:iCs/>
        </w:rPr>
        <w:t xml:space="preserve">Each node </w:t>
      </w:r>
      <w:r w:rsidRPr="00B479AE">
        <w:rPr>
          <w:rFonts w:ascii="Baskerville Old Face" w:hAnsi="Baskerville Old Face"/>
          <w:b/>
          <w:bCs/>
          <w:i/>
          <w:iCs/>
        </w:rPr>
        <w:t>i</w:t>
      </w:r>
      <w:r w:rsidRPr="00B479AE">
        <w:rPr>
          <w:rFonts w:ascii="Baskerville Old Face" w:hAnsi="Baskerville Old Face"/>
          <w:i/>
          <w:iCs/>
        </w:rPr>
        <w:t xml:space="preserve"> in the system may be represented through a state vector:</w:t>
      </w:r>
    </w:p>
    <w:p w14:paraId="2E2B3ACD" w14:textId="77777777" w:rsidR="009B5C78" w:rsidRPr="005907F1" w:rsidRDefault="009B5C78" w:rsidP="009B5C78">
      <w:pPr>
        <w:spacing w:line="360" w:lineRule="auto"/>
        <w:rPr>
          <w:rFonts w:ascii="Baskerville Old Face" w:hAnsi="Baskerville Old Face"/>
          <w:i/>
          <w:iCs/>
          <w:lang w:val="it-IT"/>
        </w:rPr>
      </w:pPr>
      <w:r w:rsidRPr="005907F1">
        <w:rPr>
          <w:rFonts w:ascii="Baskerville Old Face" w:hAnsi="Baskerville Old Face"/>
          <w:i/>
          <w:iCs/>
          <w:lang w:val="it-IT"/>
        </w:rPr>
        <w:t xml:space="preserve">X_i = {W_i, N_i, C_i, M_i^prim, M_i^sec, R_i, F_i, O_i, E_i, </w:t>
      </w:r>
      <w:r w:rsidRPr="007E454C">
        <w:rPr>
          <w:rFonts w:ascii="Cambria" w:hAnsi="Cambria" w:cs="Cambria"/>
          <w:i/>
          <w:iCs/>
        </w:rPr>
        <w:t>μ</w:t>
      </w:r>
      <w:r w:rsidRPr="005907F1">
        <w:rPr>
          <w:rFonts w:ascii="Baskerville Old Face" w:hAnsi="Baskerville Old Face"/>
          <w:i/>
          <w:iCs/>
          <w:lang w:val="it-IT"/>
        </w:rPr>
        <w:t xml:space="preserve">_i, </w:t>
      </w:r>
      <w:r w:rsidRPr="007E454C">
        <w:rPr>
          <w:rFonts w:ascii="Cambria" w:hAnsi="Cambria" w:cs="Cambria"/>
          <w:i/>
          <w:iCs/>
        </w:rPr>
        <w:t>Θ</w:t>
      </w:r>
      <w:r w:rsidRPr="005907F1">
        <w:rPr>
          <w:rFonts w:ascii="Baskerville Old Face" w:hAnsi="Baskerville Old Face"/>
          <w:i/>
          <w:iCs/>
          <w:lang w:val="it-IT"/>
        </w:rPr>
        <w:t>_i, S_i}</w:t>
      </w:r>
    </w:p>
    <w:p w14:paraId="4B7BA882"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where:</w:t>
      </w:r>
    </w:p>
    <w:p w14:paraId="61FC5B7E"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W_i represents plant-available water;</w:t>
      </w:r>
    </w:p>
    <w:p w14:paraId="294EC991"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N_i represents effective nutrient availability;</w:t>
      </w:r>
    </w:p>
    <w:p w14:paraId="4E977C84"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lastRenderedPageBreak/>
        <w:t>C_i represents carbon status or assimilate reserve;</w:t>
      </w:r>
    </w:p>
    <w:p w14:paraId="2490C0AD"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M_i^prim represents primary metabolism;</w:t>
      </w:r>
    </w:p>
    <w:p w14:paraId="603C75D4"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M_i^sec represents the secondary metabolite pool;</w:t>
      </w:r>
    </w:p>
    <w:p w14:paraId="0A811CB6"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R_i represents root development and root-interaction capacity;</w:t>
      </w:r>
    </w:p>
    <w:p w14:paraId="16372BAA"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F_i represents mycorrhizal connectivity;</w:t>
      </w:r>
    </w:p>
    <w:p w14:paraId="5D92DF6A"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O_i represents local organic matter stock;</w:t>
      </w:r>
    </w:p>
    <w:p w14:paraId="6691CA5C"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E_i represents earthworm and macrofaunal activity;</w:t>
      </w:r>
    </w:p>
    <w:p w14:paraId="020D17FF" w14:textId="77777777" w:rsidR="009B5C78" w:rsidRPr="007E454C" w:rsidRDefault="009B5C78" w:rsidP="009B5C78">
      <w:pPr>
        <w:spacing w:line="360" w:lineRule="auto"/>
        <w:rPr>
          <w:rFonts w:ascii="Baskerville Old Face" w:hAnsi="Baskerville Old Face"/>
          <w:i/>
          <w:iCs/>
        </w:rPr>
      </w:pPr>
      <w:r w:rsidRPr="007E454C">
        <w:rPr>
          <w:rFonts w:ascii="Cambria" w:hAnsi="Cambria" w:cs="Cambria"/>
          <w:i/>
          <w:iCs/>
        </w:rPr>
        <w:t>μ</w:t>
      </w:r>
      <w:r w:rsidRPr="007E454C">
        <w:rPr>
          <w:rFonts w:ascii="Baskerville Old Face" w:hAnsi="Baskerville Old Face"/>
          <w:i/>
          <w:iCs/>
        </w:rPr>
        <w:t>_i represents microbial functional activity;</w:t>
      </w:r>
    </w:p>
    <w:p w14:paraId="4B5E4CAE" w14:textId="77777777" w:rsidR="009B5C78" w:rsidRPr="007E454C" w:rsidRDefault="009B5C78" w:rsidP="009B5C78">
      <w:pPr>
        <w:spacing w:line="360" w:lineRule="auto"/>
        <w:rPr>
          <w:rFonts w:ascii="Baskerville Old Face" w:hAnsi="Baskerville Old Face"/>
          <w:i/>
          <w:iCs/>
        </w:rPr>
      </w:pPr>
      <w:r w:rsidRPr="007E454C">
        <w:rPr>
          <w:rFonts w:ascii="Cambria" w:hAnsi="Cambria" w:cs="Cambria"/>
          <w:i/>
          <w:iCs/>
        </w:rPr>
        <w:t>Θ</w:t>
      </w:r>
      <w:r w:rsidRPr="007E454C">
        <w:rPr>
          <w:rFonts w:ascii="Baskerville Old Face" w:hAnsi="Baskerville Old Face"/>
          <w:i/>
          <w:iCs/>
        </w:rPr>
        <w:t>_i represents microelement availability and buffering state;</w:t>
      </w:r>
    </w:p>
    <w:p w14:paraId="7BB08E25"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S_i represents successional stage.</w:t>
      </w:r>
    </w:p>
    <w:p w14:paraId="3F4A179B"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The successional stage may be treated as continuous or discretized for operational modeling.</w:t>
      </w:r>
    </w:p>
    <w:p w14:paraId="18785A05"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A simple discrete structure may be:</w:t>
      </w:r>
    </w:p>
    <w:p w14:paraId="5C223AF2"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S_i = 0 — preparation or placenta layer;</w:t>
      </w:r>
    </w:p>
    <w:p w14:paraId="283C3A8B"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S_i = 1 — pioneer stage;</w:t>
      </w:r>
    </w:p>
    <w:p w14:paraId="299EBE2A"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S_i = 2 — secondary stage;</w:t>
      </w:r>
    </w:p>
    <w:p w14:paraId="49F218AA"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S_i = 3 — climax-like maturity stage.</w:t>
      </w:r>
    </w:p>
    <w:p w14:paraId="67A90F91"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This model is not intended to impose artificial rigidity on a living system.</w:t>
      </w:r>
    </w:p>
    <w:p w14:paraId="5BC71766"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It provides a structured language for observing how ecological maturity, biological cooperation, and system performance evolve over time.</w:t>
      </w:r>
    </w:p>
    <w:p w14:paraId="7FD98934"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3. Interaction structure</w:t>
      </w:r>
    </w:p>
    <w:p w14:paraId="5771985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Connections between nodes may be represented through weighted adjacency structures.</w:t>
      </w:r>
    </w:p>
    <w:p w14:paraId="3BEDEC3E" w14:textId="77777777" w:rsidR="009B5C78" w:rsidRPr="007E454C" w:rsidRDefault="009B5C78" w:rsidP="009B5C78">
      <w:pPr>
        <w:spacing w:line="360" w:lineRule="auto"/>
        <w:rPr>
          <w:rFonts w:ascii="Baskerville Old Face" w:hAnsi="Baskerville Old Face"/>
          <w:i/>
          <w:iCs/>
        </w:rPr>
      </w:pPr>
      <w:r w:rsidRPr="00B479AE">
        <w:rPr>
          <w:rFonts w:ascii="Baskerville Old Face" w:hAnsi="Baskerville Old Face"/>
          <w:i/>
          <w:iCs/>
        </w:rPr>
        <w:t>For the mycorrhizal layer:</w:t>
      </w:r>
    </w:p>
    <w:p w14:paraId="318CC790"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lastRenderedPageBreak/>
        <w:t xml:space="preserve">A_ij^fung = f(F_ij, d_ij, S_i, S_j, </w:t>
      </w:r>
      <w:r w:rsidRPr="007E454C">
        <w:rPr>
          <w:rFonts w:ascii="Cambria" w:hAnsi="Cambria" w:cs="Cambria"/>
          <w:i/>
          <w:iCs/>
        </w:rPr>
        <w:t>κ</w:t>
      </w:r>
      <w:r w:rsidRPr="007E454C">
        <w:rPr>
          <w:rFonts w:ascii="Baskerville Old Face" w:hAnsi="Baskerville Old Face"/>
          <w:i/>
          <w:iCs/>
        </w:rPr>
        <w:t>_ij)</w:t>
      </w:r>
    </w:p>
    <w:p w14:paraId="00D0AC45"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where:</w:t>
      </w:r>
    </w:p>
    <w:p w14:paraId="606D7515"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F_ij represents fungal connectivity strength;</w:t>
      </w:r>
    </w:p>
    <w:p w14:paraId="6231924D"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d_ij represents spatial distance;</w:t>
      </w:r>
    </w:p>
    <w:p w14:paraId="22C679F4"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S_i and S_j represent successional stages;</w:t>
      </w:r>
    </w:p>
    <w:p w14:paraId="33414149" w14:textId="77777777" w:rsidR="009B5C78" w:rsidRPr="007E454C" w:rsidRDefault="009B5C78" w:rsidP="009B5C78">
      <w:pPr>
        <w:spacing w:line="360" w:lineRule="auto"/>
        <w:rPr>
          <w:rFonts w:ascii="Baskerville Old Face" w:hAnsi="Baskerville Old Face"/>
          <w:i/>
          <w:iCs/>
        </w:rPr>
      </w:pPr>
      <w:r w:rsidRPr="007E454C">
        <w:rPr>
          <w:rFonts w:ascii="Cambria" w:hAnsi="Cambria" w:cs="Cambria"/>
          <w:i/>
          <w:iCs/>
        </w:rPr>
        <w:t>κ</w:t>
      </w:r>
      <w:r w:rsidRPr="007E454C">
        <w:rPr>
          <w:rFonts w:ascii="Baskerville Old Face" w:hAnsi="Baskerville Old Face"/>
          <w:i/>
          <w:iCs/>
        </w:rPr>
        <w:t>_ij represents compatibility, guild affinity, or ecological fit.</w:t>
      </w:r>
    </w:p>
    <w:p w14:paraId="69725779"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Biochemical signaling may be represented as:</w:t>
      </w:r>
    </w:p>
    <w:p w14:paraId="6292A182"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 xml:space="preserve">A_ij^met = g(M_i^sec, d_ij, </w:t>
      </w:r>
      <w:r w:rsidRPr="007E454C">
        <w:rPr>
          <w:rFonts w:ascii="Cambria" w:hAnsi="Cambria" w:cs="Cambria"/>
          <w:i/>
          <w:iCs/>
        </w:rPr>
        <w:t>η</w:t>
      </w:r>
      <w:r w:rsidRPr="007E454C">
        <w:rPr>
          <w:rFonts w:ascii="Baskerville Old Face" w:hAnsi="Baskerville Old Face"/>
          <w:i/>
          <w:iCs/>
        </w:rPr>
        <w:t xml:space="preserve">_ij, </w:t>
      </w:r>
      <w:r w:rsidRPr="007E454C">
        <w:rPr>
          <w:rFonts w:ascii="Cambria" w:hAnsi="Cambria" w:cs="Cambria"/>
          <w:i/>
          <w:iCs/>
        </w:rPr>
        <w:t>φ</w:t>
      </w:r>
      <w:r w:rsidRPr="007E454C">
        <w:rPr>
          <w:rFonts w:ascii="Baskerville Old Face" w:hAnsi="Baskerville Old Face"/>
          <w:i/>
          <w:iCs/>
        </w:rPr>
        <w:t>_ij)</w:t>
      </w:r>
    </w:p>
    <w:p w14:paraId="2E4AEF4A"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where:</w:t>
      </w:r>
    </w:p>
    <w:p w14:paraId="0BCAB56A" w14:textId="77777777" w:rsidR="009B5C78" w:rsidRPr="007E454C" w:rsidRDefault="009B5C78" w:rsidP="009B5C78">
      <w:pPr>
        <w:spacing w:line="360" w:lineRule="auto"/>
        <w:rPr>
          <w:rFonts w:ascii="Baskerville Old Face" w:hAnsi="Baskerville Old Face"/>
          <w:i/>
          <w:iCs/>
        </w:rPr>
      </w:pPr>
      <w:r w:rsidRPr="007E454C">
        <w:rPr>
          <w:rFonts w:ascii="Cambria" w:hAnsi="Cambria" w:cs="Cambria"/>
          <w:i/>
          <w:iCs/>
        </w:rPr>
        <w:t>η</w:t>
      </w:r>
      <w:r w:rsidRPr="007E454C">
        <w:rPr>
          <w:rFonts w:ascii="Baskerville Old Face" w:hAnsi="Baskerville Old Face"/>
          <w:i/>
          <w:iCs/>
        </w:rPr>
        <w:t>_ij captures the sensitivity of node j to signals from node i;</w:t>
      </w:r>
    </w:p>
    <w:p w14:paraId="7A9E5A94" w14:textId="77777777" w:rsidR="009B5C78" w:rsidRPr="007E454C" w:rsidRDefault="009B5C78" w:rsidP="009B5C78">
      <w:pPr>
        <w:spacing w:line="360" w:lineRule="auto"/>
        <w:rPr>
          <w:rFonts w:ascii="Baskerville Old Face" w:hAnsi="Baskerville Old Face"/>
          <w:i/>
          <w:iCs/>
        </w:rPr>
      </w:pPr>
      <w:r w:rsidRPr="007E454C">
        <w:rPr>
          <w:rFonts w:ascii="Cambria" w:hAnsi="Cambria" w:cs="Cambria"/>
          <w:i/>
          <w:iCs/>
        </w:rPr>
        <w:t>φ</w:t>
      </w:r>
      <w:r w:rsidRPr="007E454C">
        <w:rPr>
          <w:rFonts w:ascii="Baskerville Old Face" w:hAnsi="Baskerville Old Face"/>
          <w:i/>
          <w:iCs/>
        </w:rPr>
        <w:t>_ij represents whether the interaction is facilitative, inhibitory, defensive, or neutral.</w:t>
      </w:r>
    </w:p>
    <w:p w14:paraId="2805CD03"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This distinction is important.</w:t>
      </w:r>
    </w:p>
    <w:p w14:paraId="0196BFA4"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Not every interaction is beneficial.</w:t>
      </w:r>
    </w:p>
    <w:p w14:paraId="0F429800"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A credible model must be capable of representing cooperation, competition, inhibition, facilitation, stress, and failure.</w:t>
      </w:r>
    </w:p>
    <w:p w14:paraId="08CDEBEE"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That is what makes the model useful for MRV and not merely poetic.</w:t>
      </w:r>
    </w:p>
    <w:p w14:paraId="5EE0C3B7"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4. Resource flow and fungal-mediated transfer</w:t>
      </w:r>
    </w:p>
    <w:p w14:paraId="6FC13927"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A first-order approximation of underground resource transfer may be expressed as:</w:t>
      </w:r>
    </w:p>
    <w:p w14:paraId="62BA8474"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R_ij^fung = A_ij^fung [</w:t>
      </w:r>
      <w:r w:rsidRPr="007E454C">
        <w:rPr>
          <w:rFonts w:ascii="Cambria" w:hAnsi="Cambria" w:cs="Cambria"/>
          <w:i/>
          <w:iCs/>
        </w:rPr>
        <w:t>λ</w:t>
      </w:r>
      <w:r w:rsidRPr="007E454C">
        <w:rPr>
          <w:rFonts w:ascii="Baskerville Old Face" w:hAnsi="Baskerville Old Face"/>
          <w:i/>
          <w:iCs/>
        </w:rPr>
        <w:t xml:space="preserve">_C(C_i </w:t>
      </w:r>
      <w:r w:rsidRPr="007E454C">
        <w:rPr>
          <w:rFonts w:ascii="Cambria Math" w:hAnsi="Cambria Math" w:cs="Cambria Math"/>
          <w:i/>
          <w:iCs/>
        </w:rPr>
        <w:t>−</w:t>
      </w:r>
      <w:r w:rsidRPr="007E454C">
        <w:rPr>
          <w:rFonts w:ascii="Baskerville Old Face" w:hAnsi="Baskerville Old Face"/>
          <w:i/>
          <w:iCs/>
        </w:rPr>
        <w:t xml:space="preserve"> C_j) + </w:t>
      </w:r>
      <w:r w:rsidRPr="007E454C">
        <w:rPr>
          <w:rFonts w:ascii="Cambria" w:hAnsi="Cambria" w:cs="Cambria"/>
          <w:i/>
          <w:iCs/>
        </w:rPr>
        <w:t>λ</w:t>
      </w:r>
      <w:r w:rsidRPr="007E454C">
        <w:rPr>
          <w:rFonts w:ascii="Baskerville Old Face" w:hAnsi="Baskerville Old Face"/>
          <w:i/>
          <w:iCs/>
        </w:rPr>
        <w:t xml:space="preserve">_N(N_i </w:t>
      </w:r>
      <w:r w:rsidRPr="007E454C">
        <w:rPr>
          <w:rFonts w:ascii="Cambria Math" w:hAnsi="Cambria Math" w:cs="Cambria Math"/>
          <w:i/>
          <w:iCs/>
        </w:rPr>
        <w:t>−</w:t>
      </w:r>
      <w:r w:rsidRPr="007E454C">
        <w:rPr>
          <w:rFonts w:ascii="Baskerville Old Face" w:hAnsi="Baskerville Old Face"/>
          <w:i/>
          <w:iCs/>
        </w:rPr>
        <w:t xml:space="preserve"> N_j) + </w:t>
      </w:r>
      <w:r w:rsidRPr="007E454C">
        <w:rPr>
          <w:rFonts w:ascii="Cambria" w:hAnsi="Cambria" w:cs="Cambria"/>
          <w:i/>
          <w:iCs/>
        </w:rPr>
        <w:t>λ</w:t>
      </w:r>
      <w:r w:rsidRPr="007E454C">
        <w:rPr>
          <w:rFonts w:ascii="Baskerville Old Face" w:hAnsi="Baskerville Old Face"/>
          <w:i/>
          <w:iCs/>
        </w:rPr>
        <w:t xml:space="preserve">_W(W_i </w:t>
      </w:r>
      <w:r w:rsidRPr="007E454C">
        <w:rPr>
          <w:rFonts w:ascii="Cambria Math" w:hAnsi="Cambria Math" w:cs="Cambria Math"/>
          <w:i/>
          <w:iCs/>
        </w:rPr>
        <w:t>−</w:t>
      </w:r>
      <w:r w:rsidRPr="007E454C">
        <w:rPr>
          <w:rFonts w:ascii="Baskerville Old Face" w:hAnsi="Baskerville Old Face"/>
          <w:i/>
          <w:iCs/>
        </w:rPr>
        <w:t xml:space="preserve"> W_j)]</w:t>
      </w:r>
    </w:p>
    <w:p w14:paraId="28783693"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where:</w:t>
      </w:r>
    </w:p>
    <w:p w14:paraId="26D2767A" w14:textId="77777777" w:rsidR="009B5C78" w:rsidRPr="007E454C" w:rsidRDefault="009B5C78" w:rsidP="009B5C78">
      <w:pPr>
        <w:spacing w:line="360" w:lineRule="auto"/>
        <w:rPr>
          <w:rFonts w:ascii="Baskerville Old Face" w:hAnsi="Baskerville Old Face"/>
          <w:i/>
          <w:iCs/>
        </w:rPr>
      </w:pPr>
      <w:r w:rsidRPr="007E454C">
        <w:rPr>
          <w:rFonts w:ascii="Cambria" w:hAnsi="Cambria" w:cs="Cambria"/>
          <w:i/>
          <w:iCs/>
        </w:rPr>
        <w:t>λ</w:t>
      </w:r>
      <w:r w:rsidRPr="007E454C">
        <w:rPr>
          <w:rFonts w:ascii="Baskerville Old Face" w:hAnsi="Baskerville Old Face"/>
          <w:i/>
          <w:iCs/>
        </w:rPr>
        <w:t xml:space="preserve">_C, </w:t>
      </w:r>
      <w:r w:rsidRPr="007E454C">
        <w:rPr>
          <w:rFonts w:ascii="Cambria" w:hAnsi="Cambria" w:cs="Cambria"/>
          <w:i/>
          <w:iCs/>
        </w:rPr>
        <w:t>λ</w:t>
      </w:r>
      <w:r w:rsidRPr="007E454C">
        <w:rPr>
          <w:rFonts w:ascii="Baskerville Old Face" w:hAnsi="Baskerville Old Face"/>
          <w:i/>
          <w:iCs/>
        </w:rPr>
        <w:t xml:space="preserve">_N, and </w:t>
      </w:r>
      <w:r w:rsidRPr="007E454C">
        <w:rPr>
          <w:rFonts w:ascii="Cambria" w:hAnsi="Cambria" w:cs="Cambria"/>
          <w:i/>
          <w:iCs/>
        </w:rPr>
        <w:t>λ</w:t>
      </w:r>
      <w:r w:rsidRPr="007E454C">
        <w:rPr>
          <w:rFonts w:ascii="Baskerville Old Face" w:hAnsi="Baskerville Old Face"/>
          <w:i/>
          <w:iCs/>
        </w:rPr>
        <w:t>_W represent transfer coefficients for carbon, nutrients, and water.</w:t>
      </w:r>
    </w:p>
    <w:p w14:paraId="7317EE53"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The total incoming fungal-mediated flow to node i may be represented as:</w:t>
      </w:r>
    </w:p>
    <w:p w14:paraId="781ED558" w14:textId="77777777" w:rsidR="009B5C78" w:rsidRPr="007E454C" w:rsidRDefault="009B5C78" w:rsidP="009B5C78">
      <w:pPr>
        <w:spacing w:line="360" w:lineRule="auto"/>
        <w:rPr>
          <w:rFonts w:ascii="Baskerville Old Face" w:hAnsi="Baskerville Old Face"/>
          <w:i/>
          <w:iCs/>
        </w:rPr>
      </w:pPr>
      <w:r w:rsidRPr="007E454C">
        <w:rPr>
          <w:rFonts w:ascii="Cambria" w:hAnsi="Cambria" w:cs="Cambria"/>
          <w:i/>
          <w:iCs/>
        </w:rPr>
        <w:lastRenderedPageBreak/>
        <w:t>Φ</w:t>
      </w:r>
      <w:r w:rsidRPr="007E454C">
        <w:rPr>
          <w:rFonts w:ascii="Baskerville Old Face" w:hAnsi="Baskerville Old Face"/>
          <w:i/>
          <w:iCs/>
        </w:rPr>
        <w:t xml:space="preserve">_i^fung = </w:t>
      </w:r>
      <w:r w:rsidRPr="007E454C">
        <w:rPr>
          <w:rFonts w:ascii="Cambria" w:hAnsi="Cambria" w:cs="Cambria"/>
          <w:i/>
          <w:iCs/>
        </w:rPr>
        <w:t>Σ</w:t>
      </w:r>
      <w:r w:rsidRPr="007E454C">
        <w:rPr>
          <w:rFonts w:ascii="Baskerville Old Face" w:hAnsi="Baskerville Old Face"/>
          <w:i/>
          <w:iCs/>
        </w:rPr>
        <w:t>_{j</w:t>
      </w:r>
      <w:r w:rsidRPr="007E454C">
        <w:rPr>
          <w:rFonts w:ascii="Baskerville Old Face" w:hAnsi="Baskerville Old Face" w:cs="Baskerville Old Face"/>
          <w:i/>
          <w:iCs/>
        </w:rPr>
        <w:t>≠</w:t>
      </w:r>
      <w:r w:rsidRPr="007E454C">
        <w:rPr>
          <w:rFonts w:ascii="Baskerville Old Face" w:hAnsi="Baskerville Old Face"/>
          <w:i/>
          <w:iCs/>
        </w:rPr>
        <w:t>i} R_ji^fung</w:t>
      </w:r>
    </w:p>
    <w:p w14:paraId="51EB8016"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This equation is not used to claim perfect knowledge of underground transfer.</w:t>
      </w:r>
    </w:p>
    <w:p w14:paraId="529DB437"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It is used to express a modeling principle:</w:t>
      </w:r>
    </w:p>
    <w:p w14:paraId="07179539"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resource redistribution may depend on gradients, connectivity, compatibility, spatial position, and ecological context.</w:t>
      </w:r>
    </w:p>
    <w:p w14:paraId="2EC46D1F"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For Prometheus, the financial relevance does not come from asserting underground transfer.</w:t>
      </w:r>
    </w:p>
    <w:p w14:paraId="409B07B1"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It comes from testing whether stronger network-support indicators correlate with lower mortality, better drought response, reduced variance, and improved productive stability.</w:t>
      </w:r>
    </w:p>
    <w:p w14:paraId="1682EB71"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5. Secondary metabolite and biochemical dynamics</w:t>
      </w:r>
    </w:p>
    <w:p w14:paraId="378F153C"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Secondary metabolites are not decorative chemistry.</w:t>
      </w:r>
    </w:p>
    <w:p w14:paraId="072E67B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They can function as ecological control variables, influencing defense, attraction, inhibition, facilitation, stress response, and plant–plant or plant–microbe communication.</w:t>
      </w:r>
    </w:p>
    <w:p w14:paraId="1A4D341E" w14:textId="77777777" w:rsidR="009B5C78" w:rsidRPr="007E454C" w:rsidRDefault="009B5C78" w:rsidP="009B5C78">
      <w:pPr>
        <w:spacing w:line="360" w:lineRule="auto"/>
        <w:rPr>
          <w:rFonts w:ascii="Baskerville Old Face" w:hAnsi="Baskerville Old Face"/>
          <w:i/>
          <w:iCs/>
        </w:rPr>
      </w:pPr>
      <w:r w:rsidRPr="00B479AE">
        <w:rPr>
          <w:rFonts w:ascii="Baskerville Old Face" w:hAnsi="Baskerville Old Face"/>
          <w:i/>
          <w:iCs/>
        </w:rPr>
        <w:t>Their dynamics may be represented conceptually as:</w:t>
      </w:r>
    </w:p>
    <w:p w14:paraId="1ED52091"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 xml:space="preserve">dM_i^sec / dt = </w:t>
      </w:r>
      <w:r w:rsidRPr="007E454C">
        <w:rPr>
          <w:rFonts w:ascii="Cambria" w:hAnsi="Cambria" w:cs="Cambria"/>
          <w:i/>
          <w:iCs/>
        </w:rPr>
        <w:t>α</w:t>
      </w:r>
      <w:r w:rsidRPr="007E454C">
        <w:rPr>
          <w:rFonts w:ascii="Baskerville Old Face" w:hAnsi="Baskerville Old Face"/>
          <w:i/>
          <w:iCs/>
        </w:rPr>
        <w:t xml:space="preserve">_i + </w:t>
      </w:r>
      <w:r w:rsidRPr="007E454C">
        <w:rPr>
          <w:rFonts w:ascii="Cambria" w:hAnsi="Cambria" w:cs="Cambria"/>
          <w:i/>
          <w:iCs/>
        </w:rPr>
        <w:t>β</w:t>
      </w:r>
      <w:r w:rsidRPr="007E454C">
        <w:rPr>
          <w:rFonts w:ascii="Baskerville Old Face" w:hAnsi="Baskerville Old Face"/>
          <w:i/>
          <w:iCs/>
        </w:rPr>
        <w:t xml:space="preserve">_i Stress_i + </w:t>
      </w:r>
      <w:r w:rsidRPr="007E454C">
        <w:rPr>
          <w:rFonts w:ascii="Cambria" w:hAnsi="Cambria" w:cs="Cambria"/>
          <w:i/>
          <w:iCs/>
        </w:rPr>
        <w:t>γ</w:t>
      </w:r>
      <w:r w:rsidRPr="007E454C">
        <w:rPr>
          <w:rFonts w:ascii="Baskerville Old Face" w:hAnsi="Baskerville Old Face"/>
          <w:i/>
          <w:iCs/>
        </w:rPr>
        <w:t xml:space="preserve">_i </w:t>
      </w:r>
      <w:r w:rsidRPr="007E454C">
        <w:rPr>
          <w:rFonts w:ascii="Cambria" w:hAnsi="Cambria" w:cs="Cambria"/>
          <w:i/>
          <w:iCs/>
        </w:rPr>
        <w:t>Σ</w:t>
      </w:r>
      <w:r w:rsidRPr="007E454C">
        <w:rPr>
          <w:rFonts w:ascii="Baskerville Old Face" w:hAnsi="Baskerville Old Face"/>
          <w:i/>
          <w:iCs/>
        </w:rPr>
        <w:t>_{j</w:t>
      </w:r>
      <w:r w:rsidRPr="007E454C">
        <w:rPr>
          <w:rFonts w:ascii="Baskerville Old Face" w:hAnsi="Baskerville Old Face" w:cs="Baskerville Old Face"/>
          <w:i/>
          <w:iCs/>
        </w:rPr>
        <w:t>≠</w:t>
      </w:r>
      <w:r w:rsidRPr="007E454C">
        <w:rPr>
          <w:rFonts w:ascii="Baskerville Old Face" w:hAnsi="Baskerville Old Face"/>
          <w:i/>
          <w:iCs/>
        </w:rPr>
        <w:t xml:space="preserve">i} A_ji^met(M_j^sec </w:t>
      </w:r>
      <w:r w:rsidRPr="007E454C">
        <w:rPr>
          <w:rFonts w:ascii="Cambria Math" w:hAnsi="Cambria Math" w:cs="Cambria Math"/>
          <w:i/>
          <w:iCs/>
        </w:rPr>
        <w:t>−</w:t>
      </w:r>
      <w:r w:rsidRPr="007E454C">
        <w:rPr>
          <w:rFonts w:ascii="Baskerville Old Face" w:hAnsi="Baskerville Old Face"/>
          <w:i/>
          <w:iCs/>
        </w:rPr>
        <w:t xml:space="preserve"> M_i^sec) + </w:t>
      </w:r>
      <w:r w:rsidRPr="007E454C">
        <w:rPr>
          <w:rFonts w:ascii="Cambria" w:hAnsi="Cambria" w:cs="Cambria"/>
          <w:i/>
          <w:iCs/>
        </w:rPr>
        <w:t>ρ</w:t>
      </w:r>
      <w:r w:rsidRPr="007E454C">
        <w:rPr>
          <w:rFonts w:ascii="Baskerville Old Face" w:hAnsi="Baskerville Old Face"/>
          <w:i/>
          <w:iCs/>
        </w:rPr>
        <w:t xml:space="preserve">_iS_i </w:t>
      </w:r>
      <w:r w:rsidRPr="007E454C">
        <w:rPr>
          <w:rFonts w:ascii="Cambria Math" w:hAnsi="Cambria Math" w:cs="Cambria Math"/>
          <w:i/>
          <w:iCs/>
        </w:rPr>
        <w:t>−</w:t>
      </w:r>
      <w:r w:rsidRPr="007E454C">
        <w:rPr>
          <w:rFonts w:ascii="Baskerville Old Face" w:hAnsi="Baskerville Old Face"/>
          <w:i/>
          <w:iCs/>
        </w:rPr>
        <w:t xml:space="preserve"> </w:t>
      </w:r>
      <w:r w:rsidRPr="007E454C">
        <w:rPr>
          <w:rFonts w:ascii="Cambria" w:hAnsi="Cambria" w:cs="Cambria"/>
          <w:i/>
          <w:iCs/>
        </w:rPr>
        <w:t>ω</w:t>
      </w:r>
      <w:r w:rsidRPr="007E454C">
        <w:rPr>
          <w:rFonts w:ascii="Baskerville Old Face" w:hAnsi="Baskerville Old Face"/>
          <w:i/>
          <w:iCs/>
        </w:rPr>
        <w:t>_iM_i^sec</w:t>
      </w:r>
    </w:p>
    <w:p w14:paraId="714F20F5"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where:</w:t>
      </w:r>
    </w:p>
    <w:p w14:paraId="03B03F62" w14:textId="77777777" w:rsidR="009B5C78" w:rsidRPr="007E454C" w:rsidRDefault="009B5C78" w:rsidP="009B5C78">
      <w:pPr>
        <w:spacing w:line="360" w:lineRule="auto"/>
        <w:rPr>
          <w:rFonts w:ascii="Baskerville Old Face" w:hAnsi="Baskerville Old Face"/>
          <w:i/>
          <w:iCs/>
        </w:rPr>
      </w:pPr>
      <w:r w:rsidRPr="007E454C">
        <w:rPr>
          <w:rFonts w:ascii="Cambria" w:hAnsi="Cambria" w:cs="Cambria"/>
          <w:i/>
          <w:iCs/>
        </w:rPr>
        <w:t>α</w:t>
      </w:r>
      <w:r w:rsidRPr="007E454C">
        <w:rPr>
          <w:rFonts w:ascii="Baskerville Old Face" w:hAnsi="Baskerville Old Face"/>
          <w:i/>
          <w:iCs/>
        </w:rPr>
        <w:t>_i represents baseline metabolite production;</w:t>
      </w:r>
    </w:p>
    <w:p w14:paraId="1B7C4721" w14:textId="77777777" w:rsidR="009B5C78" w:rsidRPr="007E454C" w:rsidRDefault="009B5C78" w:rsidP="009B5C78">
      <w:pPr>
        <w:spacing w:line="360" w:lineRule="auto"/>
        <w:rPr>
          <w:rFonts w:ascii="Baskerville Old Face" w:hAnsi="Baskerville Old Face"/>
          <w:i/>
          <w:iCs/>
        </w:rPr>
      </w:pPr>
      <w:r w:rsidRPr="007E454C">
        <w:rPr>
          <w:rFonts w:ascii="Cambria" w:hAnsi="Cambria" w:cs="Cambria"/>
          <w:i/>
          <w:iCs/>
        </w:rPr>
        <w:t>β</w:t>
      </w:r>
      <w:r w:rsidRPr="007E454C">
        <w:rPr>
          <w:rFonts w:ascii="Baskerville Old Face" w:hAnsi="Baskerville Old Face"/>
          <w:i/>
          <w:iCs/>
        </w:rPr>
        <w:t>_i represents stress-induced amplification;</w:t>
      </w:r>
    </w:p>
    <w:p w14:paraId="09C17D21" w14:textId="77777777" w:rsidR="009B5C78" w:rsidRPr="007E454C" w:rsidRDefault="009B5C78" w:rsidP="009B5C78">
      <w:pPr>
        <w:spacing w:line="360" w:lineRule="auto"/>
        <w:rPr>
          <w:rFonts w:ascii="Baskerville Old Face" w:hAnsi="Baskerville Old Face"/>
          <w:i/>
          <w:iCs/>
        </w:rPr>
      </w:pPr>
      <w:r w:rsidRPr="007E454C">
        <w:rPr>
          <w:rFonts w:ascii="Cambria" w:hAnsi="Cambria" w:cs="Cambria"/>
          <w:i/>
          <w:iCs/>
        </w:rPr>
        <w:t>γ</w:t>
      </w:r>
      <w:r w:rsidRPr="007E454C">
        <w:rPr>
          <w:rFonts w:ascii="Baskerville Old Face" w:hAnsi="Baskerville Old Face"/>
          <w:i/>
          <w:iCs/>
        </w:rPr>
        <w:t>_i represents sensitivity to incoming network signals;</w:t>
      </w:r>
    </w:p>
    <w:p w14:paraId="5EEA210B" w14:textId="77777777" w:rsidR="009B5C78" w:rsidRPr="007E454C" w:rsidRDefault="009B5C78" w:rsidP="009B5C78">
      <w:pPr>
        <w:spacing w:line="360" w:lineRule="auto"/>
        <w:rPr>
          <w:rFonts w:ascii="Baskerville Old Face" w:hAnsi="Baskerville Old Face"/>
          <w:i/>
          <w:iCs/>
        </w:rPr>
      </w:pPr>
      <w:r w:rsidRPr="007E454C">
        <w:rPr>
          <w:rFonts w:ascii="Cambria" w:hAnsi="Cambria" w:cs="Cambria"/>
          <w:i/>
          <w:iCs/>
        </w:rPr>
        <w:t>ρ</w:t>
      </w:r>
      <w:r w:rsidRPr="007E454C">
        <w:rPr>
          <w:rFonts w:ascii="Baskerville Old Face" w:hAnsi="Baskerville Old Face"/>
          <w:i/>
          <w:iCs/>
        </w:rPr>
        <w:t>_i represents the contribution of successional maturity to biochemical complexity;</w:t>
      </w:r>
    </w:p>
    <w:p w14:paraId="57029CD4" w14:textId="77777777" w:rsidR="009B5C78" w:rsidRPr="007E454C" w:rsidRDefault="009B5C78" w:rsidP="009B5C78">
      <w:pPr>
        <w:spacing w:line="360" w:lineRule="auto"/>
        <w:rPr>
          <w:rFonts w:ascii="Baskerville Old Face" w:hAnsi="Baskerville Old Face"/>
          <w:i/>
          <w:iCs/>
        </w:rPr>
      </w:pPr>
      <w:r w:rsidRPr="007E454C">
        <w:rPr>
          <w:rFonts w:ascii="Cambria" w:hAnsi="Cambria" w:cs="Cambria"/>
          <w:i/>
          <w:iCs/>
        </w:rPr>
        <w:t>ω</w:t>
      </w:r>
      <w:r w:rsidRPr="007E454C">
        <w:rPr>
          <w:rFonts w:ascii="Baskerville Old Face" w:hAnsi="Baskerville Old Face"/>
          <w:i/>
          <w:iCs/>
        </w:rPr>
        <w:t>_i represents metabolic decay or turnover.</w:t>
      </w:r>
    </w:p>
    <w:p w14:paraId="1A475832"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This formulation allows the model to represent:</w:t>
      </w:r>
    </w:p>
    <w:p w14:paraId="3E0F2E36"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inducible defense;</w:t>
      </w:r>
    </w:p>
    <w:p w14:paraId="676CA25C"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lastRenderedPageBreak/>
        <w:t>allelopathic suppression;</w:t>
      </w:r>
    </w:p>
    <w:p w14:paraId="4D9D8DF8"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facilitative biochemical priming;</w:t>
      </w:r>
    </w:p>
    <w:p w14:paraId="305C482C"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stress response;</w:t>
      </w:r>
    </w:p>
    <w:p w14:paraId="5F499B18"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propagation of warning signals through ecological neighborhoods;</w:t>
      </w:r>
    </w:p>
    <w:p w14:paraId="25CFE321"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increased biochemical complexity as succession matures.</w:t>
      </w:r>
    </w:p>
    <w:p w14:paraId="334922AF"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In early deployments, Prometheus should not require continuous biochemical assays.</w:t>
      </w:r>
    </w:p>
    <w:p w14:paraId="17C4682C"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Instead, biochemical intelligence should be represented through a tiered MRV approach:</w:t>
      </w:r>
    </w:p>
    <w:p w14:paraId="64DD163B"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direct metabolite or VOC testing where feasible;</w:t>
      </w:r>
    </w:p>
    <w:p w14:paraId="10AAC2C2"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stress-response indicators where routine testing is impractical;</w:t>
      </w:r>
    </w:p>
    <w:p w14:paraId="01FE407B"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disease, herbivory, recovery-time, and resilience proxies in ordinary deployments.</w:t>
      </w:r>
    </w:p>
    <w:p w14:paraId="11FC646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6. Soil organic matter and faunal engine</w:t>
      </w:r>
    </w:p>
    <w:p w14:paraId="1AA4CCB1"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The soil is represented as an active metabolic layer, not as a passive container.</w:t>
      </w:r>
    </w:p>
    <w:p w14:paraId="3F4D63CA"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Organic matter may be modeled as:</w:t>
      </w:r>
    </w:p>
    <w:p w14:paraId="16FA0CC9"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 xml:space="preserve">dO_i / dt = L_i + B_i </w:t>
      </w:r>
      <w:r w:rsidRPr="007E454C">
        <w:rPr>
          <w:rFonts w:ascii="Cambria Math" w:hAnsi="Cambria Math" w:cs="Cambria Math"/>
          <w:i/>
          <w:iCs/>
        </w:rPr>
        <w:t>−</w:t>
      </w:r>
      <w:r w:rsidRPr="007E454C">
        <w:rPr>
          <w:rFonts w:ascii="Baskerville Old Face" w:hAnsi="Baskerville Old Face"/>
          <w:i/>
          <w:iCs/>
        </w:rPr>
        <w:t xml:space="preserve"> D_i</w:t>
      </w:r>
    </w:p>
    <w:p w14:paraId="11C92AAD"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where:</w:t>
      </w:r>
    </w:p>
    <w:p w14:paraId="6D76F667"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L_i represents litter, pruning, mulch, and chop-and-drop input;</w:t>
      </w:r>
    </w:p>
    <w:p w14:paraId="07D7B92B"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B_i represents belowground biomass contribution;</w:t>
      </w:r>
    </w:p>
    <w:p w14:paraId="79E761E3"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D_i represents decomposition loss.</w:t>
      </w:r>
    </w:p>
    <w:p w14:paraId="3CA3354E"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Decomposition is itself modulated by earthworms, microbes, moisture, and mineral balance:</w:t>
      </w:r>
    </w:p>
    <w:p w14:paraId="5C40C448" w14:textId="77777777" w:rsidR="009B5C78" w:rsidRPr="005907F1" w:rsidRDefault="009B5C78" w:rsidP="009B5C78">
      <w:pPr>
        <w:spacing w:line="360" w:lineRule="auto"/>
        <w:rPr>
          <w:rFonts w:ascii="Baskerville Old Face" w:hAnsi="Baskerville Old Face"/>
          <w:i/>
          <w:iCs/>
          <w:lang w:val="it-IT"/>
        </w:rPr>
      </w:pPr>
      <w:r w:rsidRPr="005907F1">
        <w:rPr>
          <w:rFonts w:ascii="Baskerville Old Face" w:hAnsi="Baskerville Old Face"/>
          <w:i/>
          <w:iCs/>
          <w:lang w:val="it-IT"/>
        </w:rPr>
        <w:t xml:space="preserve">D_i = </w:t>
      </w:r>
      <w:r w:rsidRPr="007E454C">
        <w:rPr>
          <w:rFonts w:ascii="Cambria" w:hAnsi="Cambria" w:cs="Cambria"/>
          <w:i/>
          <w:iCs/>
        </w:rPr>
        <w:t>δ</w:t>
      </w:r>
      <w:r w:rsidRPr="005907F1">
        <w:rPr>
          <w:rFonts w:ascii="Baskerville Old Face" w:hAnsi="Baskerville Old Face"/>
          <w:i/>
          <w:iCs/>
          <w:lang w:val="it-IT"/>
        </w:rPr>
        <w:t xml:space="preserve">_i O_i h(E_i, </w:t>
      </w:r>
      <w:r w:rsidRPr="007E454C">
        <w:rPr>
          <w:rFonts w:ascii="Cambria" w:hAnsi="Cambria" w:cs="Cambria"/>
          <w:i/>
          <w:iCs/>
        </w:rPr>
        <w:t>μ</w:t>
      </w:r>
      <w:r w:rsidRPr="005907F1">
        <w:rPr>
          <w:rFonts w:ascii="Baskerville Old Face" w:hAnsi="Baskerville Old Face"/>
          <w:i/>
          <w:iCs/>
          <w:lang w:val="it-IT"/>
        </w:rPr>
        <w:t xml:space="preserve">_i, W_i, </w:t>
      </w:r>
      <w:r w:rsidRPr="007E454C">
        <w:rPr>
          <w:rFonts w:ascii="Cambria" w:hAnsi="Cambria" w:cs="Cambria"/>
          <w:i/>
          <w:iCs/>
        </w:rPr>
        <w:t>Θ</w:t>
      </w:r>
      <w:r w:rsidRPr="005907F1">
        <w:rPr>
          <w:rFonts w:ascii="Baskerville Old Face" w:hAnsi="Baskerville Old Face"/>
          <w:i/>
          <w:iCs/>
          <w:lang w:val="it-IT"/>
        </w:rPr>
        <w:t>_i)</w:t>
      </w:r>
    </w:p>
    <w:p w14:paraId="3BB6DAEB"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where h(</w:t>
      </w:r>
      <w:r w:rsidRPr="007E454C">
        <w:rPr>
          <w:rFonts w:ascii="Cambria" w:hAnsi="Cambria" w:cs="Cambria"/>
          <w:i/>
          <w:iCs/>
        </w:rPr>
        <w:t>·</w:t>
      </w:r>
      <w:r w:rsidRPr="007E454C">
        <w:rPr>
          <w:rFonts w:ascii="Baskerville Old Face" w:hAnsi="Baskerville Old Face"/>
          <w:i/>
          <w:iCs/>
        </w:rPr>
        <w:t>) represents a function of macrofaunal activity, microbial activity, water availability, and mineral balance.</w:t>
      </w:r>
    </w:p>
    <w:p w14:paraId="70F93E43"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lastRenderedPageBreak/>
        <w:t>Earthworm activity may be approximated as:</w:t>
      </w:r>
    </w:p>
    <w:p w14:paraId="24D688D4" w14:textId="77777777" w:rsidR="009B5C78" w:rsidRPr="005907F1" w:rsidRDefault="009B5C78" w:rsidP="009B5C78">
      <w:pPr>
        <w:spacing w:line="360" w:lineRule="auto"/>
        <w:rPr>
          <w:rFonts w:ascii="Baskerville Old Face" w:hAnsi="Baskerville Old Face"/>
          <w:i/>
          <w:iCs/>
          <w:lang w:val="it-IT"/>
        </w:rPr>
      </w:pPr>
      <w:r w:rsidRPr="005907F1">
        <w:rPr>
          <w:rFonts w:ascii="Baskerville Old Face" w:hAnsi="Baskerville Old Face"/>
          <w:i/>
          <w:iCs/>
          <w:lang w:val="it-IT"/>
        </w:rPr>
        <w:t xml:space="preserve">dE_i / dt = </w:t>
      </w:r>
      <w:r w:rsidRPr="007E454C">
        <w:rPr>
          <w:rFonts w:ascii="Cambria" w:hAnsi="Cambria" w:cs="Cambria"/>
          <w:i/>
          <w:iCs/>
        </w:rPr>
        <w:t>ψ</w:t>
      </w:r>
      <w:r w:rsidRPr="005907F1">
        <w:rPr>
          <w:rFonts w:ascii="Baskerville Old Face" w:hAnsi="Baskerville Old Face"/>
          <w:i/>
          <w:iCs/>
          <w:lang w:val="it-IT"/>
        </w:rPr>
        <w:t xml:space="preserve">_1O_i + </w:t>
      </w:r>
      <w:r w:rsidRPr="007E454C">
        <w:rPr>
          <w:rFonts w:ascii="Cambria" w:hAnsi="Cambria" w:cs="Cambria"/>
          <w:i/>
          <w:iCs/>
        </w:rPr>
        <w:t>ψ</w:t>
      </w:r>
      <w:r w:rsidRPr="005907F1">
        <w:rPr>
          <w:rFonts w:ascii="Baskerville Old Face" w:hAnsi="Baskerville Old Face"/>
          <w:i/>
          <w:iCs/>
          <w:lang w:val="it-IT"/>
        </w:rPr>
        <w:t xml:space="preserve">_2W_i </w:t>
      </w:r>
      <w:r w:rsidRPr="005907F1">
        <w:rPr>
          <w:rFonts w:ascii="Cambria Math" w:hAnsi="Cambria Math" w:cs="Cambria Math"/>
          <w:i/>
          <w:iCs/>
          <w:lang w:val="it-IT"/>
        </w:rPr>
        <w:t>−</w:t>
      </w:r>
      <w:r w:rsidRPr="005907F1">
        <w:rPr>
          <w:rFonts w:ascii="Baskerville Old Face" w:hAnsi="Baskerville Old Face"/>
          <w:i/>
          <w:iCs/>
          <w:lang w:val="it-IT"/>
        </w:rPr>
        <w:t xml:space="preserve"> </w:t>
      </w:r>
      <w:r w:rsidRPr="007E454C">
        <w:rPr>
          <w:rFonts w:ascii="Cambria" w:hAnsi="Cambria" w:cs="Cambria"/>
          <w:i/>
          <w:iCs/>
        </w:rPr>
        <w:t>ψ</w:t>
      </w:r>
      <w:r w:rsidRPr="005907F1">
        <w:rPr>
          <w:rFonts w:ascii="Baskerville Old Face" w:hAnsi="Baskerville Old Face"/>
          <w:i/>
          <w:iCs/>
          <w:lang w:val="it-IT"/>
        </w:rPr>
        <w:t>_3Stress_i^soil</w:t>
      </w:r>
    </w:p>
    <w:p w14:paraId="554BE37D"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Microbial functional intensity may be approximated as:</w:t>
      </w:r>
    </w:p>
    <w:p w14:paraId="5B630E45" w14:textId="77777777" w:rsidR="009B5C78" w:rsidRPr="005907F1" w:rsidRDefault="009B5C78" w:rsidP="009B5C78">
      <w:pPr>
        <w:spacing w:line="360" w:lineRule="auto"/>
        <w:rPr>
          <w:rFonts w:ascii="Baskerville Old Face" w:hAnsi="Baskerville Old Face"/>
          <w:i/>
          <w:iCs/>
          <w:lang w:val="it-IT"/>
        </w:rPr>
      </w:pPr>
      <w:r w:rsidRPr="005907F1">
        <w:rPr>
          <w:rFonts w:ascii="Baskerville Old Face" w:hAnsi="Baskerville Old Face"/>
          <w:i/>
          <w:iCs/>
          <w:lang w:val="it-IT"/>
        </w:rPr>
        <w:t>d</w:t>
      </w:r>
      <w:r w:rsidRPr="007E454C">
        <w:rPr>
          <w:rFonts w:ascii="Cambria" w:hAnsi="Cambria" w:cs="Cambria"/>
          <w:i/>
          <w:iCs/>
        </w:rPr>
        <w:t>μ</w:t>
      </w:r>
      <w:r w:rsidRPr="005907F1">
        <w:rPr>
          <w:rFonts w:ascii="Baskerville Old Face" w:hAnsi="Baskerville Old Face"/>
          <w:i/>
          <w:iCs/>
          <w:lang w:val="it-IT"/>
        </w:rPr>
        <w:t xml:space="preserve">_i / dt = </w:t>
      </w:r>
      <w:r w:rsidRPr="007E454C">
        <w:rPr>
          <w:rFonts w:ascii="Cambria" w:hAnsi="Cambria" w:cs="Cambria"/>
          <w:i/>
          <w:iCs/>
        </w:rPr>
        <w:t>χ</w:t>
      </w:r>
      <w:r w:rsidRPr="005907F1">
        <w:rPr>
          <w:rFonts w:ascii="Baskerville Old Face" w:hAnsi="Baskerville Old Face"/>
          <w:i/>
          <w:iCs/>
          <w:lang w:val="it-IT"/>
        </w:rPr>
        <w:t xml:space="preserve">_1O_i + </w:t>
      </w:r>
      <w:r w:rsidRPr="007E454C">
        <w:rPr>
          <w:rFonts w:ascii="Cambria" w:hAnsi="Cambria" w:cs="Cambria"/>
          <w:i/>
          <w:iCs/>
        </w:rPr>
        <w:t>χ</w:t>
      </w:r>
      <w:r w:rsidRPr="005907F1">
        <w:rPr>
          <w:rFonts w:ascii="Baskerville Old Face" w:hAnsi="Baskerville Old Face"/>
          <w:i/>
          <w:iCs/>
          <w:lang w:val="it-IT"/>
        </w:rPr>
        <w:t>_2</w:t>
      </w:r>
      <w:r w:rsidRPr="007E454C">
        <w:rPr>
          <w:rFonts w:ascii="Cambria" w:hAnsi="Cambria" w:cs="Cambria"/>
          <w:i/>
          <w:iCs/>
        </w:rPr>
        <w:t>Θ</w:t>
      </w:r>
      <w:r w:rsidRPr="005907F1">
        <w:rPr>
          <w:rFonts w:ascii="Baskerville Old Face" w:hAnsi="Baskerville Old Face"/>
          <w:i/>
          <w:iCs/>
          <w:lang w:val="it-IT"/>
        </w:rPr>
        <w:t xml:space="preserve">_i + </w:t>
      </w:r>
      <w:r w:rsidRPr="007E454C">
        <w:rPr>
          <w:rFonts w:ascii="Cambria" w:hAnsi="Cambria" w:cs="Cambria"/>
          <w:i/>
          <w:iCs/>
        </w:rPr>
        <w:t>χ</w:t>
      </w:r>
      <w:r w:rsidRPr="005907F1">
        <w:rPr>
          <w:rFonts w:ascii="Baskerville Old Face" w:hAnsi="Baskerville Old Face"/>
          <w:i/>
          <w:iCs/>
          <w:lang w:val="it-IT"/>
        </w:rPr>
        <w:t xml:space="preserve">_3F_i </w:t>
      </w:r>
      <w:r w:rsidRPr="005907F1">
        <w:rPr>
          <w:rFonts w:ascii="Cambria Math" w:hAnsi="Cambria Math" w:cs="Cambria Math"/>
          <w:i/>
          <w:iCs/>
          <w:lang w:val="it-IT"/>
        </w:rPr>
        <w:t>−</w:t>
      </w:r>
      <w:r w:rsidRPr="005907F1">
        <w:rPr>
          <w:rFonts w:ascii="Baskerville Old Face" w:hAnsi="Baskerville Old Face"/>
          <w:i/>
          <w:iCs/>
          <w:lang w:val="it-IT"/>
        </w:rPr>
        <w:t xml:space="preserve"> </w:t>
      </w:r>
      <w:r w:rsidRPr="007E454C">
        <w:rPr>
          <w:rFonts w:ascii="Cambria" w:hAnsi="Cambria" w:cs="Cambria"/>
          <w:i/>
          <w:iCs/>
        </w:rPr>
        <w:t>χ</w:t>
      </w:r>
      <w:r w:rsidRPr="005907F1">
        <w:rPr>
          <w:rFonts w:ascii="Baskerville Old Face" w:hAnsi="Baskerville Old Face"/>
          <w:i/>
          <w:iCs/>
          <w:lang w:val="it-IT"/>
        </w:rPr>
        <w:t>_4Disturbance_i</w:t>
      </w:r>
    </w:p>
    <w:p w14:paraId="0227616F"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These variables affect:</w:t>
      </w:r>
    </w:p>
    <w:p w14:paraId="3BD1962C"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porosity;</w:t>
      </w:r>
    </w:p>
    <w:p w14:paraId="727AEE53"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infiltration;</w:t>
      </w:r>
    </w:p>
    <w:p w14:paraId="7115DCE9"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aggregation;</w:t>
      </w:r>
    </w:p>
    <w:p w14:paraId="6EC8D319"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mineralization;</w:t>
      </w:r>
    </w:p>
    <w:p w14:paraId="29575B0C"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nutrient buffering;</w:t>
      </w:r>
    </w:p>
    <w:p w14:paraId="174CA3AB"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microelement availability;</w:t>
      </w:r>
    </w:p>
    <w:p w14:paraId="722F9575"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root development;</w:t>
      </w:r>
    </w:p>
    <w:p w14:paraId="2685AE81"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water retention;</w:t>
      </w:r>
    </w:p>
    <w:p w14:paraId="71844E39"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resilience under stress.</w:t>
      </w:r>
    </w:p>
    <w:p w14:paraId="7BB9C5DB"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This is one of the most important scientific bridges in the Prometheus architecture.</w:t>
      </w:r>
    </w:p>
    <w:p w14:paraId="20E86B28" w14:textId="77777777" w:rsidR="009B5C78" w:rsidRPr="00B479AE" w:rsidRDefault="009B5C78" w:rsidP="009B5C78">
      <w:pPr>
        <w:spacing w:line="360" w:lineRule="auto"/>
        <w:rPr>
          <w:rFonts w:ascii="Baskerville Old Face" w:hAnsi="Baskerville Old Face"/>
          <w:i/>
          <w:iCs/>
        </w:rPr>
      </w:pPr>
      <w:r w:rsidRPr="007E454C">
        <w:rPr>
          <w:rFonts w:ascii="Baskerville Old Face" w:hAnsi="Baskerville Old Face"/>
          <w:i/>
          <w:iCs/>
        </w:rPr>
        <w:t>It links visible management actions — pruning, mulching</w:t>
      </w:r>
      <w:r w:rsidRPr="00B479AE">
        <w:rPr>
          <w:rFonts w:ascii="Baskerville Old Face" w:hAnsi="Baskerville Old Face"/>
          <w:i/>
          <w:iCs/>
        </w:rPr>
        <w:t>, biomass return, swales, root density, biodiversity, reduced disturbance — to measurable soil and hydrological outcomes.</w:t>
      </w:r>
    </w:p>
    <w:p w14:paraId="0F63961B"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7. Water and nutrient retention</w:t>
      </w:r>
    </w:p>
    <w:p w14:paraId="7A82429A"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Water dynamics at node level may be represented as:</w:t>
      </w:r>
    </w:p>
    <w:p w14:paraId="72420202" w14:textId="77777777" w:rsidR="009B5C78" w:rsidRPr="005907F1" w:rsidRDefault="009B5C78" w:rsidP="009B5C78">
      <w:pPr>
        <w:spacing w:line="360" w:lineRule="auto"/>
        <w:rPr>
          <w:rFonts w:ascii="Baskerville Old Face" w:hAnsi="Baskerville Old Face"/>
          <w:i/>
          <w:iCs/>
          <w:lang w:val="it-IT"/>
        </w:rPr>
      </w:pPr>
      <w:r w:rsidRPr="005907F1">
        <w:rPr>
          <w:rFonts w:ascii="Baskerville Old Face" w:hAnsi="Baskerville Old Face"/>
          <w:i/>
          <w:iCs/>
          <w:lang w:val="it-IT"/>
        </w:rPr>
        <w:t xml:space="preserve">dW_i / dt = P_i + I_i^infil + </w:t>
      </w:r>
      <w:r w:rsidRPr="007E454C">
        <w:rPr>
          <w:rFonts w:ascii="Cambria" w:hAnsi="Cambria" w:cs="Cambria"/>
          <w:i/>
          <w:iCs/>
        </w:rPr>
        <w:t>Φ</w:t>
      </w:r>
      <w:r w:rsidRPr="005907F1">
        <w:rPr>
          <w:rFonts w:ascii="Baskerville Old Face" w:hAnsi="Baskerville Old Face"/>
          <w:i/>
          <w:iCs/>
          <w:lang w:val="it-IT"/>
        </w:rPr>
        <w:t xml:space="preserve">_i^(fung,W) </w:t>
      </w:r>
      <w:r w:rsidRPr="005907F1">
        <w:rPr>
          <w:rFonts w:ascii="Cambria Math" w:hAnsi="Cambria Math" w:cs="Cambria Math"/>
          <w:i/>
          <w:iCs/>
          <w:lang w:val="it-IT"/>
        </w:rPr>
        <w:t>−</w:t>
      </w:r>
      <w:r w:rsidRPr="005907F1">
        <w:rPr>
          <w:rFonts w:ascii="Baskerville Old Face" w:hAnsi="Baskerville Old Face"/>
          <w:i/>
          <w:iCs/>
          <w:lang w:val="it-IT"/>
        </w:rPr>
        <w:t xml:space="preserve"> U_i </w:t>
      </w:r>
      <w:r w:rsidRPr="005907F1">
        <w:rPr>
          <w:rFonts w:ascii="Cambria Math" w:hAnsi="Cambria Math" w:cs="Cambria Math"/>
          <w:i/>
          <w:iCs/>
          <w:lang w:val="it-IT"/>
        </w:rPr>
        <w:t>−</w:t>
      </w:r>
      <w:r w:rsidRPr="005907F1">
        <w:rPr>
          <w:rFonts w:ascii="Baskerville Old Face" w:hAnsi="Baskerville Old Face"/>
          <w:i/>
          <w:iCs/>
          <w:lang w:val="it-IT"/>
        </w:rPr>
        <w:t xml:space="preserve"> ETP_i </w:t>
      </w:r>
      <w:r w:rsidRPr="005907F1">
        <w:rPr>
          <w:rFonts w:ascii="Cambria Math" w:hAnsi="Cambria Math" w:cs="Cambria Math"/>
          <w:i/>
          <w:iCs/>
          <w:lang w:val="it-IT"/>
        </w:rPr>
        <w:t>−</w:t>
      </w:r>
      <w:r w:rsidRPr="005907F1">
        <w:rPr>
          <w:rFonts w:ascii="Baskerville Old Face" w:hAnsi="Baskerville Old Face"/>
          <w:i/>
          <w:iCs/>
          <w:lang w:val="it-IT"/>
        </w:rPr>
        <w:t xml:space="preserve"> L_i^loss</w:t>
      </w:r>
    </w:p>
    <w:p w14:paraId="6953EE80"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where:</w:t>
      </w:r>
    </w:p>
    <w:p w14:paraId="53F1945E"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P_i represents local precipitation input;</w:t>
      </w:r>
    </w:p>
    <w:p w14:paraId="75D5BB41"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lastRenderedPageBreak/>
        <w:t>I_i^infil represents infiltration due to topography, mulch, roots, soil structure, and biological activity;</w:t>
      </w:r>
    </w:p>
    <w:p w14:paraId="237D960A" w14:textId="77777777" w:rsidR="009B5C78" w:rsidRPr="007E454C" w:rsidRDefault="009B5C78" w:rsidP="009B5C78">
      <w:pPr>
        <w:spacing w:line="360" w:lineRule="auto"/>
        <w:rPr>
          <w:rFonts w:ascii="Baskerville Old Face" w:hAnsi="Baskerville Old Face"/>
          <w:i/>
          <w:iCs/>
        </w:rPr>
      </w:pPr>
      <w:r w:rsidRPr="007E454C">
        <w:rPr>
          <w:rFonts w:ascii="Cambria" w:hAnsi="Cambria" w:cs="Cambria"/>
          <w:i/>
          <w:iCs/>
        </w:rPr>
        <w:t>Φ</w:t>
      </w:r>
      <w:r w:rsidRPr="007E454C">
        <w:rPr>
          <w:rFonts w:ascii="Baskerville Old Face" w:hAnsi="Baskerville Old Face"/>
          <w:i/>
          <w:iCs/>
        </w:rPr>
        <w:t>_i^(fung,W) represents fungal-mediated water transfer where relevant;</w:t>
      </w:r>
    </w:p>
    <w:p w14:paraId="23F1C6FD"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U_i represents plant uptake;</w:t>
      </w:r>
    </w:p>
    <w:p w14:paraId="0D6BAB15"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ETP_i represents evapotranspiration;</w:t>
      </w:r>
    </w:p>
    <w:p w14:paraId="768F0FEE"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L_i^loss represents drainage, runoff, or loss.</w:t>
      </w:r>
    </w:p>
    <w:p w14:paraId="69630C5A"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The infiltration term can be linked to organic matter, soil biota, and microtopography:</w:t>
      </w:r>
    </w:p>
    <w:p w14:paraId="17DDD24F" w14:textId="77777777" w:rsidR="009B5C78" w:rsidRPr="005907F1" w:rsidRDefault="009B5C78" w:rsidP="009B5C78">
      <w:pPr>
        <w:spacing w:line="360" w:lineRule="auto"/>
        <w:rPr>
          <w:rFonts w:ascii="Baskerville Old Face" w:hAnsi="Baskerville Old Face"/>
          <w:i/>
          <w:iCs/>
          <w:lang w:val="it-IT"/>
        </w:rPr>
      </w:pPr>
      <w:r w:rsidRPr="005907F1">
        <w:rPr>
          <w:rFonts w:ascii="Baskerville Old Face" w:hAnsi="Baskerville Old Face"/>
          <w:i/>
          <w:iCs/>
          <w:lang w:val="it-IT"/>
        </w:rPr>
        <w:t xml:space="preserve">I_i^infil = </w:t>
      </w:r>
      <w:r w:rsidRPr="007E454C">
        <w:rPr>
          <w:rFonts w:ascii="Cambria" w:hAnsi="Cambria" w:cs="Cambria"/>
          <w:i/>
          <w:iCs/>
        </w:rPr>
        <w:t>ζ</w:t>
      </w:r>
      <w:r w:rsidRPr="005907F1">
        <w:rPr>
          <w:rFonts w:ascii="Baskerville Old Face" w:hAnsi="Baskerville Old Face"/>
          <w:i/>
          <w:iCs/>
          <w:lang w:val="it-IT"/>
        </w:rPr>
        <w:t xml:space="preserve">_1O_i + </w:t>
      </w:r>
      <w:r w:rsidRPr="007E454C">
        <w:rPr>
          <w:rFonts w:ascii="Cambria" w:hAnsi="Cambria" w:cs="Cambria"/>
          <w:i/>
          <w:iCs/>
        </w:rPr>
        <w:t>ζ</w:t>
      </w:r>
      <w:r w:rsidRPr="005907F1">
        <w:rPr>
          <w:rFonts w:ascii="Baskerville Old Face" w:hAnsi="Baskerville Old Face"/>
          <w:i/>
          <w:iCs/>
          <w:lang w:val="it-IT"/>
        </w:rPr>
        <w:t xml:space="preserve">_2E_i + </w:t>
      </w:r>
      <w:r w:rsidRPr="007E454C">
        <w:rPr>
          <w:rFonts w:ascii="Cambria" w:hAnsi="Cambria" w:cs="Cambria"/>
          <w:i/>
          <w:iCs/>
        </w:rPr>
        <w:t>ζ</w:t>
      </w:r>
      <w:r w:rsidRPr="005907F1">
        <w:rPr>
          <w:rFonts w:ascii="Baskerville Old Face" w:hAnsi="Baskerville Old Face"/>
          <w:i/>
          <w:iCs/>
          <w:lang w:val="it-IT"/>
        </w:rPr>
        <w:t>_3</w:t>
      </w:r>
      <w:r w:rsidRPr="007E454C">
        <w:rPr>
          <w:rFonts w:ascii="Cambria" w:hAnsi="Cambria" w:cs="Cambria"/>
          <w:i/>
          <w:iCs/>
        </w:rPr>
        <w:t>μ</w:t>
      </w:r>
      <w:r w:rsidRPr="005907F1">
        <w:rPr>
          <w:rFonts w:ascii="Baskerville Old Face" w:hAnsi="Baskerville Old Face"/>
          <w:i/>
          <w:iCs/>
          <w:lang w:val="it-IT"/>
        </w:rPr>
        <w:t xml:space="preserve">_i + </w:t>
      </w:r>
      <w:r w:rsidRPr="007E454C">
        <w:rPr>
          <w:rFonts w:ascii="Cambria" w:hAnsi="Cambria" w:cs="Cambria"/>
          <w:i/>
          <w:iCs/>
        </w:rPr>
        <w:t>ζ</w:t>
      </w:r>
      <w:r w:rsidRPr="005907F1">
        <w:rPr>
          <w:rFonts w:ascii="Baskerville Old Face" w:hAnsi="Baskerville Old Face"/>
          <w:i/>
          <w:iCs/>
          <w:lang w:val="it-IT"/>
        </w:rPr>
        <w:t>_4Microtopography_i</w:t>
      </w:r>
    </w:p>
    <w:p w14:paraId="33D9CC9C"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This formula is strategically important because it connects practical regenerative design to measurable hydrological gain.</w:t>
      </w:r>
    </w:p>
    <w:p w14:paraId="458B4115"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Chop-and-drop, swales, mulching, root density, earthworm activity, microbial function, and soil structure become observable through infiltration, soil moisture stability, runoff reduction, and water productivity.</w:t>
      </w:r>
    </w:p>
    <w:p w14:paraId="0A4C9641"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This is where ecology becomes MRV.</w:t>
      </w:r>
    </w:p>
    <w:p w14:paraId="372CE400"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8. Successional dynamics</w:t>
      </w:r>
    </w:p>
    <w:p w14:paraId="5033AA2B"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A syntropic system is not static.</w:t>
      </w:r>
    </w:p>
    <w:p w14:paraId="6914091D"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Its trajectory evolves as a function of biodiversity, fungal connectivity, biochemical complexity, organic matter, stress, and disturbance.</w:t>
      </w:r>
    </w:p>
    <w:p w14:paraId="40AE810A"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A conceptual expression is:</w:t>
      </w:r>
    </w:p>
    <w:p w14:paraId="01993EDE"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 xml:space="preserve">dS_i / dt = </w:t>
      </w:r>
      <w:r w:rsidRPr="007E454C">
        <w:rPr>
          <w:rFonts w:ascii="Cambria" w:hAnsi="Cambria" w:cs="Cambria"/>
          <w:i/>
          <w:iCs/>
        </w:rPr>
        <w:t>δ</w:t>
      </w:r>
      <w:r w:rsidRPr="007E454C">
        <w:rPr>
          <w:rFonts w:ascii="Baskerville Old Face" w:hAnsi="Baskerville Old Face"/>
          <w:i/>
          <w:iCs/>
        </w:rPr>
        <w:t xml:space="preserve">_1Biodiv_i + </w:t>
      </w:r>
      <w:r w:rsidRPr="007E454C">
        <w:rPr>
          <w:rFonts w:ascii="Cambria" w:hAnsi="Cambria" w:cs="Cambria"/>
          <w:i/>
          <w:iCs/>
        </w:rPr>
        <w:t>δ</w:t>
      </w:r>
      <w:r w:rsidRPr="007E454C">
        <w:rPr>
          <w:rFonts w:ascii="Baskerville Old Face" w:hAnsi="Baskerville Old Face"/>
          <w:i/>
          <w:iCs/>
        </w:rPr>
        <w:t xml:space="preserve">_2F_i + </w:t>
      </w:r>
      <w:r w:rsidRPr="007E454C">
        <w:rPr>
          <w:rFonts w:ascii="Cambria" w:hAnsi="Cambria" w:cs="Cambria"/>
          <w:i/>
          <w:iCs/>
        </w:rPr>
        <w:t>δ</w:t>
      </w:r>
      <w:r w:rsidRPr="007E454C">
        <w:rPr>
          <w:rFonts w:ascii="Baskerville Old Face" w:hAnsi="Baskerville Old Face"/>
          <w:i/>
          <w:iCs/>
        </w:rPr>
        <w:t xml:space="preserve">_3M_i^sec + </w:t>
      </w:r>
      <w:r w:rsidRPr="007E454C">
        <w:rPr>
          <w:rFonts w:ascii="Cambria" w:hAnsi="Cambria" w:cs="Cambria"/>
          <w:i/>
          <w:iCs/>
        </w:rPr>
        <w:t>δ</w:t>
      </w:r>
      <w:r w:rsidRPr="007E454C">
        <w:rPr>
          <w:rFonts w:ascii="Baskerville Old Face" w:hAnsi="Baskerville Old Face"/>
          <w:i/>
          <w:iCs/>
        </w:rPr>
        <w:t xml:space="preserve">_4O_i </w:t>
      </w:r>
      <w:r w:rsidRPr="007E454C">
        <w:rPr>
          <w:rFonts w:ascii="Cambria Math" w:hAnsi="Cambria Math" w:cs="Cambria Math"/>
          <w:i/>
          <w:iCs/>
        </w:rPr>
        <w:t>−</w:t>
      </w:r>
      <w:r w:rsidRPr="007E454C">
        <w:rPr>
          <w:rFonts w:ascii="Baskerville Old Face" w:hAnsi="Baskerville Old Face"/>
          <w:i/>
          <w:iCs/>
        </w:rPr>
        <w:t xml:space="preserve"> </w:t>
      </w:r>
      <w:r w:rsidRPr="007E454C">
        <w:rPr>
          <w:rFonts w:ascii="Cambria" w:hAnsi="Cambria" w:cs="Cambria"/>
          <w:i/>
          <w:iCs/>
        </w:rPr>
        <w:t>ε</w:t>
      </w:r>
      <w:r w:rsidRPr="007E454C">
        <w:rPr>
          <w:rFonts w:ascii="Baskerville Old Face" w:hAnsi="Baskerville Old Face"/>
          <w:i/>
          <w:iCs/>
        </w:rPr>
        <w:t xml:space="preserve">_1Stress_i </w:t>
      </w:r>
      <w:r w:rsidRPr="007E454C">
        <w:rPr>
          <w:rFonts w:ascii="Cambria Math" w:hAnsi="Cambria Math" w:cs="Cambria Math"/>
          <w:i/>
          <w:iCs/>
        </w:rPr>
        <w:t>−</w:t>
      </w:r>
      <w:r w:rsidRPr="007E454C">
        <w:rPr>
          <w:rFonts w:ascii="Baskerville Old Face" w:hAnsi="Baskerville Old Face"/>
          <w:i/>
          <w:iCs/>
        </w:rPr>
        <w:t xml:space="preserve"> </w:t>
      </w:r>
      <w:r w:rsidRPr="007E454C">
        <w:rPr>
          <w:rFonts w:ascii="Cambria" w:hAnsi="Cambria" w:cs="Cambria"/>
          <w:i/>
          <w:iCs/>
        </w:rPr>
        <w:t>ε</w:t>
      </w:r>
      <w:r w:rsidRPr="007E454C">
        <w:rPr>
          <w:rFonts w:ascii="Baskerville Old Face" w:hAnsi="Baskerville Old Face"/>
          <w:i/>
          <w:iCs/>
        </w:rPr>
        <w:t>_2Disturbance_i</w:t>
      </w:r>
    </w:p>
    <w:p w14:paraId="6F0D8324"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The system tends toward climax-like maturity when:</w:t>
      </w:r>
    </w:p>
    <w:p w14:paraId="746CFAA1"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 xml:space="preserve">S_i </w:t>
      </w:r>
      <w:r w:rsidRPr="007E454C">
        <w:rPr>
          <w:rFonts w:ascii="Times New Roman" w:hAnsi="Times New Roman" w:cs="Times New Roman"/>
          <w:i/>
          <w:iCs/>
        </w:rPr>
        <w:t>→</w:t>
      </w:r>
      <w:r w:rsidRPr="007E454C">
        <w:rPr>
          <w:rFonts w:ascii="Baskerville Old Face" w:hAnsi="Baskerville Old Face"/>
          <w:i/>
          <w:iCs/>
        </w:rPr>
        <w:t xml:space="preserve"> 3</w:t>
      </w:r>
    </w:p>
    <w:p w14:paraId="13D7F64A"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This does not mean that maturity is automatic, linear, or guaranteed.</w:t>
      </w:r>
    </w:p>
    <w:p w14:paraId="5F103BD7"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lastRenderedPageBreak/>
        <w:t>Temporary regression is possible under drought, salinity, nutrient collapse, disease, poor design, weak stewardship, fire, extreme weather, or management failure.</w:t>
      </w:r>
    </w:p>
    <w:p w14:paraId="0CD48179"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That is exactly why the model is valuable.</w:t>
      </w:r>
    </w:p>
    <w:p w14:paraId="4F77B4AE"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It is falsifiable.</w:t>
      </w:r>
    </w:p>
    <w:p w14:paraId="3E5B5A1E"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A serious regenerative system must be able to show not only when it succeeds, but also when it fails, stagnates, regresses, or requires intervention.</w:t>
      </w:r>
    </w:p>
    <w:p w14:paraId="519D01BF"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9. Emergent production and cooperative surplus</w:t>
      </w:r>
    </w:p>
    <w:p w14:paraId="0F58D5DB"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The productive output of node i may be represented as:</w:t>
      </w:r>
    </w:p>
    <w:p w14:paraId="5E10E163" w14:textId="77777777" w:rsidR="009B5C78" w:rsidRPr="005907F1" w:rsidRDefault="009B5C78" w:rsidP="009B5C78">
      <w:pPr>
        <w:spacing w:line="360" w:lineRule="auto"/>
        <w:rPr>
          <w:rFonts w:ascii="Baskerville Old Face" w:hAnsi="Baskerville Old Face"/>
          <w:i/>
          <w:iCs/>
          <w:lang w:val="it-IT"/>
        </w:rPr>
      </w:pPr>
      <w:r w:rsidRPr="005907F1">
        <w:rPr>
          <w:rFonts w:ascii="Baskerville Old Face" w:hAnsi="Baskerville Old Face"/>
          <w:i/>
          <w:iCs/>
          <w:lang w:val="it-IT"/>
        </w:rPr>
        <w:t xml:space="preserve">Y_i = </w:t>
      </w:r>
      <w:r w:rsidRPr="007E454C">
        <w:rPr>
          <w:rFonts w:ascii="Cambria" w:hAnsi="Cambria" w:cs="Cambria"/>
          <w:i/>
          <w:iCs/>
        </w:rPr>
        <w:t>θ</w:t>
      </w:r>
      <w:r w:rsidRPr="005907F1">
        <w:rPr>
          <w:rFonts w:ascii="Baskerville Old Face" w:hAnsi="Baskerville Old Face"/>
          <w:i/>
          <w:iCs/>
          <w:lang w:val="it-IT"/>
        </w:rPr>
        <w:t xml:space="preserve">_i </w:t>
      </w:r>
      <w:r w:rsidRPr="005907F1">
        <w:rPr>
          <w:rFonts w:ascii="Cambria" w:hAnsi="Cambria" w:cs="Cambria"/>
          <w:i/>
          <w:iCs/>
          <w:lang w:val="it-IT"/>
        </w:rPr>
        <w:t>·</w:t>
      </w:r>
      <w:r w:rsidRPr="005907F1">
        <w:rPr>
          <w:rFonts w:ascii="Baskerville Old Face" w:hAnsi="Baskerville Old Face"/>
          <w:i/>
          <w:iCs/>
          <w:lang w:val="it-IT"/>
        </w:rPr>
        <w:t xml:space="preserve"> F(W_i, N_i, C_i, O_i, </w:t>
      </w:r>
      <w:r w:rsidRPr="007E454C">
        <w:rPr>
          <w:rFonts w:ascii="Cambria" w:hAnsi="Cambria" w:cs="Cambria"/>
          <w:i/>
          <w:iCs/>
        </w:rPr>
        <w:t>μ</w:t>
      </w:r>
      <w:r w:rsidRPr="005907F1">
        <w:rPr>
          <w:rFonts w:ascii="Baskerville Old Face" w:hAnsi="Baskerville Old Face"/>
          <w:i/>
          <w:iCs/>
          <w:lang w:val="it-IT"/>
        </w:rPr>
        <w:t>_i, E_i, F_i, M_i^sec, S_i)</w:t>
      </w:r>
    </w:p>
    <w:p w14:paraId="48A380F6"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 xml:space="preserve">where </w:t>
      </w:r>
      <w:r w:rsidRPr="007E454C">
        <w:rPr>
          <w:rFonts w:ascii="Cambria" w:hAnsi="Cambria" w:cs="Cambria"/>
          <w:i/>
          <w:iCs/>
        </w:rPr>
        <w:t>θ</w:t>
      </w:r>
      <w:r w:rsidRPr="007E454C">
        <w:rPr>
          <w:rFonts w:ascii="Baskerville Old Face" w:hAnsi="Baskerville Old Face"/>
          <w:i/>
          <w:iCs/>
        </w:rPr>
        <w:t>_i captures species-specific productivity.</w:t>
      </w:r>
    </w:p>
    <w:p w14:paraId="439729B8"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At system level:</w:t>
      </w:r>
    </w:p>
    <w:p w14:paraId="19285535"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 xml:space="preserve">Y_sys = </w:t>
      </w:r>
      <w:r w:rsidRPr="007E454C">
        <w:rPr>
          <w:rFonts w:ascii="Cambria" w:hAnsi="Cambria" w:cs="Cambria"/>
          <w:i/>
          <w:iCs/>
        </w:rPr>
        <w:t>Σ</w:t>
      </w:r>
      <w:r w:rsidRPr="007E454C">
        <w:rPr>
          <w:rFonts w:ascii="Baskerville Old Face" w:hAnsi="Baskerville Old Face"/>
          <w:i/>
          <w:iCs/>
        </w:rPr>
        <w:t xml:space="preserve">_iY_i + </w:t>
      </w:r>
      <w:r w:rsidRPr="007E454C">
        <w:rPr>
          <w:rFonts w:ascii="Cambria" w:hAnsi="Cambria" w:cs="Cambria"/>
          <w:i/>
          <w:iCs/>
        </w:rPr>
        <w:t>Σ</w:t>
      </w:r>
      <w:r w:rsidRPr="007E454C">
        <w:rPr>
          <w:rFonts w:ascii="Baskerville Old Face" w:hAnsi="Baskerville Old Face"/>
          <w:i/>
          <w:iCs/>
        </w:rPr>
        <w:t>_{i</w:t>
      </w:r>
      <w:r w:rsidRPr="007E454C">
        <w:rPr>
          <w:rFonts w:ascii="Baskerville Old Face" w:hAnsi="Baskerville Old Face" w:cs="Baskerville Old Face"/>
          <w:i/>
          <w:iCs/>
        </w:rPr>
        <w:t>≠</w:t>
      </w:r>
      <w:r w:rsidRPr="007E454C">
        <w:rPr>
          <w:rFonts w:ascii="Baskerville Old Face" w:hAnsi="Baskerville Old Face"/>
          <w:i/>
          <w:iCs/>
        </w:rPr>
        <w:t>j}</w:t>
      </w:r>
      <w:r w:rsidRPr="007E454C">
        <w:rPr>
          <w:rFonts w:ascii="Cambria" w:hAnsi="Cambria" w:cs="Cambria"/>
          <w:i/>
          <w:iCs/>
        </w:rPr>
        <w:t>Ω</w:t>
      </w:r>
      <w:r w:rsidRPr="007E454C">
        <w:rPr>
          <w:rFonts w:ascii="Baskerville Old Face" w:hAnsi="Baskerville Old Face"/>
          <w:i/>
          <w:iCs/>
        </w:rPr>
        <w:t>_ij</w:t>
      </w:r>
    </w:p>
    <w:p w14:paraId="3B59922B"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 xml:space="preserve">where </w:t>
      </w:r>
      <w:r w:rsidRPr="007E454C">
        <w:rPr>
          <w:rFonts w:ascii="Cambria" w:hAnsi="Cambria" w:cs="Cambria"/>
          <w:i/>
          <w:iCs/>
        </w:rPr>
        <w:t>Ω</w:t>
      </w:r>
      <w:r w:rsidRPr="007E454C">
        <w:rPr>
          <w:rFonts w:ascii="Baskerville Old Face" w:hAnsi="Baskerville Old Face"/>
          <w:i/>
          <w:iCs/>
        </w:rPr>
        <w:t>_ij represents cooperative ecological surplus generated by interaction effects.</w:t>
      </w:r>
    </w:p>
    <w:p w14:paraId="76495322"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This is the key departure from industrial agronomy.</w:t>
      </w:r>
    </w:p>
    <w:p w14:paraId="7607458C"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In a simplified system, output is often treated as the sum of isolated productive components.</w:t>
      </w:r>
    </w:p>
    <w:p w14:paraId="1003F1FD"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In a syntropic system, total output may include network surplus created by:</w:t>
      </w:r>
    </w:p>
    <w:p w14:paraId="02674092"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mycorrhizal redistribution;</w:t>
      </w:r>
    </w:p>
    <w:p w14:paraId="4E24C35B"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biochemical signaling;</w:t>
      </w:r>
    </w:p>
    <w:p w14:paraId="73675B3D"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shading complementarity;</w:t>
      </w:r>
    </w:p>
    <w:p w14:paraId="5F243A8E"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stratification;</w:t>
      </w:r>
    </w:p>
    <w:p w14:paraId="0BE73C1F"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nutrient cycling;</w:t>
      </w:r>
    </w:p>
    <w:p w14:paraId="40FA1F45"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trophic cooperation;</w:t>
      </w:r>
    </w:p>
    <w:p w14:paraId="568E61C6"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lastRenderedPageBreak/>
        <w:t>soil biotic amplification;</w:t>
      </w:r>
    </w:p>
    <w:p w14:paraId="2F49BC40"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microclimate regulation;</w:t>
      </w:r>
    </w:p>
    <w:p w14:paraId="3AC7BC7E"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reduced variance under stress.</w:t>
      </w:r>
    </w:p>
    <w:p w14:paraId="1B96EE11"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The critical validation question is therefore:</w:t>
      </w:r>
    </w:p>
    <w:p w14:paraId="0837AFD0"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does the system produce greater stability, resilience, or productive capacity than simplified or isolated equivalents under comparable conditions?</w:t>
      </w:r>
    </w:p>
    <w:p w14:paraId="5B60636D" w14:textId="77777777" w:rsidR="009B5C78" w:rsidRPr="00B479AE" w:rsidRDefault="009B5C78" w:rsidP="009B5C78">
      <w:pPr>
        <w:spacing w:line="360" w:lineRule="auto"/>
        <w:rPr>
          <w:rFonts w:ascii="Baskerville Old Face" w:hAnsi="Baskerville Old Face"/>
          <w:i/>
          <w:iCs/>
        </w:rPr>
      </w:pPr>
      <w:r w:rsidRPr="007E454C">
        <w:rPr>
          <w:rFonts w:ascii="Baskerville Old Face" w:hAnsi="Baskerville Old Face"/>
          <w:i/>
          <w:iCs/>
        </w:rPr>
        <w:t>If the answer is supported by evidence</w:t>
      </w:r>
      <w:r w:rsidRPr="00B479AE">
        <w:rPr>
          <w:rFonts w:ascii="Baskerville Old Face" w:hAnsi="Baskerville Old Face"/>
          <w:i/>
          <w:iCs/>
        </w:rPr>
        <w:t>, the OHE becomes more than good ecological practice.</w:t>
      </w:r>
    </w:p>
    <w:p w14:paraId="1BD33487"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It becomes a measurable cooperative production system.</w:t>
      </w:r>
    </w:p>
    <w:p w14:paraId="1092D00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10. System value function</w:t>
      </w:r>
    </w:p>
    <w:p w14:paraId="6B442E41"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The ecological value of the system may be expressed conceptually as:</w:t>
      </w:r>
    </w:p>
    <w:p w14:paraId="31AF61E9" w14:textId="77777777" w:rsidR="009B5C78" w:rsidRPr="005907F1" w:rsidRDefault="009B5C78" w:rsidP="009B5C78">
      <w:pPr>
        <w:spacing w:line="360" w:lineRule="auto"/>
        <w:rPr>
          <w:rFonts w:ascii="Baskerville Old Face" w:hAnsi="Baskerville Old Face"/>
          <w:i/>
          <w:iCs/>
          <w:lang w:val="it-IT"/>
        </w:rPr>
      </w:pPr>
      <w:r w:rsidRPr="005907F1">
        <w:rPr>
          <w:rFonts w:ascii="Baskerville Old Face" w:hAnsi="Baskerville Old Face"/>
          <w:i/>
          <w:iCs/>
          <w:lang w:val="it-IT"/>
        </w:rPr>
        <w:t xml:space="preserve">V_sys = </w:t>
      </w:r>
      <w:r w:rsidRPr="007E454C">
        <w:rPr>
          <w:rFonts w:ascii="Cambria" w:hAnsi="Cambria" w:cs="Cambria"/>
          <w:i/>
          <w:iCs/>
        </w:rPr>
        <w:t>Σ</w:t>
      </w:r>
      <w:r w:rsidRPr="005907F1">
        <w:rPr>
          <w:rFonts w:ascii="Baskerville Old Face" w:hAnsi="Baskerville Old Face"/>
          <w:i/>
          <w:iCs/>
          <w:lang w:val="it-IT"/>
        </w:rPr>
        <w:t>_i(Y_i + ES_i + Stab_i)</w:t>
      </w:r>
    </w:p>
    <w:p w14:paraId="304BE982"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where:</w:t>
      </w:r>
    </w:p>
    <w:p w14:paraId="6B49ED1A"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Y_i represents productive yield;</w:t>
      </w:r>
    </w:p>
    <w:p w14:paraId="0E19E639"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ES_i represents ecosystem-service value;</w:t>
      </w:r>
    </w:p>
    <w:p w14:paraId="12A1E237"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Stab_i represents stability or resilience premium.</w:t>
      </w:r>
    </w:p>
    <w:p w14:paraId="677012B9"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A more explicit conceptual formulation is:</w:t>
      </w:r>
    </w:p>
    <w:p w14:paraId="518B2CA1"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 xml:space="preserve">V_sys = </w:t>
      </w:r>
      <w:r w:rsidRPr="007E454C">
        <w:rPr>
          <w:rFonts w:ascii="Cambria" w:hAnsi="Cambria" w:cs="Cambria"/>
          <w:i/>
          <w:iCs/>
        </w:rPr>
        <w:t>Σ</w:t>
      </w:r>
      <w:r w:rsidRPr="007E454C">
        <w:rPr>
          <w:rFonts w:ascii="Baskerville Old Face" w:hAnsi="Baskerville Old Face"/>
          <w:i/>
          <w:iCs/>
        </w:rPr>
        <w:t>_i(p_yY_i + p_cC_i^seq + p_wW_i^ret + p_bB_i + p_s</w:t>
      </w:r>
      <w:r w:rsidRPr="007E454C">
        <w:rPr>
          <w:rFonts w:ascii="Cambria" w:hAnsi="Cambria" w:cs="Cambria"/>
          <w:i/>
          <w:iCs/>
        </w:rPr>
        <w:t>Σ</w:t>
      </w:r>
      <w:r w:rsidRPr="007E454C">
        <w:rPr>
          <w:rFonts w:ascii="Baskerville Old Face" w:hAnsi="Baskerville Old Face"/>
          <w:i/>
          <w:iCs/>
        </w:rPr>
        <w:t>_i)</w:t>
      </w:r>
    </w:p>
    <w:p w14:paraId="633C0C21"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where:</w:t>
      </w:r>
    </w:p>
    <w:p w14:paraId="11AA408F"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p_y represents unit value of food or biological output;</w:t>
      </w:r>
    </w:p>
    <w:p w14:paraId="4B7B5702"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p_c represents carbon-related value where admissible;</w:t>
      </w:r>
    </w:p>
    <w:p w14:paraId="55C5D63F"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p_w represents water-retention or hydrological value where admissible;</w:t>
      </w:r>
    </w:p>
    <w:p w14:paraId="21B905A8"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p_b represents biodiversity or habitat value where admissible;</w:t>
      </w:r>
    </w:p>
    <w:p w14:paraId="521ABE8B"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lastRenderedPageBreak/>
        <w:t>p_s represents stability premium;</w:t>
      </w:r>
    </w:p>
    <w:p w14:paraId="670CC365" w14:textId="77777777" w:rsidR="009B5C78" w:rsidRPr="007E454C" w:rsidRDefault="009B5C78" w:rsidP="009B5C78">
      <w:pPr>
        <w:spacing w:line="360" w:lineRule="auto"/>
        <w:rPr>
          <w:rFonts w:ascii="Baskerville Old Face" w:hAnsi="Baskerville Old Face"/>
          <w:i/>
          <w:iCs/>
        </w:rPr>
      </w:pPr>
      <w:r w:rsidRPr="007E454C">
        <w:rPr>
          <w:rFonts w:ascii="Cambria" w:hAnsi="Cambria" w:cs="Cambria"/>
          <w:i/>
          <w:iCs/>
        </w:rPr>
        <w:t>Σ</w:t>
      </w:r>
      <w:r w:rsidRPr="007E454C">
        <w:rPr>
          <w:rFonts w:ascii="Baskerville Old Face" w:hAnsi="Baskerville Old Face"/>
          <w:i/>
          <w:iCs/>
        </w:rPr>
        <w:t>_i represents system resilience.</w:t>
      </w:r>
    </w:p>
    <w:p w14:paraId="6FB0DEEB"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This formulation should be interpreted carefully.</w:t>
      </w:r>
    </w:p>
    <w:p w14:paraId="6F64C66B"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It is not an automatic monetization formula.</w:t>
      </w:r>
    </w:p>
    <w:p w14:paraId="081CEA31"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It is a conceptual bridge from ecological intelligence to OHE valuation and later PRU logic.</w:t>
      </w:r>
    </w:p>
    <w:p w14:paraId="7B1A0286" w14:textId="4F1DAFE7" w:rsidR="00B669EA" w:rsidRPr="007E454C" w:rsidRDefault="00B669EA" w:rsidP="009B5C78">
      <w:pPr>
        <w:spacing w:line="360" w:lineRule="auto"/>
        <w:rPr>
          <w:rFonts w:ascii="Baskerville Old Face" w:hAnsi="Baskerville Old Face"/>
          <w:i/>
          <w:iCs/>
        </w:rPr>
      </w:pPr>
      <w:r w:rsidRPr="007E454C">
        <w:rPr>
          <w:rFonts w:ascii="Baskerville Old Face" w:hAnsi="Baskerville Old Face"/>
          <w:i/>
          <w:iCs/>
        </w:rPr>
        <w:t>Only value components supported by evidence, verification, admissibility, legal structure, and anti-double-counting controls may enter PRU value analysis or legally structured financial interpretation, valuation, or instrument design where applicable.</w:t>
      </w:r>
    </w:p>
    <w:p w14:paraId="35DC4C78"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11. MRV translation of the syntropic model</w:t>
      </w:r>
    </w:p>
    <w:p w14:paraId="5F6E6DFC"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The mathematical model becomes operational only if variables can be translated into measurable indicators.</w:t>
      </w:r>
    </w:p>
    <w:p w14:paraId="2A7E46F2"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Prometheus therefore uses the following translation pathway:</w:t>
      </w:r>
    </w:p>
    <w:p w14:paraId="1ACCAEB5" w14:textId="1EF86D4B" w:rsidR="00AB066C" w:rsidRPr="007E454C" w:rsidRDefault="00AB066C" w:rsidP="00AB066C">
      <w:pPr>
        <w:spacing w:line="360" w:lineRule="auto"/>
        <w:rPr>
          <w:rFonts w:ascii="Times New Roman" w:hAnsi="Times New Roman" w:cs="Times New Roman"/>
          <w:i/>
          <w:iCs/>
        </w:rPr>
      </w:pPr>
      <w:r w:rsidRPr="007E454C">
        <w:rPr>
          <w:rFonts w:ascii="Baskerville Old Face" w:hAnsi="Baskerville Old Face"/>
          <w:i/>
          <w:iCs/>
        </w:rPr>
        <w:t>validated indicator</w:t>
      </w:r>
      <w:r w:rsidR="009B5C78" w:rsidRPr="007E454C">
        <w:rPr>
          <w:rFonts w:ascii="Times New Roman" w:hAnsi="Times New Roman" w:cs="Times New Roman"/>
          <w:i/>
          <w:iCs/>
        </w:rPr>
        <w:t>→</w:t>
      </w:r>
      <w:r w:rsidR="009B5C78" w:rsidRPr="007E454C">
        <w:rPr>
          <w:rFonts w:ascii="Baskerville Old Face" w:hAnsi="Baskerville Old Face"/>
          <w:i/>
          <w:iCs/>
        </w:rPr>
        <w:t xml:space="preserve"> </w:t>
      </w:r>
      <w:r w:rsidR="001C094B" w:rsidRPr="007E454C">
        <w:rPr>
          <w:rFonts w:ascii="Baskerville Old Face" w:hAnsi="Baskerville Old Face"/>
          <w:i/>
          <w:iCs/>
        </w:rPr>
        <w:t xml:space="preserve">PRU value-analysis layer </w:t>
      </w:r>
      <w:r w:rsidR="009B5C78" w:rsidRPr="007E454C">
        <w:rPr>
          <w:rFonts w:ascii="Times New Roman" w:hAnsi="Times New Roman" w:cs="Times New Roman"/>
          <w:i/>
          <w:iCs/>
        </w:rPr>
        <w:t>→</w:t>
      </w:r>
      <w:r w:rsidR="009B5C78" w:rsidRPr="007E454C">
        <w:rPr>
          <w:rFonts w:ascii="Baskerville Old Face" w:hAnsi="Baskerville Old Face"/>
          <w:i/>
          <w:iCs/>
        </w:rPr>
        <w:t xml:space="preserve"> </w:t>
      </w:r>
      <w:r w:rsidRPr="007E454C">
        <w:rPr>
          <w:rFonts w:ascii="Baskerville Old Face" w:hAnsi="Baskerville Old Face"/>
          <w:i/>
          <w:iCs/>
        </w:rPr>
        <w:t xml:space="preserve">PRU maturity class </w:t>
      </w:r>
      <w:r w:rsidR="009B5C78" w:rsidRPr="007E454C">
        <w:rPr>
          <w:rFonts w:ascii="Times New Roman" w:hAnsi="Times New Roman" w:cs="Times New Roman"/>
          <w:i/>
          <w:iCs/>
        </w:rPr>
        <w:t>→</w:t>
      </w:r>
      <w:r w:rsidRPr="007E454C">
        <w:rPr>
          <w:rFonts w:ascii="Baskerville Old Face" w:hAnsi="Baskerville Old Face"/>
          <w:i/>
          <w:iCs/>
        </w:rPr>
        <w:t xml:space="preserve"> </w:t>
      </w:r>
      <w:r w:rsidRPr="007E454C">
        <w:rPr>
          <w:rFonts w:ascii="Times New Roman" w:hAnsi="Times New Roman" w:cs="Times New Roman"/>
          <w:i/>
          <w:iCs/>
        </w:rPr>
        <w:t>Regenerative Asset Pool</w:t>
      </w:r>
    </w:p>
    <w:p w14:paraId="706BBE48" w14:textId="77777777" w:rsidR="00AB066C" w:rsidRPr="007E454C" w:rsidRDefault="009B5C78" w:rsidP="00AB066C">
      <w:pPr>
        <w:spacing w:line="360" w:lineRule="auto"/>
        <w:rPr>
          <w:rFonts w:ascii="Baskerville Old Face" w:hAnsi="Baskerville Old Face"/>
          <w:i/>
          <w:iCs/>
        </w:rPr>
      </w:pPr>
      <w:r w:rsidRPr="007E454C">
        <w:rPr>
          <w:rFonts w:ascii="Baskerville Old Face" w:hAnsi="Baskerville Old Face"/>
          <w:i/>
          <w:iCs/>
        </w:rPr>
        <w:t xml:space="preserve"> </w:t>
      </w:r>
      <w:r w:rsidRPr="007E454C">
        <w:rPr>
          <w:rFonts w:ascii="Times New Roman" w:hAnsi="Times New Roman" w:cs="Times New Roman"/>
          <w:i/>
          <w:iCs/>
        </w:rPr>
        <w:t>→</w:t>
      </w:r>
      <w:r w:rsidRPr="007E454C">
        <w:rPr>
          <w:rFonts w:ascii="Baskerville Old Face" w:hAnsi="Baskerville Old Face"/>
          <w:i/>
          <w:iCs/>
        </w:rPr>
        <w:t xml:space="preserve"> </w:t>
      </w:r>
      <w:r w:rsidR="00AB066C" w:rsidRPr="007E454C">
        <w:rPr>
          <w:rFonts w:ascii="Baskerville Old Face" w:hAnsi="Baskerville Old Face"/>
          <w:i/>
          <w:iCs/>
        </w:rPr>
        <w:t>legal or institutional wrapper</w:t>
      </w:r>
    </w:p>
    <w:p w14:paraId="16BAC172" w14:textId="4A21D516"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This matters because several important variables, such as effective mycorrhizal connectivity or biochemical signaling intensity, are only partially observable in routine field conditions.</w:t>
      </w:r>
    </w:p>
    <w:p w14:paraId="159BE059"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They should not be reduced to single simplistic measurements.</w:t>
      </w:r>
    </w:p>
    <w:p w14:paraId="17FA7713"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They should be inferred through proxy bundles, direct testing where available, and validated performance patterns over time.</w:t>
      </w:r>
    </w:p>
    <w:p w14:paraId="7EB6C4FA"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The MRV system should be structured into five main indicator families.</w:t>
      </w:r>
    </w:p>
    <w:p w14:paraId="44AFAA0C"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A. Hydrological intelligence indicators</w:t>
      </w:r>
    </w:p>
    <w:p w14:paraId="221B78AF"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These indicators operationalize water availability, infiltration, retention, runoff reduction, and water-use efficiency.</w:t>
      </w:r>
    </w:p>
    <w:p w14:paraId="12F1A1C0"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Core indicators may include:</w:t>
      </w:r>
    </w:p>
    <w:p w14:paraId="5AD703D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lastRenderedPageBreak/>
        <w:t>volumetric soil moisture at multiple depths;</w:t>
      </w:r>
    </w:p>
    <w:p w14:paraId="05BC093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infiltration rate;</w:t>
      </w:r>
    </w:p>
    <w:p w14:paraId="19B9FA84"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water retention after rainfall;</w:t>
      </w:r>
    </w:p>
    <w:p w14:paraId="0ECC5FA4"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runoff reduction;</w:t>
      </w:r>
    </w:p>
    <w:p w14:paraId="517DC73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irrigation water applied per unit output;</w:t>
      </w:r>
    </w:p>
    <w:p w14:paraId="615011AC"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vegetation response after rainfall;</w:t>
      </w:r>
    </w:p>
    <w:p w14:paraId="57C2D00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drought-response behavior.</w:t>
      </w:r>
    </w:p>
    <w:p w14:paraId="67B3362B"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Suggested notation:</w:t>
      </w:r>
    </w:p>
    <w:p w14:paraId="6131EE1B"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H_1 = soil moisture stability</w:t>
      </w:r>
    </w:p>
    <w:p w14:paraId="53885D85"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H_2 = infiltration capacity</w:t>
      </w:r>
    </w:p>
    <w:p w14:paraId="31789DBF"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H_3 = water productivity = Y / irrigation and effective rainfall use</w:t>
      </w:r>
    </w:p>
    <w:p w14:paraId="7B486779"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Interpretation:</w:t>
      </w:r>
    </w:p>
    <w:p w14:paraId="23B68AEA" w14:textId="77777777" w:rsidR="009B5C78" w:rsidRPr="007E454C" w:rsidRDefault="009B5C78" w:rsidP="009B5C78">
      <w:pPr>
        <w:spacing w:line="360" w:lineRule="auto"/>
        <w:rPr>
          <w:rFonts w:ascii="Baskerville Old Face" w:hAnsi="Baskerville Old Face"/>
          <w:i/>
          <w:iCs/>
        </w:rPr>
      </w:pPr>
      <w:r w:rsidRPr="007E454C">
        <w:rPr>
          <w:rFonts w:ascii="Baskerville Old Face" w:hAnsi="Baskerville Old Face"/>
          <w:i/>
          <w:iCs/>
        </w:rPr>
        <w:t>increasing H_1 and H_2 may indicate stronger hydrological resilience;</w:t>
      </w:r>
    </w:p>
    <w:p w14:paraId="2CFBF386" w14:textId="77777777" w:rsidR="009B5C78" w:rsidRPr="00B479AE" w:rsidRDefault="009B5C78" w:rsidP="009B5C78">
      <w:pPr>
        <w:spacing w:line="360" w:lineRule="auto"/>
        <w:rPr>
          <w:rFonts w:ascii="Baskerville Old Face" w:hAnsi="Baskerville Old Face"/>
          <w:i/>
          <w:iCs/>
        </w:rPr>
      </w:pPr>
      <w:r w:rsidRPr="007E454C">
        <w:rPr>
          <w:rFonts w:ascii="Baskerville Old Face" w:hAnsi="Baskerville Old Face"/>
          <w:i/>
          <w:iCs/>
        </w:rPr>
        <w:t>increasing H_3 may indicate better conversion of water into food, biomass, and productive function</w:t>
      </w:r>
      <w:r w:rsidRPr="00B479AE">
        <w:rPr>
          <w:rFonts w:ascii="Baskerville Old Face" w:hAnsi="Baskerville Old Face"/>
          <w:i/>
          <w:iCs/>
        </w:rPr>
        <w:t>.</w:t>
      </w:r>
    </w:p>
    <w:p w14:paraId="58BA1E37"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B. Soil metabolic indicators</w:t>
      </w:r>
    </w:p>
    <w:p w14:paraId="7726093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These indicators operationalize organic matter, microbial function, earthworm activity, structure, and buffering capacity.</w:t>
      </w:r>
    </w:p>
    <w:p w14:paraId="093C1F4F"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Core indicators may include:</w:t>
      </w:r>
    </w:p>
    <w:p w14:paraId="6289C04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soil organic carbon;</w:t>
      </w:r>
    </w:p>
    <w:p w14:paraId="59A29F43"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organic matter;</w:t>
      </w:r>
    </w:p>
    <w:p w14:paraId="4EC4B903"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labile carbon fractions;</w:t>
      </w:r>
    </w:p>
    <w:p w14:paraId="6BFA829A"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microbial biomass carbon;</w:t>
      </w:r>
    </w:p>
    <w:p w14:paraId="047137F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lastRenderedPageBreak/>
        <w:t>earthworm abundance or biomass;</w:t>
      </w:r>
    </w:p>
    <w:p w14:paraId="067CFFD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bulk density;</w:t>
      </w:r>
    </w:p>
    <w:p w14:paraId="046F66F3"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aggregate stability;</w:t>
      </w:r>
    </w:p>
    <w:p w14:paraId="40CD2037"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pH;</w:t>
      </w:r>
    </w:p>
    <w:p w14:paraId="1859B0B4"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salinity;</w:t>
      </w:r>
    </w:p>
    <w:p w14:paraId="43DCB13F"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key microelements;</w:t>
      </w:r>
    </w:p>
    <w:p w14:paraId="04889F2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root health.</w:t>
      </w:r>
    </w:p>
    <w:p w14:paraId="084E1F71"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Suggested notation:</w:t>
      </w:r>
    </w:p>
    <w:p w14:paraId="3818F317"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S_1 = soil organic carbon</w:t>
      </w:r>
    </w:p>
    <w:p w14:paraId="3032864F"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S_2 = microbial biomass</w:t>
      </w:r>
    </w:p>
    <w:p w14:paraId="1D574D15"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S_3 = earthworm activity</w:t>
      </w:r>
    </w:p>
    <w:p w14:paraId="3934E3F0"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S_4 = soil structure score</w:t>
      </w:r>
    </w:p>
    <w:p w14:paraId="3D1948B4"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Interpretation:</w:t>
      </w:r>
    </w:p>
    <w:p w14:paraId="0E06E50E"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increasing S_1 and S_2 may indicate stronger soil metabolic capacity;</w:t>
      </w:r>
    </w:p>
    <w:p w14:paraId="398DFE63" w14:textId="77777777" w:rsidR="009B5C78" w:rsidRPr="00B479AE" w:rsidRDefault="009B5C78" w:rsidP="009B5C78">
      <w:pPr>
        <w:spacing w:line="360" w:lineRule="auto"/>
        <w:rPr>
          <w:rFonts w:ascii="Baskerville Old Face" w:hAnsi="Baskerville Old Face"/>
          <w:i/>
          <w:iCs/>
        </w:rPr>
      </w:pPr>
      <w:r w:rsidRPr="002E5EB1">
        <w:rPr>
          <w:rFonts w:ascii="Baskerville Old Face" w:hAnsi="Baskerville Old Face"/>
          <w:i/>
          <w:iCs/>
        </w:rPr>
        <w:t>increasing S_3 and S_4 may indicate more active bioturbation, aggregation</w:t>
      </w:r>
      <w:r w:rsidRPr="00B479AE">
        <w:rPr>
          <w:rFonts w:ascii="Baskerville Old Face" w:hAnsi="Baskerville Old Face"/>
          <w:i/>
          <w:iCs/>
        </w:rPr>
        <w:t>, and physical structure.</w:t>
      </w:r>
    </w:p>
    <w:p w14:paraId="1764ED91"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C. Mycorrhizal and network indicators</w:t>
      </w:r>
    </w:p>
    <w:p w14:paraId="15FA7FB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Direct continuous measurement of complete mycorrhizal networks is difficult in operational MRV.</w:t>
      </w:r>
    </w:p>
    <w:p w14:paraId="460321A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Prometheus therefore distinguishes direct indicators from inferred network indicators.</w:t>
      </w:r>
    </w:p>
    <w:p w14:paraId="012E8253"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Direct indicators may include:</w:t>
      </w:r>
    </w:p>
    <w:p w14:paraId="704A534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root colonization by arbuscular or ectomycorrhizal fungi;</w:t>
      </w:r>
    </w:p>
    <w:p w14:paraId="6E6A0D01"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fungal richness or presence from periodic assays;</w:t>
      </w:r>
    </w:p>
    <w:p w14:paraId="7581E3E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root health;</w:t>
      </w:r>
    </w:p>
    <w:p w14:paraId="131147E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lastRenderedPageBreak/>
        <w:t>hub-plant or legacy-tree retention;</w:t>
      </w:r>
    </w:p>
    <w:p w14:paraId="19010054"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spatial proximity to likely ecological support nodes.</w:t>
      </w:r>
    </w:p>
    <w:p w14:paraId="567656F4"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Inferred indicators may include:</w:t>
      </w:r>
    </w:p>
    <w:p w14:paraId="14F2B093"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reduced seedling mortality;</w:t>
      </w:r>
    </w:p>
    <w:p w14:paraId="3D6CBA64"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improved drought performance;</w:t>
      </w:r>
    </w:p>
    <w:p w14:paraId="0F3750A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synchronized recovery after stress;</w:t>
      </w:r>
    </w:p>
    <w:p w14:paraId="581D73E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stronger performance near ecological hub plants;</w:t>
      </w:r>
    </w:p>
    <w:p w14:paraId="7CF433F7"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reduced output variance in connected zones.</w:t>
      </w:r>
    </w:p>
    <w:p w14:paraId="3F7A7CC6"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Suggested notation:</w:t>
      </w:r>
    </w:p>
    <w:p w14:paraId="59117D16"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F_1 = mycorrhizal colonization rate</w:t>
      </w:r>
    </w:p>
    <w:p w14:paraId="0EF8A7EF"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F_2 = network support index</w:t>
      </w:r>
    </w:p>
    <w:p w14:paraId="744F47B9"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F_3 = hub connectivity proxy</w:t>
      </w:r>
    </w:p>
    <w:p w14:paraId="207F847D"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Interpretation:</w:t>
      </w:r>
    </w:p>
    <w:p w14:paraId="570A61B0"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F_1 is more directly measurable through sampling;</w:t>
      </w:r>
    </w:p>
    <w:p w14:paraId="44527235"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F_2 and F_3 are composite indicators derived from performance patterns, ecological layout, species design, and field evidence.</w:t>
      </w:r>
    </w:p>
    <w:p w14:paraId="29F429DB"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D. Biochemical and defensive intelligence indicators</w:t>
      </w:r>
    </w:p>
    <w:p w14:paraId="16F67ECB"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Secondary metabolites and VOCs are scientifically important, but expensive to monitor continuously.</w:t>
      </w:r>
    </w:p>
    <w:p w14:paraId="096AE91F"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They should be handled through tiers.</w:t>
      </w:r>
    </w:p>
    <w:p w14:paraId="657E06A7"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Direct indicators, where available, may include:</w:t>
      </w:r>
    </w:p>
    <w:p w14:paraId="2ED21DF2"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targeted assays for phenolics, terpenes, or other compounds;</w:t>
      </w:r>
    </w:p>
    <w:p w14:paraId="4DD38842"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leaf or root stress chemistry panels;</w:t>
      </w:r>
    </w:p>
    <w:p w14:paraId="471F206C"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lastRenderedPageBreak/>
        <w:t>VOC snapshots in research-grade pilots.</w:t>
      </w:r>
    </w:p>
    <w:p w14:paraId="102B9DEA"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Operational proxies may include:</w:t>
      </w:r>
    </w:p>
    <w:p w14:paraId="7455C2D7"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herbivory damage score;</w:t>
      </w:r>
    </w:p>
    <w:p w14:paraId="1920B21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disease incidence;</w:t>
      </w:r>
    </w:p>
    <w:p w14:paraId="165CB2C3"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stress-recovery time;</w:t>
      </w:r>
    </w:p>
    <w:p w14:paraId="7D42A23A"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neighboring plant defense response;</w:t>
      </w:r>
    </w:p>
    <w:p w14:paraId="00567E8A"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mortality after disturbance;</w:t>
      </w:r>
    </w:p>
    <w:p w14:paraId="1141242A"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recovery speed after drought or heat stress.</w:t>
      </w:r>
    </w:p>
    <w:p w14:paraId="0B15234C"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Suggested notation:</w:t>
      </w:r>
    </w:p>
    <w:p w14:paraId="44F7D9C1"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B_1 = secondary metabolite assay index</w:t>
      </w:r>
    </w:p>
    <w:p w14:paraId="7369A785"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B_2 = stress response score</w:t>
      </w:r>
    </w:p>
    <w:p w14:paraId="374C86A3"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B_3 = defense coordination proxy</w:t>
      </w:r>
    </w:p>
    <w:p w14:paraId="0DD5F5A8"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Interpretation:</w:t>
      </w:r>
    </w:p>
    <w:p w14:paraId="643DEAB9"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in early pilots, B_2 and B_3 may be more realistic;</w:t>
      </w:r>
    </w:p>
    <w:p w14:paraId="366299FE"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in research-enhanced pilots, B_1 can be progressively added.</w:t>
      </w:r>
    </w:p>
    <w:p w14:paraId="7FBA767E"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E. Productive and economic indicators</w:t>
      </w:r>
    </w:p>
    <w:p w14:paraId="2F60BC1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These indicators connect ecological performance to OHE and PRU relevance.</w:t>
      </w:r>
    </w:p>
    <w:p w14:paraId="2D1C324B"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Core indicators may include:</w:t>
      </w:r>
    </w:p>
    <w:p w14:paraId="2DC237B8"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edible biomass output;</w:t>
      </w:r>
    </w:p>
    <w:p w14:paraId="0EE06AD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crop diversity;</w:t>
      </w:r>
    </w:p>
    <w:p w14:paraId="526F30D0"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temporal distribution of yield;</w:t>
      </w:r>
    </w:p>
    <w:p w14:paraId="0EB087B0"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external input dependency;</w:t>
      </w:r>
    </w:p>
    <w:p w14:paraId="2552228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lastRenderedPageBreak/>
        <w:t>mortality or replacement rate;</w:t>
      </w:r>
    </w:p>
    <w:p w14:paraId="5B03B311"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output variance;</w:t>
      </w:r>
    </w:p>
    <w:p w14:paraId="37F9701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productive stability under stress;</w:t>
      </w:r>
    </w:p>
    <w:p w14:paraId="774DDED2"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revenue or substitution value where applicable.</w:t>
      </w:r>
    </w:p>
    <w:p w14:paraId="016A0E89"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Suggested notation:</w:t>
      </w:r>
    </w:p>
    <w:p w14:paraId="5CBC5524"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Y_1 = edible yield</w:t>
      </w:r>
    </w:p>
    <w:p w14:paraId="401B28D6"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Y_2 = diversity-adjusted yield</w:t>
      </w:r>
    </w:p>
    <w:p w14:paraId="6CFA681D"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Y_3 = yield stability</w:t>
      </w:r>
    </w:p>
    <w:p w14:paraId="5D792096"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Y_4 = input independence score</w:t>
      </w:r>
    </w:p>
    <w:p w14:paraId="0AE404AB"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Interpretation:</w:t>
      </w:r>
    </w:p>
    <w:p w14:paraId="6893D65B"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the key claim is not only higher yield.</w:t>
      </w:r>
    </w:p>
    <w:p w14:paraId="0A9350C8"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The key claim is higher productive stability under lower external input dependency.</w:t>
      </w:r>
    </w:p>
    <w:p w14:paraId="508EB57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12. Composite indices</w:t>
      </w:r>
    </w:p>
    <w:p w14:paraId="5F7C4710" w14:textId="0BDEB484" w:rsidR="00774E81" w:rsidRPr="00B479AE" w:rsidRDefault="00774E81" w:rsidP="009B5C78">
      <w:pPr>
        <w:spacing w:line="360" w:lineRule="auto"/>
        <w:rPr>
          <w:rFonts w:ascii="Baskerville Old Face" w:hAnsi="Baskerville Old Face"/>
          <w:i/>
          <w:iCs/>
        </w:rPr>
      </w:pPr>
      <w:r w:rsidRPr="00B479AE">
        <w:rPr>
          <w:rFonts w:ascii="Baskerville Old Face" w:hAnsi="Baskerville Old Face"/>
          <w:i/>
          <w:iCs/>
        </w:rPr>
        <w:t>To make the system usable for comparison, PRU value analysis, maturity classification, and future capital-readiness interpretation, raw indicators may be aggregated into composite indices.</w:t>
      </w:r>
    </w:p>
    <w:p w14:paraId="27AE8D4D" w14:textId="02284F71"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These indices are not final truth.</w:t>
      </w:r>
    </w:p>
    <w:p w14:paraId="6E6F9637"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They are structured instruments for interpretation.</w:t>
      </w:r>
    </w:p>
    <w:p w14:paraId="49E2B49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Syntropic Resilience Index</w:t>
      </w:r>
    </w:p>
    <w:p w14:paraId="1937D5F6"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SRI = w_HH + w_SS + w_FF + w_BB</w:t>
      </w:r>
    </w:p>
    <w:p w14:paraId="0E17F990"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where:</w:t>
      </w:r>
    </w:p>
    <w:p w14:paraId="48CDCFD2"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H is the hydrological block;</w:t>
      </w:r>
    </w:p>
    <w:p w14:paraId="1AAA8235"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S is the soil metabolic block;</w:t>
      </w:r>
    </w:p>
    <w:p w14:paraId="1A51F9B5"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lastRenderedPageBreak/>
        <w:t>F is the mycorrhizal and network block;</w:t>
      </w:r>
    </w:p>
    <w:p w14:paraId="55E54F0C"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B is the biochemical and defensive block.</w:t>
      </w:r>
    </w:p>
    <w:p w14:paraId="59166556"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Purpose:</w:t>
      </w:r>
    </w:p>
    <w:p w14:paraId="4B3A763F"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to measure the internal adaptive strength of the OHE;</w:t>
      </w:r>
    </w:p>
    <w:p w14:paraId="1CD73F35"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to support resilience and risk-compression analysis.</w:t>
      </w:r>
    </w:p>
    <w:p w14:paraId="08A09273"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Regenerative Productivity Index</w:t>
      </w:r>
    </w:p>
    <w:p w14:paraId="131EF01D"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RPI = a_1Y_1 + a_2Y_2 + a_3Y_3 + a_4Y_4</w:t>
      </w:r>
    </w:p>
    <w:p w14:paraId="24EE5411"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Purpose:</w:t>
      </w:r>
    </w:p>
    <w:p w14:paraId="661BC73F"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to measure productive function adjusted for diversity, stability, temporal distribution, and input dependency.</w:t>
      </w:r>
    </w:p>
    <w:p w14:paraId="52B7A922"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Cooperative Ecological Surplus Index</w:t>
      </w:r>
    </w:p>
    <w:p w14:paraId="6AE050BF"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CESI = b_1F_2 + b_2B_3 + b_3S_3 + b_4</w:t>
      </w:r>
      <w:r w:rsidRPr="002E5EB1">
        <w:rPr>
          <w:rFonts w:ascii="Cambria" w:hAnsi="Cambria" w:cs="Cambria"/>
          <w:i/>
          <w:iCs/>
        </w:rPr>
        <w:t>Δ</w:t>
      </w:r>
      <w:r w:rsidRPr="002E5EB1">
        <w:rPr>
          <w:rFonts w:ascii="Baskerville Old Face" w:hAnsi="Baskerville Old Face"/>
          <w:i/>
          <w:iCs/>
        </w:rPr>
        <w:t>Y^network</w:t>
      </w:r>
    </w:p>
    <w:p w14:paraId="3A868F98"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 xml:space="preserve">where </w:t>
      </w:r>
      <w:r w:rsidRPr="002E5EB1">
        <w:rPr>
          <w:rFonts w:ascii="Cambria" w:hAnsi="Cambria" w:cs="Cambria"/>
          <w:i/>
          <w:iCs/>
        </w:rPr>
        <w:t>Δ</w:t>
      </w:r>
      <w:r w:rsidRPr="002E5EB1">
        <w:rPr>
          <w:rFonts w:ascii="Baskerville Old Face" w:hAnsi="Baskerville Old Face"/>
          <w:i/>
          <w:iCs/>
        </w:rPr>
        <w:t>Y^network represents measured surplus over isolated or simplified comparison systems.</w:t>
      </w:r>
    </w:p>
    <w:p w14:paraId="573F9CC0"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Purpose:</w:t>
      </w:r>
    </w:p>
    <w:p w14:paraId="3E6D461F"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to measure whether the system is producing cooperation-derived value, not merely individual plant output.</w:t>
      </w:r>
    </w:p>
    <w:p w14:paraId="0127DAF9"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This is one of the strongest conceptual bridges to valuation because it translates biological cooperation into a potentially measurable ecological surplus.</w:t>
      </w:r>
    </w:p>
    <w:p w14:paraId="71082F6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13. Validation hypotheses</w:t>
      </w:r>
    </w:p>
    <w:p w14:paraId="620FCEBF"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 model becomes credible only when it generates hypotheses that can be tested through MRV.</w:t>
      </w:r>
    </w:p>
    <w:p w14:paraId="137B67A8" w14:textId="650A0A6B" w:rsidR="009B5C78" w:rsidRDefault="009B5C78" w:rsidP="009B5C78">
      <w:pPr>
        <w:spacing w:line="360" w:lineRule="auto"/>
        <w:rPr>
          <w:rFonts w:ascii="Baskerville Old Face" w:hAnsi="Baskerville Old Face"/>
          <w:i/>
          <w:iCs/>
        </w:rPr>
      </w:pPr>
      <w:r w:rsidRPr="00B479AE">
        <w:rPr>
          <w:rFonts w:ascii="Baskerville Old Face" w:hAnsi="Baskerville Old Face"/>
          <w:i/>
          <w:iCs/>
        </w:rPr>
        <w:t>The main validation hypotheses include the following.</w:t>
      </w:r>
      <w:r w:rsidR="002E5EB1">
        <w:rPr>
          <w:rFonts w:ascii="Baskerville Old Face" w:hAnsi="Baskerville Old Face"/>
          <w:i/>
          <w:iCs/>
        </w:rPr>
        <w:t xml:space="preserve"> </w:t>
      </w:r>
    </w:p>
    <w:p w14:paraId="75B7A648" w14:textId="77777777" w:rsidR="002E5EB1" w:rsidRDefault="002E5EB1" w:rsidP="009B5C78">
      <w:pPr>
        <w:spacing w:line="360" w:lineRule="auto"/>
        <w:rPr>
          <w:rFonts w:ascii="Baskerville Old Face" w:hAnsi="Baskerville Old Face"/>
          <w:i/>
          <w:iCs/>
        </w:rPr>
      </w:pPr>
    </w:p>
    <w:p w14:paraId="5688DE08" w14:textId="77777777" w:rsidR="002E5EB1" w:rsidRPr="00B479AE" w:rsidRDefault="002E5EB1" w:rsidP="009B5C78">
      <w:pPr>
        <w:spacing w:line="360" w:lineRule="auto"/>
        <w:rPr>
          <w:rFonts w:ascii="Baskerville Old Face" w:hAnsi="Baskerville Old Face"/>
          <w:i/>
          <w:iCs/>
        </w:rPr>
      </w:pPr>
    </w:p>
    <w:p w14:paraId="00444B9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lastRenderedPageBreak/>
        <w:t>H1 — Mycorrhizal connectivity and variance</w:t>
      </w:r>
    </w:p>
    <w:p w14:paraId="57146BC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Higher mycorrhizal colonization or stronger network-support proxies should correlate with lower mortality, higher stability of water and nutrient states, and lower output variance under stress.</w:t>
      </w:r>
    </w:p>
    <w:p w14:paraId="457739D6"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Conceptual test:</w:t>
      </w:r>
    </w:p>
    <w:p w14:paraId="09F2A3BB"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∂Var(Y) / ∂F_1 &lt; 0</w:t>
      </w:r>
    </w:p>
    <w:p w14:paraId="3C80005F"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H2 — Soil biology and hydrological performance</w:t>
      </w:r>
    </w:p>
    <w:p w14:paraId="159B024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Higher earthworm activity and microbial biomass should correlate with higher infiltration and more stable moisture dynamics.</w:t>
      </w:r>
    </w:p>
    <w:p w14:paraId="76B2EF0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Conceptual tests:</w:t>
      </w:r>
    </w:p>
    <w:p w14:paraId="4988B0D7"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∂H_2 / ∂S_3 &gt; 0</w:t>
      </w:r>
    </w:p>
    <w:p w14:paraId="1BF50518"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∂H_2 / ∂S_2 &gt; 0</w:t>
      </w:r>
    </w:p>
    <w:p w14:paraId="21D12D28"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H3 — Organic matter and productive stability</w:t>
      </w:r>
    </w:p>
    <w:p w14:paraId="70BE1D4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Higher soil organic carbon or organic matter should correlate with improved water retention, lower drought sensitivity, and more stable productive performance.</w:t>
      </w:r>
    </w:p>
    <w:p w14:paraId="48767DD8"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Conceptual test:</w:t>
      </w:r>
    </w:p>
    <w:p w14:paraId="04C698EB"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∂Y_3 / ∂S_1 &gt; 0</w:t>
      </w:r>
    </w:p>
    <w:p w14:paraId="51E533DB"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H4 — Biochemical coordination and stress response</w:t>
      </w:r>
    </w:p>
    <w:p w14:paraId="6103332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Stronger biochemical or defensive-response indicators should correlate with reduced stress damage, faster recovery, or lower disease impact under comparable conditions.</w:t>
      </w:r>
    </w:p>
    <w:p w14:paraId="52CE036F"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Conceptual test:</w:t>
      </w:r>
    </w:p>
    <w:p w14:paraId="44668FDE"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∂StressDamage / ∂B_2 &lt; 0</w:t>
      </w:r>
    </w:p>
    <w:p w14:paraId="2584AE42" w14:textId="77777777" w:rsidR="002E5EB1" w:rsidRDefault="002E5EB1" w:rsidP="009B5C78">
      <w:pPr>
        <w:spacing w:line="360" w:lineRule="auto"/>
        <w:rPr>
          <w:rFonts w:ascii="Baskerville Old Face" w:hAnsi="Baskerville Old Face"/>
          <w:b/>
          <w:bCs/>
          <w:i/>
          <w:iCs/>
        </w:rPr>
      </w:pPr>
    </w:p>
    <w:p w14:paraId="0A67F568" w14:textId="77777777" w:rsidR="002E5EB1" w:rsidRDefault="002E5EB1" w:rsidP="009B5C78">
      <w:pPr>
        <w:spacing w:line="360" w:lineRule="auto"/>
        <w:rPr>
          <w:rFonts w:ascii="Baskerville Old Face" w:hAnsi="Baskerville Old Face"/>
          <w:b/>
          <w:bCs/>
          <w:i/>
          <w:iCs/>
        </w:rPr>
      </w:pPr>
    </w:p>
    <w:p w14:paraId="2DAA099F" w14:textId="6E1DDB03"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lastRenderedPageBreak/>
        <w:t>H5 — Networked syntropic systems and cooperative surplus</w:t>
      </w:r>
    </w:p>
    <w:p w14:paraId="6F3FE7A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A well-designed syntropic system should generate productivity, resilience, or stability greater than simplified isolated equivalents under comparable conditions.</w:t>
      </w:r>
    </w:p>
    <w:p w14:paraId="01A72281" w14:textId="77777777" w:rsidR="009B5C78" w:rsidRPr="002E5EB1" w:rsidRDefault="009B5C78" w:rsidP="009B5C78">
      <w:pPr>
        <w:spacing w:line="360" w:lineRule="auto"/>
        <w:rPr>
          <w:rFonts w:ascii="Baskerville Old Face" w:hAnsi="Baskerville Old Face"/>
          <w:i/>
          <w:iCs/>
        </w:rPr>
      </w:pPr>
      <w:r w:rsidRPr="00B479AE">
        <w:rPr>
          <w:rFonts w:ascii="Baskerville Old Face" w:hAnsi="Baskerville Old Face"/>
          <w:i/>
          <w:iCs/>
        </w:rPr>
        <w:t>Conceptual test:</w:t>
      </w:r>
    </w:p>
    <w:p w14:paraId="03E355C1"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 xml:space="preserve">Y_sys &gt; </w:t>
      </w:r>
      <w:r w:rsidRPr="002E5EB1">
        <w:rPr>
          <w:rFonts w:ascii="Cambria" w:hAnsi="Cambria" w:cs="Cambria"/>
          <w:i/>
          <w:iCs/>
        </w:rPr>
        <w:t>Σ</w:t>
      </w:r>
      <w:r w:rsidRPr="002E5EB1">
        <w:rPr>
          <w:rFonts w:ascii="Baskerville Old Face" w:hAnsi="Baskerville Old Face"/>
          <w:i/>
          <w:iCs/>
        </w:rPr>
        <w:t>_iY_i^isolated</w:t>
      </w:r>
    </w:p>
    <w:p w14:paraId="435D8B01" w14:textId="77777777" w:rsidR="009B5C78" w:rsidRPr="00B479AE" w:rsidRDefault="009B5C78" w:rsidP="009B5C78">
      <w:pPr>
        <w:spacing w:line="360" w:lineRule="auto"/>
        <w:rPr>
          <w:rFonts w:ascii="Baskerville Old Face" w:hAnsi="Baskerville Old Face"/>
          <w:i/>
          <w:iCs/>
        </w:rPr>
      </w:pPr>
      <w:r w:rsidRPr="002E5EB1">
        <w:rPr>
          <w:rFonts w:ascii="Baskerville Old Face" w:hAnsi="Baskerville Old Face"/>
          <w:i/>
          <w:iCs/>
        </w:rPr>
        <w:t>This is the single strongest validation</w:t>
      </w:r>
      <w:r w:rsidRPr="00B479AE">
        <w:rPr>
          <w:rFonts w:ascii="Baskerville Old Face" w:hAnsi="Baskerville Old Face"/>
          <w:i/>
          <w:iCs/>
        </w:rPr>
        <w:t xml:space="preserve"> claim for syntropic superiority.</w:t>
      </w:r>
    </w:p>
    <w:p w14:paraId="76AA8C0B"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It should be tested conservatively.</w:t>
      </w:r>
    </w:p>
    <w:p w14:paraId="07CB8B6B"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 purpose is not to assert superiority by doctrine.</w:t>
      </w:r>
    </w:p>
    <w:p w14:paraId="26B04072"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 purpose is to let evidence determine whether cooperative ecological design creates measurable surplus.</w:t>
      </w:r>
    </w:p>
    <w:p w14:paraId="52A50E3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14. Confidence scoring</w:t>
      </w:r>
    </w:p>
    <w:p w14:paraId="211EFB52"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Not every metric should count equally.</w:t>
      </w:r>
    </w:p>
    <w:p w14:paraId="3C9C3A21"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Each indicator should receive a confidence score.</w:t>
      </w:r>
    </w:p>
    <w:p w14:paraId="506EC673"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A simplified formulation is:</w:t>
      </w:r>
    </w:p>
    <w:p w14:paraId="44C0080A"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 xml:space="preserve">Conf_k = q_k </w:t>
      </w:r>
      <w:r w:rsidRPr="002E5EB1">
        <w:rPr>
          <w:rFonts w:ascii="Cambria" w:hAnsi="Cambria" w:cs="Cambria"/>
          <w:i/>
          <w:iCs/>
        </w:rPr>
        <w:t>·</w:t>
      </w:r>
      <w:r w:rsidRPr="002E5EB1">
        <w:rPr>
          <w:rFonts w:ascii="Baskerville Old Face" w:hAnsi="Baskerville Old Face"/>
          <w:i/>
          <w:iCs/>
        </w:rPr>
        <w:t xml:space="preserve"> f_k </w:t>
      </w:r>
      <w:r w:rsidRPr="002E5EB1">
        <w:rPr>
          <w:rFonts w:ascii="Cambria" w:hAnsi="Cambria" w:cs="Cambria"/>
          <w:i/>
          <w:iCs/>
        </w:rPr>
        <w:t>·</w:t>
      </w:r>
      <w:r w:rsidRPr="002E5EB1">
        <w:rPr>
          <w:rFonts w:ascii="Baskerville Old Face" w:hAnsi="Baskerville Old Face"/>
          <w:i/>
          <w:iCs/>
        </w:rPr>
        <w:t xml:space="preserve"> r_k</w:t>
      </w:r>
    </w:p>
    <w:p w14:paraId="16012E71"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where:</w:t>
      </w:r>
    </w:p>
    <w:p w14:paraId="465F717A"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q_k represents measurement quality;</w:t>
      </w:r>
    </w:p>
    <w:p w14:paraId="569139A6"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f_k represents sampling frequency;</w:t>
      </w:r>
    </w:p>
    <w:p w14:paraId="1C5D7777"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r_k represents replication, robustness, or cross-source confirmation.</w:t>
      </w:r>
    </w:p>
    <w:p w14:paraId="48BCC1C2"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Each composite indicator can then be adjusted:</w:t>
      </w:r>
    </w:p>
    <w:p w14:paraId="0C620BCB"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 xml:space="preserve">Index_adj = Index </w:t>
      </w:r>
      <w:r w:rsidRPr="002E5EB1">
        <w:rPr>
          <w:rFonts w:ascii="Cambria" w:hAnsi="Cambria" w:cs="Cambria"/>
          <w:i/>
          <w:iCs/>
        </w:rPr>
        <w:t>·</w:t>
      </w:r>
      <w:r w:rsidRPr="002E5EB1">
        <w:rPr>
          <w:rFonts w:ascii="Baskerville Old Face" w:hAnsi="Baskerville Old Face"/>
          <w:i/>
          <w:iCs/>
        </w:rPr>
        <w:t xml:space="preserve"> Conf</w:t>
      </w:r>
    </w:p>
    <w:p w14:paraId="286B15D5"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This prevents overclaiming.</w:t>
      </w:r>
    </w:p>
    <w:p w14:paraId="2F3150DD"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lastRenderedPageBreak/>
        <w:t>It allows a partially observed system to be interpreted, while ensuring that weak evidence is discounted.</w:t>
      </w:r>
    </w:p>
    <w:p w14:paraId="11F808E0"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This is crucial for investor trust.</w:t>
      </w:r>
    </w:p>
    <w:p w14:paraId="73794400"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A regenerative asset class cannot be built on beautiful claims with weak evidence.</w:t>
      </w:r>
    </w:p>
    <w:p w14:paraId="0E32B0E9"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It must be built on confidence-adjusted performance.</w:t>
      </w:r>
    </w:p>
    <w:p w14:paraId="49B98654"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15. Conservative OHE value uplift</w:t>
      </w:r>
    </w:p>
    <w:p w14:paraId="6D631A62"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 OHE value should not be increased by narrative claims.</w:t>
      </w:r>
    </w:p>
    <w:p w14:paraId="0DF80197"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It should increase only when the MRV layer demonstrates that resilience, water performance, soil function, productivity, and network coordination are improving.</w:t>
      </w:r>
    </w:p>
    <w:p w14:paraId="7E61A530"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A conservative conceptual formulation is:</w:t>
      </w:r>
    </w:p>
    <w:p w14:paraId="030B3081" w14:textId="77777777" w:rsidR="009B5C78" w:rsidRPr="005907F1" w:rsidRDefault="009B5C78" w:rsidP="009B5C78">
      <w:pPr>
        <w:spacing w:line="360" w:lineRule="auto"/>
        <w:rPr>
          <w:rFonts w:ascii="Baskerville Old Face" w:hAnsi="Baskerville Old Face"/>
          <w:i/>
          <w:iCs/>
          <w:lang w:val="it-IT"/>
        </w:rPr>
      </w:pPr>
      <w:r w:rsidRPr="005907F1">
        <w:rPr>
          <w:rFonts w:ascii="Baskerville Old Face" w:hAnsi="Baskerville Old Face"/>
          <w:i/>
          <w:iCs/>
          <w:lang w:val="it-IT"/>
        </w:rPr>
        <w:t xml:space="preserve">V_OHE^adj = V_base </w:t>
      </w:r>
      <w:r w:rsidRPr="005907F1">
        <w:rPr>
          <w:rFonts w:ascii="Cambria" w:hAnsi="Cambria" w:cs="Cambria"/>
          <w:i/>
          <w:iCs/>
          <w:lang w:val="it-IT"/>
        </w:rPr>
        <w:t>·</w:t>
      </w:r>
      <w:r w:rsidRPr="005907F1">
        <w:rPr>
          <w:rFonts w:ascii="Baskerville Old Face" w:hAnsi="Baskerville Old Face"/>
          <w:i/>
          <w:iCs/>
          <w:lang w:val="it-IT"/>
        </w:rPr>
        <w:t xml:space="preserve"> (1 + </w:t>
      </w:r>
      <w:r w:rsidRPr="002E5EB1">
        <w:rPr>
          <w:rFonts w:ascii="Cambria" w:hAnsi="Cambria" w:cs="Cambria"/>
          <w:i/>
          <w:iCs/>
        </w:rPr>
        <w:t>λ</w:t>
      </w:r>
      <w:r w:rsidRPr="005907F1">
        <w:rPr>
          <w:rFonts w:ascii="Baskerville Old Face" w:hAnsi="Baskerville Old Face"/>
          <w:i/>
          <w:iCs/>
          <w:lang w:val="it-IT"/>
        </w:rPr>
        <w:t xml:space="preserve">_1SRI + </w:t>
      </w:r>
      <w:r w:rsidRPr="002E5EB1">
        <w:rPr>
          <w:rFonts w:ascii="Cambria" w:hAnsi="Cambria" w:cs="Cambria"/>
          <w:i/>
          <w:iCs/>
        </w:rPr>
        <w:t>λ</w:t>
      </w:r>
      <w:r w:rsidRPr="005907F1">
        <w:rPr>
          <w:rFonts w:ascii="Baskerville Old Face" w:hAnsi="Baskerville Old Face"/>
          <w:i/>
          <w:iCs/>
          <w:lang w:val="it-IT"/>
        </w:rPr>
        <w:t xml:space="preserve">_2RPI + </w:t>
      </w:r>
      <w:r w:rsidRPr="002E5EB1">
        <w:rPr>
          <w:rFonts w:ascii="Cambria" w:hAnsi="Cambria" w:cs="Cambria"/>
          <w:i/>
          <w:iCs/>
        </w:rPr>
        <w:t>λ</w:t>
      </w:r>
      <w:r w:rsidRPr="005907F1">
        <w:rPr>
          <w:rFonts w:ascii="Baskerville Old Face" w:hAnsi="Baskerville Old Face"/>
          <w:i/>
          <w:iCs/>
          <w:lang w:val="it-IT"/>
        </w:rPr>
        <w:t>_3CESI)</w:t>
      </w:r>
    </w:p>
    <w:p w14:paraId="5F508753"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subject to:</w:t>
      </w:r>
    </w:p>
    <w:p w14:paraId="2F64596A"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confidence-score thresholds;</w:t>
      </w:r>
    </w:p>
    <w:p w14:paraId="37C71552"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anti-greenwashing rules;</w:t>
      </w:r>
    </w:p>
    <w:p w14:paraId="6B89AE2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no-double-counting controls;</w:t>
      </w:r>
    </w:p>
    <w:p w14:paraId="1BEACCF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methodology versioning;</w:t>
      </w:r>
    </w:p>
    <w:p w14:paraId="19C5B53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legal and contractual admissibility;</w:t>
      </w:r>
    </w:p>
    <w:p w14:paraId="50C69DA8"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separation between productive value, ecological value, and systemic value.</w:t>
      </w:r>
    </w:p>
    <w:p w14:paraId="6E9B0E38"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Interpretation:</w:t>
      </w:r>
    </w:p>
    <w:p w14:paraId="4D7D7287"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V_base remains the hard productive or cash-relevant value;</w:t>
      </w:r>
    </w:p>
    <w:p w14:paraId="609F8C5E"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SRI, RPI, and CESI may justify resilience or systemic-function premiums only when verified;</w:t>
      </w:r>
    </w:p>
    <w:p w14:paraId="63D8DE7E"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no premium should be recognized merely because a system is called regenerative.</w:t>
      </w:r>
    </w:p>
    <w:p w14:paraId="11DC7AA4" w14:textId="6D8CDC3E" w:rsidR="009B5C78" w:rsidRPr="002E5EB1" w:rsidRDefault="00112DE6" w:rsidP="009B5C78">
      <w:pPr>
        <w:spacing w:line="360" w:lineRule="auto"/>
        <w:rPr>
          <w:rFonts w:ascii="Baskerville Old Face" w:hAnsi="Baskerville Old Face"/>
          <w:i/>
          <w:iCs/>
        </w:rPr>
      </w:pPr>
      <w:r w:rsidRPr="002E5EB1">
        <w:rPr>
          <w:rFonts w:ascii="Baskerville Old Face" w:hAnsi="Baskerville Old Face"/>
          <w:i/>
          <w:iCs/>
        </w:rPr>
        <w:lastRenderedPageBreak/>
        <w:t>This is the correct bridge toward PRU value analysis and capital-readiness interpretation</w:t>
      </w:r>
      <w:r w:rsidR="009B5C78" w:rsidRPr="002E5EB1">
        <w:rPr>
          <w:rFonts w:ascii="Baskerville Old Face" w:hAnsi="Baskerville Old Face"/>
          <w:i/>
          <w:iCs/>
        </w:rPr>
        <w:t>.</w:t>
      </w:r>
    </w:p>
    <w:p w14:paraId="5259AA83"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It preserves ambition without weakening credibility.</w:t>
      </w:r>
    </w:p>
    <w:p w14:paraId="54EF41A0"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16. Normalized PRU value stack</w:t>
      </w:r>
    </w:p>
    <w:p w14:paraId="79B56F63"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 PRU value stack should be structured as a hierarchical, admissibility-constrained architecture.</w:t>
      </w:r>
    </w:p>
    <w:p w14:paraId="407F281E"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Layer 1 — Core productive value</w:t>
      </w:r>
    </w:p>
    <w:p w14:paraId="6932EA2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This includes directly observable and cash-relevant outputs, such as food production, household food substitution where measurable, direct sales, agroforestry products, local market integration, hospitality-linked production, education, or other operational revenue.</w:t>
      </w:r>
    </w:p>
    <w:p w14:paraId="614EB40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This layer forms the baseline for financial modeling.</w:t>
      </w:r>
    </w:p>
    <w:p w14:paraId="235DA87E"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Layer 2 — Ecological performance value</w:t>
      </w:r>
    </w:p>
    <w:p w14:paraId="5B15C0D7"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This includes carbon dynamics, hydrological performance, biodiversity, habitat function, soil regeneration, land resilience, input-dependency reduction, and productive stability.</w:t>
      </w:r>
    </w:p>
    <w:p w14:paraId="6C93D47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This layer becomes financially relevant only when measured, verified, confidence-scored, and connected to a recognized monetization, underwriting, insurance, procurement, or contractual pathway.</w:t>
      </w:r>
    </w:p>
    <w:p w14:paraId="7E4BBE2F"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Layer 3 — SyntroGIFT and systemic value</w:t>
      </w:r>
    </w:p>
    <w:p w14:paraId="3ACC1E2A"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This includes improved nutritional quality, embedded physical activity, nature exposure, preventive health potential, social coherence, and metabolic-resilience effects.</w:t>
      </w:r>
    </w:p>
    <w:p w14:paraId="43AE0C4C"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This layer may be strategically powerful, but it should remain outside base-case cash flows unless tied to explicit contractual mechanisms such as public procurement, insurer partnerships, food-as-medicine programs, preventive health initiatives, education, research, or wellness services.</w:t>
      </w:r>
    </w:p>
    <w:p w14:paraId="071A8DB0"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This structure ensures that PRU value does not aggregate value indiscriminately.</w:t>
      </w:r>
    </w:p>
    <w:p w14:paraId="20BA56C1"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It orders value by epistemic strength and financial admissibility.</w:t>
      </w:r>
    </w:p>
    <w:p w14:paraId="279EFE5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17. Ecological arbitrage</w:t>
      </w:r>
    </w:p>
    <w:p w14:paraId="198FE304"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 old model introduced an important concept that should be preserved: ecological arbitrage.</w:t>
      </w:r>
    </w:p>
    <w:p w14:paraId="4004C5A7"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lastRenderedPageBreak/>
        <w:t>Within Prometheus, ecological arbitrage does not mean speculative appreciation.</w:t>
      </w:r>
    </w:p>
    <w:p w14:paraId="121F702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It means the recognition gap between:</w:t>
      </w:r>
    </w:p>
    <w:p w14:paraId="5B1E9C3A"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under-recognized biological systems;</w:t>
      </w:r>
    </w:p>
    <w:p w14:paraId="405C33EA"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and verified, risk-compressed regenerative infrastructure.</w:t>
      </w:r>
    </w:p>
    <w:p w14:paraId="2C405F7E"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At deployment, a regenerative system may already contain latent biological value, but that value may be only partially visible to markets.</w:t>
      </w:r>
    </w:p>
    <w:p w14:paraId="3C9C2330"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As MRV improves, confidence increases, variance decreases, and resilience becomes measurable, the system may transition from:</w:t>
      </w:r>
    </w:p>
    <w:p w14:paraId="4CFECE0A"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implicit value</w:t>
      </w:r>
      <w:r w:rsidRPr="00B479AE">
        <w:rPr>
          <w:rFonts w:ascii="Baskerville Old Face" w:hAnsi="Baskerville Old Face"/>
          <w:i/>
          <w:iCs/>
        </w:rPr>
        <w:br/>
        <w:t>to measurable value</w:t>
      </w:r>
      <w:r w:rsidRPr="00B479AE">
        <w:rPr>
          <w:rFonts w:ascii="Baskerville Old Face" w:hAnsi="Baskerville Old Face"/>
          <w:i/>
          <w:iCs/>
        </w:rPr>
        <w:br/>
        <w:t>to verified value</w:t>
      </w:r>
      <w:r w:rsidRPr="00B479AE">
        <w:rPr>
          <w:rFonts w:ascii="Baskerville Old Face" w:hAnsi="Baskerville Old Face"/>
          <w:i/>
          <w:iCs/>
        </w:rPr>
        <w:br/>
        <w:t>to admissible value</w:t>
      </w:r>
      <w:r w:rsidRPr="00B479AE">
        <w:rPr>
          <w:rFonts w:ascii="Baskerville Old Face" w:hAnsi="Baskerville Old Face"/>
          <w:i/>
          <w:iCs/>
        </w:rPr>
        <w:br/>
        <w:t>to financeable value.</w:t>
      </w:r>
    </w:p>
    <w:p w14:paraId="66333B2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This is the mechanism through which Prometheus reveals and stabilizes value already generated by living systems.</w:t>
      </w:r>
    </w:p>
    <w:p w14:paraId="5940AED2" w14:textId="4BE6BC46"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Value is not created by financial abstraction.</w:t>
      </w:r>
      <w:r w:rsidR="000A3F1F" w:rsidRPr="00B479AE">
        <w:rPr>
          <w:rFonts w:ascii="Baskerville Old Face" w:hAnsi="Baskerville Old Face"/>
          <w:i/>
          <w:iCs/>
        </w:rPr>
        <w:t xml:space="preserve"> </w:t>
      </w:r>
      <w:r w:rsidRPr="00B479AE">
        <w:rPr>
          <w:rFonts w:ascii="Baskerville Old Face" w:hAnsi="Baskerville Old Face"/>
          <w:i/>
          <w:iCs/>
        </w:rPr>
        <w:t>Value is revealed, structured, and capitalized only when the living system demonstrates measurable regenerative performance.</w:t>
      </w:r>
      <w:r w:rsidR="000A3F1F" w:rsidRPr="00B479AE">
        <w:rPr>
          <w:rFonts w:ascii="Baskerville Old Face" w:hAnsi="Baskerville Old Face"/>
          <w:i/>
          <w:iCs/>
        </w:rPr>
        <w:t xml:space="preserve"> </w:t>
      </w:r>
    </w:p>
    <w:p w14:paraId="217F909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18. EPU intelligence layer</w:t>
      </w:r>
    </w:p>
    <w:p w14:paraId="35DAFD0C"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A mature OHE may be decomposed into Ecological Productive Units, or EPUs.</w:t>
      </w:r>
    </w:p>
    <w:p w14:paraId="2D2A896E"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An EPU is a functional sub-system within the OHE.</w:t>
      </w:r>
    </w:p>
    <w:p w14:paraId="53E71328"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Examples may include:</w:t>
      </w:r>
    </w:p>
    <w:p w14:paraId="62D6C95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aromatic layer;</w:t>
      </w:r>
    </w:p>
    <w:p w14:paraId="64F6BFFB"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complex orchard;</w:t>
      </w:r>
    </w:p>
    <w:p w14:paraId="692FF4EB"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pioneer orchard;</w:t>
      </w:r>
    </w:p>
    <w:p w14:paraId="6FD3DB6C"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hedge system;</w:t>
      </w:r>
    </w:p>
    <w:p w14:paraId="2D95A85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lastRenderedPageBreak/>
        <w:t>arboreal core;</w:t>
      </w:r>
    </w:p>
    <w:p w14:paraId="6167A682"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pollinator corridor;</w:t>
      </w:r>
    </w:p>
    <w:p w14:paraId="606BBD10"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annual crop zone;</w:t>
      </w:r>
    </w:p>
    <w:p w14:paraId="204107F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xerophytic boundary;</w:t>
      </w:r>
    </w:p>
    <w:p w14:paraId="79DBAA47"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water-retention zone;</w:t>
      </w:r>
    </w:p>
    <w:p w14:paraId="7B20694A"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soil-regeneration zone.</w:t>
      </w:r>
    </w:p>
    <w:p w14:paraId="257433B2"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Each EPU may have a different ecological signature.</w:t>
      </w:r>
    </w:p>
    <w:p w14:paraId="75EFF838"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Some zones may contribute more to productive output.</w:t>
      </w:r>
    </w:p>
    <w:p w14:paraId="12128444"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Some may contribute more to soil regeneration.</w:t>
      </w:r>
    </w:p>
    <w:p w14:paraId="6B68EB5C"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Some may contribute more to pollination, edge protection, biodiversity, microclimate, water retention, or cooperative surplus.</w:t>
      </w:r>
    </w:p>
    <w:p w14:paraId="331A0D47"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This allows granular analysis without fragmenting the ecological unity of the OHE.</w:t>
      </w:r>
    </w:p>
    <w:p w14:paraId="097C2327"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 purpose of EPU analysis is not to financialize every plant.</w:t>
      </w:r>
    </w:p>
    <w:p w14:paraId="7A5D582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It is to understand how different ecological functions contribute to total system resilience, productive stability, and PRU-relevant evidence.</w:t>
      </w:r>
    </w:p>
    <w:p w14:paraId="6A0B807F"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19. Risk compression mechanism</w:t>
      </w:r>
    </w:p>
    <w:p w14:paraId="564D681E"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Risk compression is one of the central bridges between ecological intelligence and finance.</w:t>
      </w:r>
    </w:p>
    <w:p w14:paraId="72A03AE2"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A simplified risk function may be expressed as:</w:t>
      </w:r>
    </w:p>
    <w:p w14:paraId="07FFF733"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R = f(</w:t>
      </w:r>
      <w:r w:rsidRPr="002E5EB1">
        <w:rPr>
          <w:rFonts w:ascii="Cambria" w:hAnsi="Cambria" w:cs="Cambria"/>
          <w:i/>
          <w:iCs/>
        </w:rPr>
        <w:t>σ</w:t>
      </w:r>
      <w:r w:rsidRPr="002E5EB1">
        <w:rPr>
          <w:rFonts w:ascii="Baskerville Old Face" w:hAnsi="Baskerville Old Face"/>
          <w:i/>
          <w:iCs/>
        </w:rPr>
        <w:t>_Y, D_inputs, S_stress)</w:t>
      </w:r>
    </w:p>
    <w:p w14:paraId="01BB2630"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where:</w:t>
      </w:r>
    </w:p>
    <w:p w14:paraId="03B4BDEF" w14:textId="77777777" w:rsidR="009B5C78" w:rsidRPr="002E5EB1" w:rsidRDefault="009B5C78" w:rsidP="009B5C78">
      <w:pPr>
        <w:spacing w:line="360" w:lineRule="auto"/>
        <w:rPr>
          <w:rFonts w:ascii="Baskerville Old Face" w:hAnsi="Baskerville Old Face"/>
          <w:i/>
          <w:iCs/>
        </w:rPr>
      </w:pPr>
      <w:r w:rsidRPr="002E5EB1">
        <w:rPr>
          <w:rFonts w:ascii="Cambria" w:hAnsi="Cambria" w:cs="Cambria"/>
          <w:i/>
          <w:iCs/>
        </w:rPr>
        <w:t>σ</w:t>
      </w:r>
      <w:r w:rsidRPr="002E5EB1">
        <w:rPr>
          <w:rFonts w:ascii="Baskerville Old Face" w:hAnsi="Baskerville Old Face"/>
          <w:i/>
          <w:iCs/>
        </w:rPr>
        <w:t>_Y represents yield or output variance;</w:t>
      </w:r>
    </w:p>
    <w:p w14:paraId="47E719AC"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D_inputs represents dependency on external inputs;</w:t>
      </w:r>
    </w:p>
    <w:p w14:paraId="07D0AD86"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lastRenderedPageBreak/>
        <w:t>S_stress represents ecological sensitivity to drought, disease, heat, salinity, pest pressure, or disturbance.</w:t>
      </w:r>
    </w:p>
    <w:p w14:paraId="6B9DB443"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A syntropic system may reduce risk through:</w:t>
      </w:r>
    </w:p>
    <w:p w14:paraId="1C194C3A"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soil buffering;</w:t>
      </w:r>
    </w:p>
    <w:p w14:paraId="118E177A"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water retention;</w:t>
      </w:r>
    </w:p>
    <w:p w14:paraId="132764F6"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fungal redistribution;</w:t>
      </w:r>
    </w:p>
    <w:p w14:paraId="6958E95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biochemical adaptation;</w:t>
      </w:r>
    </w:p>
    <w:p w14:paraId="12FC7C62"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trophic diversity;</w:t>
      </w:r>
    </w:p>
    <w:p w14:paraId="7B3C83E7"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successional design;</w:t>
      </w:r>
    </w:p>
    <w:p w14:paraId="5B9D3FFC"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input independence;</w:t>
      </w:r>
    </w:p>
    <w:p w14:paraId="3AAC852F"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biomass cycling;</w:t>
      </w:r>
    </w:p>
    <w:p w14:paraId="077E1F5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microclimate stabilization.</w:t>
      </w:r>
    </w:p>
    <w:p w14:paraId="0C85EA9C"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Conceptually:</w:t>
      </w:r>
    </w:p>
    <w:p w14:paraId="08862284"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∂R / ∂SRI &lt; 0</w:t>
      </w:r>
    </w:p>
    <w:p w14:paraId="1CE6CC24"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∂R / ∂RPI &lt; 0</w:t>
      </w:r>
    </w:p>
    <w:p w14:paraId="5D323EAB"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∂R / ∂CESI &lt; 0</w:t>
      </w:r>
    </w:p>
    <w:p w14:paraId="6B9B0BCC"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This does not mean risk disappears.</w:t>
      </w:r>
    </w:p>
    <w:p w14:paraId="36207D9B"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It means that verified improvements in resilience, productivity quality, and cooperative surplus may reduce specific risk factors over time.</w:t>
      </w:r>
    </w:p>
    <w:p w14:paraId="177F7DC0"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This is the underwriting logic beneath the PRU.</w:t>
      </w:r>
    </w:p>
    <w:p w14:paraId="1107EB72"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20. Time-positive asset dynamics</w:t>
      </w:r>
    </w:p>
    <w:p w14:paraId="77E02CD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Under verified regenerative conditions, an OHE may become more valuable as it matures.</w:t>
      </w:r>
    </w:p>
    <w:p w14:paraId="6E24DEF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lastRenderedPageBreak/>
        <w:t>This can be expressed conceptually as:</w:t>
      </w:r>
    </w:p>
    <w:p w14:paraId="178A7FA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dV / dt &gt; 0</w:t>
      </w:r>
    </w:p>
    <w:p w14:paraId="3750D083"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under conditions where:</w:t>
      </w:r>
    </w:p>
    <w:p w14:paraId="325C0210"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soil function improves;</w:t>
      </w:r>
    </w:p>
    <w:p w14:paraId="0EC7FCC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water retention increases;</w:t>
      </w:r>
    </w:p>
    <w:p w14:paraId="293A07E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network connectivity strengthens;</w:t>
      </w:r>
    </w:p>
    <w:p w14:paraId="324E3B67"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biological cooperation intensifies;</w:t>
      </w:r>
    </w:p>
    <w:p w14:paraId="7E49BC60"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yield variance decreases;</w:t>
      </w:r>
    </w:p>
    <w:p w14:paraId="6DCCA688"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input dependency declines;</w:t>
      </w:r>
    </w:p>
    <w:p w14:paraId="5F1DB2C1"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MRV confidence improves;</w:t>
      </w:r>
    </w:p>
    <w:p w14:paraId="115F7FF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operational knowledge accumulates.</w:t>
      </w:r>
    </w:p>
    <w:p w14:paraId="17BDD9A4"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This is not automatic appreciation.</w:t>
      </w:r>
    </w:p>
    <w:p w14:paraId="69531C0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It is conditional time-positive value formation.</w:t>
      </w:r>
    </w:p>
    <w:p w14:paraId="346816C2"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If the system is poorly designed, poorly managed, exposed to unmanaged stress, or unable to generate verified improvement, the condition fails.</w:t>
      </w:r>
    </w:p>
    <w:p w14:paraId="183DE9DE"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This boundary is essential.</w:t>
      </w:r>
    </w:p>
    <w:p w14:paraId="1A41B7E0"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Prometheus does not claim that time alone creates value.</w:t>
      </w:r>
    </w:p>
    <w:p w14:paraId="6637D820"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It claims that verified regenerative maturation may improve value quality over time.</w:t>
      </w:r>
    </w:p>
    <w:p w14:paraId="076B35F8"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21. Autopoietic regenerative intelligence layer</w:t>
      </w:r>
    </w:p>
    <w:p w14:paraId="3702259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Prometheus may evolve toward an autopoietic regenerative intelligence layer.</w:t>
      </w:r>
    </w:p>
    <w:p w14:paraId="6869CC8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This layer integrates:</w:t>
      </w:r>
    </w:p>
    <w:p w14:paraId="3DD9393B"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biophysical systems;</w:t>
      </w:r>
    </w:p>
    <w:p w14:paraId="51755783"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lastRenderedPageBreak/>
        <w:t>MRV data;</w:t>
      </w:r>
    </w:p>
    <w:p w14:paraId="1DAB169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operational records;</w:t>
      </w:r>
    </w:p>
    <w:p w14:paraId="478E0B60"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AI-assisted interpretation;</w:t>
      </w:r>
    </w:p>
    <w:p w14:paraId="2F57330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structured reasoning;</w:t>
      </w:r>
    </w:p>
    <w:p w14:paraId="3F4D3C28"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governance review;</w:t>
      </w:r>
    </w:p>
    <w:p w14:paraId="11098F3E"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PRU methodology;</w:t>
      </w:r>
    </w:p>
    <w:p w14:paraId="36C906A8"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capital allocation feedback.</w:t>
      </w:r>
    </w:p>
    <w:p w14:paraId="5911194C"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Its core function is:</w:t>
      </w:r>
    </w:p>
    <w:p w14:paraId="00045048"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 xml:space="preserve">uncertainty </w:t>
      </w:r>
      <w:r w:rsidRPr="002E5EB1">
        <w:rPr>
          <w:rFonts w:ascii="Times New Roman" w:hAnsi="Times New Roman" w:cs="Times New Roman"/>
          <w:i/>
          <w:iCs/>
        </w:rPr>
        <w:t>↓</w:t>
      </w:r>
      <w:r w:rsidRPr="002E5EB1">
        <w:rPr>
          <w:rFonts w:ascii="Baskerville Old Face" w:hAnsi="Baskerville Old Face"/>
          <w:i/>
          <w:iCs/>
        </w:rPr>
        <w:t xml:space="preserve"> </w:t>
      </w:r>
      <w:r w:rsidRPr="002E5EB1">
        <w:rPr>
          <w:rFonts w:ascii="Times New Roman" w:hAnsi="Times New Roman" w:cs="Times New Roman"/>
          <w:i/>
          <w:iCs/>
        </w:rPr>
        <w:t>→</w:t>
      </w:r>
      <w:r w:rsidRPr="002E5EB1">
        <w:rPr>
          <w:rFonts w:ascii="Baskerville Old Face" w:hAnsi="Baskerville Old Face"/>
          <w:i/>
          <w:iCs/>
        </w:rPr>
        <w:t xml:space="preserve"> predictability </w:t>
      </w:r>
      <w:r w:rsidRPr="002E5EB1">
        <w:rPr>
          <w:rFonts w:ascii="Times New Roman" w:hAnsi="Times New Roman" w:cs="Times New Roman"/>
          <w:i/>
          <w:iCs/>
        </w:rPr>
        <w:t>↑</w:t>
      </w:r>
      <w:r w:rsidRPr="002E5EB1">
        <w:rPr>
          <w:rFonts w:ascii="Baskerville Old Face" w:hAnsi="Baskerville Old Face"/>
          <w:i/>
          <w:iCs/>
        </w:rPr>
        <w:t xml:space="preserve"> </w:t>
      </w:r>
      <w:r w:rsidRPr="002E5EB1">
        <w:rPr>
          <w:rFonts w:ascii="Times New Roman" w:hAnsi="Times New Roman" w:cs="Times New Roman"/>
          <w:i/>
          <w:iCs/>
        </w:rPr>
        <w:t>→</w:t>
      </w:r>
      <w:r w:rsidRPr="002E5EB1">
        <w:rPr>
          <w:rFonts w:ascii="Baskerville Old Face" w:hAnsi="Baskerville Old Face"/>
          <w:i/>
          <w:iCs/>
        </w:rPr>
        <w:t xml:space="preserve"> risk </w:t>
      </w:r>
      <w:r w:rsidRPr="002E5EB1">
        <w:rPr>
          <w:rFonts w:ascii="Times New Roman" w:hAnsi="Times New Roman" w:cs="Times New Roman"/>
          <w:i/>
          <w:iCs/>
        </w:rPr>
        <w:t>↓</w:t>
      </w:r>
      <w:r w:rsidRPr="002E5EB1">
        <w:rPr>
          <w:rFonts w:ascii="Baskerville Old Face" w:hAnsi="Baskerville Old Face"/>
          <w:i/>
          <w:iCs/>
        </w:rPr>
        <w:t xml:space="preserve"> </w:t>
      </w:r>
      <w:r w:rsidRPr="002E5EB1">
        <w:rPr>
          <w:rFonts w:ascii="Times New Roman" w:hAnsi="Times New Roman" w:cs="Times New Roman"/>
          <w:i/>
          <w:iCs/>
        </w:rPr>
        <w:t>→</w:t>
      </w:r>
      <w:r w:rsidRPr="002E5EB1">
        <w:rPr>
          <w:rFonts w:ascii="Baskerville Old Face" w:hAnsi="Baskerville Old Face"/>
          <w:i/>
          <w:iCs/>
        </w:rPr>
        <w:t xml:space="preserve"> capital efficiency </w:t>
      </w:r>
      <w:r w:rsidRPr="002E5EB1">
        <w:rPr>
          <w:rFonts w:ascii="Times New Roman" w:hAnsi="Times New Roman" w:cs="Times New Roman"/>
          <w:i/>
          <w:iCs/>
        </w:rPr>
        <w:t>↑</w:t>
      </w:r>
    </w:p>
    <w:p w14:paraId="40887B33"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The system loop may be represented as:</w:t>
      </w:r>
    </w:p>
    <w:p w14:paraId="4EEB3157"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 xml:space="preserve">Environment </w:t>
      </w:r>
      <w:r w:rsidRPr="002E5EB1">
        <w:rPr>
          <w:rFonts w:ascii="Times New Roman" w:hAnsi="Times New Roman" w:cs="Times New Roman"/>
          <w:i/>
          <w:iCs/>
        </w:rPr>
        <w:t>→</w:t>
      </w:r>
      <w:r w:rsidRPr="002E5EB1">
        <w:rPr>
          <w:rFonts w:ascii="Baskerville Old Face" w:hAnsi="Baskerville Old Face"/>
          <w:i/>
          <w:iCs/>
        </w:rPr>
        <w:t xml:space="preserve"> MRV </w:t>
      </w:r>
      <w:r w:rsidRPr="002E5EB1">
        <w:rPr>
          <w:rFonts w:ascii="Times New Roman" w:hAnsi="Times New Roman" w:cs="Times New Roman"/>
          <w:i/>
          <w:iCs/>
        </w:rPr>
        <w:t>→</w:t>
      </w:r>
      <w:r w:rsidRPr="002E5EB1">
        <w:rPr>
          <w:rFonts w:ascii="Baskerville Old Face" w:hAnsi="Baskerville Old Face"/>
          <w:i/>
          <w:iCs/>
        </w:rPr>
        <w:t xml:space="preserve"> AI-assisted interpretation </w:t>
      </w:r>
      <w:r w:rsidRPr="002E5EB1">
        <w:rPr>
          <w:rFonts w:ascii="Times New Roman" w:hAnsi="Times New Roman" w:cs="Times New Roman"/>
          <w:i/>
          <w:iCs/>
        </w:rPr>
        <w:t>→</w:t>
      </w:r>
      <w:r w:rsidRPr="002E5EB1">
        <w:rPr>
          <w:rFonts w:ascii="Baskerville Old Face" w:hAnsi="Baskerville Old Face"/>
          <w:i/>
          <w:iCs/>
        </w:rPr>
        <w:t xml:space="preserve"> structured reasoning </w:t>
      </w:r>
      <w:r w:rsidRPr="002E5EB1">
        <w:rPr>
          <w:rFonts w:ascii="Times New Roman" w:hAnsi="Times New Roman" w:cs="Times New Roman"/>
          <w:i/>
          <w:iCs/>
        </w:rPr>
        <w:t>→</w:t>
      </w:r>
      <w:r w:rsidRPr="002E5EB1">
        <w:rPr>
          <w:rFonts w:ascii="Baskerville Old Face" w:hAnsi="Baskerville Old Face"/>
          <w:i/>
          <w:iCs/>
        </w:rPr>
        <w:t xml:space="preserve"> evaluation </w:t>
      </w:r>
      <w:r w:rsidRPr="002E5EB1">
        <w:rPr>
          <w:rFonts w:ascii="Times New Roman" w:hAnsi="Times New Roman" w:cs="Times New Roman"/>
          <w:i/>
          <w:iCs/>
        </w:rPr>
        <w:t>→</w:t>
      </w:r>
      <w:r w:rsidRPr="002E5EB1">
        <w:rPr>
          <w:rFonts w:ascii="Baskerville Old Face" w:hAnsi="Baskerville Old Face"/>
          <w:i/>
          <w:iCs/>
        </w:rPr>
        <w:t xml:space="preserve"> decision </w:t>
      </w:r>
      <w:r w:rsidRPr="002E5EB1">
        <w:rPr>
          <w:rFonts w:ascii="Times New Roman" w:hAnsi="Times New Roman" w:cs="Times New Roman"/>
          <w:i/>
          <w:iCs/>
        </w:rPr>
        <w:t>→</w:t>
      </w:r>
      <w:r w:rsidRPr="002E5EB1">
        <w:rPr>
          <w:rFonts w:ascii="Baskerville Old Face" w:hAnsi="Baskerville Old Face"/>
          <w:i/>
          <w:iCs/>
        </w:rPr>
        <w:t xml:space="preserve"> action </w:t>
      </w:r>
      <w:r w:rsidRPr="002E5EB1">
        <w:rPr>
          <w:rFonts w:ascii="Times New Roman" w:hAnsi="Times New Roman" w:cs="Times New Roman"/>
          <w:i/>
          <w:iCs/>
        </w:rPr>
        <w:t>→</w:t>
      </w:r>
      <w:r w:rsidRPr="002E5EB1">
        <w:rPr>
          <w:rFonts w:ascii="Baskerville Old Face" w:hAnsi="Baskerville Old Face"/>
          <w:i/>
          <w:iCs/>
        </w:rPr>
        <w:t xml:space="preserve"> environment</w:t>
      </w:r>
    </w:p>
    <w:p w14:paraId="2FD0A7D4"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Each cycle:</w:t>
      </w:r>
    </w:p>
    <w:p w14:paraId="72C345F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updates the system state;</w:t>
      </w:r>
    </w:p>
    <w:p w14:paraId="485FAEF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detects anomalies;</w:t>
      </w:r>
    </w:p>
    <w:p w14:paraId="19C7B6A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improves intervention quality;</w:t>
      </w:r>
    </w:p>
    <w:p w14:paraId="1DB73A14"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reduces informational entropy;</w:t>
      </w:r>
    </w:p>
    <w:p w14:paraId="193BCC1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supports better governance and operational decisions;</w:t>
      </w:r>
    </w:p>
    <w:p w14:paraId="2611320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generates new evidence.</w:t>
      </w:r>
    </w:p>
    <w:p w14:paraId="7CB8D55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AI in this architecture is not sovereign.</w:t>
      </w:r>
    </w:p>
    <w:p w14:paraId="59DD372E"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It does not independently authorize ecological action, PRU value, token issuance, or investment decisions.</w:t>
      </w:r>
    </w:p>
    <w:p w14:paraId="169AD221"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lastRenderedPageBreak/>
        <w:t>It assists interpretation.</w:t>
      </w:r>
    </w:p>
    <w:p w14:paraId="4C7BFD7A"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Execution remains governed by evidence, methodology, governance, and human or institutional authorization.</w:t>
      </w:r>
    </w:p>
    <w:p w14:paraId="4BB801B8"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Prometheus systems are not deployed as autonomous systems.</w:t>
      </w:r>
    </w:p>
    <w:p w14:paraId="6D26C5DC"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They become more adaptive through data accumulation, ecological feedback, and iterative learning.</w:t>
      </w:r>
    </w:p>
    <w:p w14:paraId="038176D8"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22. Tokenization boundary</w:t>
      </w:r>
    </w:p>
    <w:p w14:paraId="18B901EE"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The old model correctly recognized that ecological performance may eventually connect to tokenized representation.</w:t>
      </w:r>
    </w:p>
    <w:p w14:paraId="0C8BC98D"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However, this must be stated with strict legal and institutional discipline.</w:t>
      </w:r>
    </w:p>
    <w:p w14:paraId="69BFE1A3"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The correct sequence is:</w:t>
      </w:r>
    </w:p>
    <w:p w14:paraId="01402BFF" w14:textId="6CE64D3D"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 xml:space="preserve">ecological process </w:t>
      </w:r>
      <w:r w:rsidRPr="002E5EB1">
        <w:rPr>
          <w:rFonts w:ascii="Times New Roman" w:hAnsi="Times New Roman" w:cs="Times New Roman"/>
          <w:i/>
          <w:iCs/>
        </w:rPr>
        <w:t>→</w:t>
      </w:r>
      <w:r w:rsidRPr="002E5EB1">
        <w:rPr>
          <w:rFonts w:ascii="Baskerville Old Face" w:hAnsi="Baskerville Old Face"/>
          <w:i/>
          <w:iCs/>
        </w:rPr>
        <w:t xml:space="preserve"> MRV </w:t>
      </w:r>
      <w:r w:rsidRPr="002E5EB1">
        <w:rPr>
          <w:rFonts w:ascii="Times New Roman" w:hAnsi="Times New Roman" w:cs="Times New Roman"/>
          <w:i/>
          <w:iCs/>
        </w:rPr>
        <w:t>→</w:t>
      </w:r>
      <w:r w:rsidRPr="002E5EB1">
        <w:rPr>
          <w:rFonts w:ascii="Baskerville Old Face" w:hAnsi="Baskerville Old Face"/>
          <w:i/>
          <w:iCs/>
        </w:rPr>
        <w:t xml:space="preserve"> verified indicator </w:t>
      </w:r>
      <w:r w:rsidRPr="002E5EB1">
        <w:rPr>
          <w:rFonts w:ascii="Times New Roman" w:hAnsi="Times New Roman" w:cs="Times New Roman"/>
          <w:i/>
          <w:iCs/>
        </w:rPr>
        <w:t>→</w:t>
      </w:r>
      <w:r w:rsidRPr="002E5EB1">
        <w:rPr>
          <w:rFonts w:ascii="Baskerville Old Face" w:hAnsi="Baskerville Old Face"/>
          <w:i/>
          <w:iCs/>
        </w:rPr>
        <w:t xml:space="preserve"> PRU </w:t>
      </w:r>
      <w:r w:rsidRPr="002E5EB1">
        <w:rPr>
          <w:rFonts w:ascii="Times New Roman" w:hAnsi="Times New Roman" w:cs="Times New Roman"/>
          <w:i/>
          <w:iCs/>
        </w:rPr>
        <w:t>→</w:t>
      </w:r>
      <w:r w:rsidRPr="002E5EB1">
        <w:rPr>
          <w:rFonts w:ascii="Baskerville Old Face" w:hAnsi="Baskerville Old Face"/>
          <w:i/>
          <w:iCs/>
        </w:rPr>
        <w:t xml:space="preserve"> </w:t>
      </w:r>
      <w:r w:rsidR="00AD1EA5" w:rsidRPr="002E5EB1">
        <w:rPr>
          <w:rFonts w:ascii="Baskerville Old Face" w:hAnsi="Baskerville Old Face"/>
          <w:i/>
          <w:iCs/>
        </w:rPr>
        <w:t>PRU maturity classification</w:t>
      </w:r>
      <w:r w:rsidRPr="002E5EB1">
        <w:rPr>
          <w:rFonts w:ascii="Baskerville Old Face" w:hAnsi="Baskerville Old Face"/>
          <w:i/>
          <w:iCs/>
        </w:rPr>
        <w:t xml:space="preserve"> </w:t>
      </w:r>
      <w:r w:rsidRPr="002E5EB1">
        <w:rPr>
          <w:rFonts w:ascii="Times New Roman" w:hAnsi="Times New Roman" w:cs="Times New Roman"/>
          <w:i/>
          <w:iCs/>
        </w:rPr>
        <w:t>→</w:t>
      </w:r>
      <w:r w:rsidRPr="002E5EB1">
        <w:rPr>
          <w:rFonts w:ascii="Baskerville Old Face" w:hAnsi="Baskerville Old Face"/>
          <w:i/>
          <w:iCs/>
        </w:rPr>
        <w:t xml:space="preserve"> RAP </w:t>
      </w:r>
      <w:r w:rsidRPr="002E5EB1">
        <w:rPr>
          <w:rFonts w:ascii="Times New Roman" w:hAnsi="Times New Roman" w:cs="Times New Roman"/>
          <w:i/>
          <w:iCs/>
        </w:rPr>
        <w:t>→</w:t>
      </w:r>
      <w:r w:rsidRPr="002E5EB1">
        <w:rPr>
          <w:rFonts w:ascii="Baskerville Old Face" w:hAnsi="Baskerville Old Face"/>
          <w:i/>
          <w:iCs/>
        </w:rPr>
        <w:t xml:space="preserve"> legal wrapper </w:t>
      </w:r>
      <w:r w:rsidRPr="002E5EB1">
        <w:rPr>
          <w:rFonts w:ascii="Times New Roman" w:hAnsi="Times New Roman" w:cs="Times New Roman"/>
          <w:i/>
          <w:iCs/>
        </w:rPr>
        <w:t>→</w:t>
      </w:r>
      <w:r w:rsidRPr="002E5EB1">
        <w:rPr>
          <w:rFonts w:ascii="Baskerville Old Face" w:hAnsi="Baskerville Old Face"/>
          <w:i/>
          <w:iCs/>
        </w:rPr>
        <w:t xml:space="preserve"> compliant instrument </w:t>
      </w:r>
      <w:r w:rsidRPr="002E5EB1">
        <w:rPr>
          <w:rFonts w:ascii="Times New Roman" w:hAnsi="Times New Roman" w:cs="Times New Roman"/>
          <w:i/>
          <w:iCs/>
        </w:rPr>
        <w:t>→</w:t>
      </w:r>
      <w:r w:rsidRPr="002E5EB1">
        <w:rPr>
          <w:rFonts w:ascii="Baskerville Old Face" w:hAnsi="Baskerville Old Face"/>
          <w:i/>
          <w:iCs/>
        </w:rPr>
        <w:t xml:space="preserve"> possible tokenized representation</w:t>
      </w:r>
    </w:p>
    <w:p w14:paraId="15E479D4"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Tokenization does not create ecological value.</w:t>
      </w:r>
    </w:p>
    <w:p w14:paraId="7922899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It may represent verified and legally structured value.</w:t>
      </w:r>
    </w:p>
    <w:p w14:paraId="3D054773"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TRBK should therefore not be described as automatic fractional ownership of PRUs or land.</w:t>
      </w:r>
    </w:p>
    <w:p w14:paraId="0E92E411"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Its correct role is governance, coordination, access, contribution, or participation, subject to defined legal boundaries.</w:t>
      </w:r>
    </w:p>
    <w:p w14:paraId="3444191F"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Any future tokenized unit, note, security, fund interest, revenue right, or transferable claim must require jurisdiction-specific legal structuring, disclosure, compliance review, and investor protection.</w:t>
      </w:r>
    </w:p>
    <w:p w14:paraId="338495E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This boundary protects Prometheus from premature financialization.</w:t>
      </w:r>
    </w:p>
    <w:p w14:paraId="00777804"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23. Minimal Tier 1 MRV set</w:t>
      </w:r>
    </w:p>
    <w:p w14:paraId="0243F4AB"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For first deployment, Prometheus should avoid over-engineering.</w:t>
      </w:r>
    </w:p>
    <w:p w14:paraId="040DF4FB"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 minimum credible MRV set may include:</w:t>
      </w:r>
    </w:p>
    <w:p w14:paraId="267BEA48"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lastRenderedPageBreak/>
        <w:t>soil moisture;</w:t>
      </w:r>
    </w:p>
    <w:p w14:paraId="7AD793FB"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infiltration rate;</w:t>
      </w:r>
    </w:p>
    <w:p w14:paraId="3B550463"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soil organic carbon;</w:t>
      </w:r>
    </w:p>
    <w:p w14:paraId="47961BB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organic matter;</w:t>
      </w:r>
    </w:p>
    <w:p w14:paraId="64B1F57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microbial biomass or equivalent biological proxy;</w:t>
      </w:r>
    </w:p>
    <w:p w14:paraId="1A23136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earthworm count or biomass;</w:t>
      </w:r>
    </w:p>
    <w:p w14:paraId="4EAD08B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aggregate stability;</w:t>
      </w:r>
    </w:p>
    <w:p w14:paraId="5F34900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edible yield;</w:t>
      </w:r>
    </w:p>
    <w:p w14:paraId="7E8628D1"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yield variance;</w:t>
      </w:r>
    </w:p>
    <w:p w14:paraId="7BD8D6AE"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mortality or replacement rate;</w:t>
      </w:r>
    </w:p>
    <w:p w14:paraId="48B0BBAF"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input dependency;</w:t>
      </w:r>
    </w:p>
    <w:p w14:paraId="3F1D06C2"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photographic and operational records.</w:t>
      </w:r>
    </w:p>
    <w:p w14:paraId="579926A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This is sufficient to test the strongest early claims:</w:t>
      </w:r>
    </w:p>
    <w:p w14:paraId="296DB1C3"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water function;</w:t>
      </w:r>
    </w:p>
    <w:p w14:paraId="7049436E"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soil metabolic gain;</w:t>
      </w:r>
    </w:p>
    <w:p w14:paraId="45ACB8A3"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productive stability;</w:t>
      </w:r>
    </w:p>
    <w:p w14:paraId="0E3431CA"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mortality reduction;</w:t>
      </w:r>
    </w:p>
    <w:p w14:paraId="0366CD6E"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input dependency reduction;</w:t>
      </w:r>
    </w:p>
    <w:p w14:paraId="19E3AD8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basic resilience improvement.</w:t>
      </w:r>
    </w:p>
    <w:p w14:paraId="4E851991"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Mycorrhizal assays, secondary metabolite panels, VOC snapshots, and advanced biochemical indicators can be added progressively as Tier 2 or research-enhanced layers.</w:t>
      </w:r>
    </w:p>
    <w:p w14:paraId="63329D60"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lastRenderedPageBreak/>
        <w:t>The system should not block deployment because the most advanced science is not yet continuously measurable.</w:t>
      </w:r>
    </w:p>
    <w:p w14:paraId="27CC5394"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It should begin with a rigorous minimum set and mature evidence over time.</w:t>
      </w:r>
    </w:p>
    <w:p w14:paraId="64AF173A"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b/>
          <w:bCs/>
          <w:i/>
          <w:iCs/>
        </w:rPr>
        <w:t>24. Strategic synthesis</w:t>
      </w:r>
    </w:p>
    <w:p w14:paraId="2C1AEA5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 scientific, operational, and financial implication is decisive.</w:t>
      </w:r>
    </w:p>
    <w:p w14:paraId="1F9C85B0"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 syntropic OHE is not merely a productive garden, orchard, food forest, or ecological design.</w:t>
      </w:r>
    </w:p>
    <w:p w14:paraId="52C17D5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It is a measurable cooperative production system.</w:t>
      </w:r>
    </w:p>
    <w:p w14:paraId="63F33D1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Its value does not arise only from output.</w:t>
      </w:r>
    </w:p>
    <w:p w14:paraId="057C63B2"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It arises from increasing ecological coherence.</w:t>
      </w:r>
    </w:p>
    <w:p w14:paraId="10095532"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Soil biology builds structure.</w:t>
      </w:r>
    </w:p>
    <w:p w14:paraId="5116151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Mycorrhiza redistributes resources.</w:t>
      </w:r>
    </w:p>
    <w:p w14:paraId="5734CAFB"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Biochemistry coordinates responses.</w:t>
      </w:r>
    </w:p>
    <w:p w14:paraId="1F5BEA0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Water retention stabilizes productivity.</w:t>
      </w:r>
    </w:p>
    <w:p w14:paraId="242E0F7F"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Biodiversity distributes risk.</w:t>
      </w:r>
    </w:p>
    <w:p w14:paraId="161545C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Succession increases maturity.</w:t>
      </w:r>
    </w:p>
    <w:p w14:paraId="492246BF"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MRV makes these processes observable.</w:t>
      </w:r>
    </w:p>
    <w:p w14:paraId="4300DF5C"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Verification makes them credible.</w:t>
      </w:r>
    </w:p>
    <w:p w14:paraId="13859B53"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PRU makes verified performance financially interpretable.</w:t>
      </w:r>
    </w:p>
    <w:p w14:paraId="07A47CE6"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RAP makes verified units portfolio-grade.</w:t>
      </w:r>
    </w:p>
    <w:p w14:paraId="4C582A71"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Capital can then participate without detaching value from life.</w:t>
      </w:r>
    </w:p>
    <w:p w14:paraId="6D61154D"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The final thesis is therefore:</w:t>
      </w:r>
    </w:p>
    <w:p w14:paraId="407B2C86"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t>Value is not extracted from the system.</w:t>
      </w:r>
    </w:p>
    <w:p w14:paraId="5067ECC4" w14:textId="77777777" w:rsidR="009B5C78" w:rsidRPr="002E5EB1" w:rsidRDefault="009B5C78" w:rsidP="009B5C78">
      <w:pPr>
        <w:spacing w:line="360" w:lineRule="auto"/>
        <w:rPr>
          <w:rFonts w:ascii="Baskerville Old Face" w:hAnsi="Baskerville Old Face"/>
          <w:i/>
          <w:iCs/>
        </w:rPr>
      </w:pPr>
      <w:r w:rsidRPr="002E5EB1">
        <w:rPr>
          <w:rFonts w:ascii="Baskerville Old Face" w:hAnsi="Baskerville Old Face"/>
          <w:i/>
          <w:iCs/>
        </w:rPr>
        <w:lastRenderedPageBreak/>
        <w:t>Value emerges from increasing ecological coherence.</w:t>
      </w:r>
    </w:p>
    <w:p w14:paraId="3DF2FE1C"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Prometheus does not monetize biological complexity by naming it.</w:t>
      </w:r>
    </w:p>
    <w:p w14:paraId="2E0B4905"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It creates financial relevance only when biological complexity produces measurable, verified, confidence-scored, and admissible improvements in regenerative performance.</w:t>
      </w:r>
    </w:p>
    <w:p w14:paraId="01FD1E49" w14:textId="77777777" w:rsidR="009B5C78" w:rsidRPr="00B479AE" w:rsidRDefault="009B5C78" w:rsidP="009B5C78">
      <w:pPr>
        <w:spacing w:line="360" w:lineRule="auto"/>
        <w:rPr>
          <w:rFonts w:ascii="Baskerville Old Face" w:hAnsi="Baskerville Old Face"/>
          <w:i/>
          <w:iCs/>
        </w:rPr>
      </w:pPr>
      <w:r w:rsidRPr="00B479AE">
        <w:rPr>
          <w:rFonts w:ascii="Baskerville Old Face" w:hAnsi="Baskerville Old Face"/>
          <w:i/>
          <w:iCs/>
        </w:rPr>
        <w:t>This is the bridge from syntropic ecology to regenerative infrastructure.</w:t>
      </w:r>
    </w:p>
    <w:p w14:paraId="79FC7B3E" w14:textId="56E70A44" w:rsidR="003D074F" w:rsidRPr="00B479AE" w:rsidRDefault="003D074F" w:rsidP="003D074F">
      <w:pPr>
        <w:spacing w:line="360" w:lineRule="auto"/>
        <w:rPr>
          <w:rFonts w:ascii="Baskerville Old Face" w:hAnsi="Baskerville Old Face"/>
          <w:i/>
          <w:iCs/>
        </w:rPr>
      </w:pPr>
      <w:r w:rsidRPr="00B479AE">
        <w:rPr>
          <w:rFonts w:ascii="Baskerville Old Face" w:hAnsi="Baskerville Old Face"/>
          <w:b/>
          <w:bCs/>
          <w:i/>
          <w:iCs/>
        </w:rPr>
        <w:t>From Biophysical Intelligence to System Architecture</w:t>
      </w:r>
    </w:p>
    <w:p w14:paraId="6610DFCC" w14:textId="77777777" w:rsidR="003D074F" w:rsidRPr="00B479AE" w:rsidRDefault="003D074F" w:rsidP="003D074F">
      <w:pPr>
        <w:spacing w:line="360" w:lineRule="auto"/>
        <w:rPr>
          <w:rFonts w:ascii="Baskerville Old Face" w:hAnsi="Baskerville Old Face"/>
          <w:i/>
          <w:iCs/>
        </w:rPr>
      </w:pPr>
      <w:r w:rsidRPr="00B479AE">
        <w:rPr>
          <w:rFonts w:ascii="Baskerville Old Face" w:hAnsi="Baskerville Old Face"/>
          <w:i/>
          <w:iCs/>
        </w:rPr>
        <w:t>The preceding sections define the biophysical foundation of Prometheus.</w:t>
      </w:r>
    </w:p>
    <w:p w14:paraId="30669311" w14:textId="77777777" w:rsidR="003D074F" w:rsidRPr="00B479AE" w:rsidRDefault="003D074F" w:rsidP="003D074F">
      <w:pPr>
        <w:spacing w:line="360" w:lineRule="auto"/>
        <w:rPr>
          <w:rFonts w:ascii="Baskerville Old Face" w:hAnsi="Baskerville Old Face"/>
          <w:i/>
          <w:iCs/>
        </w:rPr>
      </w:pPr>
      <w:r w:rsidRPr="00B479AE">
        <w:rPr>
          <w:rFonts w:ascii="Baskerville Old Face" w:hAnsi="Baskerville Old Face"/>
          <w:i/>
          <w:iCs/>
        </w:rPr>
        <w:t>Regeneration begins in living systems: soil, water, biodiversity, biomass, mycorrhizal relationships, biochemical communication, syntropic succession, and human stewardship.</w:t>
      </w:r>
    </w:p>
    <w:p w14:paraId="6A24B39D" w14:textId="77777777" w:rsidR="003D074F" w:rsidRPr="00B479AE" w:rsidRDefault="003D074F" w:rsidP="003D074F">
      <w:pPr>
        <w:spacing w:line="360" w:lineRule="auto"/>
        <w:rPr>
          <w:rFonts w:ascii="Baskerville Old Face" w:hAnsi="Baskerville Old Face"/>
          <w:i/>
          <w:iCs/>
        </w:rPr>
      </w:pPr>
      <w:r w:rsidRPr="00B479AE">
        <w:rPr>
          <w:rFonts w:ascii="Baskerville Old Face" w:hAnsi="Baskerville Old Face"/>
          <w:i/>
          <w:iCs/>
        </w:rPr>
        <w:t>However, ecological intelligence does not become infrastructure merely because it exists.</w:t>
      </w:r>
    </w:p>
    <w:p w14:paraId="1D0B6FF8" w14:textId="77777777" w:rsidR="003D074F" w:rsidRPr="00B479AE" w:rsidRDefault="003D074F" w:rsidP="003D074F">
      <w:pPr>
        <w:spacing w:line="360" w:lineRule="auto"/>
        <w:rPr>
          <w:rFonts w:ascii="Baskerville Old Face" w:hAnsi="Baskerville Old Face"/>
          <w:i/>
          <w:iCs/>
        </w:rPr>
      </w:pPr>
      <w:r w:rsidRPr="00B479AE">
        <w:rPr>
          <w:rFonts w:ascii="Baskerville Old Face" w:hAnsi="Baskerville Old Face"/>
          <w:i/>
          <w:iCs/>
        </w:rPr>
        <w:t>It becomes infrastructure when it can be observed, measured, verified, interpreted, governed, and translated without losing its connection to the living system that generated it.</w:t>
      </w:r>
    </w:p>
    <w:p w14:paraId="5AD34014" w14:textId="77777777" w:rsidR="003D074F" w:rsidRPr="00B479AE" w:rsidRDefault="003D074F" w:rsidP="003D074F">
      <w:pPr>
        <w:spacing w:line="360" w:lineRule="auto"/>
        <w:rPr>
          <w:rFonts w:ascii="Baskerville Old Face" w:hAnsi="Baskerville Old Face"/>
          <w:i/>
          <w:iCs/>
        </w:rPr>
      </w:pPr>
      <w:r w:rsidRPr="00B479AE">
        <w:rPr>
          <w:rFonts w:ascii="Baskerville Old Face" w:hAnsi="Baskerville Old Face"/>
          <w:i/>
          <w:iCs/>
        </w:rPr>
        <w:t>This is the transformation role of Prometheus.</w:t>
      </w:r>
    </w:p>
    <w:p w14:paraId="754E27F0" w14:textId="77777777" w:rsidR="003D074F" w:rsidRPr="00B479AE" w:rsidRDefault="003D074F" w:rsidP="003D074F">
      <w:pPr>
        <w:spacing w:line="360" w:lineRule="auto"/>
        <w:rPr>
          <w:rFonts w:ascii="Baskerville Old Face" w:hAnsi="Baskerville Old Face"/>
          <w:i/>
          <w:iCs/>
        </w:rPr>
      </w:pPr>
      <w:r w:rsidRPr="00B479AE">
        <w:rPr>
          <w:rFonts w:ascii="Baskerville Old Face" w:hAnsi="Baskerville Old Face"/>
          <w:i/>
          <w:iCs/>
        </w:rPr>
        <w:t>Prometheus does not create biological life ex nihilo.</w:t>
      </w:r>
    </w:p>
    <w:p w14:paraId="525F18E0" w14:textId="77777777" w:rsidR="003D074F" w:rsidRPr="00B479AE" w:rsidRDefault="003D074F" w:rsidP="003D074F">
      <w:pPr>
        <w:spacing w:line="360" w:lineRule="auto"/>
        <w:rPr>
          <w:rFonts w:ascii="Baskerville Old Face" w:hAnsi="Baskerville Old Face"/>
          <w:i/>
          <w:iCs/>
        </w:rPr>
      </w:pPr>
      <w:r w:rsidRPr="00B479AE">
        <w:rPr>
          <w:rFonts w:ascii="Baskerville Old Face" w:hAnsi="Baskerville Old Face"/>
          <w:i/>
          <w:iCs/>
        </w:rPr>
        <w:t>It does not claim ownership over the intelligence of living systems.</w:t>
      </w:r>
    </w:p>
    <w:p w14:paraId="254A186D" w14:textId="77777777" w:rsidR="003D074F" w:rsidRPr="00B479AE" w:rsidRDefault="003D074F" w:rsidP="003D074F">
      <w:pPr>
        <w:spacing w:line="360" w:lineRule="auto"/>
        <w:rPr>
          <w:rFonts w:ascii="Baskerville Old Face" w:hAnsi="Baskerville Old Face"/>
          <w:i/>
          <w:iCs/>
        </w:rPr>
      </w:pPr>
      <w:r w:rsidRPr="00B479AE">
        <w:rPr>
          <w:rFonts w:ascii="Baskerville Old Face" w:hAnsi="Baskerville Old Face"/>
          <w:i/>
          <w:iCs/>
        </w:rPr>
        <w:t>It creates the operational, evidentiary, governance, and financial conditions through which regenerative processes can become executable, reviewable, auditable, comparable, and institutionally financeable.</w:t>
      </w:r>
    </w:p>
    <w:p w14:paraId="2697D947" w14:textId="77777777" w:rsidR="003D074F" w:rsidRPr="00B479AE" w:rsidRDefault="003D074F" w:rsidP="003D074F">
      <w:pPr>
        <w:spacing w:line="360" w:lineRule="auto"/>
        <w:rPr>
          <w:rFonts w:ascii="Baskerville Old Face" w:hAnsi="Baskerville Old Face"/>
          <w:i/>
          <w:iCs/>
        </w:rPr>
      </w:pPr>
      <w:r w:rsidRPr="00B479AE">
        <w:rPr>
          <w:rFonts w:ascii="Baskerville Old Face" w:hAnsi="Baskerville Old Face"/>
          <w:i/>
          <w:iCs/>
        </w:rPr>
        <w:t>These conditions include:</w:t>
      </w:r>
    </w:p>
    <w:p w14:paraId="2A773DCE" w14:textId="77777777" w:rsidR="003D074F" w:rsidRPr="00B479AE" w:rsidRDefault="003D074F" w:rsidP="003D074F">
      <w:pPr>
        <w:spacing w:line="360" w:lineRule="auto"/>
        <w:rPr>
          <w:rFonts w:ascii="Baskerville Old Face" w:hAnsi="Baskerville Old Face"/>
          <w:i/>
          <w:iCs/>
        </w:rPr>
      </w:pPr>
      <w:r w:rsidRPr="00B479AE">
        <w:rPr>
          <w:rFonts w:ascii="Baskerville Old Face" w:hAnsi="Baskerville Old Face"/>
          <w:i/>
          <w:iCs/>
        </w:rPr>
        <w:t>• operational discipline, through bounded deployment logic and pilot-correct execution;</w:t>
      </w:r>
    </w:p>
    <w:p w14:paraId="3B8AC67A" w14:textId="77777777" w:rsidR="003D074F" w:rsidRPr="00B479AE" w:rsidRDefault="003D074F" w:rsidP="003D074F">
      <w:pPr>
        <w:spacing w:line="360" w:lineRule="auto"/>
        <w:rPr>
          <w:rFonts w:ascii="Baskerville Old Face" w:hAnsi="Baskerville Old Face"/>
          <w:i/>
          <w:iCs/>
        </w:rPr>
      </w:pPr>
      <w:r w:rsidRPr="00B479AE">
        <w:rPr>
          <w:rFonts w:ascii="Baskerville Old Face" w:hAnsi="Baskerville Old Face"/>
          <w:i/>
          <w:iCs/>
        </w:rPr>
        <w:t>• verification discipline, through MRV integrity, reviewable evidence, provenance, and confidence scoring;</w:t>
      </w:r>
    </w:p>
    <w:p w14:paraId="55ED0A77" w14:textId="77777777" w:rsidR="003D074F" w:rsidRPr="00B479AE" w:rsidRDefault="003D074F" w:rsidP="003D074F">
      <w:pPr>
        <w:spacing w:line="360" w:lineRule="auto"/>
        <w:rPr>
          <w:rFonts w:ascii="Baskerville Old Face" w:hAnsi="Baskerville Old Face"/>
          <w:i/>
          <w:iCs/>
        </w:rPr>
      </w:pPr>
      <w:r w:rsidRPr="00B479AE">
        <w:rPr>
          <w:rFonts w:ascii="Baskerville Old Face" w:hAnsi="Baskerville Old Face"/>
          <w:i/>
          <w:iCs/>
        </w:rPr>
        <w:t>• governance discipline, through coherent allocation of authority, stewardship, safeguards, and methodological review;</w:t>
      </w:r>
    </w:p>
    <w:p w14:paraId="01B75066" w14:textId="77777777" w:rsidR="003D074F" w:rsidRPr="00B479AE" w:rsidRDefault="003D074F" w:rsidP="003D074F">
      <w:pPr>
        <w:spacing w:line="360" w:lineRule="auto"/>
        <w:rPr>
          <w:rFonts w:ascii="Baskerville Old Face" w:hAnsi="Baskerville Old Face"/>
          <w:i/>
          <w:iCs/>
        </w:rPr>
      </w:pPr>
      <w:r w:rsidRPr="00B479AE">
        <w:rPr>
          <w:rFonts w:ascii="Baskerville Old Face" w:hAnsi="Baskerville Old Face"/>
          <w:i/>
          <w:iCs/>
        </w:rPr>
        <w:lastRenderedPageBreak/>
        <w:t>• technological discipline, through agent-centric infrastructure, Valueflows / REA-compatible accounting, data lineage, and interoperability;</w:t>
      </w:r>
    </w:p>
    <w:p w14:paraId="7094125F" w14:textId="77777777" w:rsidR="003D074F" w:rsidRPr="00B479AE" w:rsidRDefault="003D074F" w:rsidP="003D074F">
      <w:pPr>
        <w:spacing w:line="360" w:lineRule="auto"/>
        <w:rPr>
          <w:rFonts w:ascii="Baskerville Old Face" w:hAnsi="Baskerville Old Face"/>
          <w:i/>
          <w:iCs/>
        </w:rPr>
      </w:pPr>
      <w:r w:rsidRPr="00B479AE">
        <w:rPr>
          <w:rFonts w:ascii="Baskerville Old Face" w:hAnsi="Baskerville Old Face"/>
          <w:i/>
          <w:iCs/>
        </w:rPr>
        <w:t>• financial discipline, through PRU-linked admissibility, risk interpretation, underwriting readability, and capital-routing logic.</w:t>
      </w:r>
    </w:p>
    <w:p w14:paraId="7B91C4FD" w14:textId="77777777" w:rsidR="003D074F" w:rsidRPr="00B479AE" w:rsidRDefault="003D074F" w:rsidP="003D074F">
      <w:pPr>
        <w:spacing w:line="360" w:lineRule="auto"/>
        <w:rPr>
          <w:rFonts w:ascii="Baskerville Old Face" w:hAnsi="Baskerville Old Face"/>
          <w:i/>
          <w:iCs/>
        </w:rPr>
      </w:pPr>
      <w:r w:rsidRPr="00B479AE">
        <w:rPr>
          <w:rFonts w:ascii="Baskerville Old Face" w:hAnsi="Baskerville Old Face"/>
          <w:i/>
          <w:iCs/>
        </w:rPr>
        <w:t>In this sense, Prometheus is not external to regeneration as a passive observer.</w:t>
      </w:r>
    </w:p>
    <w:p w14:paraId="223F2635" w14:textId="77777777" w:rsidR="003D074F" w:rsidRPr="00B479AE" w:rsidRDefault="003D074F" w:rsidP="003D074F">
      <w:pPr>
        <w:spacing w:line="360" w:lineRule="auto"/>
        <w:rPr>
          <w:rFonts w:ascii="Baskerville Old Face" w:hAnsi="Baskerville Old Face"/>
          <w:i/>
          <w:iCs/>
        </w:rPr>
      </w:pPr>
      <w:r w:rsidRPr="00B479AE">
        <w:rPr>
          <w:rFonts w:ascii="Baskerville Old Face" w:hAnsi="Baskerville Old Face"/>
          <w:i/>
          <w:iCs/>
        </w:rPr>
        <w:t>It is the transformation architecture through which regeneration becomes legible to institutions without being extracted from its ecological source.</w:t>
      </w:r>
    </w:p>
    <w:p w14:paraId="6BA98250" w14:textId="77777777" w:rsidR="003D074F" w:rsidRPr="00B479AE" w:rsidRDefault="003D074F" w:rsidP="003D074F">
      <w:pPr>
        <w:spacing w:line="360" w:lineRule="auto"/>
        <w:rPr>
          <w:rFonts w:ascii="Baskerville Old Face" w:hAnsi="Baskerville Old Face"/>
          <w:i/>
          <w:iCs/>
        </w:rPr>
      </w:pPr>
      <w:r w:rsidRPr="00B479AE">
        <w:rPr>
          <w:rFonts w:ascii="Baskerville Old Face" w:hAnsi="Baskerville Old Face"/>
          <w:i/>
          <w:iCs/>
        </w:rPr>
        <w:t>The next part defines this system architecture.</w:t>
      </w:r>
    </w:p>
    <w:p w14:paraId="60F926B4" w14:textId="2057D0C9" w:rsidR="003D074F" w:rsidRPr="00B479AE" w:rsidRDefault="003D074F" w:rsidP="003D074F">
      <w:pPr>
        <w:spacing w:line="360" w:lineRule="auto"/>
        <w:rPr>
          <w:rFonts w:ascii="Baskerville Old Face" w:hAnsi="Baskerville Old Face"/>
          <w:i/>
          <w:iCs/>
        </w:rPr>
      </w:pPr>
      <w:r w:rsidRPr="00B479AE">
        <w:rPr>
          <w:rFonts w:ascii="Baskerville Old Face" w:hAnsi="Baskerville Old Face"/>
          <w:i/>
          <w:iCs/>
        </w:rPr>
        <w:t xml:space="preserve">It explains how living-system intelligence, MRV, agent-centric verification, Valueflows semantics, </w:t>
      </w:r>
      <w:r w:rsidR="001C094B" w:rsidRPr="00B479AE">
        <w:rPr>
          <w:rFonts w:ascii="Baskerville Old Face" w:hAnsi="Baskerville Old Face"/>
          <w:i/>
          <w:iCs/>
        </w:rPr>
        <w:t>PRU value-analysis layer</w:t>
      </w:r>
      <w:r w:rsidRPr="00B479AE">
        <w:rPr>
          <w:rFonts w:ascii="Baskerville Old Face" w:hAnsi="Baskerville Old Face"/>
          <w:i/>
          <w:iCs/>
        </w:rPr>
        <w:t>, governance, and capital allocation become an integrated regenerative infrastructure.</w:t>
      </w:r>
    </w:p>
    <w:p w14:paraId="514C1CDB" w14:textId="77777777" w:rsidR="001C094B" w:rsidRPr="00B479AE" w:rsidRDefault="001C094B" w:rsidP="008D67A4">
      <w:pPr>
        <w:spacing w:line="360" w:lineRule="auto"/>
        <w:rPr>
          <w:rFonts w:ascii="Baskerville Old Face" w:hAnsi="Baskerville Old Face"/>
          <w:i/>
          <w:iCs/>
        </w:rPr>
      </w:pPr>
    </w:p>
    <w:p w14:paraId="30C190AB" w14:textId="1DCD0E2B" w:rsidR="008D67A4" w:rsidRPr="00B479AE" w:rsidRDefault="008D67A4" w:rsidP="002B4800">
      <w:pPr>
        <w:pStyle w:val="Titolo1"/>
        <w:rPr>
          <w:rFonts w:ascii="Baskerville Old Face" w:hAnsi="Baskerville Old Face"/>
          <w:b/>
          <w:bCs/>
          <w:i/>
          <w:iCs/>
          <w:sz w:val="24"/>
          <w:szCs w:val="24"/>
        </w:rPr>
      </w:pPr>
      <w:r w:rsidRPr="00B479AE">
        <w:rPr>
          <w:rFonts w:ascii="Baskerville Old Face" w:hAnsi="Baskerville Old Face"/>
          <w:b/>
          <w:bCs/>
          <w:i/>
          <w:iCs/>
          <w:sz w:val="24"/>
          <w:szCs w:val="24"/>
        </w:rPr>
        <w:t>PART IV</w:t>
      </w:r>
      <w:r w:rsidR="002B4800" w:rsidRPr="00B479AE">
        <w:rPr>
          <w:rFonts w:ascii="Baskerville Old Face" w:hAnsi="Baskerville Old Face"/>
          <w:b/>
          <w:bCs/>
          <w:i/>
          <w:iCs/>
          <w:sz w:val="24"/>
          <w:szCs w:val="24"/>
        </w:rPr>
        <w:t xml:space="preserve"> - </w:t>
      </w:r>
      <w:r w:rsidRPr="00B479AE">
        <w:rPr>
          <w:rFonts w:ascii="Baskerville Old Face" w:hAnsi="Baskerville Old Face"/>
          <w:b/>
          <w:bCs/>
          <w:i/>
          <w:iCs/>
          <w:sz w:val="24"/>
          <w:szCs w:val="24"/>
        </w:rPr>
        <w:t>Prometheus System Architecture</w:t>
      </w:r>
    </w:p>
    <w:p w14:paraId="0CD7AB1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From regeneration to infrastructure</w:t>
      </w:r>
    </w:p>
    <w:p w14:paraId="48CB695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preceding parts of this White Paper established the civilizational context, the human dimension, and the biophysical foundation of Prometheus.</w:t>
      </w:r>
    </w:p>
    <w:p w14:paraId="3E94521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next step is architectural.</w:t>
      </w:r>
    </w:p>
    <w:p w14:paraId="5B1D49D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Regeneration becomes infrastructure when it can be coordinated, verified, governed, valued, financed, and scaled without losing its connection to the living systems that generate it.</w:t>
      </w:r>
    </w:p>
    <w:p w14:paraId="0DA78E8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is designed as a multi-layer regenerative infrastructure system.</w:t>
      </w:r>
    </w:p>
    <w:p w14:paraId="7012E84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connects:</w:t>
      </w:r>
    </w:p>
    <w:p w14:paraId="206661A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living systems;</w:t>
      </w:r>
    </w:p>
    <w:p w14:paraId="12BC5C5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human stewardship;</w:t>
      </w:r>
    </w:p>
    <w:p w14:paraId="5F2F634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distributed verification;</w:t>
      </w:r>
    </w:p>
    <w:p w14:paraId="380157D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agent-centric digital infrastructure;</w:t>
      </w:r>
    </w:p>
    <w:p w14:paraId="2692B46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Valueflows / REA-compatible accounting;</w:t>
      </w:r>
    </w:p>
    <w:p w14:paraId="651FDE8F" w14:textId="3AB492AA"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PRU</w:t>
      </w:r>
      <w:r w:rsidR="00E02F9C" w:rsidRPr="00B479AE">
        <w:rPr>
          <w:rFonts w:ascii="Baskerville Old Face" w:hAnsi="Baskerville Old Face"/>
          <w:i/>
          <w:iCs/>
        </w:rPr>
        <w:t xml:space="preserve"> as </w:t>
      </w:r>
      <w:r w:rsidR="003A1979" w:rsidRPr="00B479AE">
        <w:rPr>
          <w:rFonts w:ascii="Baskerville Old Face" w:hAnsi="Baskerville Old Face"/>
          <w:i/>
          <w:iCs/>
        </w:rPr>
        <w:t>value-analysis interface</w:t>
      </w:r>
      <w:r w:rsidRPr="00B479AE">
        <w:rPr>
          <w:rFonts w:ascii="Baskerville Old Face" w:hAnsi="Baskerville Old Face"/>
          <w:i/>
          <w:iCs/>
        </w:rPr>
        <w:t>;</w:t>
      </w:r>
    </w:p>
    <w:p w14:paraId="12A9F98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Regenerative Asset Pool construction;</w:t>
      </w:r>
    </w:p>
    <w:p w14:paraId="1DD77BC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governance coordination;</w:t>
      </w:r>
    </w:p>
    <w:p w14:paraId="6EB3534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capital formation;</w:t>
      </w:r>
    </w:p>
    <w:p w14:paraId="708FE06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and future compliant digital or institutional representations.</w:t>
      </w:r>
    </w:p>
    <w:p w14:paraId="5A9FCB9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purpose of this architecture is not to centralize control over regeneration.</w:t>
      </w:r>
    </w:p>
    <w:p w14:paraId="3F53594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Its purpose is to create the conditions through which regenerative processes can become observable, reviewable, comparable, financeable, and scalable while remaining accountable to their ecological source.</w:t>
      </w:r>
    </w:p>
    <w:p w14:paraId="7B9482F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therefore functions as a transformation architecture.</w:t>
      </w:r>
    </w:p>
    <w:p w14:paraId="0B71CC0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transforms ecological processes into evidence.</w:t>
      </w:r>
    </w:p>
    <w:p w14:paraId="27ABD65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transforms evidence into verified indicators.</w:t>
      </w:r>
    </w:p>
    <w:p w14:paraId="064BC11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transforms verified indicators into PRU logic.</w:t>
      </w:r>
    </w:p>
    <w:p w14:paraId="233B939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transforms PRUs into portfolio structures.</w:t>
      </w:r>
    </w:p>
    <w:p w14:paraId="3F9A6BA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transforms portfolio structures into capital-ready regenerative infrastructure.</w:t>
      </w:r>
    </w:p>
    <w:p w14:paraId="22202D4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Architectural principle</w:t>
      </w:r>
    </w:p>
    <w:p w14:paraId="4774AC5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Prometheus architecture is governed by one core principle:</w:t>
      </w:r>
    </w:p>
    <w:p w14:paraId="6204795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each layer must preserve its function without collapsing into another layer.</w:t>
      </w:r>
    </w:p>
    <w:p w14:paraId="60B0FD5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principle is essential for institutional credibility.</w:t>
      </w:r>
    </w:p>
    <w:p w14:paraId="00F3C58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Ecological performance is not the same as financial value.</w:t>
      </w:r>
    </w:p>
    <w:p w14:paraId="22EE8EF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MRV is not the same as investment entitlement.</w:t>
      </w:r>
    </w:p>
    <w:p w14:paraId="34F02E7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PRU is not the same as token ownership.</w:t>
      </w:r>
    </w:p>
    <w:p w14:paraId="7D3282A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TRBK is not the same as land ownership.</w:t>
      </w:r>
    </w:p>
    <w:p w14:paraId="15CBEBF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HoloFuel is not the same as investor exposure.</w:t>
      </w:r>
    </w:p>
    <w:p w14:paraId="4B28657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Governance participation is not the same as cash-flow rights.</w:t>
      </w:r>
    </w:p>
    <w:p w14:paraId="67C9F81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Capital allocation is not the same as ecological validity.</w:t>
      </w:r>
    </w:p>
    <w:p w14:paraId="4A3FBDC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Each layer must remain distinct, traceable, and interoperable.</w:t>
      </w:r>
    </w:p>
    <w:p w14:paraId="0A61892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prevents conceptual inflation.</w:t>
      </w:r>
    </w:p>
    <w:p w14:paraId="5AD7D75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also allows the system to be audited, regulated, improved, and scaled with discipline.</w:t>
      </w:r>
    </w:p>
    <w:p w14:paraId="256DF31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becomes powerful not by merging everything into one token or one metric, but by preserving the right relationship among living systems, evidence, governance, and capital.</w:t>
      </w:r>
    </w:p>
    <w:p w14:paraId="061366D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Layered architecture</w:t>
      </w:r>
    </w:p>
    <w:p w14:paraId="315D036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operates through a layered architecture.</w:t>
      </w:r>
    </w:p>
    <w:p w14:paraId="585829D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Each layer performs a specific function within the system.</w:t>
      </w:r>
    </w:p>
    <w:p w14:paraId="494AB38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Biophysical layer</w:t>
      </w:r>
    </w:p>
    <w:p w14:paraId="51D68E1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biophysical layer is composed of living systems.</w:t>
      </w:r>
    </w:p>
    <w:p w14:paraId="2F1539A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includes soil, water, plants, microorganisms, biodiversity, biomass, food production, landscape design, climate context, and human stewardship.</w:t>
      </w:r>
    </w:p>
    <w:p w14:paraId="5C52ACB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is where regeneration actually occurs.</w:t>
      </w:r>
    </w:p>
    <w:p w14:paraId="6AB7CC0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One Human Ecosystem functions as the minimum deployable unit of this layer.</w:t>
      </w:r>
    </w:p>
    <w:p w14:paraId="281B1E8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generates ecological performance, operational evidence, and regenerative potential.</w:t>
      </w:r>
    </w:p>
    <w:p w14:paraId="60D8736F" w14:textId="77777777" w:rsidR="002E5EB1" w:rsidRDefault="002E5EB1" w:rsidP="008D67A4">
      <w:pPr>
        <w:spacing w:line="360" w:lineRule="auto"/>
        <w:rPr>
          <w:rFonts w:ascii="Baskerville Old Face" w:hAnsi="Baskerville Old Face"/>
          <w:b/>
          <w:bCs/>
          <w:i/>
          <w:iCs/>
        </w:rPr>
      </w:pPr>
    </w:p>
    <w:p w14:paraId="33700AA6" w14:textId="513E5F3C"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lastRenderedPageBreak/>
        <w:t>Observation and MRV layer</w:t>
      </w:r>
    </w:p>
    <w:p w14:paraId="6C554CB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observation and MRV layer captures what happens in the biophysical layer.</w:t>
      </w:r>
    </w:p>
    <w:p w14:paraId="1F6CA3C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integrates field sensors, laboratory analysis, satellite imagery, drone or mobile observation, ecological surveys, operational logs, and human or third-party audits.</w:t>
      </w:r>
    </w:p>
    <w:p w14:paraId="25D3017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layer transforms ecological reality into evidence.</w:t>
      </w:r>
    </w:p>
    <w:p w14:paraId="2AEB668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does not create value by itself.</w:t>
      </w:r>
    </w:p>
    <w:p w14:paraId="23CA1DE5" w14:textId="78CADB7B"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makes value observable.</w:t>
      </w:r>
      <w:r w:rsidR="00B7151C" w:rsidRPr="00B479AE">
        <w:rPr>
          <w:rFonts w:ascii="Baskerville Old Face" w:hAnsi="Baskerville Old Face"/>
          <w:i/>
          <w:iCs/>
        </w:rPr>
        <w:t xml:space="preserve"> </w:t>
      </w:r>
    </w:p>
    <w:p w14:paraId="1BE9988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Provenance and validation layer</w:t>
      </w:r>
    </w:p>
    <w:p w14:paraId="6B8D780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provenance and validation layer preserves data lineage, source identity, timestamping, method, calibration, confidence, and validation logic.</w:t>
      </w:r>
    </w:p>
    <w:p w14:paraId="2D43014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allows reviewers to understand how a metric came into existence.</w:t>
      </w:r>
    </w:p>
    <w:p w14:paraId="7E95057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layer is essential for trust.</w:t>
      </w:r>
    </w:p>
    <w:p w14:paraId="3600808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Without provenance, data remains fragile.</w:t>
      </w:r>
    </w:p>
    <w:p w14:paraId="4C5069A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With provenance, data becomes reviewable evidence.</w:t>
      </w:r>
    </w:p>
    <w:p w14:paraId="43F3047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Valueflows and accounting layer</w:t>
      </w:r>
    </w:p>
    <w:p w14:paraId="5D0005C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Valueflows / REA-compatible accounting layer structures the relationship among resources, events, agents, and transformations.</w:t>
      </w:r>
    </w:p>
    <w:p w14:paraId="64EB73D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In this layer:</w:t>
      </w:r>
    </w:p>
    <w:p w14:paraId="37C9092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resources represent ecological or economic inputs and outputs;</w:t>
      </w:r>
    </w:p>
    <w:p w14:paraId="3671008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events represent actions, changes, measurements, or transformations;</w:t>
      </w:r>
    </w:p>
    <w:p w14:paraId="282DE8F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agents represent people, organizations, devices, nodes, stewards, validators, or institutions participating in the system.</w:t>
      </w:r>
    </w:p>
    <w:p w14:paraId="044F7F9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This layer allows regenerative activity to be described as structured value flow rather than narrative claim.</w:t>
      </w:r>
    </w:p>
    <w:p w14:paraId="78DD686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makes it possible to track planting, pruning, biomass return, harvest, monitoring, verification, stewardship, production, exchange, and reinvestment as part of one coherent accounting architecture.</w:t>
      </w:r>
    </w:p>
    <w:p w14:paraId="240CFD5A" w14:textId="77777777" w:rsidR="00376E98" w:rsidRPr="00B479AE" w:rsidRDefault="00376E98" w:rsidP="00376E98">
      <w:pPr>
        <w:spacing w:line="360" w:lineRule="auto"/>
        <w:rPr>
          <w:rFonts w:ascii="Baskerville Old Face" w:hAnsi="Baskerville Old Face"/>
          <w:b/>
          <w:bCs/>
          <w:i/>
          <w:iCs/>
        </w:rPr>
      </w:pPr>
      <w:r w:rsidRPr="00B479AE">
        <w:rPr>
          <w:rFonts w:ascii="Baskerville Old Face" w:hAnsi="Baskerville Old Face"/>
          <w:b/>
          <w:bCs/>
          <w:i/>
          <w:iCs/>
        </w:rPr>
        <w:t>Computational Implementation Pathway</w:t>
      </w:r>
    </w:p>
    <w:p w14:paraId="216018CC" w14:textId="77777777" w:rsidR="00376E98" w:rsidRPr="00B479AE" w:rsidRDefault="00376E98" w:rsidP="00376E98">
      <w:pPr>
        <w:spacing w:line="360" w:lineRule="auto"/>
        <w:rPr>
          <w:rFonts w:ascii="Baskerville Old Face" w:hAnsi="Baskerville Old Face"/>
          <w:i/>
          <w:iCs/>
        </w:rPr>
      </w:pPr>
      <w:r w:rsidRPr="00B479AE">
        <w:rPr>
          <w:rFonts w:ascii="Baskerville Old Face" w:hAnsi="Baskerville Old Face"/>
          <w:i/>
          <w:iCs/>
        </w:rPr>
        <w:t>The Prometheus scientific model becomes operational only when ecological reality can be translated into structured computational events.</w:t>
      </w:r>
    </w:p>
    <w:p w14:paraId="7EA41F4D" w14:textId="77777777" w:rsidR="00376E98" w:rsidRPr="002E5EB1" w:rsidRDefault="00376E98" w:rsidP="00376E98">
      <w:pPr>
        <w:spacing w:line="360" w:lineRule="auto"/>
        <w:rPr>
          <w:rFonts w:ascii="Baskerville Old Face" w:hAnsi="Baskerville Old Face"/>
          <w:i/>
          <w:iCs/>
        </w:rPr>
      </w:pPr>
      <w:r w:rsidRPr="00B479AE">
        <w:rPr>
          <w:rFonts w:ascii="Baskerville Old Face" w:hAnsi="Baskerville Old Face"/>
          <w:i/>
          <w:iCs/>
        </w:rPr>
        <w:t>The implementation pathway may be expressed as:</w:t>
      </w:r>
    </w:p>
    <w:p w14:paraId="7951BAF7" w14:textId="13E51182" w:rsidR="00376E98" w:rsidRPr="002E5EB1" w:rsidRDefault="00376E98" w:rsidP="00376E98">
      <w:pPr>
        <w:spacing w:line="360" w:lineRule="auto"/>
        <w:rPr>
          <w:rFonts w:ascii="Baskerville Old Face" w:hAnsi="Baskerville Old Face"/>
          <w:i/>
          <w:iCs/>
        </w:rPr>
      </w:pPr>
      <w:r w:rsidRPr="002E5EB1">
        <w:rPr>
          <w:rFonts w:ascii="Baskerville Old Face" w:hAnsi="Baskerville Old Face"/>
          <w:i/>
          <w:iCs/>
        </w:rPr>
        <w:t xml:space="preserve">Field data </w:t>
      </w:r>
      <w:r w:rsidRPr="002E5EB1">
        <w:rPr>
          <w:rFonts w:ascii="Times New Roman" w:hAnsi="Times New Roman" w:cs="Times New Roman"/>
          <w:i/>
          <w:iCs/>
        </w:rPr>
        <w:t>→</w:t>
      </w:r>
      <w:r w:rsidRPr="002E5EB1">
        <w:rPr>
          <w:rFonts w:ascii="Baskerville Old Face" w:hAnsi="Baskerville Old Face"/>
          <w:i/>
          <w:iCs/>
        </w:rPr>
        <w:t xml:space="preserve"> MRV </w:t>
      </w:r>
      <w:r w:rsidRPr="002E5EB1">
        <w:rPr>
          <w:rFonts w:ascii="Times New Roman" w:hAnsi="Times New Roman" w:cs="Times New Roman"/>
          <w:i/>
          <w:iCs/>
        </w:rPr>
        <w:t>→</w:t>
      </w:r>
      <w:r w:rsidRPr="002E5EB1">
        <w:rPr>
          <w:rFonts w:ascii="Baskerville Old Face" w:hAnsi="Baskerville Old Face"/>
          <w:i/>
          <w:iCs/>
        </w:rPr>
        <w:t xml:space="preserve"> parameter estimation </w:t>
      </w:r>
      <w:r w:rsidRPr="002E5EB1">
        <w:rPr>
          <w:rFonts w:ascii="Times New Roman" w:hAnsi="Times New Roman" w:cs="Times New Roman"/>
          <w:i/>
          <w:iCs/>
        </w:rPr>
        <w:t>→</w:t>
      </w:r>
      <w:r w:rsidRPr="002E5EB1">
        <w:rPr>
          <w:rFonts w:ascii="Baskerville Old Face" w:hAnsi="Baskerville Old Face"/>
          <w:i/>
          <w:iCs/>
        </w:rPr>
        <w:t xml:space="preserve"> network simulation </w:t>
      </w:r>
      <w:r w:rsidRPr="002E5EB1">
        <w:rPr>
          <w:rFonts w:ascii="Times New Roman" w:hAnsi="Times New Roman" w:cs="Times New Roman"/>
          <w:i/>
          <w:iCs/>
        </w:rPr>
        <w:t>→</w:t>
      </w:r>
      <w:r w:rsidRPr="002E5EB1">
        <w:rPr>
          <w:rFonts w:ascii="Baskerville Old Face" w:hAnsi="Baskerville Old Face"/>
          <w:i/>
          <w:iCs/>
        </w:rPr>
        <w:t xml:space="preserve"> performance indicators </w:t>
      </w:r>
      <w:r w:rsidRPr="002E5EB1">
        <w:rPr>
          <w:rFonts w:ascii="Times New Roman" w:hAnsi="Times New Roman" w:cs="Times New Roman"/>
          <w:i/>
          <w:iCs/>
        </w:rPr>
        <w:t>→</w:t>
      </w:r>
      <w:r w:rsidRPr="002E5EB1">
        <w:rPr>
          <w:rFonts w:ascii="Baskerville Old Face" w:hAnsi="Baskerville Old Face"/>
          <w:i/>
          <w:iCs/>
        </w:rPr>
        <w:t xml:space="preserve"> </w:t>
      </w:r>
      <w:r w:rsidR="00A938B4" w:rsidRPr="002E5EB1">
        <w:rPr>
          <w:rFonts w:ascii="Baskerville Old Face" w:hAnsi="Baskerville Old Face"/>
          <w:i/>
          <w:iCs/>
        </w:rPr>
        <w:t xml:space="preserve">REA events </w:t>
      </w:r>
      <w:r w:rsidR="00A938B4" w:rsidRPr="002E5EB1">
        <w:rPr>
          <w:rFonts w:ascii="Times New Roman" w:hAnsi="Times New Roman" w:cs="Times New Roman"/>
          <w:i/>
          <w:iCs/>
        </w:rPr>
        <w:t>→</w:t>
      </w:r>
      <w:r w:rsidR="00A938B4" w:rsidRPr="002E5EB1">
        <w:rPr>
          <w:rFonts w:ascii="Baskerville Old Face" w:hAnsi="Baskerville Old Face"/>
          <w:i/>
          <w:iCs/>
        </w:rPr>
        <w:t xml:space="preserve"> PRU value analysis </w:t>
      </w:r>
    </w:p>
    <w:p w14:paraId="4F7E8872" w14:textId="77777777" w:rsidR="00376E98" w:rsidRPr="00B479AE" w:rsidRDefault="00376E98" w:rsidP="00376E98">
      <w:pPr>
        <w:spacing w:line="360" w:lineRule="auto"/>
        <w:rPr>
          <w:rFonts w:ascii="Baskerville Old Face" w:hAnsi="Baskerville Old Face"/>
          <w:i/>
          <w:iCs/>
        </w:rPr>
      </w:pPr>
      <w:r w:rsidRPr="00B479AE">
        <w:rPr>
          <w:rFonts w:ascii="Baskerville Old Face" w:hAnsi="Baskerville Old Face"/>
          <w:i/>
          <w:iCs/>
        </w:rPr>
        <w:t>This sequence defines how biophysical observation becomes institutionally usable without losing its ecological source.</w:t>
      </w:r>
    </w:p>
    <w:p w14:paraId="44455ADA" w14:textId="77777777" w:rsidR="00376E98" w:rsidRPr="00B479AE" w:rsidRDefault="00376E98" w:rsidP="00376E98">
      <w:pPr>
        <w:spacing w:line="360" w:lineRule="auto"/>
        <w:rPr>
          <w:rFonts w:ascii="Baskerville Old Face" w:hAnsi="Baskerville Old Face"/>
          <w:i/>
          <w:iCs/>
        </w:rPr>
      </w:pPr>
      <w:r w:rsidRPr="00B479AE">
        <w:rPr>
          <w:rFonts w:ascii="Baskerville Old Face" w:hAnsi="Baskerville Old Face"/>
          <w:i/>
          <w:iCs/>
        </w:rPr>
        <w:t>Field data includes sensor readings, laboratory results, soil tests, water tests, field photographs, drone imagery, satellite data, biodiversity observations, operational records, stewardship notes, and audit inputs.</w:t>
      </w:r>
    </w:p>
    <w:p w14:paraId="33BB2414" w14:textId="77777777" w:rsidR="00376E98" w:rsidRPr="00B479AE" w:rsidRDefault="00376E98" w:rsidP="00376E98">
      <w:pPr>
        <w:spacing w:line="360" w:lineRule="auto"/>
        <w:rPr>
          <w:rFonts w:ascii="Baskerville Old Face" w:hAnsi="Baskerville Old Face"/>
          <w:i/>
          <w:iCs/>
        </w:rPr>
      </w:pPr>
      <w:r w:rsidRPr="00B479AE">
        <w:rPr>
          <w:rFonts w:ascii="Baskerville Old Face" w:hAnsi="Baskerville Old Face"/>
          <w:i/>
          <w:iCs/>
        </w:rPr>
        <w:t>MRV transforms field data into structured evidence by adding provenance, methodology, time, location, source identity, confidence scoring, and review status.</w:t>
      </w:r>
    </w:p>
    <w:p w14:paraId="2D63E6AA" w14:textId="77777777" w:rsidR="00376E98" w:rsidRPr="00B479AE" w:rsidRDefault="00376E98" w:rsidP="00376E98">
      <w:pPr>
        <w:spacing w:line="360" w:lineRule="auto"/>
        <w:rPr>
          <w:rFonts w:ascii="Baskerville Old Face" w:hAnsi="Baskerville Old Face"/>
          <w:i/>
          <w:iCs/>
        </w:rPr>
      </w:pPr>
      <w:r w:rsidRPr="00B479AE">
        <w:rPr>
          <w:rFonts w:ascii="Baskerville Old Face" w:hAnsi="Baskerville Old Face"/>
          <w:i/>
          <w:iCs/>
        </w:rPr>
        <w:t>Parameter estimation translates evidence into model variables, such as soil moisture stability, organic matter, microbial activity, infiltration, fungal-support proxies, biodiversity indicators, yield stability, input dependency, and resilience measures.</w:t>
      </w:r>
    </w:p>
    <w:p w14:paraId="6C94C19A" w14:textId="77777777" w:rsidR="00376E98" w:rsidRPr="00B479AE" w:rsidRDefault="00376E98" w:rsidP="00376E98">
      <w:pPr>
        <w:spacing w:line="360" w:lineRule="auto"/>
        <w:rPr>
          <w:rFonts w:ascii="Baskerville Old Face" w:hAnsi="Baskerville Old Face"/>
          <w:i/>
          <w:iCs/>
        </w:rPr>
      </w:pPr>
      <w:r w:rsidRPr="00B479AE">
        <w:rPr>
          <w:rFonts w:ascii="Baskerville Old Face" w:hAnsi="Baskerville Old Face"/>
          <w:i/>
          <w:iCs/>
        </w:rPr>
        <w:t>Network simulation allows Prometheus to interpret the One Human Ecosystem as a relational system rather than a flat productive surface. It may support analysis of hydrological flows, soil metabolic function, biomass cycling, successional dynamics, mycorrhizal support, biochemical interaction, cooperative surplus, and productive stability.</w:t>
      </w:r>
    </w:p>
    <w:p w14:paraId="21D4137A" w14:textId="77777777" w:rsidR="00376E98" w:rsidRPr="00B479AE" w:rsidRDefault="00376E98" w:rsidP="00376E98">
      <w:pPr>
        <w:spacing w:line="360" w:lineRule="auto"/>
        <w:rPr>
          <w:rFonts w:ascii="Baskerville Old Face" w:hAnsi="Baskerville Old Face"/>
          <w:i/>
          <w:iCs/>
        </w:rPr>
      </w:pPr>
      <w:r w:rsidRPr="00B479AE">
        <w:rPr>
          <w:rFonts w:ascii="Baskerville Old Face" w:hAnsi="Baskerville Old Face"/>
          <w:i/>
          <w:iCs/>
        </w:rPr>
        <w:t>Performance indicators translate model outputs into measurable and reviewable signals, such as SRI, RPI, CESI, MRV integrity, confidence-adjusted indices, hydrological resilience, soil metabolic gain, biodiversity function, risk compression, and productive stability.</w:t>
      </w:r>
    </w:p>
    <w:p w14:paraId="5FFC03C3" w14:textId="77777777" w:rsidR="00376E98" w:rsidRPr="00B479AE" w:rsidRDefault="00376E98" w:rsidP="00376E98">
      <w:pPr>
        <w:spacing w:line="360" w:lineRule="auto"/>
        <w:rPr>
          <w:rFonts w:ascii="Baskerville Old Face" w:hAnsi="Baskerville Old Face"/>
          <w:i/>
          <w:iCs/>
        </w:rPr>
      </w:pPr>
      <w:r w:rsidRPr="00B479AE">
        <w:rPr>
          <w:rFonts w:ascii="Baskerville Old Face" w:hAnsi="Baskerville Old Face"/>
          <w:i/>
          <w:iCs/>
        </w:rPr>
        <w:lastRenderedPageBreak/>
        <w:t>REA events translate ecological and operational activity into structured accounting records. Planting, pruning, biomass return, irrigation, harvesting, sampling, verification, stewardship, maintenance, ecological improvement, and value-relevant transformations can be recorded as events linking resources, agents, and outcomes.</w:t>
      </w:r>
    </w:p>
    <w:p w14:paraId="2E9CA173" w14:textId="08737B73" w:rsidR="00531A13" w:rsidRPr="00B479AE" w:rsidRDefault="00531A13" w:rsidP="00376E98">
      <w:pPr>
        <w:spacing w:line="360" w:lineRule="auto"/>
        <w:rPr>
          <w:rFonts w:ascii="Baskerville Old Face" w:hAnsi="Baskerville Old Face"/>
          <w:i/>
          <w:iCs/>
        </w:rPr>
      </w:pPr>
      <w:r w:rsidRPr="00B479AE">
        <w:rPr>
          <w:rFonts w:ascii="Baskerville Old Face" w:hAnsi="Baskerville Old Face"/>
          <w:i/>
          <w:iCs/>
        </w:rPr>
        <w:t>PRU value analysis may occur only after the relevant indicators become evidence-backed, confidence-scored, methodology-aligned, reviewable, and admissible.</w:t>
      </w:r>
    </w:p>
    <w:p w14:paraId="64443AF0" w14:textId="77777777" w:rsidR="00376E98" w:rsidRPr="00B479AE" w:rsidRDefault="00376E98" w:rsidP="00376E98">
      <w:pPr>
        <w:spacing w:line="360" w:lineRule="auto"/>
        <w:rPr>
          <w:rFonts w:ascii="Baskerville Old Face" w:hAnsi="Baskerville Old Face"/>
          <w:i/>
          <w:iCs/>
        </w:rPr>
      </w:pPr>
      <w:r w:rsidRPr="00B479AE">
        <w:rPr>
          <w:rFonts w:ascii="Baskerville Old Face" w:hAnsi="Baskerville Old Face"/>
          <w:i/>
          <w:iCs/>
        </w:rPr>
        <w:t>This pathway prevents Prometheus from jumping directly from ecological narrative to financial value.</w:t>
      </w:r>
    </w:p>
    <w:p w14:paraId="2895E2CE" w14:textId="77777777" w:rsidR="00376E98" w:rsidRPr="00B479AE" w:rsidRDefault="00376E98" w:rsidP="00376E98">
      <w:pPr>
        <w:spacing w:line="360" w:lineRule="auto"/>
        <w:rPr>
          <w:rFonts w:ascii="Baskerville Old Face" w:hAnsi="Baskerville Old Face"/>
          <w:i/>
          <w:iCs/>
        </w:rPr>
      </w:pPr>
      <w:r w:rsidRPr="00B479AE">
        <w:rPr>
          <w:rFonts w:ascii="Baskerville Old Face" w:hAnsi="Baskerville Old Face"/>
          <w:i/>
          <w:iCs/>
        </w:rPr>
        <w:t>The sequence is deliberate:</w:t>
      </w:r>
    </w:p>
    <w:p w14:paraId="192AB59B" w14:textId="1A8BE69C" w:rsidR="00376E98" w:rsidRPr="00B479AE" w:rsidRDefault="00376E98" w:rsidP="00376E98">
      <w:pPr>
        <w:spacing w:line="360" w:lineRule="auto"/>
        <w:rPr>
          <w:rFonts w:ascii="Baskerville Old Face" w:hAnsi="Baskerville Old Face"/>
          <w:i/>
          <w:iCs/>
        </w:rPr>
      </w:pPr>
      <w:r w:rsidRPr="00B479AE">
        <w:rPr>
          <w:rFonts w:ascii="Baskerville Old Face" w:hAnsi="Baskerville Old Face"/>
          <w:i/>
          <w:iCs/>
        </w:rPr>
        <w:t>field reality first;</w:t>
      </w:r>
      <w:r w:rsidRPr="00B479AE">
        <w:rPr>
          <w:rFonts w:ascii="Baskerville Old Face" w:hAnsi="Baskerville Old Face"/>
          <w:i/>
          <w:iCs/>
        </w:rPr>
        <w:br/>
        <w:t>evidence second;</w:t>
      </w:r>
      <w:r w:rsidRPr="00B479AE">
        <w:rPr>
          <w:rFonts w:ascii="Baskerville Old Face" w:hAnsi="Baskerville Old Face"/>
          <w:i/>
          <w:iCs/>
        </w:rPr>
        <w:br/>
        <w:t>modeling third;</w:t>
      </w:r>
      <w:r w:rsidRPr="00B479AE">
        <w:rPr>
          <w:rFonts w:ascii="Baskerville Old Face" w:hAnsi="Baskerville Old Face"/>
          <w:i/>
          <w:iCs/>
        </w:rPr>
        <w:br/>
        <w:t>accounting fourth;</w:t>
      </w:r>
      <w:r w:rsidRPr="00B479AE">
        <w:rPr>
          <w:rFonts w:ascii="Baskerville Old Face" w:hAnsi="Baskerville Old Face"/>
          <w:i/>
          <w:iCs/>
        </w:rPr>
        <w:br/>
      </w:r>
      <w:r w:rsidR="00531A13" w:rsidRPr="00B479AE">
        <w:rPr>
          <w:rFonts w:ascii="Baskerville Old Face" w:hAnsi="Baskerville Old Face"/>
          <w:i/>
          <w:iCs/>
        </w:rPr>
        <w:t xml:space="preserve">value analysis last. </w:t>
      </w:r>
    </w:p>
    <w:p w14:paraId="1685BAB3" w14:textId="77777777" w:rsidR="00376E98" w:rsidRPr="00B479AE" w:rsidRDefault="00376E98" w:rsidP="00376E98">
      <w:pPr>
        <w:spacing w:line="360" w:lineRule="auto"/>
        <w:rPr>
          <w:rFonts w:ascii="Baskerville Old Face" w:hAnsi="Baskerville Old Face"/>
          <w:i/>
          <w:iCs/>
        </w:rPr>
      </w:pPr>
      <w:r w:rsidRPr="00B479AE">
        <w:rPr>
          <w:rFonts w:ascii="Baskerville Old Face" w:hAnsi="Baskerville Old Face"/>
          <w:i/>
          <w:iCs/>
        </w:rPr>
        <w:t>In operational terms, Prometheus does not ask capital to believe in regeneration.</w:t>
      </w:r>
    </w:p>
    <w:p w14:paraId="23583221" w14:textId="77777777" w:rsidR="00376E98" w:rsidRPr="00B479AE" w:rsidRDefault="00376E98" w:rsidP="00376E98">
      <w:pPr>
        <w:spacing w:line="360" w:lineRule="auto"/>
        <w:rPr>
          <w:rFonts w:ascii="Baskerville Old Face" w:hAnsi="Baskerville Old Face"/>
          <w:i/>
          <w:iCs/>
        </w:rPr>
      </w:pPr>
      <w:r w:rsidRPr="00B479AE">
        <w:rPr>
          <w:rFonts w:ascii="Baskerville Old Face" w:hAnsi="Baskerville Old Face"/>
          <w:i/>
          <w:iCs/>
        </w:rPr>
        <w:t>It builds the data path through which capital can inspect regeneration.</w:t>
      </w:r>
    </w:p>
    <w:p w14:paraId="0987F24F" w14:textId="77777777" w:rsidR="00376E98" w:rsidRPr="00B479AE" w:rsidRDefault="00376E98" w:rsidP="00376E98">
      <w:pPr>
        <w:spacing w:line="360" w:lineRule="auto"/>
        <w:rPr>
          <w:rFonts w:ascii="Baskerville Old Face" w:hAnsi="Baskerville Old Face"/>
          <w:i/>
          <w:iCs/>
        </w:rPr>
      </w:pPr>
      <w:r w:rsidRPr="00B479AE">
        <w:rPr>
          <w:rFonts w:ascii="Baskerville Old Face" w:hAnsi="Baskerville Old Face"/>
          <w:i/>
          <w:iCs/>
        </w:rPr>
        <w:t>The computational pathway therefore functions as a discipline of translation:</w:t>
      </w:r>
    </w:p>
    <w:p w14:paraId="3F677DC4" w14:textId="77777777" w:rsidR="00376E98" w:rsidRPr="00B479AE" w:rsidRDefault="00376E98" w:rsidP="00376E98">
      <w:pPr>
        <w:spacing w:line="360" w:lineRule="auto"/>
        <w:rPr>
          <w:rFonts w:ascii="Baskerville Old Face" w:hAnsi="Baskerville Old Face"/>
          <w:i/>
          <w:iCs/>
        </w:rPr>
      </w:pPr>
      <w:r w:rsidRPr="00B479AE">
        <w:rPr>
          <w:rFonts w:ascii="Baskerville Old Face" w:hAnsi="Baskerville Old Face"/>
          <w:i/>
          <w:iCs/>
        </w:rPr>
        <w:t xml:space="preserve">living system </w:t>
      </w:r>
      <w:r w:rsidRPr="00B479AE">
        <w:rPr>
          <w:rFonts w:ascii="Times New Roman" w:hAnsi="Times New Roman" w:cs="Times New Roman"/>
          <w:i/>
          <w:iCs/>
        </w:rPr>
        <w:t>→</w:t>
      </w:r>
      <w:r w:rsidRPr="00B479AE">
        <w:rPr>
          <w:rFonts w:ascii="Baskerville Old Face" w:hAnsi="Baskerville Old Face"/>
          <w:i/>
          <w:iCs/>
        </w:rPr>
        <w:t xml:space="preserve"> measured signal </w:t>
      </w:r>
      <w:r w:rsidRPr="00B479AE">
        <w:rPr>
          <w:rFonts w:ascii="Times New Roman" w:hAnsi="Times New Roman" w:cs="Times New Roman"/>
          <w:i/>
          <w:iCs/>
        </w:rPr>
        <w:t>→</w:t>
      </w:r>
      <w:r w:rsidRPr="00B479AE">
        <w:rPr>
          <w:rFonts w:ascii="Baskerville Old Face" w:hAnsi="Baskerville Old Face"/>
          <w:i/>
          <w:iCs/>
        </w:rPr>
        <w:t xml:space="preserve"> verified evidence </w:t>
      </w:r>
      <w:r w:rsidRPr="00B479AE">
        <w:rPr>
          <w:rFonts w:ascii="Times New Roman" w:hAnsi="Times New Roman" w:cs="Times New Roman"/>
          <w:i/>
          <w:iCs/>
        </w:rPr>
        <w:t>→</w:t>
      </w:r>
      <w:r w:rsidRPr="00B479AE">
        <w:rPr>
          <w:rFonts w:ascii="Baskerville Old Face" w:hAnsi="Baskerville Old Face"/>
          <w:i/>
          <w:iCs/>
        </w:rPr>
        <w:t xml:space="preserve"> model parameter </w:t>
      </w:r>
      <w:r w:rsidRPr="00B479AE">
        <w:rPr>
          <w:rFonts w:ascii="Times New Roman" w:hAnsi="Times New Roman" w:cs="Times New Roman"/>
          <w:i/>
          <w:iCs/>
        </w:rPr>
        <w:t>→</w:t>
      </w:r>
      <w:r w:rsidRPr="00B479AE">
        <w:rPr>
          <w:rFonts w:ascii="Baskerville Old Face" w:hAnsi="Baskerville Old Face"/>
          <w:i/>
          <w:iCs/>
        </w:rPr>
        <w:t xml:space="preserve"> performance indicator </w:t>
      </w:r>
      <w:r w:rsidRPr="00B479AE">
        <w:rPr>
          <w:rFonts w:ascii="Times New Roman" w:hAnsi="Times New Roman" w:cs="Times New Roman"/>
          <w:i/>
          <w:iCs/>
        </w:rPr>
        <w:t>→</w:t>
      </w:r>
      <w:r w:rsidRPr="00B479AE">
        <w:rPr>
          <w:rFonts w:ascii="Baskerville Old Face" w:hAnsi="Baskerville Old Face"/>
          <w:i/>
          <w:iCs/>
        </w:rPr>
        <w:t xml:space="preserve"> accountable event </w:t>
      </w:r>
      <w:r w:rsidRPr="00B479AE">
        <w:rPr>
          <w:rFonts w:ascii="Times New Roman" w:hAnsi="Times New Roman" w:cs="Times New Roman"/>
          <w:i/>
          <w:iCs/>
        </w:rPr>
        <w:t>→</w:t>
      </w:r>
      <w:r w:rsidRPr="00B479AE">
        <w:rPr>
          <w:rFonts w:ascii="Baskerville Old Face" w:hAnsi="Baskerville Old Face"/>
          <w:i/>
          <w:iCs/>
        </w:rPr>
        <w:t xml:space="preserve"> admissible value.</w:t>
      </w:r>
    </w:p>
    <w:p w14:paraId="2CB8DC86" w14:textId="00309700" w:rsidR="001069F8" w:rsidRPr="00B479AE" w:rsidRDefault="001069F8" w:rsidP="00376E98">
      <w:pPr>
        <w:spacing w:line="360" w:lineRule="auto"/>
        <w:rPr>
          <w:rFonts w:ascii="Baskerville Old Face" w:hAnsi="Baskerville Old Face"/>
          <w:i/>
          <w:iCs/>
        </w:rPr>
      </w:pPr>
      <w:r w:rsidRPr="00B479AE">
        <w:rPr>
          <w:rFonts w:ascii="Baskerville Old Face" w:hAnsi="Baskerville Old Face"/>
          <w:i/>
          <w:iCs/>
        </w:rPr>
        <w:t>This is how Prometheus turns ecological complexity into structured intelligence without reducing living systems to superficial reporting artifacts.</w:t>
      </w:r>
    </w:p>
    <w:p w14:paraId="10724E06" w14:textId="77777777" w:rsidR="00503107" w:rsidRPr="00B479AE" w:rsidRDefault="00503107" w:rsidP="00503107">
      <w:pPr>
        <w:spacing w:line="360" w:lineRule="auto"/>
        <w:rPr>
          <w:rFonts w:ascii="Baskerville Old Face" w:hAnsi="Baskerville Old Face"/>
          <w:b/>
          <w:bCs/>
          <w:i/>
          <w:iCs/>
        </w:rPr>
      </w:pPr>
      <w:r w:rsidRPr="00B479AE">
        <w:rPr>
          <w:rFonts w:ascii="Baskerville Old Face" w:hAnsi="Baskerville Old Face"/>
          <w:b/>
          <w:bCs/>
          <w:i/>
          <w:iCs/>
        </w:rPr>
        <w:t>Regenerative Infrastructure Scaling Pathway</w:t>
      </w:r>
    </w:p>
    <w:p w14:paraId="0C27FC52" w14:textId="77777777" w:rsidR="00503107" w:rsidRPr="00B479AE" w:rsidRDefault="00503107" w:rsidP="00503107">
      <w:pPr>
        <w:spacing w:line="360" w:lineRule="auto"/>
        <w:rPr>
          <w:rFonts w:ascii="Baskerville Old Face" w:hAnsi="Baskerville Old Face"/>
          <w:i/>
          <w:iCs/>
        </w:rPr>
      </w:pPr>
      <w:r w:rsidRPr="00B479AE">
        <w:rPr>
          <w:rFonts w:ascii="Baskerville Old Face" w:hAnsi="Baskerville Old Face"/>
          <w:i/>
          <w:iCs/>
        </w:rPr>
        <w:t>Prometheus scales regeneration through a disciplined institutional pathway.</w:t>
      </w:r>
    </w:p>
    <w:p w14:paraId="75079BD8" w14:textId="77777777" w:rsidR="00503107" w:rsidRPr="002E5EB1" w:rsidRDefault="00503107" w:rsidP="00503107">
      <w:pPr>
        <w:spacing w:line="360" w:lineRule="auto"/>
        <w:rPr>
          <w:rFonts w:ascii="Baskerville Old Face" w:hAnsi="Baskerville Old Face"/>
          <w:i/>
          <w:iCs/>
        </w:rPr>
      </w:pPr>
      <w:r w:rsidRPr="002E5EB1">
        <w:rPr>
          <w:rFonts w:ascii="Baskerville Old Face" w:hAnsi="Baskerville Old Face"/>
          <w:i/>
          <w:iCs/>
        </w:rPr>
        <w:t>The strategic scaling sequence may be expressed as:</w:t>
      </w:r>
    </w:p>
    <w:p w14:paraId="3FF2A74D" w14:textId="77777777" w:rsidR="00503107" w:rsidRPr="002E5EB1" w:rsidRDefault="00503107" w:rsidP="00503107">
      <w:pPr>
        <w:spacing w:line="360" w:lineRule="auto"/>
        <w:rPr>
          <w:rFonts w:ascii="Baskerville Old Face" w:hAnsi="Baskerville Old Face"/>
          <w:i/>
          <w:iCs/>
        </w:rPr>
      </w:pPr>
      <w:r w:rsidRPr="002E5EB1">
        <w:rPr>
          <w:rFonts w:ascii="Baskerville Old Face" w:hAnsi="Baskerville Old Face"/>
          <w:i/>
          <w:iCs/>
        </w:rPr>
        <w:t xml:space="preserve">OHE </w:t>
      </w:r>
      <w:r w:rsidRPr="002E5EB1">
        <w:rPr>
          <w:rFonts w:ascii="Times New Roman" w:hAnsi="Times New Roman" w:cs="Times New Roman"/>
          <w:i/>
          <w:iCs/>
        </w:rPr>
        <w:t>→</w:t>
      </w:r>
      <w:r w:rsidRPr="002E5EB1">
        <w:rPr>
          <w:rFonts w:ascii="Baskerville Old Face" w:hAnsi="Baskerville Old Face"/>
          <w:i/>
          <w:iCs/>
        </w:rPr>
        <w:t xml:space="preserve"> Ecosystem Performance Units </w:t>
      </w:r>
      <w:r w:rsidRPr="002E5EB1">
        <w:rPr>
          <w:rFonts w:ascii="Times New Roman" w:hAnsi="Times New Roman" w:cs="Times New Roman"/>
          <w:i/>
          <w:iCs/>
        </w:rPr>
        <w:t>→</w:t>
      </w:r>
      <w:r w:rsidRPr="002E5EB1">
        <w:rPr>
          <w:rFonts w:ascii="Baskerville Old Face" w:hAnsi="Baskerville Old Face"/>
          <w:i/>
          <w:iCs/>
        </w:rPr>
        <w:t xml:space="preserve"> Regenerative Asset Portfolios </w:t>
      </w:r>
      <w:r w:rsidRPr="002E5EB1">
        <w:rPr>
          <w:rFonts w:ascii="Times New Roman" w:hAnsi="Times New Roman" w:cs="Times New Roman"/>
          <w:i/>
          <w:iCs/>
        </w:rPr>
        <w:t>→</w:t>
      </w:r>
      <w:r w:rsidRPr="002E5EB1">
        <w:rPr>
          <w:rFonts w:ascii="Baskerville Old Face" w:hAnsi="Baskerville Old Face"/>
          <w:i/>
          <w:iCs/>
        </w:rPr>
        <w:t xml:space="preserve"> Regenerative Infrastructure</w:t>
      </w:r>
    </w:p>
    <w:p w14:paraId="5B091C4C" w14:textId="77777777" w:rsidR="00503107" w:rsidRPr="00B479AE" w:rsidRDefault="00503107" w:rsidP="00503107">
      <w:pPr>
        <w:spacing w:line="360" w:lineRule="auto"/>
        <w:rPr>
          <w:rFonts w:ascii="Baskerville Old Face" w:hAnsi="Baskerville Old Face"/>
          <w:i/>
          <w:iCs/>
        </w:rPr>
      </w:pPr>
      <w:r w:rsidRPr="00B479AE">
        <w:rPr>
          <w:rFonts w:ascii="Baskerville Old Face" w:hAnsi="Baskerville Old Face"/>
          <w:i/>
          <w:iCs/>
        </w:rPr>
        <w:lastRenderedPageBreak/>
        <w:t>This sequence clarifies how site-level regeneration can mature into portfolio-level and infrastructure-level value.</w:t>
      </w:r>
    </w:p>
    <w:p w14:paraId="078F7BF6" w14:textId="77777777" w:rsidR="00503107" w:rsidRPr="00B479AE" w:rsidRDefault="00503107" w:rsidP="00503107">
      <w:pPr>
        <w:spacing w:line="360" w:lineRule="auto"/>
        <w:rPr>
          <w:rFonts w:ascii="Baskerville Old Face" w:hAnsi="Baskerville Old Face"/>
          <w:i/>
          <w:iCs/>
        </w:rPr>
      </w:pPr>
      <w:r w:rsidRPr="00B479AE">
        <w:rPr>
          <w:rFonts w:ascii="Baskerville Old Face" w:hAnsi="Baskerville Old Face"/>
          <w:i/>
          <w:iCs/>
        </w:rPr>
        <w:t>The One Human Ecosystem, or OHE, is the minimum deployable unit.</w:t>
      </w:r>
    </w:p>
    <w:p w14:paraId="26933282" w14:textId="77777777" w:rsidR="00503107" w:rsidRPr="00B479AE" w:rsidRDefault="00503107" w:rsidP="00503107">
      <w:pPr>
        <w:spacing w:line="360" w:lineRule="auto"/>
        <w:rPr>
          <w:rFonts w:ascii="Baskerville Old Face" w:hAnsi="Baskerville Old Face"/>
          <w:i/>
          <w:iCs/>
        </w:rPr>
      </w:pPr>
      <w:r w:rsidRPr="00B479AE">
        <w:rPr>
          <w:rFonts w:ascii="Baskerville Old Face" w:hAnsi="Baskerville Old Face"/>
          <w:i/>
          <w:iCs/>
        </w:rPr>
        <w:t>It is where soil, water, biodiversity, biomass, productivity, human stewardship, and MRV evidence become operational.</w:t>
      </w:r>
    </w:p>
    <w:p w14:paraId="78056A28" w14:textId="77777777" w:rsidR="00503107" w:rsidRPr="00B479AE" w:rsidRDefault="00503107" w:rsidP="00503107">
      <w:pPr>
        <w:spacing w:line="360" w:lineRule="auto"/>
        <w:rPr>
          <w:rFonts w:ascii="Baskerville Old Face" w:hAnsi="Baskerville Old Face"/>
          <w:i/>
          <w:iCs/>
        </w:rPr>
      </w:pPr>
      <w:r w:rsidRPr="00B479AE">
        <w:rPr>
          <w:rFonts w:ascii="Baskerville Old Face" w:hAnsi="Baskerville Old Face"/>
          <w:i/>
          <w:iCs/>
        </w:rPr>
        <w:t>Ecosystem Performance Units are the measurable performance layers that emerge from the OHE.</w:t>
      </w:r>
    </w:p>
    <w:p w14:paraId="02C684EF" w14:textId="77777777" w:rsidR="00503107" w:rsidRPr="00B479AE" w:rsidRDefault="00503107" w:rsidP="00503107">
      <w:pPr>
        <w:spacing w:line="360" w:lineRule="auto"/>
        <w:rPr>
          <w:rFonts w:ascii="Baskerville Old Face" w:hAnsi="Baskerville Old Face"/>
          <w:i/>
          <w:iCs/>
        </w:rPr>
      </w:pPr>
      <w:r w:rsidRPr="00B479AE">
        <w:rPr>
          <w:rFonts w:ascii="Baskerville Old Face" w:hAnsi="Baskerville Old Face"/>
          <w:i/>
          <w:iCs/>
        </w:rPr>
        <w:t>They may include soil function, water retention, biodiversity enhancement, productive stability, biomass cycling, input-dependency reduction, resilience, and verified ecological improvement.</w:t>
      </w:r>
    </w:p>
    <w:p w14:paraId="14E676CE" w14:textId="77777777" w:rsidR="00503107" w:rsidRPr="00B479AE" w:rsidRDefault="00503107" w:rsidP="00503107">
      <w:pPr>
        <w:spacing w:line="360" w:lineRule="auto"/>
        <w:rPr>
          <w:rFonts w:ascii="Baskerville Old Face" w:hAnsi="Baskerville Old Face"/>
          <w:i/>
          <w:iCs/>
        </w:rPr>
      </w:pPr>
      <w:r w:rsidRPr="00B479AE">
        <w:rPr>
          <w:rFonts w:ascii="Baskerville Old Face" w:hAnsi="Baskerville Old Face"/>
          <w:i/>
          <w:iCs/>
        </w:rPr>
        <w:t>Regenerative Asset Portfolios emerge when multiple verified OHEs, PRU-relevant units, or regenerative sites are aggregated across locations, operators, maturities, ecological designs, and revenue profiles.</w:t>
      </w:r>
    </w:p>
    <w:p w14:paraId="6868763B" w14:textId="77777777" w:rsidR="00503107" w:rsidRPr="00B479AE" w:rsidRDefault="00503107" w:rsidP="00503107">
      <w:pPr>
        <w:spacing w:line="360" w:lineRule="auto"/>
        <w:rPr>
          <w:rFonts w:ascii="Baskerville Old Face" w:hAnsi="Baskerville Old Face"/>
          <w:i/>
          <w:iCs/>
        </w:rPr>
      </w:pPr>
      <w:r w:rsidRPr="00B479AE">
        <w:rPr>
          <w:rFonts w:ascii="Baskerville Old Face" w:hAnsi="Baskerville Old Face"/>
          <w:i/>
          <w:iCs/>
        </w:rPr>
        <w:t>This portfolio logic supports diversification, risk distribution, comparative analysis, institutional reporting, and capital-readiness.</w:t>
      </w:r>
    </w:p>
    <w:p w14:paraId="0A8CAB86" w14:textId="77777777" w:rsidR="00503107" w:rsidRPr="00B479AE" w:rsidRDefault="00503107" w:rsidP="00503107">
      <w:pPr>
        <w:spacing w:line="360" w:lineRule="auto"/>
        <w:rPr>
          <w:rFonts w:ascii="Baskerville Old Face" w:hAnsi="Baskerville Old Face"/>
          <w:i/>
          <w:iCs/>
        </w:rPr>
      </w:pPr>
      <w:r w:rsidRPr="00B479AE">
        <w:rPr>
          <w:rFonts w:ascii="Baskerville Old Face" w:hAnsi="Baskerville Old Face"/>
          <w:i/>
          <w:iCs/>
        </w:rPr>
        <w:t>Regenerative Infrastructure emerges when these portfolios become durable systems capable of supporting long-term ecological restoration, productive capacity, human stewardship, verification, governance, and capital allocation.</w:t>
      </w:r>
    </w:p>
    <w:p w14:paraId="519CF158" w14:textId="77777777" w:rsidR="00503107" w:rsidRPr="00B479AE" w:rsidRDefault="00503107" w:rsidP="00503107">
      <w:pPr>
        <w:spacing w:line="360" w:lineRule="auto"/>
        <w:rPr>
          <w:rFonts w:ascii="Baskerville Old Face" w:hAnsi="Baskerville Old Face"/>
          <w:i/>
          <w:iCs/>
        </w:rPr>
      </w:pPr>
      <w:r w:rsidRPr="00B479AE">
        <w:rPr>
          <w:rFonts w:ascii="Baskerville Old Face" w:hAnsi="Baskerville Old Face"/>
          <w:i/>
          <w:iCs/>
        </w:rPr>
        <w:t>This pathway is not automatic.</w:t>
      </w:r>
    </w:p>
    <w:p w14:paraId="0CE3A99E" w14:textId="77777777" w:rsidR="00503107" w:rsidRPr="00B479AE" w:rsidRDefault="00503107" w:rsidP="00503107">
      <w:pPr>
        <w:spacing w:line="360" w:lineRule="auto"/>
        <w:rPr>
          <w:rFonts w:ascii="Baskerville Old Face" w:hAnsi="Baskerville Old Face"/>
          <w:i/>
          <w:iCs/>
        </w:rPr>
      </w:pPr>
      <w:r w:rsidRPr="00B479AE">
        <w:rPr>
          <w:rFonts w:ascii="Baskerville Old Face" w:hAnsi="Baskerville Old Face"/>
          <w:i/>
          <w:iCs/>
        </w:rPr>
        <w:t>An OHE does not become infrastructure merely because it is planted.</w:t>
      </w:r>
    </w:p>
    <w:p w14:paraId="14EED46A" w14:textId="77777777" w:rsidR="00503107" w:rsidRPr="00B479AE" w:rsidRDefault="00503107" w:rsidP="00503107">
      <w:pPr>
        <w:spacing w:line="360" w:lineRule="auto"/>
        <w:rPr>
          <w:rFonts w:ascii="Baskerville Old Face" w:hAnsi="Baskerville Old Face"/>
          <w:i/>
          <w:iCs/>
        </w:rPr>
      </w:pPr>
      <w:r w:rsidRPr="00B479AE">
        <w:rPr>
          <w:rFonts w:ascii="Baskerville Old Face" w:hAnsi="Baskerville Old Face"/>
          <w:i/>
          <w:iCs/>
        </w:rPr>
        <w:t>A performance unit does not become capital-ready merely because it is measured.</w:t>
      </w:r>
    </w:p>
    <w:p w14:paraId="29579AF6" w14:textId="77777777" w:rsidR="00503107" w:rsidRPr="00B479AE" w:rsidRDefault="00503107" w:rsidP="00503107">
      <w:pPr>
        <w:spacing w:line="360" w:lineRule="auto"/>
        <w:rPr>
          <w:rFonts w:ascii="Baskerville Old Face" w:hAnsi="Baskerville Old Face"/>
          <w:i/>
          <w:iCs/>
        </w:rPr>
      </w:pPr>
      <w:r w:rsidRPr="00B479AE">
        <w:rPr>
          <w:rFonts w:ascii="Baskerville Old Face" w:hAnsi="Baskerville Old Face"/>
          <w:i/>
          <w:iCs/>
        </w:rPr>
        <w:t>A portfolio does not become institutional merely because assets are aggregated.</w:t>
      </w:r>
    </w:p>
    <w:p w14:paraId="20E0888A" w14:textId="77777777" w:rsidR="00503107" w:rsidRPr="002E5EB1" w:rsidRDefault="00503107" w:rsidP="00503107">
      <w:pPr>
        <w:spacing w:line="360" w:lineRule="auto"/>
        <w:rPr>
          <w:rFonts w:ascii="Baskerville Old Face" w:hAnsi="Baskerville Old Face"/>
          <w:i/>
          <w:iCs/>
        </w:rPr>
      </w:pPr>
      <w:r w:rsidRPr="00B479AE">
        <w:rPr>
          <w:rFonts w:ascii="Baskerville Old Face" w:hAnsi="Baskerville Old Face"/>
          <w:i/>
          <w:iCs/>
        </w:rPr>
        <w:t>Each transition requires evidence, MRV confidence, governance review, legal clarity, operational reliability, and capital-readiness discipline.</w:t>
      </w:r>
    </w:p>
    <w:p w14:paraId="60E2E04F" w14:textId="77777777" w:rsidR="00503107" w:rsidRPr="002E5EB1" w:rsidRDefault="00503107" w:rsidP="00503107">
      <w:pPr>
        <w:spacing w:line="360" w:lineRule="auto"/>
        <w:rPr>
          <w:rFonts w:ascii="Baskerville Old Face" w:hAnsi="Baskerville Old Face"/>
          <w:i/>
          <w:iCs/>
        </w:rPr>
      </w:pPr>
      <w:r w:rsidRPr="002E5EB1">
        <w:rPr>
          <w:rFonts w:ascii="Baskerville Old Face" w:hAnsi="Baskerville Old Face"/>
          <w:i/>
          <w:iCs/>
        </w:rPr>
        <w:t>The scaling logic may therefore be expanded as:</w:t>
      </w:r>
    </w:p>
    <w:p w14:paraId="7AC43028" w14:textId="77777777" w:rsidR="00503107" w:rsidRPr="002E5EB1" w:rsidRDefault="00503107" w:rsidP="00503107">
      <w:pPr>
        <w:spacing w:line="360" w:lineRule="auto"/>
        <w:rPr>
          <w:rFonts w:ascii="Baskerville Old Face" w:hAnsi="Baskerville Old Face"/>
          <w:i/>
          <w:iCs/>
        </w:rPr>
      </w:pPr>
      <w:r w:rsidRPr="002E5EB1">
        <w:rPr>
          <w:rFonts w:ascii="Baskerville Old Face" w:hAnsi="Baskerville Old Face"/>
          <w:i/>
          <w:iCs/>
        </w:rPr>
        <w:t xml:space="preserve">OHE </w:t>
      </w:r>
      <w:r w:rsidRPr="002E5EB1">
        <w:rPr>
          <w:rFonts w:ascii="Times New Roman" w:hAnsi="Times New Roman" w:cs="Times New Roman"/>
          <w:i/>
          <w:iCs/>
        </w:rPr>
        <w:t>→</w:t>
      </w:r>
      <w:r w:rsidRPr="002E5EB1">
        <w:rPr>
          <w:rFonts w:ascii="Baskerville Old Face" w:hAnsi="Baskerville Old Face"/>
          <w:i/>
          <w:iCs/>
        </w:rPr>
        <w:t xml:space="preserve"> verified performance </w:t>
      </w:r>
      <w:r w:rsidRPr="002E5EB1">
        <w:rPr>
          <w:rFonts w:ascii="Times New Roman" w:hAnsi="Times New Roman" w:cs="Times New Roman"/>
          <w:i/>
          <w:iCs/>
        </w:rPr>
        <w:t>→</w:t>
      </w:r>
      <w:r w:rsidRPr="002E5EB1">
        <w:rPr>
          <w:rFonts w:ascii="Baskerville Old Face" w:hAnsi="Baskerville Old Face"/>
          <w:i/>
          <w:iCs/>
        </w:rPr>
        <w:t xml:space="preserve"> PRU analysis </w:t>
      </w:r>
      <w:r w:rsidRPr="002E5EB1">
        <w:rPr>
          <w:rFonts w:ascii="Times New Roman" w:hAnsi="Times New Roman" w:cs="Times New Roman"/>
          <w:i/>
          <w:iCs/>
        </w:rPr>
        <w:t>→</w:t>
      </w:r>
      <w:r w:rsidRPr="002E5EB1">
        <w:rPr>
          <w:rFonts w:ascii="Baskerville Old Face" w:hAnsi="Baskerville Old Face"/>
          <w:i/>
          <w:iCs/>
        </w:rPr>
        <w:t xml:space="preserve"> RAP aggregation </w:t>
      </w:r>
      <w:r w:rsidRPr="002E5EB1">
        <w:rPr>
          <w:rFonts w:ascii="Times New Roman" w:hAnsi="Times New Roman" w:cs="Times New Roman"/>
          <w:i/>
          <w:iCs/>
        </w:rPr>
        <w:t>→</w:t>
      </w:r>
      <w:r w:rsidRPr="002E5EB1">
        <w:rPr>
          <w:rFonts w:ascii="Baskerville Old Face" w:hAnsi="Baskerville Old Face"/>
          <w:i/>
          <w:iCs/>
        </w:rPr>
        <w:t xml:space="preserve"> legal structure </w:t>
      </w:r>
      <w:r w:rsidRPr="002E5EB1">
        <w:rPr>
          <w:rFonts w:ascii="Times New Roman" w:hAnsi="Times New Roman" w:cs="Times New Roman"/>
          <w:i/>
          <w:iCs/>
        </w:rPr>
        <w:t>→</w:t>
      </w:r>
      <w:r w:rsidRPr="002E5EB1">
        <w:rPr>
          <w:rFonts w:ascii="Baskerville Old Face" w:hAnsi="Baskerville Old Face"/>
          <w:i/>
          <w:iCs/>
        </w:rPr>
        <w:t xml:space="preserve"> capital deployment </w:t>
      </w:r>
      <w:r w:rsidRPr="002E5EB1">
        <w:rPr>
          <w:rFonts w:ascii="Times New Roman" w:hAnsi="Times New Roman" w:cs="Times New Roman"/>
          <w:i/>
          <w:iCs/>
        </w:rPr>
        <w:t>→</w:t>
      </w:r>
      <w:r w:rsidRPr="002E5EB1">
        <w:rPr>
          <w:rFonts w:ascii="Baskerville Old Face" w:hAnsi="Baskerville Old Face"/>
          <w:i/>
          <w:iCs/>
        </w:rPr>
        <w:t xml:space="preserve"> expanded regeneration</w:t>
      </w:r>
    </w:p>
    <w:p w14:paraId="5378593A" w14:textId="77777777" w:rsidR="00503107" w:rsidRPr="00B479AE" w:rsidRDefault="00503107" w:rsidP="00503107">
      <w:pPr>
        <w:spacing w:line="360" w:lineRule="auto"/>
        <w:rPr>
          <w:rFonts w:ascii="Baskerville Old Face" w:hAnsi="Baskerville Old Face"/>
          <w:i/>
          <w:iCs/>
        </w:rPr>
      </w:pPr>
      <w:r w:rsidRPr="00B479AE">
        <w:rPr>
          <w:rFonts w:ascii="Baskerville Old Face" w:hAnsi="Baskerville Old Face"/>
          <w:i/>
          <w:iCs/>
        </w:rPr>
        <w:lastRenderedPageBreak/>
        <w:t>This is the institutional bridge from local living systems to regenerative infrastructure.</w:t>
      </w:r>
    </w:p>
    <w:p w14:paraId="4B03F916" w14:textId="77777777" w:rsidR="00503107" w:rsidRPr="00B479AE" w:rsidRDefault="00503107" w:rsidP="00503107">
      <w:pPr>
        <w:spacing w:line="360" w:lineRule="auto"/>
        <w:rPr>
          <w:rFonts w:ascii="Baskerville Old Face" w:hAnsi="Baskerville Old Face"/>
          <w:i/>
          <w:iCs/>
        </w:rPr>
      </w:pPr>
      <w:r w:rsidRPr="00B479AE">
        <w:rPr>
          <w:rFonts w:ascii="Baskerville Old Face" w:hAnsi="Baskerville Old Face"/>
          <w:i/>
          <w:iCs/>
        </w:rPr>
        <w:t>Prometheus does not scale by detaching value from place.</w:t>
      </w:r>
    </w:p>
    <w:p w14:paraId="727793DC" w14:textId="77777777" w:rsidR="00503107" w:rsidRPr="00B479AE" w:rsidRDefault="00503107" w:rsidP="00503107">
      <w:pPr>
        <w:spacing w:line="360" w:lineRule="auto"/>
        <w:rPr>
          <w:rFonts w:ascii="Baskerville Old Face" w:hAnsi="Baskerville Old Face"/>
          <w:i/>
          <w:iCs/>
        </w:rPr>
      </w:pPr>
      <w:r w:rsidRPr="00B479AE">
        <w:rPr>
          <w:rFonts w:ascii="Baskerville Old Face" w:hAnsi="Baskerville Old Face"/>
          <w:i/>
          <w:iCs/>
        </w:rPr>
        <w:t>It scales by making place-based regeneration verifiable, comparable, governable, and financeable without losing its ecological source.</w:t>
      </w:r>
    </w:p>
    <w:p w14:paraId="70705B13" w14:textId="77777777" w:rsidR="00503107" w:rsidRPr="00B479AE" w:rsidRDefault="00503107" w:rsidP="00503107">
      <w:pPr>
        <w:spacing w:line="360" w:lineRule="auto"/>
        <w:rPr>
          <w:rFonts w:ascii="Baskerville Old Face" w:hAnsi="Baskerville Old Face"/>
          <w:i/>
          <w:iCs/>
        </w:rPr>
      </w:pPr>
      <w:r w:rsidRPr="00B479AE">
        <w:rPr>
          <w:rFonts w:ascii="Baskerville Old Face" w:hAnsi="Baskerville Old Face"/>
          <w:i/>
          <w:iCs/>
        </w:rPr>
        <w:t>The strategic rule is:</w:t>
      </w:r>
    </w:p>
    <w:p w14:paraId="2162E75C" w14:textId="77777777" w:rsidR="00503107" w:rsidRPr="00B479AE" w:rsidRDefault="00503107" w:rsidP="00503107">
      <w:pPr>
        <w:spacing w:line="360" w:lineRule="auto"/>
        <w:rPr>
          <w:rFonts w:ascii="Baskerville Old Face" w:hAnsi="Baskerville Old Face"/>
          <w:i/>
          <w:iCs/>
        </w:rPr>
      </w:pPr>
      <w:r w:rsidRPr="00B479AE">
        <w:rPr>
          <w:rFonts w:ascii="Baskerville Old Face" w:hAnsi="Baskerville Old Face"/>
          <w:i/>
          <w:iCs/>
        </w:rPr>
        <w:t>local evidence creates unit credibility;</w:t>
      </w:r>
      <w:r w:rsidRPr="00B479AE">
        <w:rPr>
          <w:rFonts w:ascii="Baskerville Old Face" w:hAnsi="Baskerville Old Face"/>
          <w:i/>
          <w:iCs/>
        </w:rPr>
        <w:br/>
        <w:t>unit credibility creates portfolio logic;</w:t>
      </w:r>
      <w:r w:rsidRPr="00B479AE">
        <w:rPr>
          <w:rFonts w:ascii="Baskerville Old Face" w:hAnsi="Baskerville Old Face"/>
          <w:i/>
          <w:iCs/>
        </w:rPr>
        <w:br/>
        <w:t>portfolio logic creates capital-readiness;</w:t>
      </w:r>
      <w:r w:rsidRPr="00B479AE">
        <w:rPr>
          <w:rFonts w:ascii="Baskerville Old Face" w:hAnsi="Baskerville Old Face"/>
          <w:i/>
          <w:iCs/>
        </w:rPr>
        <w:br/>
        <w:t>capital-readiness creates infrastructure scale.</w:t>
      </w:r>
    </w:p>
    <w:p w14:paraId="6A5266D9" w14:textId="77777777" w:rsidR="00503107" w:rsidRPr="00B479AE" w:rsidRDefault="00503107" w:rsidP="00503107">
      <w:pPr>
        <w:spacing w:line="360" w:lineRule="auto"/>
        <w:rPr>
          <w:rFonts w:ascii="Baskerville Old Face" w:hAnsi="Baskerville Old Face"/>
          <w:i/>
          <w:iCs/>
        </w:rPr>
      </w:pPr>
      <w:r w:rsidRPr="00B479AE">
        <w:rPr>
          <w:rFonts w:ascii="Baskerville Old Face" w:hAnsi="Baskerville Old Face"/>
          <w:i/>
          <w:iCs/>
        </w:rPr>
        <w:t>This is how Prometheus turns regeneration from isolated practice into an investable, verifiable, and legally disciplined real-world asset architecture.</w:t>
      </w:r>
    </w:p>
    <w:p w14:paraId="7E669434" w14:textId="77777777" w:rsidR="004921F0" w:rsidRPr="00B479AE" w:rsidRDefault="004921F0" w:rsidP="008D67A4">
      <w:pPr>
        <w:spacing w:line="360" w:lineRule="auto"/>
        <w:rPr>
          <w:rFonts w:ascii="Baskerville Old Face" w:hAnsi="Baskerville Old Face"/>
          <w:i/>
          <w:iCs/>
        </w:rPr>
      </w:pPr>
    </w:p>
    <w:p w14:paraId="60FA9D31" w14:textId="59F746DE"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PRU layer</w:t>
      </w:r>
    </w:p>
    <w:p w14:paraId="096D4B21" w14:textId="7B2AA481"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xml:space="preserve">The Prometheus Regenerative Unit, or PRU, is the </w:t>
      </w:r>
      <w:r w:rsidR="00E02F9C" w:rsidRPr="00B479AE">
        <w:rPr>
          <w:rFonts w:ascii="Baskerville Old Face" w:hAnsi="Baskerville Old Face"/>
          <w:i/>
          <w:iCs/>
        </w:rPr>
        <w:t>institutional layer between regeneration and capital</w:t>
      </w:r>
      <w:r w:rsidRPr="00B479AE">
        <w:rPr>
          <w:rFonts w:ascii="Baskerville Old Face" w:hAnsi="Baskerville Old Face"/>
          <w:i/>
          <w:iCs/>
        </w:rPr>
        <w:t>.</w:t>
      </w:r>
    </w:p>
    <w:p w14:paraId="53D3B58B" w14:textId="5F7EE13F" w:rsidR="00AF44F4" w:rsidRPr="00B479AE" w:rsidRDefault="00AF44F4" w:rsidP="008D67A4">
      <w:pPr>
        <w:spacing w:line="360" w:lineRule="auto"/>
        <w:rPr>
          <w:rFonts w:ascii="Baskerville Old Face" w:hAnsi="Baskerville Old Face"/>
          <w:i/>
          <w:iCs/>
        </w:rPr>
      </w:pPr>
      <w:r w:rsidRPr="00B479AE">
        <w:rPr>
          <w:rFonts w:ascii="Baskerville Old Face" w:hAnsi="Baskerville Old Face"/>
          <w:i/>
          <w:iCs/>
        </w:rPr>
        <w:t>The PRU translates verified regenerative performance into a structured analytical layer that can be compared, underwritten, classified by maturity, aggregated, monitored, and connected to capital allocation.</w:t>
      </w:r>
    </w:p>
    <w:p w14:paraId="19C1AB97" w14:textId="3A762C56"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PRU does not replace ecological reality.</w:t>
      </w:r>
    </w:p>
    <w:p w14:paraId="35E06D6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gives verified ecological performance a financial grammar.</w:t>
      </w:r>
    </w:p>
    <w:p w14:paraId="7DD23FC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RAP layer</w:t>
      </w:r>
    </w:p>
    <w:p w14:paraId="05E52E4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Regenerative Asset Pool, or RAP, aggregates PRUs into portfolio structures.</w:t>
      </w:r>
    </w:p>
    <w:p w14:paraId="442C246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allows diversification across sites, climates, species, operators, maturity stages, revenue profiles, and ecological contexts.</w:t>
      </w:r>
    </w:p>
    <w:p w14:paraId="6C7CF3A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RAP layer converts distributed regenerative units into portfolio-grade infrastructure.</w:t>
      </w:r>
    </w:p>
    <w:p w14:paraId="109D54D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lastRenderedPageBreak/>
        <w:t>Governance layer</w:t>
      </w:r>
    </w:p>
    <w:p w14:paraId="7ECDAFD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governance layer coordinates decision-making, stewardship, participation, safeguards, and long-term system integrity.</w:t>
      </w:r>
    </w:p>
    <w:p w14:paraId="33DF101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may include Stewardship Circles, DAO-compatible structures, TRBK-based participation mechanisms, multi-stakeholder governance, land safeguards, protocol rules, and dispute-resolution processes.</w:t>
      </w:r>
    </w:p>
    <w:p w14:paraId="0F780A8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Its purpose is to preserve coherence under expansion.</w:t>
      </w:r>
    </w:p>
    <w:p w14:paraId="0B39D42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Capital layer</w:t>
      </w:r>
    </w:p>
    <w:p w14:paraId="448C016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capital layer connects regenerative infrastructure to financial structuring.</w:t>
      </w:r>
    </w:p>
    <w:p w14:paraId="23B999F3" w14:textId="1B4D83B2" w:rsidR="00E118CC" w:rsidRPr="00B479AE" w:rsidRDefault="00E118CC" w:rsidP="008D67A4">
      <w:pPr>
        <w:spacing w:line="360" w:lineRule="auto"/>
        <w:rPr>
          <w:rFonts w:ascii="Baskerville Old Face" w:hAnsi="Baskerville Old Face"/>
          <w:i/>
          <w:iCs/>
        </w:rPr>
      </w:pPr>
      <w:r w:rsidRPr="00B479AE">
        <w:rPr>
          <w:rFonts w:ascii="Baskerville Old Face" w:hAnsi="Baskerville Old Face"/>
          <w:i/>
          <w:iCs/>
        </w:rPr>
        <w:t>It may include OpCo structures, SPVs, funds, notes, blended finance, guarantees, insurance overlays, revenue-sharing agreements, or future compliant digital instruments.</w:t>
      </w:r>
    </w:p>
    <w:p w14:paraId="3D4C11F2" w14:textId="01BF5201"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layer routes capital toward verified regenerative systems while preserving legal clarity and investor discipline.</w:t>
      </w:r>
    </w:p>
    <w:p w14:paraId="2A5950F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Interface layer</w:t>
      </w:r>
    </w:p>
    <w:p w14:paraId="3F84350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interface layer presents information to humans and institutions.</w:t>
      </w:r>
    </w:p>
    <w:p w14:paraId="4DF41055" w14:textId="5B18AE14"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xml:space="preserve">It may include dashboards, investor reports, governance interfaces, MRV reports, ecological maps, </w:t>
      </w:r>
      <w:r w:rsidR="00EE59CF" w:rsidRPr="00B479AE">
        <w:rPr>
          <w:rFonts w:ascii="Baskerville Old Face" w:hAnsi="Baskerville Old Face"/>
          <w:i/>
          <w:iCs/>
        </w:rPr>
        <w:t>PRU maturity classes</w:t>
      </w:r>
      <w:r w:rsidRPr="00B479AE">
        <w:rPr>
          <w:rFonts w:ascii="Baskerville Old Face" w:hAnsi="Baskerville Old Face"/>
          <w:i/>
          <w:iCs/>
        </w:rPr>
        <w:t>, portfolio analytics, risk dashboards, operational tools, and educational systems.</w:t>
      </w:r>
    </w:p>
    <w:p w14:paraId="27237A3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Its purpose is to make complex regenerative systems legible without reducing them to oversimplified claims.</w:t>
      </w:r>
    </w:p>
    <w:p w14:paraId="1713D0E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The Prometheus transformation pipeline</w:t>
      </w:r>
    </w:p>
    <w:p w14:paraId="6E4196E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full Prometheus pipeline can be expressed as:</w:t>
      </w:r>
    </w:p>
    <w:p w14:paraId="654771E9" w14:textId="016818D9"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living system</w:t>
      </w:r>
      <w:r w:rsidRPr="00B479AE">
        <w:rPr>
          <w:rFonts w:ascii="Baskerville Old Face" w:hAnsi="Baskerville Old Face"/>
          <w:i/>
          <w:iCs/>
        </w:rPr>
        <w:br/>
        <w:t>regenerative process</w:t>
      </w:r>
      <w:r w:rsidRPr="00B479AE">
        <w:rPr>
          <w:rFonts w:ascii="Baskerville Old Face" w:hAnsi="Baskerville Old Face"/>
          <w:i/>
          <w:iCs/>
        </w:rPr>
        <w:br/>
        <w:t>observation</w:t>
      </w:r>
      <w:r w:rsidRPr="00B479AE">
        <w:rPr>
          <w:rFonts w:ascii="Baskerville Old Face" w:hAnsi="Baskerville Old Face"/>
          <w:i/>
          <w:iCs/>
        </w:rPr>
        <w:br/>
        <w:t>evidence</w:t>
      </w:r>
      <w:r w:rsidRPr="00B479AE">
        <w:rPr>
          <w:rFonts w:ascii="Baskerville Old Face" w:hAnsi="Baskerville Old Face"/>
          <w:i/>
          <w:iCs/>
        </w:rPr>
        <w:br/>
        <w:t>provenance</w:t>
      </w:r>
      <w:r w:rsidRPr="00B479AE">
        <w:rPr>
          <w:rFonts w:ascii="Baskerville Old Face" w:hAnsi="Baskerville Old Face"/>
          <w:i/>
          <w:iCs/>
        </w:rPr>
        <w:br/>
      </w:r>
      <w:r w:rsidRPr="00B479AE">
        <w:rPr>
          <w:rFonts w:ascii="Baskerville Old Face" w:hAnsi="Baskerville Old Face"/>
          <w:i/>
          <w:iCs/>
        </w:rPr>
        <w:lastRenderedPageBreak/>
        <w:t>validated indicator</w:t>
      </w:r>
      <w:r w:rsidRPr="00B479AE">
        <w:rPr>
          <w:rFonts w:ascii="Baskerville Old Face" w:hAnsi="Baskerville Old Face"/>
          <w:i/>
          <w:iCs/>
        </w:rPr>
        <w:br/>
      </w:r>
      <w:r w:rsidR="001C094B" w:rsidRPr="00B479AE">
        <w:rPr>
          <w:rFonts w:ascii="Baskerville Old Face" w:hAnsi="Baskerville Old Face"/>
          <w:i/>
          <w:iCs/>
        </w:rPr>
        <w:t xml:space="preserve">PRU value-analysis layer </w:t>
      </w:r>
      <w:r w:rsidRPr="00B479AE">
        <w:rPr>
          <w:rFonts w:ascii="Baskerville Old Face" w:hAnsi="Baskerville Old Face"/>
          <w:i/>
          <w:iCs/>
        </w:rPr>
        <w:br/>
      </w:r>
      <w:r w:rsidR="006E7A3C" w:rsidRPr="00B479AE">
        <w:rPr>
          <w:rFonts w:ascii="Baskerville Old Face" w:hAnsi="Baskerville Old Face"/>
          <w:i/>
          <w:iCs/>
        </w:rPr>
        <w:t>PRU maturity classification</w:t>
      </w:r>
      <w:r w:rsidRPr="00B479AE">
        <w:rPr>
          <w:rFonts w:ascii="Baskerville Old Face" w:hAnsi="Baskerville Old Face"/>
          <w:i/>
          <w:iCs/>
        </w:rPr>
        <w:br/>
        <w:t>Regenerative Asset Pool</w:t>
      </w:r>
      <w:r w:rsidRPr="00B479AE">
        <w:rPr>
          <w:rFonts w:ascii="Baskerville Old Face" w:hAnsi="Baskerville Old Face"/>
          <w:i/>
          <w:iCs/>
        </w:rPr>
        <w:br/>
        <w:t>legal or institutional wrapper</w:t>
      </w:r>
      <w:r w:rsidRPr="00B479AE">
        <w:rPr>
          <w:rFonts w:ascii="Baskerville Old Face" w:hAnsi="Baskerville Old Face"/>
          <w:i/>
          <w:iCs/>
        </w:rPr>
        <w:br/>
        <w:t>capital allocation</w:t>
      </w:r>
      <w:r w:rsidRPr="00B479AE">
        <w:rPr>
          <w:rFonts w:ascii="Baskerville Old Face" w:hAnsi="Baskerville Old Face"/>
          <w:i/>
          <w:iCs/>
        </w:rPr>
        <w:br/>
        <w:t>reinvestment</w:t>
      </w:r>
      <w:r w:rsidRPr="00B479AE">
        <w:rPr>
          <w:rFonts w:ascii="Baskerville Old Face" w:hAnsi="Baskerville Old Face"/>
          <w:i/>
          <w:iCs/>
        </w:rPr>
        <w:br/>
        <w:t>expanded regeneration.</w:t>
      </w:r>
    </w:p>
    <w:p w14:paraId="00E9EED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pipeline is the operational spine of Prometheus.</w:t>
      </w:r>
    </w:p>
    <w:p w14:paraId="297D210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ensures that value formation remains anchored in the living system.</w:t>
      </w:r>
    </w:p>
    <w:p w14:paraId="4068B860" w14:textId="571A9D10"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xml:space="preserve">It also ensures that </w:t>
      </w:r>
      <w:r w:rsidR="00B45DD4" w:rsidRPr="00B479AE">
        <w:rPr>
          <w:rFonts w:ascii="Baskerville Old Face" w:hAnsi="Baskerville Old Face"/>
          <w:i/>
          <w:iCs/>
        </w:rPr>
        <w:t>creation of value</w:t>
      </w:r>
      <w:r w:rsidRPr="00B479AE">
        <w:rPr>
          <w:rFonts w:ascii="Baskerville Old Face" w:hAnsi="Baskerville Old Face"/>
          <w:i/>
          <w:iCs/>
        </w:rPr>
        <w:t xml:space="preserve"> appears only after evidence, validation, and admissibility.</w:t>
      </w:r>
    </w:p>
    <w:p w14:paraId="0C760E0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sequence is what separates Prometheus from speculative tokenization.</w:t>
      </w:r>
    </w:p>
    <w:p w14:paraId="28043DB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system begins with life.</w:t>
      </w:r>
    </w:p>
    <w:p w14:paraId="45BF766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matures through evidence.</w:t>
      </w:r>
    </w:p>
    <w:p w14:paraId="5D2E5C1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becomes financeable through structure.</w:t>
      </w:r>
    </w:p>
    <w:p w14:paraId="568F657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Agent-centric digital infrastructure</w:t>
      </w:r>
    </w:p>
    <w:p w14:paraId="5634B69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is designed to operate through agent-centric digital infrastructure.</w:t>
      </w:r>
    </w:p>
    <w:p w14:paraId="3F4E6ED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Living systems are contextual, distributed, adaptive, and relational.</w:t>
      </w:r>
    </w:p>
    <w:p w14:paraId="3EFF04B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verification architecture serving living systems must therefore avoid unnecessary centralization of truth, data, and authority.</w:t>
      </w:r>
    </w:p>
    <w:p w14:paraId="5865062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Agent-centric infrastructure supports this by allowing participants and nodes to maintain their own source chains, preserve local context, sign their own records, and participate in validation without requiring every actor to share one global state.</w:t>
      </w:r>
    </w:p>
    <w:p w14:paraId="36A9AA9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is structurally aligned with the logic of living systems.</w:t>
      </w:r>
    </w:p>
    <w:p w14:paraId="2601FA9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forest does not operate through one central ledger.</w:t>
      </w:r>
    </w:p>
    <w:p w14:paraId="34F7FC6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A soil food web does not require global consensus.</w:t>
      </w:r>
    </w:p>
    <w:p w14:paraId="289ACB1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community does not preserve trust through a single database alone.</w:t>
      </w:r>
    </w:p>
    <w:p w14:paraId="556D283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Coherence emerges from validated relationships.</w:t>
      </w:r>
    </w:p>
    <w:p w14:paraId="57AD769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uses this principle to support distributed ecological verification, participant agency, data sovereignty, and contextual validation.</w:t>
      </w:r>
    </w:p>
    <w:p w14:paraId="34AA5A5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digital architecture is therefore not introduced for novelty.</w:t>
      </w:r>
    </w:p>
    <w:p w14:paraId="06578D6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introduced because the architecture of verification must resemble the architecture of life.</w:t>
      </w:r>
    </w:p>
    <w:p w14:paraId="67D84FD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Holochain-compatible logic</w:t>
      </w:r>
    </w:p>
    <w:p w14:paraId="707B66A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Holochain-compatible architecture provides a relevant foundation for Prometheus because it is agent-centric rather than data-centric.</w:t>
      </w:r>
    </w:p>
    <w:p w14:paraId="491F2C4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Each participant can maintain a signed local history.</w:t>
      </w:r>
    </w:p>
    <w:p w14:paraId="4BF27E6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Shared data can be validated through distributed rules.</w:t>
      </w:r>
    </w:p>
    <w:p w14:paraId="30E9053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Relevant records can be published, verified, and retrieved without requiring all nodes to validate all global activity.</w:t>
      </w:r>
    </w:p>
    <w:p w14:paraId="767B201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allows Prometheus to support scalable ecological coordination without forcing living-system data into a centralized or globally synchronized bottleneck.</w:t>
      </w:r>
    </w:p>
    <w:p w14:paraId="6C8A38B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Within this architecture:</w:t>
      </w:r>
    </w:p>
    <w:p w14:paraId="0DAFA19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source chains can preserve agent-specific histories;</w:t>
      </w:r>
    </w:p>
    <w:p w14:paraId="25D6421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validation rules can evaluate entries according to application logic;</w:t>
      </w:r>
    </w:p>
    <w:p w14:paraId="27B172D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distributed hash tables can support shared data availability;</w:t>
      </w:r>
    </w:p>
    <w:p w14:paraId="5D8ECAA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warrants or validation failures can reveal integrity problems;</w:t>
      </w:r>
    </w:p>
    <w:p w14:paraId="4A01B69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peer validation can support trust without centralized custody;</w:t>
      </w:r>
    </w:p>
    <w:p w14:paraId="3EC5DE9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local context can remain attached to records.</w:t>
      </w:r>
    </w:p>
    <w:p w14:paraId="47F87795" w14:textId="0BB685B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This is particularly important for regenerative systems, where meaning depends on place, stewardship, timing, method, and ecological context.</w:t>
      </w:r>
      <w:r w:rsidR="003F10E0" w:rsidRPr="00B479AE">
        <w:rPr>
          <w:rFonts w:ascii="Baskerville Old Face" w:hAnsi="Baskerville Old Face"/>
          <w:i/>
          <w:iCs/>
        </w:rPr>
        <w:t xml:space="preserve"> </w:t>
      </w:r>
    </w:p>
    <w:p w14:paraId="29DE4A70"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b/>
          <w:bCs/>
          <w:i/>
          <w:iCs/>
        </w:rPr>
        <w:t>Agent-centric Abundance and the Architecture of Holochain</w:t>
      </w:r>
    </w:p>
    <w:p w14:paraId="4FDA73BE"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Prometheus adopts agent-centric infrastructure because regenerative systems are contextual, distributed, adaptive, and relational.</w:t>
      </w:r>
    </w:p>
    <w:p w14:paraId="0A971DB0"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This architectural choice is not only technical.</w:t>
      </w:r>
    </w:p>
    <w:p w14:paraId="625A9E5C"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It is ontological.</w:t>
      </w:r>
    </w:p>
    <w:p w14:paraId="497A1CD1"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A regenerative infrastructure cannot be built on a digital architecture that treats every participant as a passive replica of one global state.</w:t>
      </w:r>
    </w:p>
    <w:p w14:paraId="6CB05F41"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Living systems do not scale through sameness.</w:t>
      </w:r>
    </w:p>
    <w:p w14:paraId="45433EF1"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They scale through differentiated participation, local intelligence, distributed validation, feedback, and relationship.</w:t>
      </w:r>
    </w:p>
    <w:p w14:paraId="3FD286FB"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In data-centric systems such as conventional blockchains, the fundamental constraint is global state consistency.</w:t>
      </w:r>
    </w:p>
    <w:p w14:paraId="0A912673"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Every node is expected to maintain or verify the same shared state.</w:t>
      </w:r>
    </w:p>
    <w:p w14:paraId="7D7CC664"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This produces a sameness constraint:</w:t>
      </w:r>
    </w:p>
    <w:p w14:paraId="36D3E882" w14:textId="77777777" w:rsidR="003F10E0" w:rsidRPr="00B479AE" w:rsidRDefault="003F10E0" w:rsidP="003F10E0">
      <w:pPr>
        <w:spacing w:line="360" w:lineRule="auto"/>
        <w:rPr>
          <w:rFonts w:ascii="Baskerville Old Face" w:hAnsi="Baskerville Old Face"/>
          <w:i/>
          <w:iCs/>
        </w:rPr>
      </w:pPr>
      <w:r w:rsidRPr="00B479AE">
        <w:rPr>
          <w:rFonts w:ascii="Cambria Math" w:hAnsi="Cambria Math" w:cs="Cambria Math"/>
          <w:i/>
          <w:iCs/>
        </w:rPr>
        <w:t>∀</w:t>
      </w:r>
      <w:r w:rsidRPr="00B479AE">
        <w:rPr>
          <w:rFonts w:ascii="Baskerville Old Face" w:hAnsi="Baskerville Old Face"/>
          <w:i/>
          <w:iCs/>
        </w:rPr>
        <w:t xml:space="preserve"> n, m </w:t>
      </w:r>
      <w:r w:rsidRPr="00B479AE">
        <w:rPr>
          <w:rFonts w:ascii="Cambria Math" w:hAnsi="Cambria Math" w:cs="Cambria Math"/>
          <w:i/>
          <w:iCs/>
        </w:rPr>
        <w:t>∈</w:t>
      </w:r>
      <w:r w:rsidRPr="00B479AE">
        <w:rPr>
          <w:rFonts w:ascii="Baskerville Old Face" w:hAnsi="Baskerville Old Face"/>
          <w:i/>
          <w:iCs/>
        </w:rPr>
        <w:t xml:space="preserve"> N : X</w:t>
      </w:r>
      <w:r w:rsidRPr="00B479AE">
        <w:rPr>
          <w:rFonts w:ascii="Cambria Math" w:hAnsi="Cambria Math" w:cs="Cambria Math"/>
          <w:i/>
          <w:iCs/>
        </w:rPr>
        <w:t>ₙ</w:t>
      </w:r>
      <w:r w:rsidRPr="00B479AE">
        <w:rPr>
          <w:rFonts w:ascii="Baskerville Old Face" w:hAnsi="Baskerville Old Face"/>
          <w:i/>
          <w:iCs/>
        </w:rPr>
        <w:t xml:space="preserve"> = X</w:t>
      </w:r>
      <w:r w:rsidRPr="00B479AE">
        <w:rPr>
          <w:rFonts w:ascii="Cambria Math" w:hAnsi="Cambria Math" w:cs="Cambria Math"/>
          <w:i/>
          <w:iCs/>
        </w:rPr>
        <w:t>ₘ</w:t>
      </w:r>
    </w:p>
    <w:p w14:paraId="7A8B9891"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In practical terms, this means that every participant must orient toward a common global ledger.</w:t>
      </w:r>
    </w:p>
    <w:p w14:paraId="5868EE9B"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The result is redundant computation, congestion at the consensus layer, competition for inclusion, block-space scarcity, and fee dynamics that often increase with demand.</w:t>
      </w:r>
    </w:p>
    <w:p w14:paraId="4C969AEE"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This architecture can be powerful for certain use cases, especially where a single global financial state is required.</w:t>
      </w:r>
    </w:p>
    <w:p w14:paraId="48C28882"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However, it is structurally misaligned with regenerative systems, where meaning depends on place, context, stewardship, timing, ecological condition, and locally generated evidence.</w:t>
      </w:r>
    </w:p>
    <w:p w14:paraId="69FBBA37"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In an agent-centric system, each participant maintains its own signed source chain.</w:t>
      </w:r>
    </w:p>
    <w:p w14:paraId="7923CBC2"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lastRenderedPageBreak/>
        <w:t>Shared reality emerges through validation rules, peer review, DHT publication, and contextual interaction.</w:t>
      </w:r>
    </w:p>
    <w:p w14:paraId="6D4CD460"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The system does not require all nodes to validate all events.</w:t>
      </w:r>
    </w:p>
    <w:p w14:paraId="377C4D4E"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It requires the right nodes to validate the right events under the right rules.</w:t>
      </w:r>
    </w:p>
    <w:p w14:paraId="36AE6880"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This is the neighborhood principle.</w:t>
      </w:r>
    </w:p>
    <w:p w14:paraId="5BEBD50F"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When a land steward records a regenerative event — such as a planting action, soil measurement, harvest, biomass return, ecological audit, or PRU-relevant observation — the event is signed and added to that steward’s source chain.</w:t>
      </w:r>
    </w:p>
    <w:p w14:paraId="01598322"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A copy can then be published to the distributed hash table.</w:t>
      </w:r>
    </w:p>
    <w:p w14:paraId="62086B4B"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Responsibility for validating that record is assigned to a limited validation neighborhood according to application rules and hash-space logic.</w:t>
      </w:r>
    </w:p>
    <w:p w14:paraId="78090212"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Only the relevant neighborhood validates the record, stores it, rejects it, or flags it through appropriate integrity procedures.</w:t>
      </w:r>
    </w:p>
    <w:p w14:paraId="0CA17270"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The consequence is fundamental:</w:t>
      </w:r>
    </w:p>
    <w:p w14:paraId="28AFFCF1"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participation does not create congestion.</w:t>
      </w:r>
    </w:p>
    <w:p w14:paraId="0287839E"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Participation creates capacity.</w:t>
      </w:r>
    </w:p>
    <w:p w14:paraId="23D1049D"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In a data-centric architecture, more participants can increase the burden on the system because more actors compete for the same global validation space.</w:t>
      </w:r>
    </w:p>
    <w:p w14:paraId="24AAC811"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In an agent-centric architecture, more participants can increase the system’s distributed capacity because validation and storage are distributed across many source chains and neighborhoods.</w:t>
      </w:r>
    </w:p>
    <w:p w14:paraId="46C9F42A"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This is the mathematical inversion of the blockchain paradigm.</w:t>
      </w:r>
    </w:p>
    <w:p w14:paraId="4CA8CDBE"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The simplified complexity contrast can be expressed as follows.</w:t>
      </w:r>
    </w:p>
    <w:p w14:paraId="02E9CDBD"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For a data-centric blockchain-like system, total validation burden tends toward high global coordination costs because each node or validator class must orient toward a common state.</w:t>
      </w:r>
    </w:p>
    <w:p w14:paraId="5E868BB9"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lastRenderedPageBreak/>
        <w:t>For an agent-centric Holochain-compatible system, average validation burden per node may decrease as the network grows, because each node is responsible only for a relevant portion of validation.</w:t>
      </w:r>
    </w:p>
    <w:p w14:paraId="6AAB1DA9"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Conceptually:</w:t>
      </w:r>
    </w:p>
    <w:p w14:paraId="419DCAFD" w14:textId="77777777" w:rsidR="003F10E0" w:rsidRPr="00B479AE" w:rsidRDefault="003F10E0" w:rsidP="003F10E0">
      <w:pPr>
        <w:spacing w:line="360" w:lineRule="auto"/>
        <w:rPr>
          <w:rFonts w:ascii="Baskerville Old Face" w:hAnsi="Baskerville Old Face"/>
          <w:i/>
          <w:iCs/>
        </w:rPr>
      </w:pPr>
      <w:r w:rsidRPr="00B479AE">
        <w:rPr>
          <w:rFonts w:ascii="Cambria" w:hAnsi="Cambria" w:cs="Cambria"/>
          <w:i/>
          <w:iCs/>
        </w:rPr>
        <w:t>Ω</w:t>
      </w:r>
      <w:r w:rsidRPr="00B479AE">
        <w:rPr>
          <w:rFonts w:ascii="Baskerville Old Face" w:hAnsi="Baskerville Old Face"/>
          <w:i/>
          <w:iCs/>
        </w:rPr>
        <w:t xml:space="preserve">_blockchain </w:t>
      </w:r>
      <w:r w:rsidRPr="00B479AE">
        <w:rPr>
          <w:rFonts w:ascii="Cambria Math" w:hAnsi="Cambria Math" w:cs="Cambria Math"/>
          <w:i/>
          <w:iCs/>
        </w:rPr>
        <w:t>∈</w:t>
      </w:r>
      <w:r w:rsidRPr="00B479AE">
        <w:rPr>
          <w:rFonts w:ascii="Baskerville Old Face" w:hAnsi="Baskerville Old Face"/>
          <w:i/>
          <w:iCs/>
        </w:rPr>
        <w:t xml:space="preserve"> O(n</w:t>
      </w:r>
      <w:r w:rsidRPr="00B479AE">
        <w:rPr>
          <w:rFonts w:ascii="Baskerville Old Face" w:hAnsi="Baskerville Old Face" w:cs="Baskerville Old Face"/>
          <w:i/>
          <w:iCs/>
        </w:rPr>
        <w:t>²</w:t>
      </w:r>
      <w:r w:rsidRPr="00B479AE">
        <w:rPr>
          <w:rFonts w:ascii="Baskerville Old Face" w:hAnsi="Baskerville Old Face"/>
          <w:i/>
          <w:iCs/>
        </w:rPr>
        <w:t>m)</w:t>
      </w:r>
    </w:p>
    <w:p w14:paraId="5D8129A5" w14:textId="77777777" w:rsidR="003F10E0" w:rsidRPr="005907F1" w:rsidRDefault="003F10E0" w:rsidP="003F10E0">
      <w:pPr>
        <w:spacing w:line="360" w:lineRule="auto"/>
        <w:rPr>
          <w:rFonts w:ascii="Baskerville Old Face" w:hAnsi="Baskerville Old Face"/>
          <w:i/>
          <w:iCs/>
          <w:lang w:val="it-IT"/>
        </w:rPr>
      </w:pPr>
      <w:r w:rsidRPr="00B479AE">
        <w:rPr>
          <w:rFonts w:ascii="Cambria" w:hAnsi="Cambria" w:cs="Cambria"/>
          <w:i/>
          <w:iCs/>
        </w:rPr>
        <w:t>Ω</w:t>
      </w:r>
      <w:r w:rsidRPr="005907F1">
        <w:rPr>
          <w:rFonts w:ascii="Baskerville Old Face" w:hAnsi="Baskerville Old Face"/>
          <w:i/>
          <w:iCs/>
          <w:lang w:val="it-IT"/>
        </w:rPr>
        <w:t xml:space="preserve">_agent-centric </w:t>
      </w:r>
      <w:r w:rsidRPr="005907F1">
        <w:rPr>
          <w:rFonts w:ascii="Cambria Math" w:hAnsi="Cambria Math" w:cs="Cambria Math"/>
          <w:i/>
          <w:iCs/>
          <w:lang w:val="it-IT"/>
        </w:rPr>
        <w:t>∈</w:t>
      </w:r>
      <w:r w:rsidRPr="005907F1">
        <w:rPr>
          <w:rFonts w:ascii="Baskerville Old Face" w:hAnsi="Baskerville Old Face"/>
          <w:i/>
          <w:iCs/>
          <w:lang w:val="it-IT"/>
        </w:rPr>
        <w:t xml:space="preserve"> O(n </w:t>
      </w:r>
      <w:r w:rsidRPr="005907F1">
        <w:rPr>
          <w:rFonts w:ascii="Cambria" w:hAnsi="Cambria" w:cs="Cambria"/>
          <w:i/>
          <w:iCs/>
          <w:lang w:val="it-IT"/>
        </w:rPr>
        <w:t>·</w:t>
      </w:r>
      <w:r w:rsidRPr="005907F1">
        <w:rPr>
          <w:rFonts w:ascii="Baskerville Old Face" w:hAnsi="Baskerville Old Face"/>
          <w:i/>
          <w:iCs/>
          <w:lang w:val="it-IT"/>
        </w:rPr>
        <w:t xml:space="preserve"> (log m + v(n,m)))</w:t>
      </w:r>
    </w:p>
    <w:p w14:paraId="3F2781B3" w14:textId="77777777" w:rsidR="003F10E0" w:rsidRPr="005907F1" w:rsidRDefault="003F10E0" w:rsidP="003F10E0">
      <w:pPr>
        <w:spacing w:line="360" w:lineRule="auto"/>
        <w:rPr>
          <w:rFonts w:ascii="Baskerville Old Face" w:hAnsi="Baskerville Old Face"/>
          <w:i/>
          <w:iCs/>
          <w:lang w:val="it-IT"/>
        </w:rPr>
      </w:pPr>
      <w:r w:rsidRPr="00B479AE">
        <w:rPr>
          <w:rFonts w:ascii="Cambria" w:hAnsi="Cambria" w:cs="Cambria"/>
          <w:i/>
          <w:iCs/>
        </w:rPr>
        <w:t>Ω</w:t>
      </w:r>
      <w:r w:rsidRPr="005907F1">
        <w:rPr>
          <w:rFonts w:ascii="Baskerville Old Face" w:hAnsi="Baskerville Old Face"/>
          <w:i/>
          <w:iCs/>
          <w:lang w:val="it-IT"/>
        </w:rPr>
        <w:t xml:space="preserve">_node </w:t>
      </w:r>
      <w:r w:rsidRPr="005907F1">
        <w:rPr>
          <w:rFonts w:ascii="Cambria Math" w:hAnsi="Cambria Math" w:cs="Cambria Math"/>
          <w:i/>
          <w:iCs/>
          <w:lang w:val="it-IT"/>
        </w:rPr>
        <w:t>∈</w:t>
      </w:r>
      <w:r w:rsidRPr="005907F1">
        <w:rPr>
          <w:rFonts w:ascii="Baskerville Old Face" w:hAnsi="Baskerville Old Face"/>
          <w:i/>
          <w:iCs/>
          <w:lang w:val="it-IT"/>
        </w:rPr>
        <w:t xml:space="preserve"> O((n/m) </w:t>
      </w:r>
      <w:r w:rsidRPr="005907F1">
        <w:rPr>
          <w:rFonts w:ascii="Cambria" w:hAnsi="Cambria" w:cs="Cambria"/>
          <w:i/>
          <w:iCs/>
          <w:lang w:val="it-IT"/>
        </w:rPr>
        <w:t>·</w:t>
      </w:r>
      <w:r w:rsidRPr="005907F1">
        <w:rPr>
          <w:rFonts w:ascii="Baskerville Old Face" w:hAnsi="Baskerville Old Face"/>
          <w:i/>
          <w:iCs/>
          <w:lang w:val="it-IT"/>
        </w:rPr>
        <w:t xml:space="preserve"> log m)</w:t>
      </w:r>
    </w:p>
    <w:p w14:paraId="69A772F0"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where:</w:t>
      </w:r>
    </w:p>
    <w:p w14:paraId="57F142E5"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n represents the number of events or transactions;</w:t>
      </w:r>
    </w:p>
    <w:p w14:paraId="5DA01FA2"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m represents the number of nodes or agents;</w:t>
      </w:r>
    </w:p>
    <w:p w14:paraId="62EA7EE3"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v(n,m) represents validation overhead under application-specific rules.</w:t>
      </w:r>
    </w:p>
    <w:p w14:paraId="5912C007"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The strategic implication is simple:</w:t>
      </w:r>
    </w:p>
    <w:p w14:paraId="3F5DA628"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when validation is local and state is distributed, the system can become more capable as participation grows.</w:t>
      </w:r>
    </w:p>
    <w:p w14:paraId="06BC2FAA"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This gives technical form to a deeper regenerative principle.</w:t>
      </w:r>
    </w:p>
    <w:p w14:paraId="7C7D4C25"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Life does not scale through global sameness.</w:t>
      </w:r>
    </w:p>
    <w:p w14:paraId="6DDF1AE7"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Life scales through distributed coherence.</w:t>
      </w:r>
    </w:p>
    <w:p w14:paraId="23180CAD"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A forest does not require every tree to validate every exchange.</w:t>
      </w:r>
    </w:p>
    <w:p w14:paraId="6CAB0CF4"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A soil food web does not require global consensus to circulate nutrients.</w:t>
      </w:r>
    </w:p>
    <w:p w14:paraId="791CF11C"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A community does not become resilient by forcing all actors into one identical state.</w:t>
      </w:r>
    </w:p>
    <w:p w14:paraId="665AC4C4"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It becomes resilient when differentiated participants coordinate through trusted relationships, shared rules, and feedback.</w:t>
      </w:r>
    </w:p>
    <w:p w14:paraId="433B8E4F"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This is why Prometheus treats agent-centric architecture as more than a software decision.</w:t>
      </w:r>
    </w:p>
    <w:p w14:paraId="5ECF573F"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It is a digital expression of regenerative logic.</w:t>
      </w:r>
    </w:p>
    <w:p w14:paraId="5352F0F7"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lastRenderedPageBreak/>
        <w:t>The comparison can be summarized as follows:</w:t>
      </w:r>
    </w:p>
    <w:p w14:paraId="2FF30ED8"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Data-centric architecture emphasizes global state, uniform validation, congestion control, and scarcity management.</w:t>
      </w:r>
    </w:p>
    <w:p w14:paraId="1A8D4984"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Agent-centric architecture emphasizes local state, contextual validation, distributed coherence, and capacity through participation.</w:t>
      </w:r>
    </w:p>
    <w:p w14:paraId="394A06A6"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In this sense, scarcity is often not a natural law.</w:t>
      </w:r>
    </w:p>
    <w:p w14:paraId="67EDE2E6"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It is an architectural outcome.</w:t>
      </w:r>
    </w:p>
    <w:p w14:paraId="2C266E2B"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Where a system requires artificial bottlenecks, competitive inclusion, and scarce validation space in order to function, scarcity is embedded into the design.</w:t>
      </w:r>
    </w:p>
    <w:p w14:paraId="595D2E94"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Where a system allows validation to distribute across agents, contexts, and neighborhoods, capacity can increase with participation.</w:t>
      </w:r>
    </w:p>
    <w:p w14:paraId="66D0BE21"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This is the meaning of abundance within Prometheus.</w:t>
      </w:r>
    </w:p>
    <w:p w14:paraId="711AD413"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Abundance is not the absence of limits.</w:t>
      </w:r>
    </w:p>
    <w:p w14:paraId="2D46BFCF"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It is the capacity of a system to increase coherence, participation, and regenerative throughput without collapsing into congestion, extraction, or artificial scarcity.</w:t>
      </w:r>
    </w:p>
    <w:p w14:paraId="0E39390D"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As Ernst Götsch expresses the deeper ecological insight:</w:t>
      </w:r>
    </w:p>
    <w:p w14:paraId="444E5AD3"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“We are not the intelligent ones, we are part of an intelligent system — and the difference is astonishing.”</w:t>
      </w:r>
    </w:p>
    <w:p w14:paraId="0CFF25D9"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Prometheus adopts this principle as both ecological and digital architecture.</w:t>
      </w:r>
    </w:p>
    <w:p w14:paraId="335BBD77"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The system is not designed to make every participant identical.</w:t>
      </w:r>
    </w:p>
    <w:p w14:paraId="61804A95"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It is designed to let each participant contribute validly to a larger field of coherence.</w:t>
      </w:r>
    </w:p>
    <w:p w14:paraId="11BA137E" w14:textId="3F61E3A0"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 xml:space="preserve">This is why agent-centric infrastructure, source-chain integrity, DHT-based validation, Valueflows semantics, MRV evidence, and </w:t>
      </w:r>
      <w:r w:rsidR="001C094B" w:rsidRPr="00B479AE">
        <w:rPr>
          <w:rFonts w:ascii="Baskerville Old Face" w:hAnsi="Baskerville Old Face"/>
          <w:i/>
          <w:iCs/>
        </w:rPr>
        <w:t xml:space="preserve">PRU value-analysis layer </w:t>
      </w:r>
      <w:r w:rsidRPr="00B479AE">
        <w:rPr>
          <w:rFonts w:ascii="Baskerville Old Face" w:hAnsi="Baskerville Old Face"/>
          <w:i/>
          <w:iCs/>
        </w:rPr>
        <w:t>belong to the same architecture.</w:t>
      </w:r>
    </w:p>
    <w:p w14:paraId="2A8A88B0" w14:textId="77777777" w:rsidR="003F10E0" w:rsidRPr="00B479AE" w:rsidRDefault="003F10E0" w:rsidP="003F10E0">
      <w:pPr>
        <w:spacing w:line="360" w:lineRule="auto"/>
        <w:rPr>
          <w:rFonts w:ascii="Baskerville Old Face" w:hAnsi="Baskerville Old Face"/>
          <w:i/>
          <w:iCs/>
        </w:rPr>
      </w:pPr>
      <w:r w:rsidRPr="00B479AE">
        <w:rPr>
          <w:rFonts w:ascii="Baskerville Old Face" w:hAnsi="Baskerville Old Face"/>
          <w:i/>
          <w:iCs/>
        </w:rPr>
        <w:t>They are all expressions of one design thesis:</w:t>
      </w:r>
    </w:p>
    <w:p w14:paraId="775F24C2" w14:textId="77777777" w:rsidR="003F10E0" w:rsidRPr="00B479AE" w:rsidRDefault="003F10E0" w:rsidP="008D67A4">
      <w:pPr>
        <w:spacing w:line="360" w:lineRule="auto"/>
        <w:rPr>
          <w:rFonts w:ascii="Baskerville Old Face" w:hAnsi="Baskerville Old Face"/>
          <w:i/>
          <w:iCs/>
        </w:rPr>
      </w:pPr>
      <w:r w:rsidRPr="00B479AE">
        <w:rPr>
          <w:rFonts w:ascii="Baskerville Old Face" w:hAnsi="Baskerville Old Face"/>
          <w:i/>
          <w:iCs/>
        </w:rPr>
        <w:lastRenderedPageBreak/>
        <w:t xml:space="preserve">regeneration scales when distributed agents can coordinate without losing context, sovereignty, evidence, or relationship. </w:t>
      </w:r>
    </w:p>
    <w:p w14:paraId="15412860" w14:textId="5F585B95"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b/>
          <w:bCs/>
          <w:i/>
          <w:iCs/>
        </w:rPr>
        <w:t>Formal Note — Complexity Analysis of Agent-Centric Abundance</w:t>
      </w:r>
    </w:p>
    <w:p w14:paraId="7FB69AFA"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The agent-centric architecture of Prometheus can also be expressed through a formal complexity lens.</w:t>
      </w:r>
    </w:p>
    <w:p w14:paraId="1B645A30"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This formal note clarifies why Prometheus treats abundance not as a rhetorical aspiration, but as an architectural property of systems designed around distributed agency, local validation, and contextual coherence.</w:t>
      </w:r>
    </w:p>
    <w:p w14:paraId="73E4B688"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b/>
          <w:bCs/>
          <w:i/>
          <w:iCs/>
        </w:rPr>
        <w:t>Formal foundations: from data-centric to agent-centric systems</w:t>
      </w:r>
    </w:p>
    <w:p w14:paraId="283B6A1B"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xml:space="preserve">Let a generalized distributed system be represented as </w:t>
      </w:r>
      <w:r w:rsidRPr="00B479AE">
        <w:rPr>
          <w:rFonts w:ascii="Cambria" w:hAnsi="Cambria" w:cs="Cambria"/>
          <w:i/>
          <w:iCs/>
        </w:rPr>
        <w:t>Ω</w:t>
      </w:r>
      <w:r w:rsidRPr="00B479AE">
        <w:rPr>
          <w:rFonts w:ascii="Baskerville Old Face" w:hAnsi="Baskerville Old Face"/>
          <w:i/>
          <w:iCs/>
        </w:rPr>
        <w:t>.</w:t>
      </w:r>
    </w:p>
    <w:p w14:paraId="0A625A77"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Let:</w:t>
      </w:r>
    </w:p>
    <w:p w14:paraId="7A3533BC"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N = {n</w:t>
      </w:r>
      <w:r w:rsidRPr="00B479AE">
        <w:rPr>
          <w:rFonts w:ascii="Cambria Math" w:hAnsi="Cambria Math" w:cs="Cambria Math"/>
          <w:i/>
          <w:iCs/>
        </w:rPr>
        <w:t>₁</w:t>
      </w:r>
      <w:r w:rsidRPr="00B479AE">
        <w:rPr>
          <w:rFonts w:ascii="Baskerville Old Face" w:hAnsi="Baskerville Old Face"/>
          <w:i/>
          <w:iCs/>
        </w:rPr>
        <w:t>, n</w:t>
      </w:r>
      <w:r w:rsidRPr="00B479AE">
        <w:rPr>
          <w:rFonts w:ascii="Cambria Math" w:hAnsi="Cambria Math" w:cs="Cambria Math"/>
          <w:i/>
          <w:iCs/>
        </w:rPr>
        <w:t>₂</w:t>
      </w:r>
      <w:r w:rsidRPr="00B479AE">
        <w:rPr>
          <w:rFonts w:ascii="Baskerville Old Face" w:hAnsi="Baskerville Old Face"/>
          <w:i/>
          <w:iCs/>
        </w:rPr>
        <w:t xml:space="preserve">, </w:t>
      </w:r>
      <w:r w:rsidRPr="00B479AE">
        <w:rPr>
          <w:rFonts w:ascii="Baskerville Old Face" w:hAnsi="Baskerville Old Face" w:cs="Baskerville Old Face"/>
          <w:i/>
          <w:iCs/>
        </w:rPr>
        <w:t>…</w:t>
      </w:r>
      <w:r w:rsidRPr="00B479AE">
        <w:rPr>
          <w:rFonts w:ascii="Baskerville Old Face" w:hAnsi="Baskerville Old Face"/>
          <w:i/>
          <w:iCs/>
        </w:rPr>
        <w:t>, n</w:t>
      </w:r>
      <w:r w:rsidRPr="00B479AE">
        <w:rPr>
          <w:rFonts w:ascii="Cambria Math" w:hAnsi="Cambria Math" w:cs="Cambria Math"/>
          <w:i/>
          <w:iCs/>
        </w:rPr>
        <w:t>ₘ</w:t>
      </w:r>
      <w:r w:rsidRPr="00B479AE">
        <w:rPr>
          <w:rFonts w:ascii="Baskerville Old Face" w:hAnsi="Baskerville Old Face"/>
          <w:i/>
          <w:iCs/>
        </w:rPr>
        <w:t>} be the set of nodes or agents;</w:t>
      </w:r>
    </w:p>
    <w:p w14:paraId="660EAF73"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each node n contain a state S</w:t>
      </w:r>
      <w:r w:rsidRPr="00B479AE">
        <w:rPr>
          <w:rFonts w:ascii="Cambria Math" w:hAnsi="Cambria Math" w:cs="Cambria Math"/>
          <w:i/>
          <w:iCs/>
        </w:rPr>
        <w:t>ₙ</w:t>
      </w:r>
      <w:r w:rsidRPr="00B479AE">
        <w:rPr>
          <w:rFonts w:ascii="Baskerville Old Face" w:hAnsi="Baskerville Old Face"/>
          <w:i/>
          <w:iCs/>
        </w:rPr>
        <w:t>;</w:t>
      </w:r>
    </w:p>
    <w:p w14:paraId="5C6DCE3B"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each state S</w:t>
      </w:r>
      <w:r w:rsidRPr="00B479AE">
        <w:rPr>
          <w:rFonts w:ascii="Cambria Math" w:hAnsi="Cambria Math" w:cs="Cambria Math"/>
          <w:i/>
          <w:iCs/>
        </w:rPr>
        <w:t>ₙ</w:t>
      </w:r>
      <w:r w:rsidRPr="00B479AE">
        <w:rPr>
          <w:rFonts w:ascii="Baskerville Old Face" w:hAnsi="Baskerville Old Face"/>
          <w:i/>
          <w:iCs/>
        </w:rPr>
        <w:t xml:space="preserve"> include a cryptographically secured hash-chain X</w:t>
      </w:r>
      <w:r w:rsidRPr="00B479AE">
        <w:rPr>
          <w:rFonts w:ascii="Cambria Math" w:hAnsi="Cambria Math" w:cs="Cambria Math"/>
          <w:i/>
          <w:iCs/>
        </w:rPr>
        <w:t>ₙ</w:t>
      </w:r>
      <w:r w:rsidRPr="00B479AE">
        <w:rPr>
          <w:rFonts w:ascii="Baskerville Old Face" w:hAnsi="Baskerville Old Face"/>
          <w:i/>
          <w:iCs/>
        </w:rPr>
        <w:t xml:space="preserve"> and non-chain data D</w:t>
      </w:r>
      <w:r w:rsidRPr="00B479AE">
        <w:rPr>
          <w:rFonts w:ascii="Cambria Math" w:hAnsi="Cambria Math" w:cs="Cambria Math"/>
          <w:i/>
          <w:iCs/>
        </w:rPr>
        <w:t>ₙ</w:t>
      </w:r>
      <w:r w:rsidRPr="00B479AE">
        <w:rPr>
          <w:rFonts w:ascii="Baskerville Old Face" w:hAnsi="Baskerville Old Face"/>
          <w:i/>
          <w:iCs/>
        </w:rPr>
        <w:t>;</w:t>
      </w:r>
    </w:p>
    <w:p w14:paraId="7B8D8625"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H be a cryptographically secure hash function;</w:t>
      </w:r>
    </w:p>
    <w:p w14:paraId="7F603C0A"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V(e, v) be a validation function determining whether an event, entry, or transaction e is valid under a given rule set v.</w:t>
      </w:r>
    </w:p>
    <w:p w14:paraId="29EC3C8D"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In data-centric systems, such as conventional blockchain architectures, the fundamental requirement is global state consistency.</w:t>
      </w:r>
    </w:p>
    <w:p w14:paraId="66DBBCDF"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This can be represented as:</w:t>
      </w:r>
    </w:p>
    <w:p w14:paraId="16E99413" w14:textId="77777777" w:rsidR="00F05EE7" w:rsidRPr="00B479AE" w:rsidRDefault="00F05EE7" w:rsidP="00F05EE7">
      <w:pPr>
        <w:spacing w:line="360" w:lineRule="auto"/>
        <w:rPr>
          <w:rFonts w:ascii="Baskerville Old Face" w:hAnsi="Baskerville Old Face"/>
          <w:i/>
          <w:iCs/>
        </w:rPr>
      </w:pPr>
      <w:r w:rsidRPr="00B479AE">
        <w:rPr>
          <w:rFonts w:ascii="Cambria Math" w:hAnsi="Cambria Math" w:cs="Cambria Math"/>
          <w:i/>
          <w:iCs/>
        </w:rPr>
        <w:t>∀</w:t>
      </w:r>
      <w:r w:rsidRPr="00B479AE">
        <w:rPr>
          <w:rFonts w:ascii="Baskerville Old Face" w:hAnsi="Baskerville Old Face"/>
          <w:i/>
          <w:iCs/>
        </w:rPr>
        <w:t xml:space="preserve"> n, m </w:t>
      </w:r>
      <w:r w:rsidRPr="00B479AE">
        <w:rPr>
          <w:rFonts w:ascii="Cambria Math" w:hAnsi="Cambria Math" w:cs="Cambria Math"/>
          <w:i/>
          <w:iCs/>
        </w:rPr>
        <w:t>∈</w:t>
      </w:r>
      <w:r w:rsidRPr="00B479AE">
        <w:rPr>
          <w:rFonts w:ascii="Baskerville Old Face" w:hAnsi="Baskerville Old Face"/>
          <w:i/>
          <w:iCs/>
        </w:rPr>
        <w:t xml:space="preserve"> N : X</w:t>
      </w:r>
      <w:r w:rsidRPr="00B479AE">
        <w:rPr>
          <w:rFonts w:ascii="Cambria Math" w:hAnsi="Cambria Math" w:cs="Cambria Math"/>
          <w:i/>
          <w:iCs/>
        </w:rPr>
        <w:t>ₙ</w:t>
      </w:r>
      <w:r w:rsidRPr="00B479AE">
        <w:rPr>
          <w:rFonts w:ascii="Baskerville Old Face" w:hAnsi="Baskerville Old Face"/>
          <w:i/>
          <w:iCs/>
        </w:rPr>
        <w:t xml:space="preserve"> = X</w:t>
      </w:r>
      <w:r w:rsidRPr="00B479AE">
        <w:rPr>
          <w:rFonts w:ascii="Cambria Math" w:hAnsi="Cambria Math" w:cs="Cambria Math"/>
          <w:i/>
          <w:iCs/>
        </w:rPr>
        <w:t>ₘ</w:t>
      </w:r>
    </w:p>
    <w:p w14:paraId="19E2674F"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This means that all nodes must converge toward the same shared chain or global state.</w:t>
      </w:r>
    </w:p>
    <w:p w14:paraId="1DA20357"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This sameness constraint creates structural consequences:</w:t>
      </w:r>
    </w:p>
    <w:p w14:paraId="6B66D893"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redundant computation across the validation network;</w:t>
      </w:r>
    </w:p>
    <w:p w14:paraId="638F738A"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lastRenderedPageBreak/>
        <w:t>• global coordination overhead;</w:t>
      </w:r>
    </w:p>
    <w:p w14:paraId="115063F4"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competition for inclusion in shared block space;</w:t>
      </w:r>
    </w:p>
    <w:p w14:paraId="541753EB"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congestion at the consensus layer;</w:t>
      </w:r>
    </w:p>
    <w:p w14:paraId="1DFB34C4"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fee pressure under demand;</w:t>
      </w:r>
    </w:p>
    <w:p w14:paraId="4924073D"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scarcity as a functional requirement of the architecture.</w:t>
      </w:r>
    </w:p>
    <w:p w14:paraId="0636864E"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Such systems can be valuable where a single global financial state is necessary.</w:t>
      </w:r>
    </w:p>
    <w:p w14:paraId="74CB1B53"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However, the same design becomes structurally limited when applied to regenerative systems, where relevant truth is contextual, local, ecological, agent-specific, and time-dependent.</w:t>
      </w:r>
    </w:p>
    <w:p w14:paraId="2EE439D0"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A soil observation, planting record, biomass return, harvest event, stewardship action, or ecological audit does not require every participant in the world to validate the entire global state.</w:t>
      </w:r>
    </w:p>
    <w:p w14:paraId="048AA161"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It requires the correct validation context.</w:t>
      </w:r>
    </w:p>
    <w:p w14:paraId="555DBE49"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In agent-centric systems, each participant maintains its own signed source chain.</w:t>
      </w:r>
    </w:p>
    <w:p w14:paraId="0859CB44"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Shared reality emerges through validation rules, distributed publication, peer review, and contextual interaction.</w:t>
      </w:r>
    </w:p>
    <w:p w14:paraId="77D7B3E3"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The architecture therefore shifts from global sameness to distributed coherence.</w:t>
      </w:r>
    </w:p>
    <w:p w14:paraId="291CF08B"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Each agent preserves its own history.</w:t>
      </w:r>
    </w:p>
    <w:p w14:paraId="5644DFAF"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Each relevant event can be validated by the appropriate neighborhood.</w:t>
      </w:r>
    </w:p>
    <w:p w14:paraId="2B461896"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The system does not need all nodes to validate all events.</w:t>
      </w:r>
    </w:p>
    <w:p w14:paraId="3B2A0E6E"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It needs relevant nodes to validate relevant events under relevant rules.</w:t>
      </w:r>
    </w:p>
    <w:p w14:paraId="577866EE"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b/>
          <w:bCs/>
          <w:i/>
          <w:iCs/>
        </w:rPr>
        <w:t>The neighborhood principle: validation at scale</w:t>
      </w:r>
    </w:p>
    <w:p w14:paraId="4111918D"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The neighborhood principle is the operational inversion of global consensus.</w:t>
      </w:r>
    </w:p>
    <w:p w14:paraId="5A09A6F0" w14:textId="454A68A8"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lastRenderedPageBreak/>
        <w:t xml:space="preserve">Consider a regenerative project in which a land steward records a regenerative event: a planting action, soil test, harvest, biomass return, </w:t>
      </w:r>
      <w:r w:rsidR="00505666" w:rsidRPr="00B479AE">
        <w:rPr>
          <w:rFonts w:ascii="Baskerville Old Face" w:hAnsi="Baskerville Old Face"/>
          <w:i/>
          <w:iCs/>
        </w:rPr>
        <w:t>verified ecological performance record</w:t>
      </w:r>
      <w:r w:rsidRPr="00B479AE">
        <w:rPr>
          <w:rFonts w:ascii="Baskerville Old Face" w:hAnsi="Baskerville Old Face"/>
          <w:i/>
          <w:iCs/>
        </w:rPr>
        <w:t>, water-retention measurement, or PRU-relevant observation.</w:t>
      </w:r>
      <w:r w:rsidR="007556FF" w:rsidRPr="00B479AE">
        <w:rPr>
          <w:rFonts w:ascii="Baskerville Old Face" w:hAnsi="Baskerville Old Face"/>
          <w:i/>
          <w:iCs/>
        </w:rPr>
        <w:t xml:space="preserve"> </w:t>
      </w:r>
    </w:p>
    <w:p w14:paraId="0AC2B670" w14:textId="53E9982F" w:rsidR="007556FF" w:rsidRPr="00B479AE" w:rsidRDefault="007556FF" w:rsidP="00F05EE7">
      <w:pPr>
        <w:spacing w:line="360" w:lineRule="auto"/>
        <w:rPr>
          <w:rFonts w:ascii="Baskerville Old Face" w:hAnsi="Baskerville Old Face"/>
          <w:i/>
          <w:iCs/>
        </w:rPr>
      </w:pPr>
      <w:r w:rsidRPr="00B479AE">
        <w:rPr>
          <w:rFonts w:ascii="Baskerville Old Face" w:hAnsi="Baskerville Old Face"/>
          <w:i/>
          <w:iCs/>
        </w:rPr>
        <w:t>Ecological credit language should be treated as a future legal and methodological pathway, not as an automatic output of MRV. Prometheus may generate verified ecological performance signals, but credit issuance requires recognized methodology, registry discipline, legal structure, anti-double-counting controls, and jurisdictional review.</w:t>
      </w:r>
    </w:p>
    <w:p w14:paraId="3F56216D"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In a blockchain-style data-centric architecture:</w:t>
      </w:r>
    </w:p>
    <w:p w14:paraId="664D1D13"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the event is broadcast to the network;</w:t>
      </w:r>
    </w:p>
    <w:p w14:paraId="376150DF"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validation is oriented toward the global state;</w:t>
      </w:r>
    </w:p>
    <w:p w14:paraId="2B68553A"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the event competes for inclusion in a block or global ordering mechanism;</w:t>
      </w:r>
    </w:p>
    <w:p w14:paraId="5C9A6038"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full nodes or validator classes must maintain consistency with the shared ledger;</w:t>
      </w:r>
    </w:p>
    <w:p w14:paraId="296A2F7E"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congestion, delay, and cost can increase when demand increases;</w:t>
      </w:r>
    </w:p>
    <w:p w14:paraId="69ACC4DF"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more participants may create more competition for limited validation space.</w:t>
      </w:r>
    </w:p>
    <w:p w14:paraId="24097F85"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In an agent-centric Holochain-compatible architecture:</w:t>
      </w:r>
    </w:p>
    <w:p w14:paraId="1B6DE95C"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the event is signed by the steward;</w:t>
      </w:r>
    </w:p>
    <w:p w14:paraId="629E324E"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the event is added to the steward’s own source chain;</w:t>
      </w:r>
    </w:p>
    <w:p w14:paraId="69FCC9E7"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a copy is published to the distributed hash table;</w:t>
      </w:r>
    </w:p>
    <w:p w14:paraId="21DA8E84"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responsibility for validation is assigned to a limited validation neighborhood;</w:t>
      </w:r>
    </w:p>
    <w:p w14:paraId="589A317F"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only the relevant neighborhood validates the record under application rules;</w:t>
      </w:r>
    </w:p>
    <w:p w14:paraId="2E69C348"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if valid, the record is stored and made available;</w:t>
      </w:r>
    </w:p>
    <w:p w14:paraId="2A757B72"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if invalid, the record can be rejected or flagged through integrity procedures.</w:t>
      </w:r>
    </w:p>
    <w:p w14:paraId="780D9988"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Let r represent the resilience factor, meaning the approximate number of neighborhood nodes responsible for validating or holding a given record under application-specific rules.</w:t>
      </w:r>
    </w:p>
    <w:p w14:paraId="3CC7DD6F"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lastRenderedPageBreak/>
        <w:t>Let m represent the total number of nodes or agents.</w:t>
      </w:r>
    </w:p>
    <w:p w14:paraId="5A86BBDF"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The probability that any given node is responsible for validating any given event can be expressed conceptually as:</w:t>
      </w:r>
    </w:p>
    <w:p w14:paraId="7DE23DF6"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r / m</w:t>
      </w:r>
    </w:p>
    <w:p w14:paraId="6B701268"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As m increases, the validation burden on each individual node can decrease, assuming the validation neighborhoods remain appropriately distributed.</w:t>
      </w:r>
    </w:p>
    <w:p w14:paraId="457F0C5A"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This creates the key architectural inversion:</w:t>
      </w:r>
    </w:p>
    <w:p w14:paraId="3609BA2E"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more participants do not necessarily create more congestion.</w:t>
      </w:r>
    </w:p>
    <w:p w14:paraId="2E383640"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More participants can create more distributed capacity.</w:t>
      </w:r>
    </w:p>
    <w:p w14:paraId="3D86104A"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In a data-centric system, more actors may compete for the same global validation space.</w:t>
      </w:r>
    </w:p>
    <w:p w14:paraId="5B2BB4F5"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In an agent-centric system, more actors can increase the available validation, storage, and coordination surface of the network.</w:t>
      </w:r>
    </w:p>
    <w:p w14:paraId="36C9FF2F"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This is why Prometheus treats agent-centric infrastructure as structurally aligned with regenerative systems.</w:t>
      </w:r>
    </w:p>
    <w:p w14:paraId="7E4F824A"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A regenerative network should become stronger as participation expands.</w:t>
      </w:r>
    </w:p>
    <w:p w14:paraId="4B465761" w14:textId="422E4ED1"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b/>
          <w:bCs/>
          <w:i/>
          <w:iCs/>
        </w:rPr>
        <w:t>Complexity analysis: the mathematics of abundance</w:t>
      </w:r>
    </w:p>
    <w:p w14:paraId="6492FFE0"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The simplified complexity contrast can be expressed as follows.</w:t>
      </w:r>
    </w:p>
    <w:p w14:paraId="766F13D5"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For a data-centric blockchain-like system, validation and coordination costs tend toward high global coupling because the network must maintain consistency around a shared state.</w:t>
      </w:r>
    </w:p>
    <w:p w14:paraId="1E58BBF5"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Conceptually:</w:t>
      </w:r>
    </w:p>
    <w:p w14:paraId="4D2F56EE" w14:textId="77777777" w:rsidR="00F05EE7" w:rsidRPr="00B479AE" w:rsidRDefault="00F05EE7" w:rsidP="00F05EE7">
      <w:pPr>
        <w:spacing w:line="360" w:lineRule="auto"/>
        <w:rPr>
          <w:rFonts w:ascii="Baskerville Old Face" w:hAnsi="Baskerville Old Face"/>
          <w:i/>
          <w:iCs/>
        </w:rPr>
      </w:pPr>
      <w:r w:rsidRPr="00B479AE">
        <w:rPr>
          <w:rFonts w:ascii="Cambria" w:hAnsi="Cambria" w:cs="Cambria"/>
          <w:i/>
          <w:iCs/>
        </w:rPr>
        <w:t>Ω</w:t>
      </w:r>
      <w:r w:rsidRPr="00B479AE">
        <w:rPr>
          <w:rFonts w:ascii="Baskerville Old Face" w:hAnsi="Baskerville Old Face"/>
          <w:i/>
          <w:iCs/>
        </w:rPr>
        <w:t xml:space="preserve">_blockchain </w:t>
      </w:r>
      <w:r w:rsidRPr="00B479AE">
        <w:rPr>
          <w:rFonts w:ascii="Cambria Math" w:hAnsi="Cambria Math" w:cs="Cambria Math"/>
          <w:i/>
          <w:iCs/>
        </w:rPr>
        <w:t>∈</w:t>
      </w:r>
      <w:r w:rsidRPr="00B479AE">
        <w:rPr>
          <w:rFonts w:ascii="Baskerville Old Face" w:hAnsi="Baskerville Old Face"/>
          <w:i/>
          <w:iCs/>
        </w:rPr>
        <w:t xml:space="preserve"> O(n</w:t>
      </w:r>
      <w:r w:rsidRPr="00B479AE">
        <w:rPr>
          <w:rFonts w:ascii="Baskerville Old Face" w:hAnsi="Baskerville Old Face" w:cs="Baskerville Old Face"/>
          <w:i/>
          <w:iCs/>
        </w:rPr>
        <w:t>²</w:t>
      </w:r>
      <w:r w:rsidRPr="00B479AE">
        <w:rPr>
          <w:rFonts w:ascii="Baskerville Old Face" w:hAnsi="Baskerville Old Face"/>
          <w:i/>
          <w:iCs/>
        </w:rPr>
        <w:t>m)</w:t>
      </w:r>
    </w:p>
    <w:p w14:paraId="2C26D9C1"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where:</w:t>
      </w:r>
    </w:p>
    <w:p w14:paraId="697C8D2A"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n represents the number of events, entries, or transactions;</w:t>
      </w:r>
    </w:p>
    <w:p w14:paraId="6A406C1B"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lastRenderedPageBreak/>
        <w:t>m represents the number of nodes or agents.</w:t>
      </w:r>
    </w:p>
    <w:p w14:paraId="44803E92"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For an agent-centric Holochain-compatible system, the total system complexity can be represented conceptually as:</w:t>
      </w:r>
    </w:p>
    <w:p w14:paraId="06ED3D10" w14:textId="77777777" w:rsidR="00F05EE7" w:rsidRPr="00B479AE" w:rsidRDefault="00F05EE7" w:rsidP="00F05EE7">
      <w:pPr>
        <w:spacing w:line="360" w:lineRule="auto"/>
        <w:rPr>
          <w:rFonts w:ascii="Baskerville Old Face" w:hAnsi="Baskerville Old Face"/>
          <w:i/>
          <w:iCs/>
        </w:rPr>
      </w:pPr>
      <w:r w:rsidRPr="00B479AE">
        <w:rPr>
          <w:rFonts w:ascii="Cambria" w:hAnsi="Cambria" w:cs="Cambria"/>
          <w:i/>
          <w:iCs/>
        </w:rPr>
        <w:t>Ω</w:t>
      </w:r>
      <w:r w:rsidRPr="00B479AE">
        <w:rPr>
          <w:rFonts w:ascii="Baskerville Old Face" w:hAnsi="Baskerville Old Face"/>
          <w:i/>
          <w:iCs/>
        </w:rPr>
        <w:t xml:space="preserve">_agent-centric </w:t>
      </w:r>
      <w:r w:rsidRPr="00B479AE">
        <w:rPr>
          <w:rFonts w:ascii="Cambria Math" w:hAnsi="Cambria Math" w:cs="Cambria Math"/>
          <w:i/>
          <w:iCs/>
        </w:rPr>
        <w:t>∈</w:t>
      </w:r>
      <w:r w:rsidRPr="00B479AE">
        <w:rPr>
          <w:rFonts w:ascii="Baskerville Old Face" w:hAnsi="Baskerville Old Face"/>
          <w:i/>
          <w:iCs/>
        </w:rPr>
        <w:t xml:space="preserve"> O(n </w:t>
      </w:r>
      <w:r w:rsidRPr="00B479AE">
        <w:rPr>
          <w:rFonts w:ascii="Cambria" w:hAnsi="Cambria" w:cs="Cambria"/>
          <w:i/>
          <w:iCs/>
        </w:rPr>
        <w:t>·</w:t>
      </w:r>
      <w:r w:rsidRPr="00B479AE">
        <w:rPr>
          <w:rFonts w:ascii="Baskerville Old Face" w:hAnsi="Baskerville Old Face"/>
          <w:i/>
          <w:iCs/>
        </w:rPr>
        <w:t xml:space="preserve"> (log m + v(n,m)))</w:t>
      </w:r>
    </w:p>
    <w:p w14:paraId="564C3001"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where:</w:t>
      </w:r>
    </w:p>
    <w:p w14:paraId="43DA821C"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n represents the number of events, entries, or transactions;</w:t>
      </w:r>
    </w:p>
    <w:p w14:paraId="30BE4DA8"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m represents the number of nodes or agents;</w:t>
      </w:r>
    </w:p>
    <w:p w14:paraId="0FB5E593"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v(n,m) represents application-specific validation overhead.</w:t>
      </w:r>
    </w:p>
    <w:p w14:paraId="5034ED14"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The average complexity per node can be represented as:</w:t>
      </w:r>
    </w:p>
    <w:p w14:paraId="1977E658" w14:textId="77777777" w:rsidR="00F05EE7" w:rsidRPr="005907F1" w:rsidRDefault="00F05EE7" w:rsidP="00F05EE7">
      <w:pPr>
        <w:spacing w:line="360" w:lineRule="auto"/>
        <w:rPr>
          <w:rFonts w:ascii="Baskerville Old Face" w:hAnsi="Baskerville Old Face"/>
          <w:i/>
          <w:iCs/>
          <w:lang w:val="it-IT"/>
        </w:rPr>
      </w:pPr>
      <w:r w:rsidRPr="00B479AE">
        <w:rPr>
          <w:rFonts w:ascii="Cambria" w:hAnsi="Cambria" w:cs="Cambria"/>
          <w:i/>
          <w:iCs/>
        </w:rPr>
        <w:t>Ω</w:t>
      </w:r>
      <w:r w:rsidRPr="005907F1">
        <w:rPr>
          <w:rFonts w:ascii="Baskerville Old Face" w:hAnsi="Baskerville Old Face"/>
          <w:i/>
          <w:iCs/>
          <w:lang w:val="it-IT"/>
        </w:rPr>
        <w:t xml:space="preserve">_node </w:t>
      </w:r>
      <w:r w:rsidRPr="005907F1">
        <w:rPr>
          <w:rFonts w:ascii="Cambria Math" w:hAnsi="Cambria Math" w:cs="Cambria Math"/>
          <w:i/>
          <w:iCs/>
          <w:lang w:val="it-IT"/>
        </w:rPr>
        <w:t>∈</w:t>
      </w:r>
      <w:r w:rsidRPr="005907F1">
        <w:rPr>
          <w:rFonts w:ascii="Baskerville Old Face" w:hAnsi="Baskerville Old Face"/>
          <w:i/>
          <w:iCs/>
          <w:lang w:val="it-IT"/>
        </w:rPr>
        <w:t xml:space="preserve"> O((n/m) </w:t>
      </w:r>
      <w:r w:rsidRPr="005907F1">
        <w:rPr>
          <w:rFonts w:ascii="Cambria" w:hAnsi="Cambria" w:cs="Cambria"/>
          <w:i/>
          <w:iCs/>
          <w:lang w:val="it-IT"/>
        </w:rPr>
        <w:t>·</w:t>
      </w:r>
      <w:r w:rsidRPr="005907F1">
        <w:rPr>
          <w:rFonts w:ascii="Baskerville Old Face" w:hAnsi="Baskerville Old Face"/>
          <w:i/>
          <w:iCs/>
          <w:lang w:val="it-IT"/>
        </w:rPr>
        <w:t xml:space="preserve"> log m)</w:t>
      </w:r>
    </w:p>
    <w:p w14:paraId="27CC7BC9"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This formulation expresses the central architectural difference.</w:t>
      </w:r>
    </w:p>
    <w:p w14:paraId="6AB5A23D"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In a global-state architecture, adding nodes may increase total coordination burden because each node or validator class remains oriented toward the same shared state.</w:t>
      </w:r>
    </w:p>
    <w:p w14:paraId="551DDE4B"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In an agent-centric architecture, adding nodes can distribute validation and storage responsibility across the network.</w:t>
      </w:r>
    </w:p>
    <w:p w14:paraId="75E5BECE"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This does not mean that costs disappear.</w:t>
      </w:r>
    </w:p>
    <w:p w14:paraId="09D5E3B1"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Storage, computation, networking, validation, and governance still have real metabolic costs.</w:t>
      </w:r>
    </w:p>
    <w:p w14:paraId="6D8CC4B4"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The point is different.</w:t>
      </w:r>
    </w:p>
    <w:p w14:paraId="4C633190"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The cost structure is not based on artificial scarcity at a global bottleneck.</w:t>
      </w:r>
    </w:p>
    <w:p w14:paraId="14714B0A"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It is distributed across agents, contexts, and neighborhoods.</w:t>
      </w:r>
    </w:p>
    <w:p w14:paraId="59587D6C" w14:textId="3DA3E4E2"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The comparison can be summarized as follows:</w:t>
      </w:r>
      <w:r w:rsidR="00603555" w:rsidRPr="00B479AE">
        <w:rPr>
          <w:rFonts w:ascii="Baskerville Old Face" w:hAnsi="Baskerville Old Face"/>
          <w:i/>
          <w:iCs/>
        </w:rPr>
        <w:t xml:space="preserve"> </w:t>
      </w:r>
    </w:p>
    <w:p w14:paraId="6A24BBEE" w14:textId="77777777" w:rsidR="00603555" w:rsidRPr="00B479AE" w:rsidRDefault="00603555" w:rsidP="00F05EE7">
      <w:pPr>
        <w:spacing w:line="360" w:lineRule="auto"/>
        <w:rPr>
          <w:rFonts w:ascii="Baskerville Old Face" w:hAnsi="Baskerville Old Face"/>
          <w:i/>
          <w:iCs/>
        </w:rPr>
      </w:pPr>
    </w:p>
    <w:p w14:paraId="2B5E09D1" w14:textId="77777777" w:rsidR="00603555" w:rsidRPr="00B479AE" w:rsidRDefault="00603555" w:rsidP="00F05EE7">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1"/>
        <w:gridCol w:w="2415"/>
        <w:gridCol w:w="2702"/>
        <w:gridCol w:w="3050"/>
      </w:tblGrid>
      <w:tr w:rsidR="00F05EE7" w:rsidRPr="00B479AE" w14:paraId="6763B6E0" w14:textId="77777777" w:rsidTr="00F05EE7">
        <w:trPr>
          <w:tblHeader/>
          <w:tblCellSpacing w:w="15" w:type="dxa"/>
        </w:trPr>
        <w:tc>
          <w:tcPr>
            <w:tcW w:w="0" w:type="auto"/>
            <w:vAlign w:val="center"/>
            <w:hideMark/>
          </w:tcPr>
          <w:p w14:paraId="32D07A51" w14:textId="77777777" w:rsidR="00F05EE7" w:rsidRPr="00B479AE" w:rsidRDefault="00F05EE7" w:rsidP="00F05EE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Dimension</w:t>
            </w:r>
          </w:p>
        </w:tc>
        <w:tc>
          <w:tcPr>
            <w:tcW w:w="0" w:type="auto"/>
            <w:vAlign w:val="center"/>
            <w:hideMark/>
          </w:tcPr>
          <w:p w14:paraId="02F1465A" w14:textId="77777777" w:rsidR="00F05EE7" w:rsidRPr="00B479AE" w:rsidRDefault="00F05EE7" w:rsidP="00F05EE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Data-centric architecture</w:t>
            </w:r>
          </w:p>
        </w:tc>
        <w:tc>
          <w:tcPr>
            <w:tcW w:w="0" w:type="auto"/>
            <w:vAlign w:val="center"/>
            <w:hideMark/>
          </w:tcPr>
          <w:p w14:paraId="7D24A4C3" w14:textId="77777777" w:rsidR="00F05EE7" w:rsidRPr="00B479AE" w:rsidRDefault="00F05EE7" w:rsidP="00F05EE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Agent-centric architecture</w:t>
            </w:r>
          </w:p>
        </w:tc>
        <w:tc>
          <w:tcPr>
            <w:tcW w:w="0" w:type="auto"/>
            <w:vAlign w:val="center"/>
            <w:hideMark/>
          </w:tcPr>
          <w:p w14:paraId="01D1C448" w14:textId="77777777" w:rsidR="00F05EE7" w:rsidRPr="00B479AE" w:rsidRDefault="00F05EE7" w:rsidP="00F05EE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Implication</w:t>
            </w:r>
          </w:p>
        </w:tc>
      </w:tr>
      <w:tr w:rsidR="00F05EE7" w:rsidRPr="00B479AE" w14:paraId="46408D55" w14:textId="77777777" w:rsidTr="00F05EE7">
        <w:trPr>
          <w:tblCellSpacing w:w="15" w:type="dxa"/>
        </w:trPr>
        <w:tc>
          <w:tcPr>
            <w:tcW w:w="0" w:type="auto"/>
            <w:vAlign w:val="center"/>
            <w:hideMark/>
          </w:tcPr>
          <w:p w14:paraId="776B9C78"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State model</w:t>
            </w:r>
          </w:p>
        </w:tc>
        <w:tc>
          <w:tcPr>
            <w:tcW w:w="0" w:type="auto"/>
            <w:vAlign w:val="center"/>
            <w:hideMark/>
          </w:tcPr>
          <w:p w14:paraId="765EAA6A"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Global shared state</w:t>
            </w:r>
          </w:p>
        </w:tc>
        <w:tc>
          <w:tcPr>
            <w:tcW w:w="0" w:type="auto"/>
            <w:vAlign w:val="center"/>
            <w:hideMark/>
          </w:tcPr>
          <w:p w14:paraId="28BCAA68"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Local source chains with shared validation</w:t>
            </w:r>
          </w:p>
        </w:tc>
        <w:tc>
          <w:tcPr>
            <w:tcW w:w="0" w:type="auto"/>
            <w:vAlign w:val="center"/>
            <w:hideMark/>
          </w:tcPr>
          <w:p w14:paraId="68E22208"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Meaning can remain contextual</w:t>
            </w:r>
          </w:p>
        </w:tc>
      </w:tr>
      <w:tr w:rsidR="00F05EE7" w:rsidRPr="00B479AE" w14:paraId="2CF9F0A6" w14:textId="77777777" w:rsidTr="00F05EE7">
        <w:trPr>
          <w:tblCellSpacing w:w="15" w:type="dxa"/>
        </w:trPr>
        <w:tc>
          <w:tcPr>
            <w:tcW w:w="0" w:type="auto"/>
            <w:vAlign w:val="center"/>
            <w:hideMark/>
          </w:tcPr>
          <w:p w14:paraId="357ADC75"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Validation scope</w:t>
            </w:r>
          </w:p>
        </w:tc>
        <w:tc>
          <w:tcPr>
            <w:tcW w:w="0" w:type="auto"/>
            <w:vAlign w:val="center"/>
            <w:hideMark/>
          </w:tcPr>
          <w:p w14:paraId="45684188"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Broad global validation</w:t>
            </w:r>
          </w:p>
        </w:tc>
        <w:tc>
          <w:tcPr>
            <w:tcW w:w="0" w:type="auto"/>
            <w:vAlign w:val="center"/>
            <w:hideMark/>
          </w:tcPr>
          <w:p w14:paraId="4BA6CDC1"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Neighborhood validation</w:t>
            </w:r>
          </w:p>
        </w:tc>
        <w:tc>
          <w:tcPr>
            <w:tcW w:w="0" w:type="auto"/>
            <w:vAlign w:val="center"/>
            <w:hideMark/>
          </w:tcPr>
          <w:p w14:paraId="59304CAA"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Validation effort can remain bounded</w:t>
            </w:r>
          </w:p>
        </w:tc>
      </w:tr>
      <w:tr w:rsidR="00F05EE7" w:rsidRPr="00B479AE" w14:paraId="354E8A15" w14:textId="77777777" w:rsidTr="00F05EE7">
        <w:trPr>
          <w:tblCellSpacing w:w="15" w:type="dxa"/>
        </w:trPr>
        <w:tc>
          <w:tcPr>
            <w:tcW w:w="0" w:type="auto"/>
            <w:vAlign w:val="center"/>
            <w:hideMark/>
          </w:tcPr>
          <w:p w14:paraId="0B91D072"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Per-node workload</w:t>
            </w:r>
          </w:p>
        </w:tc>
        <w:tc>
          <w:tcPr>
            <w:tcW w:w="0" w:type="auto"/>
            <w:vAlign w:val="center"/>
            <w:hideMark/>
          </w:tcPr>
          <w:p w14:paraId="73F66B78"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High coupling to global state</w:t>
            </w:r>
          </w:p>
        </w:tc>
        <w:tc>
          <w:tcPr>
            <w:tcW w:w="0" w:type="auto"/>
            <w:vAlign w:val="center"/>
            <w:hideMark/>
          </w:tcPr>
          <w:p w14:paraId="4F85D46D"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Distributed by relevance</w:t>
            </w:r>
          </w:p>
        </w:tc>
        <w:tc>
          <w:tcPr>
            <w:tcW w:w="0" w:type="auto"/>
            <w:vAlign w:val="center"/>
            <w:hideMark/>
          </w:tcPr>
          <w:p w14:paraId="5C3340EC"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Added nodes can reduce average burden</w:t>
            </w:r>
          </w:p>
        </w:tc>
      </w:tr>
      <w:tr w:rsidR="00F05EE7" w:rsidRPr="00B479AE" w14:paraId="4A6529FC" w14:textId="77777777" w:rsidTr="00F05EE7">
        <w:trPr>
          <w:tblCellSpacing w:w="15" w:type="dxa"/>
        </w:trPr>
        <w:tc>
          <w:tcPr>
            <w:tcW w:w="0" w:type="auto"/>
            <w:vAlign w:val="center"/>
            <w:hideMark/>
          </w:tcPr>
          <w:p w14:paraId="21141422"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Congestion pattern</w:t>
            </w:r>
          </w:p>
        </w:tc>
        <w:tc>
          <w:tcPr>
            <w:tcW w:w="0" w:type="auto"/>
            <w:vAlign w:val="center"/>
            <w:hideMark/>
          </w:tcPr>
          <w:p w14:paraId="1A55214A"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Shared bottleneck</w:t>
            </w:r>
          </w:p>
        </w:tc>
        <w:tc>
          <w:tcPr>
            <w:tcW w:w="0" w:type="auto"/>
            <w:vAlign w:val="center"/>
            <w:hideMark/>
          </w:tcPr>
          <w:p w14:paraId="4EEACB8E"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Parallel validation neighborhoods</w:t>
            </w:r>
          </w:p>
        </w:tc>
        <w:tc>
          <w:tcPr>
            <w:tcW w:w="0" w:type="auto"/>
            <w:vAlign w:val="center"/>
            <w:hideMark/>
          </w:tcPr>
          <w:p w14:paraId="208FDEDB"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Participation can increase capacity</w:t>
            </w:r>
          </w:p>
        </w:tc>
      </w:tr>
      <w:tr w:rsidR="00F05EE7" w:rsidRPr="00B479AE" w14:paraId="1C25BFA6" w14:textId="77777777" w:rsidTr="00F05EE7">
        <w:trPr>
          <w:tblCellSpacing w:w="15" w:type="dxa"/>
        </w:trPr>
        <w:tc>
          <w:tcPr>
            <w:tcW w:w="0" w:type="auto"/>
            <w:vAlign w:val="center"/>
            <w:hideMark/>
          </w:tcPr>
          <w:p w14:paraId="26088BC1"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Scarcity model</w:t>
            </w:r>
          </w:p>
        </w:tc>
        <w:tc>
          <w:tcPr>
            <w:tcW w:w="0" w:type="auto"/>
            <w:vAlign w:val="center"/>
            <w:hideMark/>
          </w:tcPr>
          <w:p w14:paraId="30E63179"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Block space / global inclusion pressure</w:t>
            </w:r>
          </w:p>
        </w:tc>
        <w:tc>
          <w:tcPr>
            <w:tcW w:w="0" w:type="auto"/>
            <w:vAlign w:val="center"/>
            <w:hideMark/>
          </w:tcPr>
          <w:p w14:paraId="0A04B7F1"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Metabolic storage and computation costs</w:t>
            </w:r>
          </w:p>
        </w:tc>
        <w:tc>
          <w:tcPr>
            <w:tcW w:w="0" w:type="auto"/>
            <w:vAlign w:val="center"/>
            <w:hideMark/>
          </w:tcPr>
          <w:p w14:paraId="721148E0"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Scarcity becomes architectural, not absolute</w:t>
            </w:r>
          </w:p>
        </w:tc>
      </w:tr>
      <w:tr w:rsidR="00F05EE7" w:rsidRPr="00B479AE" w14:paraId="1C11723A" w14:textId="77777777" w:rsidTr="00F05EE7">
        <w:trPr>
          <w:tblCellSpacing w:w="15" w:type="dxa"/>
        </w:trPr>
        <w:tc>
          <w:tcPr>
            <w:tcW w:w="0" w:type="auto"/>
            <w:vAlign w:val="center"/>
            <w:hideMark/>
          </w:tcPr>
          <w:p w14:paraId="6F3609F6"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Best fit</w:t>
            </w:r>
          </w:p>
        </w:tc>
        <w:tc>
          <w:tcPr>
            <w:tcW w:w="0" w:type="auto"/>
            <w:vAlign w:val="center"/>
            <w:hideMark/>
          </w:tcPr>
          <w:p w14:paraId="07290739"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Global financial state</w:t>
            </w:r>
          </w:p>
        </w:tc>
        <w:tc>
          <w:tcPr>
            <w:tcW w:w="0" w:type="auto"/>
            <w:vAlign w:val="center"/>
            <w:hideMark/>
          </w:tcPr>
          <w:p w14:paraId="4C06DC10"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Contextual, relational, distributed systems</w:t>
            </w:r>
          </w:p>
        </w:tc>
        <w:tc>
          <w:tcPr>
            <w:tcW w:w="0" w:type="auto"/>
            <w:vAlign w:val="center"/>
            <w:hideMark/>
          </w:tcPr>
          <w:p w14:paraId="3E354128" w14:textId="77777777" w:rsidR="00F05EE7" w:rsidRPr="00B479AE" w:rsidRDefault="00F05EE7" w:rsidP="00F05EE7">
            <w:pPr>
              <w:spacing w:line="360" w:lineRule="auto"/>
              <w:rPr>
                <w:rFonts w:ascii="Baskerville Old Face" w:hAnsi="Baskerville Old Face"/>
                <w:i/>
                <w:iCs/>
                <w:sz w:val="22"/>
                <w:szCs w:val="22"/>
              </w:rPr>
            </w:pPr>
            <w:r w:rsidRPr="00B479AE">
              <w:rPr>
                <w:rFonts w:ascii="Baskerville Old Face" w:hAnsi="Baskerville Old Face"/>
                <w:i/>
                <w:iCs/>
                <w:sz w:val="22"/>
                <w:szCs w:val="22"/>
              </w:rPr>
              <w:t>Regeneration is better served by agent-centric logic</w:t>
            </w:r>
          </w:p>
        </w:tc>
      </w:tr>
    </w:tbl>
    <w:p w14:paraId="6457D49D"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The fundamental result is that, when validation is local and state is distributed, system capacity can grow with participation.</w:t>
      </w:r>
    </w:p>
    <w:p w14:paraId="122867D5" w14:textId="77777777" w:rsidR="00B51EA6" w:rsidRPr="00B479AE" w:rsidRDefault="00B51EA6" w:rsidP="00F05EE7">
      <w:pPr>
        <w:spacing w:line="360" w:lineRule="auto"/>
        <w:rPr>
          <w:rFonts w:ascii="Baskerville Old Face" w:hAnsi="Baskerville Old Face"/>
          <w:b/>
          <w:bCs/>
          <w:i/>
          <w:iCs/>
        </w:rPr>
      </w:pPr>
      <w:r w:rsidRPr="00B479AE">
        <w:rPr>
          <w:rFonts w:ascii="Baskerville Old Face" w:hAnsi="Baskerville Old Face"/>
          <w:b/>
          <w:bCs/>
          <w:i/>
          <w:iCs/>
        </w:rPr>
        <w:t xml:space="preserve">This is the mathematical proof that abundance is not utopian; it is engineering. </w:t>
      </w:r>
    </w:p>
    <w:p w14:paraId="1884780F" w14:textId="58DC2FF3"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This is the technical meaning of abundance in Prometheus.</w:t>
      </w:r>
    </w:p>
    <w:p w14:paraId="2CFE95F1"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Abundance is not the denial of limits.</w:t>
      </w:r>
    </w:p>
    <w:p w14:paraId="3DCB04C2"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It is the design of systems in which participation increases the capacity for coordination, validation, learning, and regeneration.</w:t>
      </w:r>
    </w:p>
    <w:p w14:paraId="308267E2" w14:textId="51AB5856"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b/>
          <w:bCs/>
          <w:i/>
          <w:iCs/>
        </w:rPr>
        <w:t>Scarcity as a design error</w:t>
      </w:r>
    </w:p>
    <w:p w14:paraId="15D8280A"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The phrase “scarcity is a design error” should be understood with precision.</w:t>
      </w:r>
    </w:p>
    <w:p w14:paraId="2084C06E"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It does not mean that physical limits do not exist.</w:t>
      </w:r>
    </w:p>
    <w:p w14:paraId="1FD709AA"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It does not mean that energy, land, water, attention, computation, and governance are infinite.</w:t>
      </w:r>
    </w:p>
    <w:p w14:paraId="179A8019"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lastRenderedPageBreak/>
        <w:t>It means that many digital and financial systems create artificial scarcity through their architecture.</w:t>
      </w:r>
    </w:p>
    <w:p w14:paraId="1D31018C"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In data-centric systems:</w:t>
      </w:r>
    </w:p>
    <w:p w14:paraId="7C150FC1"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block space is limited;</w:t>
      </w:r>
    </w:p>
    <w:p w14:paraId="4F0A4C49"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users compete for inclusion;</w:t>
      </w:r>
    </w:p>
    <w:p w14:paraId="591D5905"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demand increases fees;</w:t>
      </w:r>
    </w:p>
    <w:p w14:paraId="55ED001D"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validation is oriented toward global synchronization;</w:t>
      </w:r>
    </w:p>
    <w:p w14:paraId="002A3693"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scarcity is embedded into the coordination mechanism.</w:t>
      </w:r>
    </w:p>
    <w:p w14:paraId="6E7C574D"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In agent-centric systems:</w:t>
      </w:r>
    </w:p>
    <w:p w14:paraId="332E2421"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no single global bottleneck is required for every interaction;</w:t>
      </w:r>
    </w:p>
    <w:p w14:paraId="0C2CD14B"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validation can occur in parallel across neighborhoods;</w:t>
      </w:r>
    </w:p>
    <w:p w14:paraId="2E65F2C7"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each agent maintains its own source chain;</w:t>
      </w:r>
    </w:p>
    <w:p w14:paraId="181F8F8B"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shared reality emerges through distributed validation;</w:t>
      </w:r>
    </w:p>
    <w:p w14:paraId="0DD27368"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costs remain real but become metabolic rather than speculative.</w:t>
      </w:r>
    </w:p>
    <w:p w14:paraId="5DA22130"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This distinction is crucial for Prometheus.</w:t>
      </w:r>
    </w:p>
    <w:p w14:paraId="2FE0286C"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Regenerative systems cannot be built on architectures that require artificial scarcity as their organizing principle.</w:t>
      </w:r>
    </w:p>
    <w:p w14:paraId="457B85FC"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Life does not compete for blocks.</w:t>
      </w:r>
    </w:p>
    <w:p w14:paraId="2ECFEAB7"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Life coordinates through networks.</w:t>
      </w:r>
    </w:p>
    <w:p w14:paraId="796C43F8"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A forest does not ask every tree to synchronize every exchange through one global ledger.</w:t>
      </w:r>
    </w:p>
    <w:p w14:paraId="49788AF6"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A mycorrhizal network does not require universal consensus before redistributing nutrients.</w:t>
      </w:r>
    </w:p>
    <w:p w14:paraId="3077E199"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A community does not become resilient by reducing all members to one identical state.</w:t>
      </w:r>
    </w:p>
    <w:p w14:paraId="02168972"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lastRenderedPageBreak/>
        <w:t>Living systems scale through differentiated participation, contextual intelligence, and distributed coherence.</w:t>
      </w:r>
    </w:p>
    <w:p w14:paraId="35A38C3E"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As Ernst Götsch expresses the deeper ecological insight:</w:t>
      </w:r>
    </w:p>
    <w:p w14:paraId="5E47F859"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“We are not the intelligent ones, we are part of an intelligent system — and the difference is astonishing.”</w:t>
      </w:r>
    </w:p>
    <w:p w14:paraId="0A0F464D"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Prometheus adopts this principle as both ecological philosophy and technical architecture.</w:t>
      </w:r>
    </w:p>
    <w:p w14:paraId="0708B4E5"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The h•eart•h Prometheus kernel therefore embeds the following thesis:</w:t>
      </w:r>
    </w:p>
    <w:p w14:paraId="74105C27"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any infrastructure that requires artificial scarcity to coordinate participation is structurally misaligned with regeneration.</w:t>
      </w:r>
    </w:p>
    <w:p w14:paraId="32AC2F64"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By contrast, an infrastructure that allows participants to generate, validate, and coordinate context-specific evidence through distributed agency can support regenerative abundance.</w:t>
      </w:r>
    </w:p>
    <w:p w14:paraId="12A2E679" w14:textId="354BA080"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 xml:space="preserve">This is why agent-centric architecture, Holochain-compatible logic, source-chain integrity, DHT-based validation, MRV evidence, Valueflows semantics, and </w:t>
      </w:r>
      <w:r w:rsidR="00733666" w:rsidRPr="00B479AE">
        <w:rPr>
          <w:rFonts w:ascii="Baskerville Old Face" w:hAnsi="Baskerville Old Face"/>
          <w:i/>
          <w:iCs/>
        </w:rPr>
        <w:t xml:space="preserve">PRU value-analysis layer </w:t>
      </w:r>
      <w:r w:rsidRPr="00B479AE">
        <w:rPr>
          <w:rFonts w:ascii="Baskerville Old Face" w:hAnsi="Baskerville Old Face"/>
          <w:i/>
          <w:iCs/>
        </w:rPr>
        <w:t>are not separate design choices.</w:t>
      </w:r>
    </w:p>
    <w:p w14:paraId="0E706CF4"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They are different expressions of the same architecture:</w:t>
      </w:r>
    </w:p>
    <w:p w14:paraId="0A107A93" w14:textId="77777777" w:rsidR="00F05EE7" w:rsidRPr="00B479AE" w:rsidRDefault="00F05EE7" w:rsidP="00F05EE7">
      <w:pPr>
        <w:spacing w:line="360" w:lineRule="auto"/>
        <w:rPr>
          <w:rFonts w:ascii="Baskerville Old Face" w:hAnsi="Baskerville Old Face"/>
          <w:i/>
          <w:iCs/>
        </w:rPr>
      </w:pPr>
      <w:r w:rsidRPr="00B479AE">
        <w:rPr>
          <w:rFonts w:ascii="Baskerville Old Face" w:hAnsi="Baskerville Old Face"/>
          <w:i/>
          <w:iCs/>
        </w:rPr>
        <w:t>distributed agents generating verifiable coherence without losing sovereignty, context, or relationship.</w:t>
      </w:r>
    </w:p>
    <w:p w14:paraId="2210623A" w14:textId="181212FA"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Valueflows and REA logic</w:t>
      </w:r>
    </w:p>
    <w:p w14:paraId="69950F6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Valueflows / REA-compatible accounting provides the semantic layer through which regenerative activity can become structured.</w:t>
      </w:r>
    </w:p>
    <w:p w14:paraId="167CD57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logic is simple and powerful:</w:t>
      </w:r>
    </w:p>
    <w:p w14:paraId="4E14D63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resources are acted upon;</w:t>
      </w:r>
    </w:p>
    <w:p w14:paraId="106A11F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events transform resources;</w:t>
      </w:r>
    </w:p>
    <w:p w14:paraId="503FBD0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agents participate in those events;</w:t>
      </w:r>
    </w:p>
    <w:p w14:paraId="38433A9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value emerges through relationships among resources, events, and agents.</w:t>
      </w:r>
    </w:p>
    <w:p w14:paraId="062A86A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In Prometheus, this can represent:</w:t>
      </w:r>
    </w:p>
    <w:p w14:paraId="287D3E9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land preparation;</w:t>
      </w:r>
    </w:p>
    <w:p w14:paraId="67D6F2F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water-system installation;</w:t>
      </w:r>
    </w:p>
    <w:p w14:paraId="3C34760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planting;</w:t>
      </w:r>
    </w:p>
    <w:p w14:paraId="439FD0A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pruning;</w:t>
      </w:r>
    </w:p>
    <w:p w14:paraId="6513F9F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biomass return;</w:t>
      </w:r>
    </w:p>
    <w:p w14:paraId="4A69897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compost application;</w:t>
      </w:r>
    </w:p>
    <w:p w14:paraId="4DCC7DE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irrigation events;</w:t>
      </w:r>
    </w:p>
    <w:p w14:paraId="39075D5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harvest;</w:t>
      </w:r>
    </w:p>
    <w:p w14:paraId="6A958D1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biodiversity observation;</w:t>
      </w:r>
    </w:p>
    <w:p w14:paraId="06521F5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soil sampling;</w:t>
      </w:r>
    </w:p>
    <w:p w14:paraId="178A309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laboratory testing;</w:t>
      </w:r>
    </w:p>
    <w:p w14:paraId="2B76E9B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sensor measurement;</w:t>
      </w:r>
    </w:p>
    <w:p w14:paraId="0BF1220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audit;</w:t>
      </w:r>
    </w:p>
    <w:p w14:paraId="3CB2DC0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sale;</w:t>
      </w:r>
    </w:p>
    <w:p w14:paraId="34B0CE7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reinvestment;</w:t>
      </w:r>
    </w:p>
    <w:p w14:paraId="7DEC983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governance decision;</w:t>
      </w:r>
    </w:p>
    <w:p w14:paraId="78988E0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PRU update.</w:t>
      </w:r>
    </w:p>
    <w:p w14:paraId="0F8CD1B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matters because regenerative value cannot be represented only by final outputs.</w:t>
      </w:r>
    </w:p>
    <w:p w14:paraId="285573F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must remain linked to the processes that generated it.</w:t>
      </w:r>
    </w:p>
    <w:p w14:paraId="714E2CC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Valueflows logic allows Prometheus to move from claim-based assets to process-based assets.</w:t>
      </w:r>
    </w:p>
    <w:p w14:paraId="5F17F58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process-based asset is more credible because it preserves the path from action to evidence to value.</w:t>
      </w:r>
    </w:p>
    <w:p w14:paraId="3532266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lastRenderedPageBreak/>
        <w:t>The One Human Ecosystem within the architecture</w:t>
      </w:r>
    </w:p>
    <w:p w14:paraId="5FF86E1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OHE is the minimum deployable unit of regenerative infrastructure.</w:t>
      </w:r>
    </w:p>
    <w:p w14:paraId="58A49AC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Within the system architecture, it performs multiple functions at once.</w:t>
      </w:r>
    </w:p>
    <w:p w14:paraId="3DD1F0F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a biophysical unit because regeneration occurs within it.</w:t>
      </w:r>
    </w:p>
    <w:p w14:paraId="3A165AE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a production unit because food, biomass, and ecosystem outputs emerge from it.</w:t>
      </w:r>
    </w:p>
    <w:p w14:paraId="06A9E64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a data unit because observations, measurements, and audits are generated from it.</w:t>
      </w:r>
    </w:p>
    <w:p w14:paraId="3EF2DDA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an accounting unit because events and resources can be structured through Valueflows.</w:t>
      </w:r>
    </w:p>
    <w:p w14:paraId="062EE0B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an underwriting unit because verified performance can inform PRU logic.</w:t>
      </w:r>
    </w:p>
    <w:p w14:paraId="4F6F55B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a governance unit because stewardship, responsibility, and participation become visible through it.</w:t>
      </w:r>
    </w:p>
    <w:p w14:paraId="7D37749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a replication unit because it can be deployed across different contexts and aggregated into networks.</w:t>
      </w:r>
    </w:p>
    <w:p w14:paraId="53819AE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OHE is therefore not only an ecological design.</w:t>
      </w:r>
    </w:p>
    <w:p w14:paraId="2E20711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the smallest complete unit through which Prometheus becomes operational.</w:t>
      </w:r>
    </w:p>
    <w:p w14:paraId="2D9FBC7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Prometheus Regenerative Unit</w:t>
      </w:r>
    </w:p>
    <w:p w14:paraId="640E597A" w14:textId="3AC8AF23"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xml:space="preserve">The PRU is the </w:t>
      </w:r>
      <w:r w:rsidR="00B45DD4" w:rsidRPr="00B479AE">
        <w:rPr>
          <w:rFonts w:ascii="Baskerville Old Face" w:hAnsi="Baskerville Old Face"/>
          <w:i/>
          <w:iCs/>
        </w:rPr>
        <w:t xml:space="preserve">value-analysis interface </w:t>
      </w:r>
      <w:r w:rsidRPr="00B479AE">
        <w:rPr>
          <w:rFonts w:ascii="Baskerville Old Face" w:hAnsi="Baskerville Old Face"/>
          <w:i/>
          <w:iCs/>
        </w:rPr>
        <w:t>of verified regenerative performance.</w:t>
      </w:r>
    </w:p>
    <w:p w14:paraId="158B904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represents a structured translation layer between ecological reality and capital allocation.</w:t>
      </w:r>
    </w:p>
    <w:p w14:paraId="262A263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PRU may incorporate several dimensions:</w:t>
      </w:r>
    </w:p>
    <w:p w14:paraId="3A09F27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productive output;</w:t>
      </w:r>
    </w:p>
    <w:p w14:paraId="2AA68B5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soil function;</w:t>
      </w:r>
    </w:p>
    <w:p w14:paraId="523BEAC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hydrological performance;</w:t>
      </w:r>
    </w:p>
    <w:p w14:paraId="5FAAEF9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biodiversity;</w:t>
      </w:r>
    </w:p>
    <w:p w14:paraId="3BB76EF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biomass cycling;</w:t>
      </w:r>
    </w:p>
    <w:p w14:paraId="0729E40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input-dependency reduction;</w:t>
      </w:r>
    </w:p>
    <w:p w14:paraId="6D1D037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resilience;</w:t>
      </w:r>
    </w:p>
    <w:p w14:paraId="0D1B6EF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MRV integrity;</w:t>
      </w:r>
    </w:p>
    <w:p w14:paraId="707C8EC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confidence score;</w:t>
      </w:r>
    </w:p>
    <w:p w14:paraId="757E906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admissibility status;</w:t>
      </w:r>
    </w:p>
    <w:p w14:paraId="1377BCE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governance and operational reliability.</w:t>
      </w:r>
    </w:p>
    <w:p w14:paraId="7395D36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PRU exists because ecological performance must become comparable before it can become financeable.</w:t>
      </w:r>
    </w:p>
    <w:p w14:paraId="55DB5A0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soil improvement in Sicily, a water-retention gain in Spain, a biodiversity increase in Florida, and a syntropic yield improvement in another bioregion cannot become portfolio-grade unless they are translated into structured, normalized, reviewable units.</w:t>
      </w:r>
    </w:p>
    <w:p w14:paraId="5B19891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PRU does not reduce all value to money.</w:t>
      </w:r>
    </w:p>
    <w:p w14:paraId="7DAD53A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creates a disciplined interface through which verified regenerative performance can be assessed by capital.</w:t>
      </w:r>
    </w:p>
    <w:p w14:paraId="7D6F2A1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PRU value logic</w:t>
      </w:r>
    </w:p>
    <w:p w14:paraId="2CAFDC3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PRU value logic is based on the relationship between regeneration, risk, and long-term productive capacity.</w:t>
      </w:r>
    </w:p>
    <w:p w14:paraId="71A0656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As regenerative systems mature, several dynamics may improve:</w:t>
      </w:r>
    </w:p>
    <w:p w14:paraId="315DF89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soil quality increases;</w:t>
      </w:r>
    </w:p>
    <w:p w14:paraId="7D16246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water retention improves;</w:t>
      </w:r>
    </w:p>
    <w:p w14:paraId="557F46B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biological diversity expands;</w:t>
      </w:r>
    </w:p>
    <w:p w14:paraId="0EC845B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input dependency decreases;</w:t>
      </w:r>
    </w:p>
    <w:p w14:paraId="3427BE5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yield variance may decline;</w:t>
      </w:r>
    </w:p>
    <w:p w14:paraId="73BE24A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resilience under stress may improve;</w:t>
      </w:r>
    </w:p>
    <w:p w14:paraId="609065E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management knowledge becomes more refined;</w:t>
      </w:r>
    </w:p>
    <w:p w14:paraId="1EA2C70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MRV confidence increases;</w:t>
      </w:r>
    </w:p>
    <w:p w14:paraId="65B95B0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operational predictability improves.</w:t>
      </w:r>
    </w:p>
    <w:p w14:paraId="12E5604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These changes may support a better risk profile.</w:t>
      </w:r>
    </w:p>
    <w:p w14:paraId="04AB43A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better risk profile may support a stronger valuation, lower cost of capital, improved underwriting, and greater suitability for portfolio aggregation.</w:t>
      </w:r>
    </w:p>
    <w:p w14:paraId="394E6E6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core value logic can be expressed as:</w:t>
      </w:r>
    </w:p>
    <w:p w14:paraId="10EE230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ecological coherence</w:t>
      </w:r>
      <w:r w:rsidRPr="00B479AE">
        <w:rPr>
          <w:rFonts w:ascii="Baskerville Old Face" w:hAnsi="Baskerville Old Face"/>
          <w:i/>
          <w:iCs/>
        </w:rPr>
        <w:br/>
        <w:t>stability</w:t>
      </w:r>
      <w:r w:rsidRPr="00B479AE">
        <w:rPr>
          <w:rFonts w:ascii="Baskerville Old Face" w:hAnsi="Baskerville Old Face"/>
          <w:i/>
          <w:iCs/>
        </w:rPr>
        <w:br/>
        <w:t>risk compression</w:t>
      </w:r>
      <w:r w:rsidRPr="00B479AE">
        <w:rPr>
          <w:rFonts w:ascii="Baskerville Old Face" w:hAnsi="Baskerville Old Face"/>
          <w:i/>
          <w:iCs/>
        </w:rPr>
        <w:br/>
        <w:t>financial admissibility</w:t>
      </w:r>
      <w:r w:rsidRPr="00B479AE">
        <w:rPr>
          <w:rFonts w:ascii="Baskerville Old Face" w:hAnsi="Baskerville Old Face"/>
          <w:i/>
          <w:iCs/>
        </w:rPr>
        <w:br/>
        <w:t>capital efficiency.</w:t>
      </w:r>
    </w:p>
    <w:p w14:paraId="1AC1E96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does not mean that value automatically increases.</w:t>
      </w:r>
    </w:p>
    <w:p w14:paraId="1C2400E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means that value may increase when improvement is measured, verified, confidence-adjusted, and admissible.</w:t>
      </w:r>
    </w:p>
    <w:p w14:paraId="2C43EB7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discipline is what makes PRU logic institutionally credible.</w:t>
      </w:r>
    </w:p>
    <w:p w14:paraId="44AC5778" w14:textId="71B6012C" w:rsidR="008D67A4" w:rsidRPr="00B479AE" w:rsidRDefault="000350E2" w:rsidP="008D67A4">
      <w:pPr>
        <w:spacing w:line="360" w:lineRule="auto"/>
        <w:rPr>
          <w:rFonts w:ascii="Baskerville Old Face" w:hAnsi="Baskerville Old Face"/>
          <w:i/>
          <w:iCs/>
        </w:rPr>
      </w:pPr>
      <w:r w:rsidRPr="00B479AE">
        <w:rPr>
          <w:rFonts w:ascii="Baskerville Old Face" w:hAnsi="Baskerville Old Face"/>
          <w:b/>
          <w:bCs/>
          <w:i/>
          <w:iCs/>
        </w:rPr>
        <w:t>PRU maturity classification</w:t>
      </w:r>
    </w:p>
    <w:p w14:paraId="22A47561" w14:textId="1EDAADA1"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xml:space="preserve">A </w:t>
      </w:r>
      <w:r w:rsidR="000350E2" w:rsidRPr="00B479AE">
        <w:rPr>
          <w:rFonts w:ascii="Baskerville Old Face" w:hAnsi="Baskerville Old Face"/>
          <w:i/>
          <w:iCs/>
        </w:rPr>
        <w:t xml:space="preserve">PRU maturity classification </w:t>
      </w:r>
      <w:r w:rsidRPr="00B479AE">
        <w:rPr>
          <w:rFonts w:ascii="Baskerville Old Face" w:hAnsi="Baskerville Old Face"/>
          <w:i/>
          <w:iCs/>
        </w:rPr>
        <w:t>system allows verified regenerative units to be classified according to quality, evidence strength, risk, and maturity.</w:t>
      </w:r>
    </w:p>
    <w:p w14:paraId="1A37DB77" w14:textId="0F839D86" w:rsidR="008D67A4" w:rsidRPr="00B479AE" w:rsidRDefault="00EA6FBF" w:rsidP="008D67A4">
      <w:pPr>
        <w:spacing w:line="360" w:lineRule="auto"/>
        <w:rPr>
          <w:rFonts w:ascii="Baskerville Old Face" w:hAnsi="Baskerville Old Face"/>
          <w:i/>
          <w:iCs/>
        </w:rPr>
      </w:pPr>
      <w:r w:rsidRPr="00B479AE">
        <w:rPr>
          <w:rFonts w:ascii="Baskerville Old Face" w:hAnsi="Baskerville Old Face"/>
          <w:i/>
          <w:iCs/>
        </w:rPr>
        <w:t xml:space="preserve">A maturity-classification framework may include dimensions such as: </w:t>
      </w:r>
    </w:p>
    <w:p w14:paraId="6BEB13C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ecological stability;</w:t>
      </w:r>
    </w:p>
    <w:p w14:paraId="3463D32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productive reliability;</w:t>
      </w:r>
    </w:p>
    <w:p w14:paraId="74A848D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hydrological resilience;</w:t>
      </w:r>
    </w:p>
    <w:p w14:paraId="76FE8F5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soil function;</w:t>
      </w:r>
    </w:p>
    <w:p w14:paraId="1ECD913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biodiversity performance;</w:t>
      </w:r>
    </w:p>
    <w:p w14:paraId="4F489CA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resource independence;</w:t>
      </w:r>
    </w:p>
    <w:p w14:paraId="2FAEC34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MRV integrity;</w:t>
      </w:r>
    </w:p>
    <w:p w14:paraId="5E866A5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confidence score;</w:t>
      </w:r>
    </w:p>
    <w:p w14:paraId="65AB370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governance reliability;</w:t>
      </w:r>
    </w:p>
    <w:p w14:paraId="746A8E5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operational history;</w:t>
      </w:r>
    </w:p>
    <w:p w14:paraId="36E44D9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legal clarity;</w:t>
      </w:r>
    </w:p>
    <w:p w14:paraId="6F808E1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revenue quality.</w:t>
      </w:r>
    </w:p>
    <w:p w14:paraId="31D8D197" w14:textId="1D5A9DE9" w:rsidR="008D67A4" w:rsidRPr="00B479AE" w:rsidRDefault="009B4B5B" w:rsidP="008D67A4">
      <w:pPr>
        <w:spacing w:line="360" w:lineRule="auto"/>
        <w:rPr>
          <w:rFonts w:ascii="Baskerville Old Face" w:hAnsi="Baskerville Old Face"/>
          <w:i/>
          <w:iCs/>
        </w:rPr>
      </w:pPr>
      <w:r w:rsidRPr="00B479AE">
        <w:rPr>
          <w:rFonts w:ascii="Baskerville Old Face" w:hAnsi="Baskerville Old Face"/>
          <w:i/>
          <w:iCs/>
        </w:rPr>
        <w:t>PRU maturity classes may evolve over time as evidence accumulates</w:t>
      </w:r>
      <w:r w:rsidR="008D67A4" w:rsidRPr="00B479AE">
        <w:rPr>
          <w:rFonts w:ascii="Baskerville Old Face" w:hAnsi="Baskerville Old Face"/>
          <w:i/>
          <w:iCs/>
        </w:rPr>
        <w:t>.</w:t>
      </w:r>
    </w:p>
    <w:p w14:paraId="65ED6CC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young OHE may begin with limited confidence.</w:t>
      </w:r>
    </w:p>
    <w:p w14:paraId="6073608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As the system matures, data continuity improves.</w:t>
      </w:r>
    </w:p>
    <w:p w14:paraId="454B823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As data improves, uncertainty decreases.</w:t>
      </w:r>
    </w:p>
    <w:p w14:paraId="7CCE9FD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As uncertainty decreases, underwriting quality improves.</w:t>
      </w:r>
    </w:p>
    <w:p w14:paraId="1DD7CA1D" w14:textId="266E8B91"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xml:space="preserve">This creates a dynamic </w:t>
      </w:r>
      <w:r w:rsidR="001C0DFB" w:rsidRPr="00B479AE">
        <w:rPr>
          <w:rFonts w:ascii="Baskerville Old Face" w:hAnsi="Baskerville Old Face"/>
          <w:i/>
          <w:iCs/>
        </w:rPr>
        <w:t>maturity-classification logic</w:t>
      </w:r>
      <w:r w:rsidRPr="00B479AE">
        <w:rPr>
          <w:rFonts w:ascii="Baskerville Old Face" w:hAnsi="Baskerville Old Face"/>
          <w:i/>
          <w:iCs/>
        </w:rPr>
        <w:t>:</w:t>
      </w:r>
    </w:p>
    <w:p w14:paraId="7A717281" w14:textId="1FB72BB2"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time</w:t>
      </w:r>
      <w:r w:rsidRPr="00B479AE">
        <w:rPr>
          <w:rFonts w:ascii="Baskerville Old Face" w:hAnsi="Baskerville Old Face"/>
          <w:i/>
          <w:iCs/>
        </w:rPr>
        <w:br/>
        <w:t>evidence</w:t>
      </w:r>
      <w:r w:rsidRPr="00B479AE">
        <w:rPr>
          <w:rFonts w:ascii="Baskerville Old Face" w:hAnsi="Baskerville Old Face"/>
          <w:i/>
          <w:iCs/>
        </w:rPr>
        <w:br/>
        <w:t>confidence</w:t>
      </w:r>
      <w:r w:rsidRPr="00B479AE">
        <w:rPr>
          <w:rFonts w:ascii="Baskerville Old Face" w:hAnsi="Baskerville Old Face"/>
          <w:i/>
          <w:iCs/>
        </w:rPr>
        <w:br/>
        <w:t>risk adjustment</w:t>
      </w:r>
      <w:r w:rsidRPr="00B479AE">
        <w:rPr>
          <w:rFonts w:ascii="Baskerville Old Face" w:hAnsi="Baskerville Old Face"/>
          <w:i/>
          <w:iCs/>
        </w:rPr>
        <w:br/>
      </w:r>
      <w:r w:rsidR="00BD7A8A" w:rsidRPr="00B479AE">
        <w:rPr>
          <w:rFonts w:ascii="Baskerville Old Face" w:hAnsi="Baskerville Old Face"/>
          <w:i/>
          <w:iCs/>
        </w:rPr>
        <w:t>maturity-class evolution</w:t>
      </w:r>
      <w:r w:rsidRPr="00B479AE">
        <w:rPr>
          <w:rFonts w:ascii="Baskerville Old Face" w:hAnsi="Baskerville Old Face"/>
          <w:i/>
          <w:iCs/>
        </w:rPr>
        <w:t>.</w:t>
      </w:r>
    </w:p>
    <w:p w14:paraId="6D42B30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objective is not to assign prestige.</w:t>
      </w:r>
    </w:p>
    <w:p w14:paraId="32D9F5D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objective is to make regenerative performance comparable, monitorable, and capital-admissible.</w:t>
      </w:r>
    </w:p>
    <w:p w14:paraId="6EB845A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lastRenderedPageBreak/>
        <w:t>Regenerative Asset Pool</w:t>
      </w:r>
    </w:p>
    <w:p w14:paraId="2E5481F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RAP is the portfolio layer of Prometheus.</w:t>
      </w:r>
    </w:p>
    <w:p w14:paraId="7B09BA9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single regenerative unit may be valuable, but it remains exposed to local risk.</w:t>
      </w:r>
    </w:p>
    <w:p w14:paraId="3F48FE7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diversified pool of verified regenerative units can become more stable.</w:t>
      </w:r>
    </w:p>
    <w:p w14:paraId="6E57D92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RAP may aggregate PRUs across:</w:t>
      </w:r>
    </w:p>
    <w:p w14:paraId="3B327B8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different sites;</w:t>
      </w:r>
    </w:p>
    <w:p w14:paraId="1ABA5D5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different operators;</w:t>
      </w:r>
    </w:p>
    <w:p w14:paraId="7A9B7DE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different climates;</w:t>
      </w:r>
    </w:p>
    <w:p w14:paraId="3A3A536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different maturity stages;</w:t>
      </w:r>
    </w:p>
    <w:p w14:paraId="6A9E3E5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different species compositions;</w:t>
      </w:r>
    </w:p>
    <w:p w14:paraId="53CAFBC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different revenue profiles;</w:t>
      </w:r>
    </w:p>
    <w:p w14:paraId="2D29EF8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different legal contexts;</w:t>
      </w:r>
    </w:p>
    <w:p w14:paraId="3CD655D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different ecological functions.</w:t>
      </w:r>
    </w:p>
    <w:p w14:paraId="05A836D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portfolio structure enables risk distribution.</w:t>
      </w:r>
    </w:p>
    <w:p w14:paraId="214C4A6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also enables institutional participation, because large investors rarely allocate capital efficiently to isolated micro-projects without aggregation.</w:t>
      </w:r>
    </w:p>
    <w:p w14:paraId="06CFB7D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RAP converts many regenerative units into an asset base that can support reporting, underwriting, finance, insurance, guarantees, and future compliant investment products.</w:t>
      </w:r>
    </w:p>
    <w:p w14:paraId="69CBE20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Structural separation of land, operations, and capital</w:t>
      </w:r>
    </w:p>
    <w:p w14:paraId="4DAB389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requires structural separation between land, operations, governance, and capital.</w:t>
      </w:r>
    </w:p>
    <w:p w14:paraId="3CA6604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separation protects the system from speculative distortion.</w:t>
      </w:r>
    </w:p>
    <w:p w14:paraId="55C86DD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Land is the biophysical substrate.</w:t>
      </w:r>
    </w:p>
    <w:p w14:paraId="0529C59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Operations generate activity and revenue.</w:t>
      </w:r>
    </w:p>
    <w:p w14:paraId="2E8E037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MRV produces evidence.</w:t>
      </w:r>
    </w:p>
    <w:p w14:paraId="19274B9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PRU translates verified performance.</w:t>
      </w:r>
    </w:p>
    <w:p w14:paraId="138AA5A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RAP aggregates units.</w:t>
      </w:r>
    </w:p>
    <w:p w14:paraId="49020FC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Governance preserves system coherence.</w:t>
      </w:r>
    </w:p>
    <w:p w14:paraId="6F23EE6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Capital finances deployment and scaling.</w:t>
      </w:r>
    </w:p>
    <w:p w14:paraId="507EC11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Tokens or digital instruments represent defined rights only when legally structured.</w:t>
      </w:r>
    </w:p>
    <w:p w14:paraId="29C23BA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These functions must not be confused.</w:t>
      </w:r>
    </w:p>
    <w:p w14:paraId="1B76C37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In particular, land should not be treated as the primary speculative object of the system.</w:t>
      </w:r>
    </w:p>
    <w:p w14:paraId="3635919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value of Prometheus arises from regenerative performance, not passive land appreciation.</w:t>
      </w:r>
    </w:p>
    <w:p w14:paraId="401FDE4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principle protects access, scalability, and ecological integrity.</w:t>
      </w:r>
    </w:p>
    <w:p w14:paraId="219FCE2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Land value architecture</w:t>
      </w:r>
    </w:p>
    <w:p w14:paraId="0AB5292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Land is non-replicable biophysical substrate.</w:t>
      </w:r>
    </w:p>
    <w:p w14:paraId="62F9903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Its role in Prometheus is foundational, but it must be protected from speculative capture.</w:t>
      </w:r>
    </w:p>
    <w:p w14:paraId="1B1E8B4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Conventional systems often allow land to function simultaneously as productive base and speculative store of value.</w:t>
      </w:r>
    </w:p>
    <w:p w14:paraId="7DD157C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creates misalignment.</w:t>
      </w:r>
    </w:p>
    <w:p w14:paraId="6321C10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Capital flows toward ownership and appreciation rather than stewardship and productivity.</w:t>
      </w:r>
    </w:p>
    <w:p w14:paraId="20F782C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Regenerative actors face higher access costs.</w:t>
      </w:r>
    </w:p>
    <w:p w14:paraId="52603C6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Long-term ecological use is subordinated to short-term asset inflation.</w:t>
      </w:r>
    </w:p>
    <w:p w14:paraId="50FABCF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addresses this through land value architecture.</w:t>
      </w:r>
    </w:p>
    <w:p w14:paraId="3E2F753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Where appropriate, land may be structured through Community Land Trusts, stewardship agreements, long-term use rights, or other non-speculative access mechanisms.</w:t>
      </w:r>
    </w:p>
    <w:p w14:paraId="3DB0AF0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purpose is to separate land access from land speculation.</w:t>
      </w:r>
    </w:p>
    <w:p w14:paraId="3E365BA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allows capital to be directed toward ecological infrastructure, operations, MRV, stewardship, and regenerative performance rather than simply toward land acquisition.</w:t>
      </w:r>
    </w:p>
    <w:p w14:paraId="4668036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guiding principle is clear:</w:t>
      </w:r>
    </w:p>
    <w:p w14:paraId="1F5703B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land anchors regeneration;</w:t>
      </w:r>
    </w:p>
    <w:p w14:paraId="6836955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performance generates value;</w:t>
      </w:r>
    </w:p>
    <w:p w14:paraId="110D03B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governance protects access;</w:t>
      </w:r>
    </w:p>
    <w:p w14:paraId="3B54C27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capital scales infrastructure.</w:t>
      </w:r>
    </w:p>
    <w:p w14:paraId="3DB575D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Governance architecture</w:t>
      </w:r>
    </w:p>
    <w:p w14:paraId="7577C4A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Regenerative systems require governance capable of balancing local autonomy with systemic coherence.</w:t>
      </w:r>
    </w:p>
    <w:p w14:paraId="0EC00FF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governance is designed around stewardship, transparency, participation, and protection of the living systems that generate value.</w:t>
      </w:r>
    </w:p>
    <w:p w14:paraId="793038E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Governance may include:</w:t>
      </w:r>
    </w:p>
    <w:p w14:paraId="4A05255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Stewardship Circles;</w:t>
      </w:r>
    </w:p>
    <w:p w14:paraId="4276E9B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protocol governance;</w:t>
      </w:r>
    </w:p>
    <w:p w14:paraId="66F0697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TRBK-based participation mechanisms;</w:t>
      </w:r>
    </w:p>
    <w:p w14:paraId="300AFA9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multi-stakeholder oversight;</w:t>
      </w:r>
    </w:p>
    <w:p w14:paraId="303C05B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land governance safeguards;</w:t>
      </w:r>
    </w:p>
    <w:p w14:paraId="09B4F4D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dispute-resolution processes;</w:t>
      </w:r>
    </w:p>
    <w:p w14:paraId="7E20782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audit and review committees;</w:t>
      </w:r>
    </w:p>
    <w:p w14:paraId="3EAF1B0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methodology update procedures;</w:t>
      </w:r>
    </w:p>
    <w:p w14:paraId="5EADD7A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pilot progression gates;</w:t>
      </w:r>
    </w:p>
    <w:p w14:paraId="4E370D4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emergency response mechanisms;</w:t>
      </w:r>
    </w:p>
    <w:p w14:paraId="3104BD4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anti-capture constraints.</w:t>
      </w:r>
    </w:p>
    <w:p w14:paraId="1DDD080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governance system must support evolution without allowing semantic drift.</w:t>
      </w:r>
    </w:p>
    <w:p w14:paraId="4389F53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must allow adaptation without allowing extraction to re-enter through complexity.</w:t>
      </w:r>
    </w:p>
    <w:p w14:paraId="1E90544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is the role of constitutional governance.</w:t>
      </w:r>
    </w:p>
    <w:p w14:paraId="21FE352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TRBK layer</w:t>
      </w:r>
    </w:p>
    <w:p w14:paraId="304B1C8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TRBK represents a governance, coordination, access, or participation layer within the Prometheus ecosystem.</w:t>
      </w:r>
    </w:p>
    <w:p w14:paraId="4C9303D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Its function is to align participants around regenerative contribution, stewardship, and long-term system coherence.</w:t>
      </w:r>
    </w:p>
    <w:p w14:paraId="3F075F4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TRBK should be understood as part of the coordination architecture, not as the source of ecological value.</w:t>
      </w:r>
    </w:p>
    <w:p w14:paraId="18DE9FD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Ecological value originates in living-system performance.</w:t>
      </w:r>
    </w:p>
    <w:p w14:paraId="2FA63F9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Verified value is translated through PRU logic.</w:t>
      </w:r>
    </w:p>
    <w:p w14:paraId="17E33B5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TRBK may support governance, participation, reputation, access, contribution tracking, or incentive alignment.</w:t>
      </w:r>
    </w:p>
    <w:p w14:paraId="036808C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Its role is meaningful precisely because it remains functionally distinct from PRU, land, HoloFuel, securities, and cash-flow rights.</w:t>
      </w:r>
    </w:p>
    <w:p w14:paraId="4926103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separation allows TRBK to contribute to coordination without distorting the underwriting layer.</w:t>
      </w:r>
    </w:p>
    <w:p w14:paraId="5448D7D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HoloFuel layer</w:t>
      </w:r>
    </w:p>
    <w:p w14:paraId="098DF08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HoloFuel represents an operational transaction and infrastructure layer within agent-centric digital systems.</w:t>
      </w:r>
    </w:p>
    <w:p w14:paraId="2550800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Its function is associated with hosting, computation, validation, and infrastructure operations.</w:t>
      </w:r>
    </w:p>
    <w:p w14:paraId="1C4D178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not equivalent to PRU.</w:t>
      </w:r>
    </w:p>
    <w:p w14:paraId="548BDD8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not equivalent to TRBK.</w:t>
      </w:r>
    </w:p>
    <w:p w14:paraId="14BF1F5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not equivalent to a security interest in regenerative assets.</w:t>
      </w:r>
    </w:p>
    <w:p w14:paraId="03226AD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Within Prometheus, HoloFuel may support the digital metabolism of the infrastructure.</w:t>
      </w:r>
    </w:p>
    <w:p w14:paraId="5A6A1F03" w14:textId="1500DAE2"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xml:space="preserve">Where PRU provides </w:t>
      </w:r>
      <w:r w:rsidR="000A3F1F" w:rsidRPr="00B479AE">
        <w:rPr>
          <w:rFonts w:ascii="Baskerville Old Face" w:hAnsi="Baskerville Old Face"/>
          <w:i/>
          <w:iCs/>
        </w:rPr>
        <w:t>analytical representation of verified regenerative performance</w:t>
      </w:r>
      <w:r w:rsidRPr="00B479AE">
        <w:rPr>
          <w:rFonts w:ascii="Baskerville Old Face" w:hAnsi="Baskerville Old Face"/>
          <w:i/>
          <w:iCs/>
        </w:rPr>
        <w:t>, and TRBK supports coordination, HoloFuel supports operational flow.</w:t>
      </w:r>
    </w:p>
    <w:p w14:paraId="34348C8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Each layer strengthens the system by remaining clear.</w:t>
      </w:r>
    </w:p>
    <w:p w14:paraId="5F012BF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Stablecoin and fiat rails</w:t>
      </w:r>
    </w:p>
    <w:p w14:paraId="4B001FF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Compliant capital entry and settlement may require fiat or stablecoin rails.</w:t>
      </w:r>
    </w:p>
    <w:p w14:paraId="5ED6DE8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These rails can support capital allocation, operating payments, investor distributions, treasury management, and institutional integration.</w:t>
      </w:r>
    </w:p>
    <w:p w14:paraId="7424E4A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Their role is practical.</w:t>
      </w:r>
    </w:p>
    <w:p w14:paraId="46647FD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provide compatibility with existing financial systems.</w:t>
      </w:r>
    </w:p>
    <w:p w14:paraId="1888EBD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do not define the ontology of Prometheus.</w:t>
      </w:r>
    </w:p>
    <w:p w14:paraId="57CB77C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remains grounded in regenerative performance, MRV, PRU, governance, and legal structuring.</w:t>
      </w:r>
    </w:p>
    <w:p w14:paraId="33C0139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Stablecoin and fiat rails are bridges, not foundations.</w:t>
      </w:r>
    </w:p>
    <w:p w14:paraId="6ABC8E6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RWA tokenization pathway</w:t>
      </w:r>
    </w:p>
    <w:p w14:paraId="5EB0CE2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supports a disciplined pathway toward real-world asset tokenization.</w:t>
      </w:r>
    </w:p>
    <w:p w14:paraId="3FE09C5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pathway begins with regeneration, not with token issuance.</w:t>
      </w:r>
    </w:p>
    <w:p w14:paraId="26DB3D2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sequence is:</w:t>
      </w:r>
    </w:p>
    <w:p w14:paraId="43C4EE4F" w14:textId="124772C2"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OHE</w:t>
      </w:r>
      <w:r w:rsidRPr="00B479AE">
        <w:rPr>
          <w:rFonts w:ascii="Baskerville Old Face" w:hAnsi="Baskerville Old Face"/>
          <w:i/>
          <w:iCs/>
        </w:rPr>
        <w:br/>
        <w:t>MRV</w:t>
      </w:r>
      <w:r w:rsidRPr="00B479AE">
        <w:rPr>
          <w:rFonts w:ascii="Baskerville Old Face" w:hAnsi="Baskerville Old Face"/>
          <w:i/>
          <w:iCs/>
        </w:rPr>
        <w:br/>
        <w:t>verified indicators</w:t>
      </w:r>
      <w:r w:rsidRPr="00B479AE">
        <w:rPr>
          <w:rFonts w:ascii="Baskerville Old Face" w:hAnsi="Baskerville Old Face"/>
          <w:i/>
          <w:iCs/>
        </w:rPr>
        <w:br/>
        <w:t>PRU</w:t>
      </w:r>
      <w:r w:rsidRPr="00B479AE">
        <w:rPr>
          <w:rFonts w:ascii="Baskerville Old Face" w:hAnsi="Baskerville Old Face"/>
          <w:i/>
          <w:iCs/>
        </w:rPr>
        <w:br/>
      </w:r>
      <w:r w:rsidR="000350E2" w:rsidRPr="00B479AE">
        <w:rPr>
          <w:rFonts w:ascii="Baskerville Old Face" w:hAnsi="Baskerville Old Face"/>
          <w:i/>
          <w:iCs/>
        </w:rPr>
        <w:t xml:space="preserve">PRU maturity classification </w:t>
      </w:r>
      <w:r w:rsidRPr="00B479AE">
        <w:rPr>
          <w:rFonts w:ascii="Baskerville Old Face" w:hAnsi="Baskerville Old Face"/>
          <w:i/>
          <w:iCs/>
        </w:rPr>
        <w:br/>
        <w:t>RAP</w:t>
      </w:r>
      <w:r w:rsidRPr="00B479AE">
        <w:rPr>
          <w:rFonts w:ascii="Baskerville Old Face" w:hAnsi="Baskerville Old Face"/>
          <w:i/>
          <w:iCs/>
        </w:rPr>
        <w:br/>
        <w:t>legal wrapper</w:t>
      </w:r>
      <w:r w:rsidRPr="00B479AE">
        <w:rPr>
          <w:rFonts w:ascii="Baskerville Old Face" w:hAnsi="Baskerville Old Face"/>
          <w:i/>
          <w:iCs/>
        </w:rPr>
        <w:br/>
        <w:t>compliant instrument</w:t>
      </w:r>
      <w:r w:rsidRPr="00B479AE">
        <w:rPr>
          <w:rFonts w:ascii="Baskerville Old Face" w:hAnsi="Baskerville Old Face"/>
          <w:i/>
          <w:iCs/>
        </w:rPr>
        <w:br/>
        <w:t>possible tokenized representation.</w:t>
      </w:r>
    </w:p>
    <w:p w14:paraId="74F725F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order is essential.</w:t>
      </w:r>
    </w:p>
    <w:p w14:paraId="48774ED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Tokenization becomes meaningful only when it represents something already structured, verified, and legally defined.</w:t>
      </w:r>
    </w:p>
    <w:p w14:paraId="2418624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token can improve transferability, programmability, transparency, access, or settlement.</w:t>
      </w:r>
    </w:p>
    <w:p w14:paraId="567E0A6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does not create ecological value by itself.</w:t>
      </w:r>
    </w:p>
    <w:p w14:paraId="3C62643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represents value only through the rights, claims, obligations, and instruments attached to it.</w:t>
      </w:r>
    </w:p>
    <w:p w14:paraId="25AA83E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Within Prometheus, tokenization is therefore a representation layer.</w:t>
      </w:r>
    </w:p>
    <w:p w14:paraId="1993993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asset is verified regenerative infrastructure.</w:t>
      </w:r>
    </w:p>
    <w:p w14:paraId="4E6A0B2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Capital formation architecture</w:t>
      </w:r>
    </w:p>
    <w:p w14:paraId="553AC32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Capital formation within Prometheus is based on progressive evidence.</w:t>
      </w:r>
    </w:p>
    <w:p w14:paraId="4A5D0C1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Early-stage capital supports pilot deployment, MRV, operational setup, and system validation.</w:t>
      </w:r>
    </w:p>
    <w:p w14:paraId="6EA61AF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Growth capital supports replication, OHE clusters, operational scaling, and improved evidence continuity.</w:t>
      </w:r>
    </w:p>
    <w:p w14:paraId="756611B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Institutional capital may support RAP portfolios, SPVs, funds, blended finance, credit facilities, or future structured products.</w:t>
      </w:r>
    </w:p>
    <w:p w14:paraId="67C236C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maturity of capital should match the maturity of evidence.</w:t>
      </w:r>
    </w:p>
    <w:p w14:paraId="20BC4B0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pilot should not be presented as a fully seasoned asset.</w:t>
      </w:r>
    </w:p>
    <w:p w14:paraId="72974A7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A young PRU should not be treated like a mature infrastructure bond.</w:t>
      </w:r>
    </w:p>
    <w:p w14:paraId="3110D24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RAP should not be scaled before the underlying units demonstrate sufficient verification, governance, and operational reliability.</w:t>
      </w:r>
    </w:p>
    <w:p w14:paraId="6D5F00C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therefore follows a staged capital logic:</w:t>
      </w:r>
    </w:p>
    <w:p w14:paraId="70AD7AC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pilot capital</w:t>
      </w:r>
      <w:r w:rsidRPr="00B479AE">
        <w:rPr>
          <w:rFonts w:ascii="Baskerville Old Face" w:hAnsi="Baskerville Old Face"/>
          <w:i/>
          <w:iCs/>
        </w:rPr>
        <w:br/>
        <w:t>validation capital</w:t>
      </w:r>
      <w:r w:rsidRPr="00B479AE">
        <w:rPr>
          <w:rFonts w:ascii="Baskerville Old Face" w:hAnsi="Baskerville Old Face"/>
          <w:i/>
          <w:iCs/>
        </w:rPr>
        <w:br/>
        <w:t>growth capital</w:t>
      </w:r>
      <w:r w:rsidRPr="00B479AE">
        <w:rPr>
          <w:rFonts w:ascii="Baskerville Old Face" w:hAnsi="Baskerville Old Face"/>
          <w:i/>
          <w:iCs/>
        </w:rPr>
        <w:br/>
        <w:t>portfolio capital</w:t>
      </w:r>
      <w:r w:rsidRPr="00B479AE">
        <w:rPr>
          <w:rFonts w:ascii="Baskerville Old Face" w:hAnsi="Baskerville Old Face"/>
          <w:i/>
          <w:iCs/>
        </w:rPr>
        <w:br/>
        <w:t>institutional capital.</w:t>
      </w:r>
    </w:p>
    <w:p w14:paraId="4A4B1B4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preserves trust and reduces premature financialization.</w:t>
      </w:r>
    </w:p>
    <w:p w14:paraId="3E6137B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Data rooms and investor reporting</w:t>
      </w:r>
    </w:p>
    <w:p w14:paraId="32A2928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For Prometheus to become institutional, each regenerative asset must eventually support a data room.</w:t>
      </w:r>
    </w:p>
    <w:p w14:paraId="21DB862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Prometheus data room may include:</w:t>
      </w:r>
    </w:p>
    <w:p w14:paraId="7DB75D5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site description;</w:t>
      </w:r>
    </w:p>
    <w:p w14:paraId="7E84A92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land access structure;</w:t>
      </w:r>
    </w:p>
    <w:p w14:paraId="4259E8DA" w14:textId="77777777" w:rsidR="008D67A4" w:rsidRPr="005907F1" w:rsidRDefault="008D67A4" w:rsidP="008D67A4">
      <w:pPr>
        <w:spacing w:line="360" w:lineRule="auto"/>
        <w:rPr>
          <w:rFonts w:ascii="Baskerville Old Face" w:hAnsi="Baskerville Old Face"/>
          <w:i/>
          <w:iCs/>
          <w:lang w:val="it-IT"/>
        </w:rPr>
      </w:pPr>
      <w:r w:rsidRPr="005907F1">
        <w:rPr>
          <w:rFonts w:ascii="Baskerville Old Face" w:hAnsi="Baskerville Old Face"/>
          <w:i/>
          <w:iCs/>
          <w:lang w:val="it-IT"/>
        </w:rPr>
        <w:t>• OHE design;</w:t>
      </w:r>
    </w:p>
    <w:p w14:paraId="0E46C924" w14:textId="77777777" w:rsidR="008D67A4" w:rsidRPr="005907F1" w:rsidRDefault="008D67A4" w:rsidP="008D67A4">
      <w:pPr>
        <w:spacing w:line="360" w:lineRule="auto"/>
        <w:rPr>
          <w:rFonts w:ascii="Baskerville Old Face" w:hAnsi="Baskerville Old Face"/>
          <w:i/>
          <w:iCs/>
          <w:lang w:val="it-IT"/>
        </w:rPr>
      </w:pPr>
      <w:r w:rsidRPr="005907F1">
        <w:rPr>
          <w:rFonts w:ascii="Baskerville Old Face" w:hAnsi="Baskerville Old Face"/>
          <w:i/>
          <w:iCs/>
          <w:lang w:val="it-IT"/>
        </w:rPr>
        <w:t>• baseline ecological data;</w:t>
      </w:r>
    </w:p>
    <w:p w14:paraId="4C9F2AA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MRV methodology;</w:t>
      </w:r>
    </w:p>
    <w:p w14:paraId="1134ABA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sensor and laboratory records;</w:t>
      </w:r>
    </w:p>
    <w:p w14:paraId="2CA8FA3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satellite and drone evidence;</w:t>
      </w:r>
    </w:p>
    <w:p w14:paraId="699492D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operational logs;</w:t>
      </w:r>
    </w:p>
    <w:p w14:paraId="03D2CB3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governance structure;</w:t>
      </w:r>
    </w:p>
    <w:p w14:paraId="48CA561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legal wrapper;</w:t>
      </w:r>
    </w:p>
    <w:p w14:paraId="1555A62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financial model;</w:t>
      </w:r>
    </w:p>
    <w:p w14:paraId="11D3A19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PRU methodology;</w:t>
      </w:r>
    </w:p>
    <w:p w14:paraId="7EEB4158" w14:textId="3322284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xml:space="preserve">• </w:t>
      </w:r>
      <w:r w:rsidR="000350E2" w:rsidRPr="00B479AE">
        <w:rPr>
          <w:rFonts w:ascii="Baskerville Old Face" w:hAnsi="Baskerville Old Face"/>
          <w:i/>
          <w:iCs/>
        </w:rPr>
        <w:t>PRU maturity classification</w:t>
      </w:r>
      <w:r w:rsidRPr="00B479AE">
        <w:rPr>
          <w:rFonts w:ascii="Baskerville Old Face" w:hAnsi="Baskerville Old Face"/>
          <w:i/>
          <w:iCs/>
        </w:rPr>
        <w:t>;</w:t>
      </w:r>
    </w:p>
    <w:p w14:paraId="2236DA3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risk factors;</w:t>
      </w:r>
    </w:p>
    <w:p w14:paraId="2D5E0C3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insurance or guarantee information;</w:t>
      </w:r>
    </w:p>
    <w:p w14:paraId="0C07F94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investor reporting;</w:t>
      </w:r>
    </w:p>
    <w:p w14:paraId="28F28AA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audit history;</w:t>
      </w:r>
    </w:p>
    <w:p w14:paraId="7BBD360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methodology versioning;</w:t>
      </w:r>
    </w:p>
    <w:p w14:paraId="24CE87D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adverse event reporting.</w:t>
      </w:r>
    </w:p>
    <w:p w14:paraId="223DAF6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creates institutional readability.</w:t>
      </w:r>
    </w:p>
    <w:p w14:paraId="337EBEA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Investors do not only invest in a narrative.</w:t>
      </w:r>
    </w:p>
    <w:p w14:paraId="206534B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evaluate a structured evidence base.</w:t>
      </w:r>
    </w:p>
    <w:p w14:paraId="65A4D3E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Pilot-first system architecture</w:t>
      </w:r>
    </w:p>
    <w:p w14:paraId="7F6158C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is developed through pilot-first discipline.</w:t>
      </w:r>
    </w:p>
    <w:p w14:paraId="54985FD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pilot is not a weak version of the full system.</w:t>
      </w:r>
    </w:p>
    <w:p w14:paraId="74A11A0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the integrity test of the full system.</w:t>
      </w:r>
    </w:p>
    <w:p w14:paraId="6371ADA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pilot must demonstrate that the architecture can preserve coherence under real conditions.</w:t>
      </w:r>
    </w:p>
    <w:p w14:paraId="1B20CC5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includes:</w:t>
      </w:r>
    </w:p>
    <w:p w14:paraId="544C278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ecological deployment;</w:t>
      </w:r>
    </w:p>
    <w:p w14:paraId="089564E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operational workflows;</w:t>
      </w:r>
    </w:p>
    <w:p w14:paraId="664C92E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MRV evidence;</w:t>
      </w:r>
    </w:p>
    <w:p w14:paraId="22ABE54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digital records;</w:t>
      </w:r>
    </w:p>
    <w:p w14:paraId="3788CF2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governance boundaries;</w:t>
      </w:r>
    </w:p>
    <w:p w14:paraId="1680FC7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PRU translation;</w:t>
      </w:r>
    </w:p>
    <w:p w14:paraId="6D632D0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reporting discipline;</w:t>
      </w:r>
    </w:p>
    <w:p w14:paraId="10C2B19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execution gates;</w:t>
      </w:r>
    </w:p>
    <w:p w14:paraId="1824D90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failure handling;</w:t>
      </w:r>
    </w:p>
    <w:p w14:paraId="58A6F18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methodology refinement.</w:t>
      </w:r>
    </w:p>
    <w:p w14:paraId="178DB2C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Pilot-first discipline prevents premature scale.</w:t>
      </w:r>
    </w:p>
    <w:p w14:paraId="321015C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protects the project from confusing future possibility with present evidence.</w:t>
      </w:r>
    </w:p>
    <w:p w14:paraId="2E1FF71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allows the system to mature through reality.</w:t>
      </w:r>
    </w:p>
    <w:p w14:paraId="1B57F77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Autopoietic regenerative intelligence</w:t>
      </w:r>
    </w:p>
    <w:p w14:paraId="18BE5C1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may evolve toward an autopoietic regenerative intelligence layer.</w:t>
      </w:r>
    </w:p>
    <w:p w14:paraId="59DFA47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means a system capable of observing its own state, learning from feedback, identifying anomalies, supporting decision-making, and improving operations over time.</w:t>
      </w:r>
    </w:p>
    <w:p w14:paraId="73B629D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layer may integrate:</w:t>
      </w:r>
    </w:p>
    <w:p w14:paraId="2E704CE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MRV data;</w:t>
      </w:r>
    </w:p>
    <w:p w14:paraId="25427F6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operational logs;</w:t>
      </w:r>
    </w:p>
    <w:p w14:paraId="031E4B3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ecological models;</w:t>
      </w:r>
    </w:p>
    <w:p w14:paraId="3C384AA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AI-assisted interpretation;</w:t>
      </w:r>
    </w:p>
    <w:p w14:paraId="5695DCE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governance feedback;</w:t>
      </w:r>
    </w:p>
    <w:p w14:paraId="4E48D67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risk signals;</w:t>
      </w:r>
    </w:p>
    <w:p w14:paraId="5B58B52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intervention history;</w:t>
      </w:r>
    </w:p>
    <w:p w14:paraId="752A60C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PRU performance;</w:t>
      </w:r>
    </w:p>
    <w:p w14:paraId="75D064D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portfolio analytics.</w:t>
      </w:r>
    </w:p>
    <w:p w14:paraId="56B8D01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Its function is risk compression through learning.</w:t>
      </w:r>
    </w:p>
    <w:p w14:paraId="0B13C95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system observes.</w:t>
      </w:r>
    </w:p>
    <w:p w14:paraId="111EDC6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system interprets.</w:t>
      </w:r>
    </w:p>
    <w:p w14:paraId="67FB1DA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system recommends.</w:t>
      </w:r>
    </w:p>
    <w:p w14:paraId="27AEA57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system acts through human and governance authorization.</w:t>
      </w:r>
    </w:p>
    <w:p w14:paraId="720F308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system learns from outcomes.</w:t>
      </w:r>
    </w:p>
    <w:p w14:paraId="4BC5AAD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system updates its models.</w:t>
      </w:r>
    </w:p>
    <w:p w14:paraId="7939025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does not make Prometheus autonomous in the legal or moral sense.</w:t>
      </w:r>
    </w:p>
    <w:p w14:paraId="1B1C32A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makes Prometheus adaptive.</w:t>
      </w:r>
    </w:p>
    <w:p w14:paraId="23CF0EC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Autopoietic intelligence supports regeneration by improving the quality of observation, decision support, and feedback over time.</w:t>
      </w:r>
    </w:p>
    <w:p w14:paraId="5975A16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AI as coordination support</w:t>
      </w:r>
    </w:p>
    <w:p w14:paraId="10BEF65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AI within Prometheus functions as coordination support.</w:t>
      </w:r>
    </w:p>
    <w:p w14:paraId="08FC56D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may help detect patterns, classify images, compare time series, identify anomalies, generate scenarios, support ecological design, flag governance risk, or assist investor reporting.</w:t>
      </w:r>
    </w:p>
    <w:p w14:paraId="539C790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AI should remain connected to evidence, model versioning, confidence scoring, and review.</w:t>
      </w:r>
    </w:p>
    <w:p w14:paraId="34DB01B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assists intelligence.</w:t>
      </w:r>
    </w:p>
    <w:p w14:paraId="50DDA7F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does not replace responsibility.</w:t>
      </w:r>
    </w:p>
    <w:p w14:paraId="62818A7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distinction matters because Prometheus is not built on artificial authority.</w:t>
      </w:r>
    </w:p>
    <w:p w14:paraId="1EA8F77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built on living systems, verified evidence, human stewardship, and disciplined governance.</w:t>
      </w:r>
    </w:p>
    <w:p w14:paraId="532AE8C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AI becomes valuable when it helps these layers cooperate more effectively.</w:t>
      </w:r>
    </w:p>
    <w:p w14:paraId="738AF703"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b/>
          <w:bCs/>
          <w:i/>
          <w:iCs/>
        </w:rPr>
        <w:lastRenderedPageBreak/>
        <w:t>Technical Note — Cognitive Kernel and Constitutional Prompting</w:t>
      </w:r>
    </w:p>
    <w:p w14:paraId="35331DE2"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The Prometheus cognitive kernel is the coordination layer through which AI-assisted interpretation, contextual reasoning, and task formulation remain aligned with the constitutional architecture of the system.</w:t>
      </w:r>
    </w:p>
    <w:p w14:paraId="050E413F"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It should not be understood as an autonomous authority.</w:t>
      </w:r>
    </w:p>
    <w:p w14:paraId="0EE9AEB5"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It should not be understood as an executor.</w:t>
      </w:r>
    </w:p>
    <w:p w14:paraId="35E01EA9"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It should not be understood as a substitute for governance, MRV, legal review, ecological evidence, or human stewardship.</w:t>
      </w:r>
    </w:p>
    <w:p w14:paraId="7205091E"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Its role is to translate context into structured, bounded, reviewable instructions for specialized agents and workflows.</w:t>
      </w:r>
    </w:p>
    <w:p w14:paraId="463BA7ED"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At maturity, the cognitive kernel may support a pipeline such as:</w:t>
      </w:r>
    </w:p>
    <w:p w14:paraId="79A61BD1"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observation</w:t>
      </w:r>
      <w:r w:rsidRPr="00B479AE">
        <w:rPr>
          <w:rFonts w:ascii="Baskerville Old Face" w:hAnsi="Baskerville Old Face"/>
          <w:i/>
          <w:iCs/>
        </w:rPr>
        <w:br/>
        <w:t>fusion</w:t>
      </w:r>
      <w:r w:rsidRPr="00B479AE">
        <w:rPr>
          <w:rFonts w:ascii="Baskerville Old Face" w:hAnsi="Baskerville Old Face"/>
          <w:i/>
          <w:iCs/>
        </w:rPr>
        <w:br/>
        <w:t>contextual interpretation</w:t>
      </w:r>
      <w:r w:rsidRPr="00B479AE">
        <w:rPr>
          <w:rFonts w:ascii="Baskerville Old Face" w:hAnsi="Baskerville Old Face"/>
          <w:i/>
          <w:iCs/>
        </w:rPr>
        <w:br/>
        <w:t>constitutional alignment</w:t>
      </w:r>
      <w:r w:rsidRPr="00B479AE">
        <w:rPr>
          <w:rFonts w:ascii="Baskerville Old Face" w:hAnsi="Baskerville Old Face"/>
          <w:i/>
          <w:iCs/>
        </w:rPr>
        <w:br/>
        <w:t>task formulation</w:t>
      </w:r>
      <w:r w:rsidRPr="00B479AE">
        <w:rPr>
          <w:rFonts w:ascii="Baskerville Old Face" w:hAnsi="Baskerville Old Face"/>
          <w:i/>
          <w:iCs/>
        </w:rPr>
        <w:br/>
        <w:t>agent routing</w:t>
      </w:r>
      <w:r w:rsidRPr="00B479AE">
        <w:rPr>
          <w:rFonts w:ascii="Baskerville Old Face" w:hAnsi="Baskerville Old Face"/>
          <w:i/>
          <w:iCs/>
        </w:rPr>
        <w:br/>
        <w:t>human or governance review</w:t>
      </w:r>
      <w:r w:rsidRPr="00B479AE">
        <w:rPr>
          <w:rFonts w:ascii="Baskerville Old Face" w:hAnsi="Baskerville Old Face"/>
          <w:i/>
          <w:iCs/>
        </w:rPr>
        <w:br/>
        <w:t>authorized execution</w:t>
      </w:r>
      <w:r w:rsidRPr="00B479AE">
        <w:rPr>
          <w:rFonts w:ascii="Baskerville Old Face" w:hAnsi="Baskerville Old Face"/>
          <w:i/>
          <w:iCs/>
        </w:rPr>
        <w:br/>
        <w:t>feedback.</w:t>
      </w:r>
    </w:p>
    <w:p w14:paraId="74861044"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This pipeline ensures that Prometheus does not move directly from data to action.</w:t>
      </w:r>
    </w:p>
    <w:p w14:paraId="562AFDE8"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Every AI-assisted output must remain constrained by evidence, methodology, governance, risk boundaries, and reviewability.</w:t>
      </w:r>
    </w:p>
    <w:p w14:paraId="4A5B9B33"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b/>
          <w:bCs/>
          <w:i/>
          <w:iCs/>
        </w:rPr>
        <w:t>Meta-prompt engine</w:t>
      </w:r>
    </w:p>
    <w:p w14:paraId="375DDF46"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The meta-prompt engine is the structured interface through which heterogeneous evidence and system context may be converted into precise instructions for downstream agents.</w:t>
      </w:r>
    </w:p>
    <w:p w14:paraId="274B61EA"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It may receive inputs from:</w:t>
      </w:r>
    </w:p>
    <w:p w14:paraId="11F80D8D"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lastRenderedPageBreak/>
        <w:t>• MRV data;</w:t>
      </w:r>
      <w:r w:rsidRPr="00B479AE">
        <w:rPr>
          <w:rFonts w:ascii="Baskerville Old Face" w:hAnsi="Baskerville Old Face"/>
          <w:i/>
          <w:iCs/>
        </w:rPr>
        <w:br/>
        <w:t>• operational records;</w:t>
      </w:r>
      <w:r w:rsidRPr="00B479AE">
        <w:rPr>
          <w:rFonts w:ascii="Baskerville Old Face" w:hAnsi="Baskerville Old Face"/>
          <w:i/>
          <w:iCs/>
        </w:rPr>
        <w:br/>
        <w:t>• ecological indicators;</w:t>
      </w:r>
      <w:r w:rsidRPr="00B479AE">
        <w:rPr>
          <w:rFonts w:ascii="Baskerville Old Face" w:hAnsi="Baskerville Old Face"/>
          <w:i/>
          <w:iCs/>
        </w:rPr>
        <w:br/>
        <w:t>• governance context;</w:t>
      </w:r>
      <w:r w:rsidRPr="00B479AE">
        <w:rPr>
          <w:rFonts w:ascii="Baskerville Old Face" w:hAnsi="Baskerville Old Face"/>
          <w:i/>
          <w:iCs/>
        </w:rPr>
        <w:br/>
        <w:t>• risk signals;</w:t>
      </w:r>
      <w:r w:rsidRPr="00B479AE">
        <w:rPr>
          <w:rFonts w:ascii="Baskerville Old Face" w:hAnsi="Baskerville Old Face"/>
          <w:i/>
          <w:iCs/>
        </w:rPr>
        <w:br/>
        <w:t>• financial constraints;</w:t>
      </w:r>
      <w:r w:rsidRPr="00B479AE">
        <w:rPr>
          <w:rFonts w:ascii="Baskerville Old Face" w:hAnsi="Baskerville Old Face"/>
          <w:i/>
          <w:iCs/>
        </w:rPr>
        <w:br/>
        <w:t>• land and stewardship conditions;</w:t>
      </w:r>
      <w:r w:rsidRPr="00B479AE">
        <w:rPr>
          <w:rFonts w:ascii="Baskerville Old Face" w:hAnsi="Baskerville Old Face"/>
          <w:i/>
          <w:iCs/>
        </w:rPr>
        <w:br/>
        <w:t>• human-infrastructure context where voluntarily and lawfully available;</w:t>
      </w:r>
      <w:r w:rsidRPr="00B479AE">
        <w:rPr>
          <w:rFonts w:ascii="Baskerville Old Face" w:hAnsi="Baskerville Old Face"/>
          <w:i/>
          <w:iCs/>
        </w:rPr>
        <w:br/>
        <w:t>• methodology versioning;</w:t>
      </w:r>
      <w:r w:rsidRPr="00B479AE">
        <w:rPr>
          <w:rFonts w:ascii="Baskerville Old Face" w:hAnsi="Baskerville Old Face"/>
          <w:i/>
          <w:iCs/>
        </w:rPr>
        <w:br/>
        <w:t>• constitutional constraints.</w:t>
      </w:r>
    </w:p>
    <w:p w14:paraId="742C8EE5"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Its function is not to produce generic answers.</w:t>
      </w:r>
    </w:p>
    <w:p w14:paraId="6C72DBA1"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Its function is to produce context-aware, scope-aware, risk-aware, and constitutionally bounded task formulations.</w:t>
      </w:r>
    </w:p>
    <w:p w14:paraId="0D6093D2"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A regenerative design request, for example, should not be interpreted only as a request to increase output.</w:t>
      </w:r>
    </w:p>
    <w:p w14:paraId="4D139B28"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It should be interpreted in relation to water, soil, biodiversity, stewardship capacity, financial constraints, risk, timing, and long-term system coherence.</w:t>
      </w:r>
    </w:p>
    <w:p w14:paraId="04342C65"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b/>
          <w:bCs/>
          <w:i/>
          <w:iCs/>
        </w:rPr>
        <w:t>Internal pre-prompt analysis</w:t>
      </w:r>
    </w:p>
    <w:p w14:paraId="6097D084"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Before any operational prompt, the cognitive kernel should classify:</w:t>
      </w:r>
    </w:p>
    <w:p w14:paraId="3B275024"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 the domain of the request;</w:t>
      </w:r>
      <w:r w:rsidRPr="00B479AE">
        <w:rPr>
          <w:rFonts w:ascii="Baskerville Old Face" w:hAnsi="Baskerville Old Face"/>
          <w:i/>
          <w:iCs/>
        </w:rPr>
        <w:br/>
        <w:t>• the system level involved;</w:t>
      </w:r>
      <w:r w:rsidRPr="00B479AE">
        <w:rPr>
          <w:rFonts w:ascii="Baskerville Old Face" w:hAnsi="Baskerville Old Face"/>
          <w:i/>
          <w:iCs/>
        </w:rPr>
        <w:br/>
        <w:t>• the relevant evidence base;</w:t>
      </w:r>
      <w:r w:rsidRPr="00B479AE">
        <w:rPr>
          <w:rFonts w:ascii="Baskerville Old Face" w:hAnsi="Baskerville Old Face"/>
          <w:i/>
          <w:iCs/>
        </w:rPr>
        <w:br/>
        <w:t>• the ecological and governance constraints;</w:t>
      </w:r>
      <w:r w:rsidRPr="00B479AE">
        <w:rPr>
          <w:rFonts w:ascii="Baskerville Old Face" w:hAnsi="Baskerville Old Face"/>
          <w:i/>
          <w:iCs/>
        </w:rPr>
        <w:br/>
        <w:t>• the time horizon;</w:t>
      </w:r>
      <w:r w:rsidRPr="00B479AE">
        <w:rPr>
          <w:rFonts w:ascii="Baskerville Old Face" w:hAnsi="Baskerville Old Face"/>
          <w:i/>
          <w:iCs/>
        </w:rPr>
        <w:br/>
        <w:t>• the risk of acceleration beyond adaptive capacity;</w:t>
      </w:r>
      <w:r w:rsidRPr="00B479AE">
        <w:rPr>
          <w:rFonts w:ascii="Baskerville Old Face" w:hAnsi="Baskerville Old Face"/>
          <w:i/>
          <w:iCs/>
        </w:rPr>
        <w:br/>
        <w:t>• the risk of fragmentation, feedback blindness, boundary blindness, or risk transfer;</w:t>
      </w:r>
      <w:r w:rsidRPr="00B479AE">
        <w:rPr>
          <w:rFonts w:ascii="Baskerville Old Face" w:hAnsi="Baskerville Old Face"/>
          <w:i/>
          <w:iCs/>
        </w:rPr>
        <w:br/>
        <w:t>• the required review pathway.</w:t>
      </w:r>
    </w:p>
    <w:p w14:paraId="6E3A360A"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This preserves the difference between intelligence and authority.</w:t>
      </w:r>
    </w:p>
    <w:p w14:paraId="4A3809FB"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AI may structure a task.</w:t>
      </w:r>
    </w:p>
    <w:p w14:paraId="62E3AED5"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lastRenderedPageBreak/>
        <w:t>AI may identify risks.</w:t>
      </w:r>
    </w:p>
    <w:p w14:paraId="53B71A9D"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AI may propose options.</w:t>
      </w:r>
    </w:p>
    <w:p w14:paraId="3284CED4"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AI may improve clarity.</w:t>
      </w:r>
    </w:p>
    <w:p w14:paraId="2BFF7408"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AI may support decision quality.</w:t>
      </w:r>
    </w:p>
    <w:p w14:paraId="021328A8"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But AI does not independently authorize action.</w:t>
      </w:r>
    </w:p>
    <w:p w14:paraId="340B6F07"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b/>
          <w:bCs/>
          <w:i/>
          <w:iCs/>
        </w:rPr>
        <w:t>Constitutional prompting constraints</w:t>
      </w:r>
    </w:p>
    <w:p w14:paraId="35AF29A6"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Every AI-generated task formulation should remain aligned with the following constraints:</w:t>
      </w:r>
    </w:p>
    <w:p w14:paraId="1BDDA870"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 protect human dignity, community trust, and relational integrity;</w:t>
      </w:r>
      <w:r w:rsidRPr="00B479AE">
        <w:rPr>
          <w:rFonts w:ascii="Baskerville Old Face" w:hAnsi="Baskerville Old Face"/>
          <w:i/>
          <w:iCs/>
        </w:rPr>
        <w:br/>
        <w:t>• avoid manipulation, coercion, exploitation, and dehumanization;</w:t>
      </w:r>
      <w:r w:rsidRPr="00B479AE">
        <w:rPr>
          <w:rFonts w:ascii="Baskerville Old Face" w:hAnsi="Baskerville Old Face"/>
          <w:i/>
          <w:iCs/>
        </w:rPr>
        <w:br/>
        <w:t>• respect ecological limits, soil, water, biodiversity, and planetary boundaries;</w:t>
      </w:r>
      <w:r w:rsidRPr="00B479AE">
        <w:rPr>
          <w:rFonts w:ascii="Baskerville Old Face" w:hAnsi="Baskerville Old Face"/>
          <w:i/>
          <w:iCs/>
        </w:rPr>
        <w:br/>
        <w:t>• avoid extractive financial dynamics, excessive leverage, and premature value inflation;</w:t>
      </w:r>
      <w:r w:rsidRPr="00B479AE">
        <w:rPr>
          <w:rFonts w:ascii="Baskerville Old Face" w:hAnsi="Baskerville Old Face"/>
          <w:i/>
          <w:iCs/>
        </w:rPr>
        <w:br/>
        <w:t>• define time horizons explicitly;</w:t>
      </w:r>
      <w:r w:rsidRPr="00B479AE">
        <w:rPr>
          <w:rFonts w:ascii="Baskerville Old Face" w:hAnsi="Baskerville Old Face"/>
          <w:i/>
          <w:iCs/>
        </w:rPr>
        <w:br/>
        <w:t>• preserve reversibility where uncertainty is high;</w:t>
      </w:r>
      <w:r w:rsidRPr="00B479AE">
        <w:rPr>
          <w:rFonts w:ascii="Baskerville Old Face" w:hAnsi="Baskerville Old Face"/>
          <w:i/>
          <w:iCs/>
        </w:rPr>
        <w:br/>
        <w:t>• respect Yeomans’ scale of permanence and water-first design logic;</w:t>
      </w:r>
      <w:r w:rsidRPr="00B479AE">
        <w:rPr>
          <w:rFonts w:ascii="Baskerville Old Face" w:hAnsi="Baskerville Old Face"/>
          <w:i/>
          <w:iCs/>
        </w:rPr>
        <w:br/>
        <w:t>• include feedback, learning, and review cycles;</w:t>
      </w:r>
      <w:r w:rsidRPr="00B479AE">
        <w:rPr>
          <w:rFonts w:ascii="Baskerville Old Face" w:hAnsi="Baskerville Old Face"/>
          <w:i/>
          <w:iCs/>
        </w:rPr>
        <w:br/>
        <w:t>• distinguish draft, proposal, review, authorized action, executed action, verified outcome, and reportable result.</w:t>
      </w:r>
    </w:p>
    <w:p w14:paraId="21939014"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This makes prompting part of institutional infrastructure rather than a casual interface.</w:t>
      </w:r>
    </w:p>
    <w:p w14:paraId="350B1C5E"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b/>
          <w:bCs/>
          <w:i/>
          <w:iCs/>
        </w:rPr>
        <w:t>Agent orchestration boundary</w:t>
      </w:r>
    </w:p>
    <w:p w14:paraId="064C1878"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Specialized agents may support ecological design, MRV interpretation, financial modeling, governance review, risk analysis, reporting, or operational planning.</w:t>
      </w:r>
    </w:p>
    <w:p w14:paraId="305370A9"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However, agent outputs must remain bounded by role, evidence, methodology, and authorization.</w:t>
      </w:r>
    </w:p>
    <w:p w14:paraId="0C15DEA9"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No agent should independently create PRU value, authorize investor-facing claims, issue tokens, modify legal rights, approve ecological interventions, or bypass governance review.</w:t>
      </w:r>
    </w:p>
    <w:p w14:paraId="3E0BB603"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The cognitive kernel therefore functions as a constitutional router.</w:t>
      </w:r>
    </w:p>
    <w:p w14:paraId="625268E7"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lastRenderedPageBreak/>
        <w:t>It helps Prometheus ask better questions, assign the right tasks, preserve context, and prevent AI outputs from drifting into unauthorized execution.</w:t>
      </w:r>
    </w:p>
    <w:p w14:paraId="0E8F61A1"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Its institutional purpose is simple:</w:t>
      </w:r>
    </w:p>
    <w:p w14:paraId="2DA10CB2"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intelligence supports coherence;</w:t>
      </w:r>
    </w:p>
    <w:p w14:paraId="1670CCC7"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coherence supports governance;</w:t>
      </w:r>
    </w:p>
    <w:p w14:paraId="006CA60B" w14:textId="77777777" w:rsidR="00B0736B" w:rsidRPr="00B479AE" w:rsidRDefault="00B0736B" w:rsidP="00B0736B">
      <w:pPr>
        <w:spacing w:line="360" w:lineRule="auto"/>
        <w:rPr>
          <w:rFonts w:ascii="Baskerville Old Face" w:hAnsi="Baskerville Old Face"/>
          <w:i/>
          <w:iCs/>
        </w:rPr>
      </w:pPr>
      <w:r w:rsidRPr="00B479AE">
        <w:rPr>
          <w:rFonts w:ascii="Baskerville Old Face" w:hAnsi="Baskerville Old Face"/>
          <w:i/>
          <w:iCs/>
        </w:rPr>
        <w:t>governance protects life.</w:t>
      </w:r>
    </w:p>
    <w:p w14:paraId="3030CB86" w14:textId="41E1DCF2"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System synthesis</w:t>
      </w:r>
    </w:p>
    <w:p w14:paraId="5AFC941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Prometheus architecture can be summarized as follows:</w:t>
      </w:r>
    </w:p>
    <w:p w14:paraId="26CB24D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OHE generates regeneration.</w:t>
      </w:r>
    </w:p>
    <w:p w14:paraId="5A50C25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MRV observes regeneration.</w:t>
      </w:r>
    </w:p>
    <w:p w14:paraId="673D527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Provenance preserves evidence integrity.</w:t>
      </w:r>
    </w:p>
    <w:p w14:paraId="3691493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Valueflows structures regenerative events.</w:t>
      </w:r>
    </w:p>
    <w:p w14:paraId="7EB1ABD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PRU translates verified performance.</w:t>
      </w:r>
    </w:p>
    <w:p w14:paraId="011A95E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RAP aggregates verified units.</w:t>
      </w:r>
    </w:p>
    <w:p w14:paraId="73F4778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Governance preserves coherence.</w:t>
      </w:r>
    </w:p>
    <w:p w14:paraId="049A8F5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Capital scales deployment.</w:t>
      </w:r>
    </w:p>
    <w:p w14:paraId="387A20C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Digital infrastructure supports coordination.</w:t>
      </w:r>
    </w:p>
    <w:p w14:paraId="404824C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AI assists learning.</w:t>
      </w:r>
    </w:p>
    <w:p w14:paraId="2AB869E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Tokenization may represent verified and legally structured value.</w:t>
      </w:r>
    </w:p>
    <w:p w14:paraId="7FC444F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architecture is not linear in practice.</w:t>
      </w:r>
    </w:p>
    <w:p w14:paraId="2796CDD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cyclical.</w:t>
      </w:r>
    </w:p>
    <w:p w14:paraId="5F6277C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Regeneration produces evidence.</w:t>
      </w:r>
    </w:p>
    <w:p w14:paraId="5F9B127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Evidence informs governance.</w:t>
      </w:r>
    </w:p>
    <w:p w14:paraId="5B20705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Governance improves operations.</w:t>
      </w:r>
    </w:p>
    <w:p w14:paraId="068399C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Operations improve ecological performance.</w:t>
      </w:r>
    </w:p>
    <w:p w14:paraId="01AEE95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Improved performance strengthens PRU quality.</w:t>
      </w:r>
    </w:p>
    <w:p w14:paraId="2E399E9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Stronger PRUs support better capital allocation.</w:t>
      </w:r>
    </w:p>
    <w:p w14:paraId="738602B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Capital supports more regeneration.</w:t>
      </w:r>
    </w:p>
    <w:p w14:paraId="7722FA9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is the regenerative loop.</w:t>
      </w:r>
    </w:p>
    <w:p w14:paraId="13F5A55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Transition to the next part</w:t>
      </w:r>
    </w:p>
    <w:p w14:paraId="51D5C78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system architecture defines how Prometheus connects life, evidence, governance, technology, and capital.</w:t>
      </w:r>
    </w:p>
    <w:p w14:paraId="1153C78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next part turns to the operational ecosystem.</w:t>
      </w:r>
    </w:p>
    <w:p w14:paraId="561B59B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If Part IV explains how the architecture is structured, Part V explains how actors participate in it.</w:t>
      </w:r>
    </w:p>
    <w:p w14:paraId="724CC39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becomes real through Earth Custodians, Circular Producers, Digital Guarantors, Capital Allocators, auditors, protocol stewards, communities, and the operational processes that allow regeneration to become measurable and scalable.</w:t>
      </w:r>
    </w:p>
    <w:p w14:paraId="7DF5CB11" w14:textId="0819CEC8" w:rsidR="008D67A4" w:rsidRPr="00B479AE" w:rsidRDefault="008D67A4" w:rsidP="008D67A4">
      <w:pPr>
        <w:spacing w:line="360" w:lineRule="auto"/>
        <w:rPr>
          <w:rFonts w:ascii="Baskerville Old Face" w:hAnsi="Baskerville Old Face"/>
          <w:i/>
          <w:iCs/>
        </w:rPr>
      </w:pPr>
    </w:p>
    <w:p w14:paraId="0DE0B6F5" w14:textId="20D5FF87" w:rsidR="008D67A4" w:rsidRPr="00B479AE" w:rsidRDefault="008D67A4" w:rsidP="002B4800">
      <w:pPr>
        <w:pStyle w:val="Titolo1"/>
        <w:rPr>
          <w:rFonts w:ascii="Baskerville Old Face" w:hAnsi="Baskerville Old Face"/>
          <w:b/>
          <w:bCs/>
          <w:i/>
          <w:iCs/>
          <w:sz w:val="24"/>
          <w:szCs w:val="24"/>
        </w:rPr>
      </w:pPr>
      <w:r w:rsidRPr="00B479AE">
        <w:rPr>
          <w:rFonts w:ascii="Baskerville Old Face" w:hAnsi="Baskerville Old Face"/>
          <w:b/>
          <w:bCs/>
          <w:i/>
          <w:iCs/>
          <w:sz w:val="24"/>
          <w:szCs w:val="24"/>
        </w:rPr>
        <w:t>PART V</w:t>
      </w:r>
      <w:r w:rsidR="002B4800" w:rsidRPr="00B479AE">
        <w:rPr>
          <w:rFonts w:ascii="Baskerville Old Face" w:hAnsi="Baskerville Old Face"/>
          <w:b/>
          <w:bCs/>
          <w:i/>
          <w:iCs/>
          <w:sz w:val="24"/>
          <w:szCs w:val="24"/>
        </w:rPr>
        <w:t xml:space="preserve"> - </w:t>
      </w:r>
      <w:r w:rsidRPr="00B479AE">
        <w:rPr>
          <w:rFonts w:ascii="Baskerville Old Face" w:hAnsi="Baskerville Old Face"/>
          <w:b/>
          <w:bCs/>
          <w:i/>
          <w:iCs/>
          <w:sz w:val="24"/>
          <w:szCs w:val="24"/>
        </w:rPr>
        <w:t>Operational Ecosystem</w:t>
      </w:r>
    </w:p>
    <w:p w14:paraId="00D7916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From architecture to deployment</w:t>
      </w:r>
    </w:p>
    <w:p w14:paraId="68F1B8F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becomes real through operation.</w:t>
      </w:r>
    </w:p>
    <w:p w14:paraId="1C51BD7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regenerative system cannot remain only a theory, a map, a protocol, a model, or a financial thesis.</w:t>
      </w:r>
    </w:p>
    <w:p w14:paraId="06DD519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must be deployed through people, land, processes, evidence, governance, and capital discipline.</w:t>
      </w:r>
    </w:p>
    <w:p w14:paraId="7390213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operational ecosystem of Prometheus defines how regenerative activity is implemented, measured, verified, coordinated, and scaled across real territories.</w:t>
      </w:r>
    </w:p>
    <w:p w14:paraId="7B58060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This ecosystem is designed around a simple principle:</w:t>
      </w:r>
    </w:p>
    <w:p w14:paraId="7AEB8DC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regeneration must be achievable at the unit level, measurable at the evidence level, governable at the community level, and financeable at the portfolio level.</w:t>
      </w:r>
    </w:p>
    <w:p w14:paraId="39AC2D9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therefore translates the architecture described in the previous part into roles, workflows, feedback loops, baselines, deployment phases, and operational responsibilities.</w:t>
      </w:r>
    </w:p>
    <w:p w14:paraId="1D5EE42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operational ecosystem is not a secondary layer.</w:t>
      </w:r>
    </w:p>
    <w:p w14:paraId="5C62CF1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the place where the thesis is tested.</w:t>
      </w:r>
    </w:p>
    <w:p w14:paraId="55B0281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Operational principle</w:t>
      </w:r>
    </w:p>
    <w:p w14:paraId="61FE8F5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operational principle of Prometheus is:</w:t>
      </w:r>
    </w:p>
    <w:p w14:paraId="7DCDAAA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bounded deployment before scale.</w:t>
      </w:r>
    </w:p>
    <w:p w14:paraId="5619F09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system designed to regenerate living systems must prove that it can preserve coherence under real conditions.</w:t>
      </w:r>
    </w:p>
    <w:p w14:paraId="3C30866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requires a disciplined progression from pilot to cluster, from cluster to bioregional network, and from bioregional network to portfolio-scale infrastructure.</w:t>
      </w:r>
    </w:p>
    <w:p w14:paraId="2CA0452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Each stage must generate evidence.</w:t>
      </w:r>
    </w:p>
    <w:p w14:paraId="1B89C40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Each stage must preserve governance clarity.</w:t>
      </w:r>
    </w:p>
    <w:p w14:paraId="0F33339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Each stage must maintain MRV integrity.</w:t>
      </w:r>
    </w:p>
    <w:p w14:paraId="3A4EEDE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Each stage must avoid inflating future potential into present value.</w:t>
      </w:r>
    </w:p>
    <w:p w14:paraId="0109FD7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is the operational meaning of pilot-first discipline.</w:t>
      </w:r>
    </w:p>
    <w:p w14:paraId="774E187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Pilot-first does not mean small ambition.</w:t>
      </w:r>
    </w:p>
    <w:p w14:paraId="0A0E9E8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means fidelity to reality.</w:t>
      </w:r>
    </w:p>
    <w:p w14:paraId="22821D16" w14:textId="05D54A9D" w:rsidR="00D47F4B" w:rsidRPr="00B479AE" w:rsidRDefault="00D47F4B" w:rsidP="00D47F4B">
      <w:pPr>
        <w:spacing w:line="360" w:lineRule="auto"/>
        <w:rPr>
          <w:rFonts w:ascii="Baskerville Old Face" w:hAnsi="Baskerville Old Face"/>
          <w:b/>
          <w:bCs/>
          <w:i/>
          <w:iCs/>
        </w:rPr>
      </w:pPr>
      <w:r w:rsidRPr="00B479AE">
        <w:rPr>
          <w:rFonts w:ascii="Baskerville Old Face" w:hAnsi="Baskerville Old Face"/>
          <w:b/>
          <w:bCs/>
          <w:i/>
          <w:iCs/>
        </w:rPr>
        <w:t>Stewardship Activation Layer</w:t>
      </w:r>
    </w:p>
    <w:p w14:paraId="303A7CD2" w14:textId="77777777" w:rsidR="008B3841" w:rsidRPr="00B479AE" w:rsidRDefault="008B3841" w:rsidP="008B3841">
      <w:pPr>
        <w:spacing w:line="360" w:lineRule="auto"/>
        <w:rPr>
          <w:rFonts w:ascii="Baskerville Old Face" w:hAnsi="Baskerville Old Face"/>
          <w:i/>
          <w:iCs/>
        </w:rPr>
      </w:pPr>
      <w:r w:rsidRPr="00B479AE">
        <w:rPr>
          <w:rFonts w:ascii="Baskerville Old Face" w:hAnsi="Baskerville Old Face"/>
          <w:i/>
          <w:iCs/>
        </w:rPr>
        <w:t>Prometheus includes a Stewardship Activation Layer.</w:t>
      </w:r>
    </w:p>
    <w:p w14:paraId="4ED3524A" w14:textId="77777777" w:rsidR="008B3841" w:rsidRPr="00B479AE" w:rsidRDefault="008B3841" w:rsidP="008B3841">
      <w:pPr>
        <w:spacing w:line="360" w:lineRule="auto"/>
        <w:rPr>
          <w:rFonts w:ascii="Baskerville Old Face" w:hAnsi="Baskerville Old Face"/>
          <w:i/>
          <w:iCs/>
        </w:rPr>
      </w:pPr>
      <w:r w:rsidRPr="00B479AE">
        <w:rPr>
          <w:rFonts w:ascii="Baskerville Old Face" w:hAnsi="Baskerville Old Face"/>
          <w:i/>
          <w:iCs/>
        </w:rPr>
        <w:lastRenderedPageBreak/>
        <w:t>This layer describes the social and operational pathway through which regenerative participation matures from awareness into measurable contribution.</w:t>
      </w:r>
    </w:p>
    <w:p w14:paraId="1C08BE19" w14:textId="77777777" w:rsidR="008B3841" w:rsidRPr="00B479AE" w:rsidRDefault="008B3841" w:rsidP="008B3841">
      <w:pPr>
        <w:spacing w:line="360" w:lineRule="auto"/>
        <w:rPr>
          <w:rFonts w:ascii="Baskerville Old Face" w:hAnsi="Baskerville Old Face"/>
          <w:i/>
          <w:iCs/>
        </w:rPr>
      </w:pPr>
      <w:r w:rsidRPr="00B479AE">
        <w:rPr>
          <w:rFonts w:ascii="Baskerville Old Face" w:hAnsi="Baskerville Old Face"/>
          <w:i/>
          <w:iCs/>
        </w:rPr>
        <w:t>The activation sequence is:</w:t>
      </w:r>
    </w:p>
    <w:p w14:paraId="16717710" w14:textId="77777777" w:rsidR="008B3841" w:rsidRPr="00B479AE" w:rsidRDefault="008B3841" w:rsidP="008B3841">
      <w:pPr>
        <w:spacing w:line="360" w:lineRule="auto"/>
        <w:rPr>
          <w:rFonts w:ascii="Baskerville Old Face" w:hAnsi="Baskerville Old Face"/>
          <w:i/>
          <w:iCs/>
        </w:rPr>
      </w:pPr>
      <w:r w:rsidRPr="00B479AE">
        <w:rPr>
          <w:rFonts w:ascii="Baskerville Old Face" w:hAnsi="Baskerville Old Face"/>
          <w:i/>
          <w:iCs/>
        </w:rPr>
        <w:t xml:space="preserve">awareness </w:t>
      </w:r>
      <w:r w:rsidRPr="00B479AE">
        <w:rPr>
          <w:rFonts w:ascii="Times New Roman" w:hAnsi="Times New Roman" w:cs="Times New Roman"/>
          <w:i/>
          <w:iCs/>
        </w:rPr>
        <w:t>→</w:t>
      </w:r>
      <w:r w:rsidRPr="00B479AE">
        <w:rPr>
          <w:rFonts w:ascii="Baskerville Old Face" w:hAnsi="Baskerville Old Face"/>
          <w:i/>
          <w:iCs/>
        </w:rPr>
        <w:t xml:space="preserve"> stewardship participation </w:t>
      </w:r>
      <w:r w:rsidRPr="00B479AE">
        <w:rPr>
          <w:rFonts w:ascii="Times New Roman" w:hAnsi="Times New Roman" w:cs="Times New Roman"/>
          <w:i/>
          <w:iCs/>
        </w:rPr>
        <w:t>→</w:t>
      </w:r>
      <w:r w:rsidRPr="00B479AE">
        <w:rPr>
          <w:rFonts w:ascii="Baskerville Old Face" w:hAnsi="Baskerville Old Face"/>
          <w:i/>
          <w:iCs/>
        </w:rPr>
        <w:t xml:space="preserve"> local production </w:t>
      </w:r>
      <w:r w:rsidRPr="00B479AE">
        <w:rPr>
          <w:rFonts w:ascii="Times New Roman" w:hAnsi="Times New Roman" w:cs="Times New Roman"/>
          <w:i/>
          <w:iCs/>
        </w:rPr>
        <w:t>→</w:t>
      </w:r>
      <w:r w:rsidRPr="00B479AE">
        <w:rPr>
          <w:rFonts w:ascii="Baskerville Old Face" w:hAnsi="Baskerville Old Face"/>
          <w:i/>
          <w:iCs/>
        </w:rPr>
        <w:t xml:space="preserve"> evidence </w:t>
      </w:r>
      <w:r w:rsidRPr="00B479AE">
        <w:rPr>
          <w:rFonts w:ascii="Times New Roman" w:hAnsi="Times New Roman" w:cs="Times New Roman"/>
          <w:i/>
          <w:iCs/>
        </w:rPr>
        <w:t>→</w:t>
      </w:r>
      <w:r w:rsidRPr="00B479AE">
        <w:rPr>
          <w:rFonts w:ascii="Baskerville Old Face" w:hAnsi="Baskerville Old Face"/>
          <w:i/>
          <w:iCs/>
        </w:rPr>
        <w:t xml:space="preserve"> trust </w:t>
      </w:r>
      <w:r w:rsidRPr="00B479AE">
        <w:rPr>
          <w:rFonts w:ascii="Times New Roman" w:hAnsi="Times New Roman" w:cs="Times New Roman"/>
          <w:i/>
          <w:iCs/>
        </w:rPr>
        <w:t>→</w:t>
      </w:r>
      <w:r w:rsidRPr="00B479AE">
        <w:rPr>
          <w:rFonts w:ascii="Baskerville Old Face" w:hAnsi="Baskerville Old Face"/>
          <w:i/>
          <w:iCs/>
        </w:rPr>
        <w:t xml:space="preserve"> surplus reinvestment </w:t>
      </w:r>
      <w:r w:rsidRPr="00B479AE">
        <w:rPr>
          <w:rFonts w:ascii="Times New Roman" w:hAnsi="Times New Roman" w:cs="Times New Roman"/>
          <w:i/>
          <w:iCs/>
        </w:rPr>
        <w:t>→</w:t>
      </w:r>
      <w:r w:rsidRPr="00B479AE">
        <w:rPr>
          <w:rFonts w:ascii="Baskerville Old Face" w:hAnsi="Baskerville Old Face"/>
          <w:i/>
          <w:iCs/>
        </w:rPr>
        <w:t xml:space="preserve"> expanded regeneration.</w:t>
      </w:r>
    </w:p>
    <w:p w14:paraId="19F15A36" w14:textId="77777777" w:rsidR="008B3841" w:rsidRPr="00B479AE" w:rsidRDefault="008B3841" w:rsidP="008B3841">
      <w:pPr>
        <w:spacing w:line="360" w:lineRule="auto"/>
        <w:rPr>
          <w:rFonts w:ascii="Baskerville Old Face" w:hAnsi="Baskerville Old Face"/>
          <w:i/>
          <w:iCs/>
        </w:rPr>
      </w:pPr>
      <w:r w:rsidRPr="00B479AE">
        <w:rPr>
          <w:rFonts w:ascii="Baskerville Old Face" w:hAnsi="Baskerville Old Face"/>
          <w:i/>
          <w:iCs/>
        </w:rPr>
        <w:t>Awareness creates the possibility of choice.</w:t>
      </w:r>
    </w:p>
    <w:p w14:paraId="5B1E8256" w14:textId="77777777" w:rsidR="008B3841" w:rsidRPr="00B479AE" w:rsidRDefault="008B3841" w:rsidP="008B3841">
      <w:pPr>
        <w:spacing w:line="360" w:lineRule="auto"/>
        <w:rPr>
          <w:rFonts w:ascii="Baskerville Old Face" w:hAnsi="Baskerville Old Face"/>
          <w:i/>
          <w:iCs/>
        </w:rPr>
      </w:pPr>
      <w:r w:rsidRPr="00B479AE">
        <w:rPr>
          <w:rFonts w:ascii="Baskerville Old Face" w:hAnsi="Baskerville Old Face"/>
          <w:i/>
          <w:iCs/>
        </w:rPr>
        <w:t>Stewardship participation converts awareness into responsibility.</w:t>
      </w:r>
    </w:p>
    <w:p w14:paraId="3C7B0A57" w14:textId="77777777" w:rsidR="008B3841" w:rsidRPr="00B479AE" w:rsidRDefault="008B3841" w:rsidP="008B3841">
      <w:pPr>
        <w:spacing w:line="360" w:lineRule="auto"/>
        <w:rPr>
          <w:rFonts w:ascii="Baskerville Old Face" w:hAnsi="Baskerville Old Face"/>
          <w:i/>
          <w:iCs/>
        </w:rPr>
      </w:pPr>
      <w:r w:rsidRPr="00B479AE">
        <w:rPr>
          <w:rFonts w:ascii="Baskerville Old Face" w:hAnsi="Baskerville Old Face"/>
          <w:i/>
          <w:iCs/>
        </w:rPr>
        <w:t>Local production converts responsibility into visible action.</w:t>
      </w:r>
    </w:p>
    <w:p w14:paraId="57487110" w14:textId="77777777" w:rsidR="008B3841" w:rsidRPr="00B479AE" w:rsidRDefault="008B3841" w:rsidP="008B3841">
      <w:pPr>
        <w:spacing w:line="360" w:lineRule="auto"/>
        <w:rPr>
          <w:rFonts w:ascii="Baskerville Old Face" w:hAnsi="Baskerville Old Face"/>
          <w:i/>
          <w:iCs/>
        </w:rPr>
      </w:pPr>
      <w:r w:rsidRPr="00B479AE">
        <w:rPr>
          <w:rFonts w:ascii="Baskerville Old Face" w:hAnsi="Baskerville Old Face"/>
          <w:i/>
          <w:iCs/>
        </w:rPr>
        <w:t>Evidence converts action into trust.</w:t>
      </w:r>
    </w:p>
    <w:p w14:paraId="11265B44" w14:textId="77777777" w:rsidR="008B3841" w:rsidRPr="00B479AE" w:rsidRDefault="008B3841" w:rsidP="008B3841">
      <w:pPr>
        <w:spacing w:line="360" w:lineRule="auto"/>
        <w:rPr>
          <w:rFonts w:ascii="Baskerville Old Face" w:hAnsi="Baskerville Old Face"/>
          <w:i/>
          <w:iCs/>
        </w:rPr>
      </w:pPr>
      <w:r w:rsidRPr="00B479AE">
        <w:rPr>
          <w:rFonts w:ascii="Baskerville Old Face" w:hAnsi="Baskerville Old Face"/>
          <w:i/>
          <w:iCs/>
        </w:rPr>
        <w:t>Trust allows communities, institutions, and capital allocators to support further deployment.</w:t>
      </w:r>
    </w:p>
    <w:p w14:paraId="0787FB20" w14:textId="77777777" w:rsidR="008B3841" w:rsidRPr="00B479AE" w:rsidRDefault="008B3841" w:rsidP="008B3841">
      <w:pPr>
        <w:spacing w:line="360" w:lineRule="auto"/>
        <w:rPr>
          <w:rFonts w:ascii="Baskerville Old Face" w:hAnsi="Baskerville Old Face"/>
          <w:i/>
          <w:iCs/>
        </w:rPr>
      </w:pPr>
      <w:r w:rsidRPr="00B479AE">
        <w:rPr>
          <w:rFonts w:ascii="Baskerville Old Face" w:hAnsi="Baskerville Old Face"/>
          <w:i/>
          <w:iCs/>
        </w:rPr>
        <w:t>Surplus reinvestment converts local success into expanded regeneration.</w:t>
      </w:r>
    </w:p>
    <w:p w14:paraId="06B9AFAE" w14:textId="77777777" w:rsidR="008B3841" w:rsidRPr="00B479AE" w:rsidRDefault="008B3841" w:rsidP="008B3841">
      <w:pPr>
        <w:spacing w:line="360" w:lineRule="auto"/>
        <w:rPr>
          <w:rFonts w:ascii="Baskerville Old Face" w:hAnsi="Baskerville Old Face"/>
          <w:i/>
          <w:iCs/>
        </w:rPr>
      </w:pPr>
      <w:r w:rsidRPr="00B479AE">
        <w:rPr>
          <w:rFonts w:ascii="Baskerville Old Face" w:hAnsi="Baskerville Old Face"/>
          <w:i/>
          <w:iCs/>
        </w:rPr>
        <w:t>The Stewardship Activation Layer is operational, not ideological.</w:t>
      </w:r>
    </w:p>
    <w:p w14:paraId="1C954A67" w14:textId="77777777" w:rsidR="008B3841" w:rsidRPr="00B479AE" w:rsidRDefault="008B3841" w:rsidP="008B3841">
      <w:pPr>
        <w:spacing w:line="360" w:lineRule="auto"/>
        <w:rPr>
          <w:rFonts w:ascii="Baskerville Old Face" w:hAnsi="Baskerville Old Face"/>
          <w:i/>
          <w:iCs/>
        </w:rPr>
      </w:pPr>
      <w:r w:rsidRPr="00B479AE">
        <w:rPr>
          <w:rFonts w:ascii="Baskerville Old Face" w:hAnsi="Baskerville Old Face"/>
          <w:i/>
          <w:iCs/>
        </w:rPr>
        <w:t>It does not create political affiliation, religious identity, financial entitlement, token rights, PRU value, public-claim authority, or investor-facing eligibility by itself.</w:t>
      </w:r>
    </w:p>
    <w:p w14:paraId="265420FE" w14:textId="77777777" w:rsidR="008B3841" w:rsidRPr="00B479AE" w:rsidRDefault="008B3841" w:rsidP="008B3841">
      <w:pPr>
        <w:spacing w:line="360" w:lineRule="auto"/>
        <w:rPr>
          <w:rFonts w:ascii="Baskerville Old Face" w:hAnsi="Baskerville Old Face"/>
          <w:i/>
          <w:iCs/>
        </w:rPr>
      </w:pPr>
      <w:r w:rsidRPr="00B479AE">
        <w:rPr>
          <w:rFonts w:ascii="Baskerville Old Face" w:hAnsi="Baskerville Old Face"/>
          <w:i/>
          <w:iCs/>
        </w:rPr>
        <w:t>Its purpose is to make regeneration socially executable before it becomes institutionally scalable.</w:t>
      </w:r>
    </w:p>
    <w:p w14:paraId="6DE54124" w14:textId="0952F998"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 xml:space="preserve">The </w:t>
      </w:r>
      <w:r w:rsidR="008B3841" w:rsidRPr="00B479AE">
        <w:rPr>
          <w:rFonts w:ascii="Baskerville Old Face" w:hAnsi="Baskerville Old Face"/>
          <w:b/>
          <w:bCs/>
          <w:i/>
          <w:iCs/>
        </w:rPr>
        <w:t>O</w:t>
      </w:r>
      <w:r w:rsidRPr="00B479AE">
        <w:rPr>
          <w:rFonts w:ascii="Baskerville Old Face" w:hAnsi="Baskerville Old Face"/>
          <w:b/>
          <w:bCs/>
          <w:i/>
          <w:iCs/>
        </w:rPr>
        <w:t xml:space="preserve">perational </w:t>
      </w:r>
      <w:r w:rsidR="008B3841" w:rsidRPr="00B479AE">
        <w:rPr>
          <w:rFonts w:ascii="Baskerville Old Face" w:hAnsi="Baskerville Old Face"/>
          <w:b/>
          <w:bCs/>
          <w:i/>
          <w:iCs/>
        </w:rPr>
        <w:t>U</w:t>
      </w:r>
      <w:r w:rsidRPr="00B479AE">
        <w:rPr>
          <w:rFonts w:ascii="Baskerville Old Face" w:hAnsi="Baskerville Old Face"/>
          <w:b/>
          <w:bCs/>
          <w:i/>
          <w:iCs/>
        </w:rPr>
        <w:t>nit</w:t>
      </w:r>
    </w:p>
    <w:p w14:paraId="0F00EB9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One Human Ecosystem is the minimum deployable operational unit of Prometheus.</w:t>
      </w:r>
    </w:p>
    <w:p w14:paraId="315A5D0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where ecological design, stewardship, MRV, data generation, production, governance, and future PRU translation converge.</w:t>
      </w:r>
    </w:p>
    <w:p w14:paraId="72AF2A8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Each OHE should be treated as a bounded regenerative unit with defined characteristics:</w:t>
      </w:r>
    </w:p>
    <w:p w14:paraId="44FF999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site identity;</w:t>
      </w:r>
    </w:p>
    <w:p w14:paraId="1CB33AC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land access structure;</w:t>
      </w:r>
    </w:p>
    <w:p w14:paraId="22E1A0E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design plan;</w:t>
      </w:r>
    </w:p>
    <w:p w14:paraId="44E5BC5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baseline ecological condition;</w:t>
      </w:r>
    </w:p>
    <w:p w14:paraId="3C7839D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stewardship responsibility;</w:t>
      </w:r>
    </w:p>
    <w:p w14:paraId="6B4ECE5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implementation timeline;</w:t>
      </w:r>
    </w:p>
    <w:p w14:paraId="494E70B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monitoring protocol;</w:t>
      </w:r>
    </w:p>
    <w:p w14:paraId="6145F9A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operational records;</w:t>
      </w:r>
    </w:p>
    <w:p w14:paraId="5487AD8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verification pathway;</w:t>
      </w:r>
    </w:p>
    <w:p w14:paraId="7419B5F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performance indicators;</w:t>
      </w:r>
    </w:p>
    <w:p w14:paraId="1965AF7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risk profile;</w:t>
      </w:r>
    </w:p>
    <w:p w14:paraId="6D09956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PRU eligibility pathway.</w:t>
      </w:r>
    </w:p>
    <w:p w14:paraId="23B4EE6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makes the OHE operationally legible.</w:t>
      </w:r>
    </w:p>
    <w:p w14:paraId="6F2AAD9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becomes possible to ask:</w:t>
      </w:r>
    </w:p>
    <w:p w14:paraId="5351B72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what was the starting condition;</w:t>
      </w:r>
    </w:p>
    <w:p w14:paraId="00ECD3A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what interventions were performed;</w:t>
      </w:r>
    </w:p>
    <w:p w14:paraId="188057C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what evidence was generated;</w:t>
      </w:r>
    </w:p>
    <w:p w14:paraId="0EB44A4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what changed over time;</w:t>
      </w:r>
    </w:p>
    <w:p w14:paraId="35927B1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who was responsible;</w:t>
      </w:r>
    </w:p>
    <w:p w14:paraId="4F891C2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which indicators improved;</w:t>
      </w:r>
    </w:p>
    <w:p w14:paraId="5A08D60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which risks emerged;</w:t>
      </w:r>
    </w:p>
    <w:p w14:paraId="2007EC0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which claims became admissible;</w:t>
      </w:r>
    </w:p>
    <w:p w14:paraId="6AF619A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which claims remained unverified.</w:t>
      </w:r>
    </w:p>
    <w:p w14:paraId="7E42674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is how regeneration moves from intention to infrastructure.</w:t>
      </w:r>
    </w:p>
    <w:p w14:paraId="7E45F7A9" w14:textId="77777777" w:rsidR="002E5EB1" w:rsidRDefault="002E5EB1" w:rsidP="008D67A4">
      <w:pPr>
        <w:spacing w:line="360" w:lineRule="auto"/>
        <w:rPr>
          <w:rFonts w:ascii="Baskerville Old Face" w:hAnsi="Baskerville Old Face"/>
          <w:b/>
          <w:bCs/>
          <w:i/>
          <w:iCs/>
        </w:rPr>
      </w:pPr>
    </w:p>
    <w:p w14:paraId="5481836F" w14:textId="6AD16614"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lastRenderedPageBreak/>
        <w:t>Actor-based ecosystem</w:t>
      </w:r>
    </w:p>
    <w:p w14:paraId="079C156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operates through a coordinated set of actors.</w:t>
      </w:r>
    </w:p>
    <w:p w14:paraId="09EE400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These actors are not merely participants in a platform.</w:t>
      </w:r>
    </w:p>
    <w:p w14:paraId="141C039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are functional roles within a regenerative infrastructure system.</w:t>
      </w:r>
    </w:p>
    <w:p w14:paraId="11C1D18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Each role contributes to a specific layer of value formation.</w:t>
      </w:r>
    </w:p>
    <w:p w14:paraId="538F170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principal actor categories are:</w:t>
      </w:r>
    </w:p>
    <w:p w14:paraId="3374621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Earth Custodians;</w:t>
      </w:r>
    </w:p>
    <w:p w14:paraId="12E38BF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Circular Producers;</w:t>
      </w:r>
    </w:p>
    <w:p w14:paraId="3E7DF98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Digital Guarantors;</w:t>
      </w:r>
    </w:p>
    <w:p w14:paraId="01DB2FC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Capital Allocators;</w:t>
      </w:r>
    </w:p>
    <w:p w14:paraId="50C4967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Auditors and Verifiers;</w:t>
      </w:r>
    </w:p>
    <w:p w14:paraId="20CC734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Protocol Stewards;</w:t>
      </w:r>
    </w:p>
    <w:p w14:paraId="5E6E34F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Communities and Beneficiaries;</w:t>
      </w:r>
    </w:p>
    <w:p w14:paraId="44F1E17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Institutional Partners.</w:t>
      </w:r>
    </w:p>
    <w:p w14:paraId="0E63328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Together, these actors form the living, operational, digital, financial, and governance ecosystem of Prometheus.</w:t>
      </w:r>
    </w:p>
    <w:p w14:paraId="0E96238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Earth Custodians</w:t>
      </w:r>
    </w:p>
    <w:p w14:paraId="30DE04F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Earth Custodians are responsible for the physical implementation and stewardship of regenerative systems.</w:t>
      </w:r>
    </w:p>
    <w:p w14:paraId="5071CC3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operate at the biophysical layer.</w:t>
      </w:r>
    </w:p>
    <w:p w14:paraId="38B4AC0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Their responsibilities may include:</w:t>
      </w:r>
    </w:p>
    <w:p w14:paraId="0637818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designing and managing OHEs;</w:t>
      </w:r>
    </w:p>
    <w:p w14:paraId="1A70BF6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preparing land and water systems;</w:t>
      </w:r>
    </w:p>
    <w:p w14:paraId="726AD3F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planting and maintaining syntropic systems;</w:t>
      </w:r>
    </w:p>
    <w:p w14:paraId="0751870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implementing soil regeneration practices;</w:t>
      </w:r>
    </w:p>
    <w:p w14:paraId="5DB55C6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managing biomass cycling;</w:t>
      </w:r>
    </w:p>
    <w:p w14:paraId="11A78F6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protecting biodiversity;</w:t>
      </w:r>
    </w:p>
    <w:p w14:paraId="64341E2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recording operational events;</w:t>
      </w:r>
    </w:p>
    <w:p w14:paraId="3E76AF6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observing ecological changes;</w:t>
      </w:r>
    </w:p>
    <w:p w14:paraId="6A34542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supporting MRV procedures;</w:t>
      </w:r>
    </w:p>
    <w:p w14:paraId="748CD2B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preserving land-stewardship discipline.</w:t>
      </w:r>
    </w:p>
    <w:p w14:paraId="597D07C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Earth Custodians are the primary human interface between living systems and Prometheus.</w:t>
      </w:r>
    </w:p>
    <w:p w14:paraId="2C9F5D6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do not merely manage land.</w:t>
      </w:r>
    </w:p>
    <w:p w14:paraId="78CE9CD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steward the conditions through which regenerative performance becomes possible.</w:t>
      </w:r>
    </w:p>
    <w:p w14:paraId="2963EA4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Their work generates the first layer of evidence.</w:t>
      </w:r>
    </w:p>
    <w:p w14:paraId="7920721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Without Earth Custodians, Prometheus remains abstract.</w:t>
      </w:r>
    </w:p>
    <w:p w14:paraId="6CC6190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With them, regeneration becomes operational.</w:t>
      </w:r>
    </w:p>
    <w:p w14:paraId="06BAE36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Circular Producers</w:t>
      </w:r>
    </w:p>
    <w:p w14:paraId="4AB2D9B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Circular Producers transform regenerative outputs into useful goods, services, and local economic flows.</w:t>
      </w:r>
    </w:p>
    <w:p w14:paraId="4A57C9A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operate at the economic transformation layer.</w:t>
      </w:r>
    </w:p>
    <w:p w14:paraId="24E0DD8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Their activities may include:</w:t>
      </w:r>
    </w:p>
    <w:p w14:paraId="619F11D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processing agricultural outputs;</w:t>
      </w:r>
    </w:p>
    <w:p w14:paraId="2E7BDC0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creating local value-added products;</w:t>
      </w:r>
    </w:p>
    <w:p w14:paraId="60B5464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supporting regenerative food systems;</w:t>
      </w:r>
    </w:p>
    <w:p w14:paraId="2556A33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integrating circular supply chains;</w:t>
      </w:r>
    </w:p>
    <w:p w14:paraId="07BFFAA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reducing waste;</w:t>
      </w:r>
    </w:p>
    <w:p w14:paraId="6B00913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transforming biomass into productive inputs;</w:t>
      </w:r>
    </w:p>
    <w:p w14:paraId="0FCEF68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developing educational or experiential services;</w:t>
      </w:r>
    </w:p>
    <w:p w14:paraId="11D5022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linking OHE outputs to local markets;</w:t>
      </w:r>
    </w:p>
    <w:p w14:paraId="33C0228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reinforcing territorial value circulation.</w:t>
      </w:r>
    </w:p>
    <w:p w14:paraId="6CF8794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Circular Producers help ensure that regenerative output does not remain isolated.</w:t>
      </w:r>
    </w:p>
    <w:p w14:paraId="13510DB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convert ecological productivity into usable economic flows while preserving the integrity of the system.</w:t>
      </w:r>
    </w:p>
    <w:p w14:paraId="278790B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Their role is essential for moving from ecological restoration to regenerative economy.</w:t>
      </w:r>
    </w:p>
    <w:p w14:paraId="16C7FD5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Digital Guarantors</w:t>
      </w:r>
    </w:p>
    <w:p w14:paraId="114F07A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Digital Guarantors support the integrity of the data, verification, and coordination layers.</w:t>
      </w:r>
    </w:p>
    <w:p w14:paraId="1FE4DCE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operate at the trust infrastructure layer.</w:t>
      </w:r>
    </w:p>
    <w:p w14:paraId="29FC020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Their responsibilities may include:</w:t>
      </w:r>
    </w:p>
    <w:p w14:paraId="43E5CA0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maintaining digital infrastructure;</w:t>
      </w:r>
    </w:p>
    <w:p w14:paraId="6183B34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validating data flows;</w:t>
      </w:r>
    </w:p>
    <w:p w14:paraId="14816AA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supporting Holochain-compatible workflows;</w:t>
      </w:r>
    </w:p>
    <w:p w14:paraId="43E4996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preserving source-chain integrity;</w:t>
      </w:r>
    </w:p>
    <w:p w14:paraId="33DDC20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monitoring system uptime;</w:t>
      </w:r>
    </w:p>
    <w:p w14:paraId="5D68AC6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checking data consistency;</w:t>
      </w:r>
    </w:p>
    <w:p w14:paraId="13AAD7E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supporting Valueflows / REA event structures;</w:t>
      </w:r>
    </w:p>
    <w:p w14:paraId="1C2A067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maintaining dashboards or interfaces;</w:t>
      </w:r>
    </w:p>
    <w:p w14:paraId="1346267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helping detect anomalies;</w:t>
      </w:r>
    </w:p>
    <w:p w14:paraId="053EA86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supporting auditability.</w:t>
      </w:r>
    </w:p>
    <w:p w14:paraId="4FCE627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Digital Guarantors do not create ecological value directly.</w:t>
      </w:r>
    </w:p>
    <w:p w14:paraId="3BA41EC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help ensure that ecological value can be trusted, reviewed, and coordinated.</w:t>
      </w:r>
    </w:p>
    <w:p w14:paraId="223ED22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Their work transforms raw activity into reliable infrastructure.</w:t>
      </w:r>
    </w:p>
    <w:p w14:paraId="5F10EBA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Capital Allocators</w:t>
      </w:r>
    </w:p>
    <w:p w14:paraId="272E069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Capital Allocators enable deployment, scaling, and continuity by directing financial resources toward regenerative infrastructure.</w:t>
      </w:r>
    </w:p>
    <w:p w14:paraId="2BBFB84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operate at the financial allocation layer.</w:t>
      </w:r>
    </w:p>
    <w:p w14:paraId="750D6B6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may include:</w:t>
      </w:r>
    </w:p>
    <w:p w14:paraId="1EDF73E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family offices;</w:t>
      </w:r>
    </w:p>
    <w:p w14:paraId="7D6DC15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impact investors;</w:t>
      </w:r>
    </w:p>
    <w:p w14:paraId="769E82A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climate funds;</w:t>
      </w:r>
    </w:p>
    <w:p w14:paraId="3A06A03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development finance institutions;</w:t>
      </w:r>
    </w:p>
    <w:p w14:paraId="2B3D920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philanthropic capital;</w:t>
      </w:r>
    </w:p>
    <w:p w14:paraId="7418294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public entities;</w:t>
      </w:r>
    </w:p>
    <w:p w14:paraId="5DF36F1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insurance and reinsurance actors;</w:t>
      </w:r>
    </w:p>
    <w:p w14:paraId="5EFA96E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banks and credit providers;</w:t>
      </w:r>
    </w:p>
    <w:p w14:paraId="4E7C274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infrastructure funds;</w:t>
      </w:r>
    </w:p>
    <w:p w14:paraId="0BFBEFA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future RWA and tokenized asset investors.</w:t>
      </w:r>
    </w:p>
    <w:p w14:paraId="5B2625E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Capital Allocators do not generate regeneration by themselves.</w:t>
      </w:r>
    </w:p>
    <w:p w14:paraId="6189AE6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They enable the conditions through which regeneration can be deployed, verified, expanded, and structured.</w:t>
      </w:r>
    </w:p>
    <w:p w14:paraId="79F516F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Their role is to allocate capital according to evidence, risk, governance, and long-term regenerative performance.</w:t>
      </w:r>
    </w:p>
    <w:p w14:paraId="4A7FB2C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Within Prometheus, capital allocation should be guided by:</w:t>
      </w:r>
    </w:p>
    <w:p w14:paraId="1FF9CE5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PRU quality;</w:t>
      </w:r>
    </w:p>
    <w:p w14:paraId="4D6E925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MRV integrity;</w:t>
      </w:r>
    </w:p>
    <w:p w14:paraId="25F1C5B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evidence continuity;</w:t>
      </w:r>
    </w:p>
    <w:p w14:paraId="4739CAD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governance reliability;</w:t>
      </w:r>
    </w:p>
    <w:p w14:paraId="0F27E5D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operational history;</w:t>
      </w:r>
    </w:p>
    <w:p w14:paraId="08A9180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site risk;</w:t>
      </w:r>
    </w:p>
    <w:p w14:paraId="5A0AF9B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portfolio diversification;</w:t>
      </w:r>
    </w:p>
    <w:p w14:paraId="7219C38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legal clarity;</w:t>
      </w:r>
    </w:p>
    <w:p w14:paraId="616F162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revenue quality;</w:t>
      </w:r>
    </w:p>
    <w:p w14:paraId="7DB145E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resilience potential.</w:t>
      </w:r>
    </w:p>
    <w:p w14:paraId="14D3C58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shifts capital from extraction potential to regenerative capacity.</w:t>
      </w:r>
    </w:p>
    <w:p w14:paraId="1B4D836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Capital becomes more intelligent when it follows verified life-enhancing performance.</w:t>
      </w:r>
    </w:p>
    <w:p w14:paraId="07B75C4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Auditors and Verifiers</w:t>
      </w:r>
    </w:p>
    <w:p w14:paraId="205B5F9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Auditors and Verifiers provide independent or semi-independent review of ecological, operational, technical, financial, and governance evidence.</w:t>
      </w:r>
    </w:p>
    <w:p w14:paraId="6C6FEBB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operate at the assurance layer.</w:t>
      </w:r>
    </w:p>
    <w:p w14:paraId="1CB3AC7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Their responsibilities may include:</w:t>
      </w:r>
    </w:p>
    <w:p w14:paraId="33EC465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reviewing MRV protocols;</w:t>
      </w:r>
    </w:p>
    <w:p w14:paraId="0A53742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validating sampling methods;</w:t>
      </w:r>
    </w:p>
    <w:p w14:paraId="3E9B383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checking laboratory documentation;</w:t>
      </w:r>
    </w:p>
    <w:p w14:paraId="63C82CC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reviewing sensor calibration and data integrity;</w:t>
      </w:r>
    </w:p>
    <w:p w14:paraId="1169F0B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assessing satellite or drone evidence;</w:t>
      </w:r>
    </w:p>
    <w:p w14:paraId="28442E9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verifying operational logs;</w:t>
      </w:r>
    </w:p>
    <w:p w14:paraId="5ABD153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evaluating no-double-counting controls;</w:t>
      </w:r>
    </w:p>
    <w:p w14:paraId="22E423E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reviewing PRU methodology compliance;</w:t>
      </w:r>
    </w:p>
    <w:p w14:paraId="2541C92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checking governance procedures;</w:t>
      </w:r>
    </w:p>
    <w:p w14:paraId="67CEC98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assessing investor reporting;</w:t>
      </w:r>
    </w:p>
    <w:p w14:paraId="0315997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identifying evidence gaps.</w:t>
      </w:r>
    </w:p>
    <w:p w14:paraId="6EACE26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Their role is fundamental for institutional credibility.</w:t>
      </w:r>
    </w:p>
    <w:p w14:paraId="7977C0B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cannot rely only on self-declared regeneration.</w:t>
      </w:r>
    </w:p>
    <w:p w14:paraId="0229687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must create pathways for independent review.</w:t>
      </w:r>
    </w:p>
    <w:p w14:paraId="0999E01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Auditors and Verifiers strengthen the system by making trust reviewable.</w:t>
      </w:r>
    </w:p>
    <w:p w14:paraId="6F37C9E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Protocol Stewards</w:t>
      </w:r>
    </w:p>
    <w:p w14:paraId="4A4955B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Protocol Stewards protect the coherence of the Prometheus architecture.</w:t>
      </w:r>
    </w:p>
    <w:p w14:paraId="7A69F7A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operate at the constitutional and methodology layer.</w:t>
      </w:r>
    </w:p>
    <w:p w14:paraId="4E4F18B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Their responsibilities may include:</w:t>
      </w:r>
    </w:p>
    <w:p w14:paraId="4B73E3F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maintaining canonical definitions;</w:t>
      </w:r>
    </w:p>
    <w:p w14:paraId="37FC8EF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reviewing methodology updates;</w:t>
      </w:r>
    </w:p>
    <w:p w14:paraId="6F062BB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preserving separation between PRU, TRBK, HoloFuel, land, governance, and investor exposure;</w:t>
      </w:r>
    </w:p>
    <w:p w14:paraId="5AC8FBD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preventing semantic drift;</w:t>
      </w:r>
    </w:p>
    <w:p w14:paraId="6B71CBC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maintaining release discipline;</w:t>
      </w:r>
    </w:p>
    <w:p w14:paraId="07A29FD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safeguarding verification-first principles;</w:t>
      </w:r>
    </w:p>
    <w:p w14:paraId="04DB480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governing connector updates;</w:t>
      </w:r>
    </w:p>
    <w:p w14:paraId="6B6752F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reviewing AI model boundaries;</w:t>
      </w:r>
    </w:p>
    <w:p w14:paraId="75E5C0F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supporting dispute resolution;</w:t>
      </w:r>
    </w:p>
    <w:p w14:paraId="0A27ABD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aligning implementation with constitutional principles.</w:t>
      </w:r>
    </w:p>
    <w:p w14:paraId="2EF89CF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Protocol Stewards are not controllers of life.</w:t>
      </w:r>
    </w:p>
    <w:p w14:paraId="12AB8B1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are guardians of coherence.</w:t>
      </w:r>
    </w:p>
    <w:p w14:paraId="5A041B3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Their role is to ensure that the system can evolve without losing its meaning.</w:t>
      </w:r>
    </w:p>
    <w:p w14:paraId="6A9504B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Communities and Beneficiaries</w:t>
      </w:r>
    </w:p>
    <w:p w14:paraId="71E2C45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Communities and beneficiaries represent the social and territorial layer of Prometheus.</w:t>
      </w:r>
    </w:p>
    <w:p w14:paraId="2393DC2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are not passive recipients of impact.</w:t>
      </w:r>
    </w:p>
    <w:p w14:paraId="7A70CE9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are participants in the regenerative field.</w:t>
      </w:r>
    </w:p>
    <w:p w14:paraId="54B2EA5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Their involvement may include:</w:t>
      </w:r>
    </w:p>
    <w:p w14:paraId="6ED6253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local food participation;</w:t>
      </w:r>
    </w:p>
    <w:p w14:paraId="285F702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stewardship support;</w:t>
      </w:r>
    </w:p>
    <w:p w14:paraId="705D42E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educational engagement;</w:t>
      </w:r>
    </w:p>
    <w:p w14:paraId="44DBA7F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community governance;</w:t>
      </w:r>
    </w:p>
    <w:p w14:paraId="39C7ED9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cooperative production;</w:t>
      </w:r>
    </w:p>
    <w:p w14:paraId="45F1EC6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health and nutrition programs;</w:t>
      </w:r>
    </w:p>
    <w:p w14:paraId="6D06261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local knowledge contribution;</w:t>
      </w:r>
    </w:p>
    <w:p w14:paraId="1FF147C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social resilience building;</w:t>
      </w:r>
    </w:p>
    <w:p w14:paraId="065B994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feedback on system effects.</w:t>
      </w:r>
    </w:p>
    <w:p w14:paraId="0314EA0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regenerative infrastructure that excludes communities risks reproducing extraction under a new language.</w:t>
      </w:r>
    </w:p>
    <w:p w14:paraId="5463CEB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therefore treats communities as part of the living context in which value is generated.</w:t>
      </w:r>
    </w:p>
    <w:p w14:paraId="13FDFBB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health of the system depends not only on ecological metrics, but also on the quality of relationships it supports.</w:t>
      </w:r>
    </w:p>
    <w:p w14:paraId="11AEF6B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Institutional Partners</w:t>
      </w:r>
    </w:p>
    <w:p w14:paraId="003BDD1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Institutional Partners may include universities, research centers, laboratories, public agencies, municipalities, NGOs, certification bodies, technology providers, financial institutions, and infrastructure operators.</w:t>
      </w:r>
    </w:p>
    <w:p w14:paraId="139E8D6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can support:</w:t>
      </w:r>
    </w:p>
    <w:p w14:paraId="44A4A46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scientific validation;</w:t>
      </w:r>
    </w:p>
    <w:p w14:paraId="7B43094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legal structuring;</w:t>
      </w:r>
    </w:p>
    <w:p w14:paraId="55C7549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MRV methodology;</w:t>
      </w:r>
    </w:p>
    <w:p w14:paraId="5B03F0A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public procurement;</w:t>
      </w:r>
    </w:p>
    <w:p w14:paraId="4134166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education;</w:t>
      </w:r>
    </w:p>
    <w:p w14:paraId="064D32A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health-system integration;</w:t>
      </w:r>
    </w:p>
    <w:p w14:paraId="5A9E2A4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biodiversity research;</w:t>
      </w:r>
    </w:p>
    <w:p w14:paraId="00C9DE2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soil and water testing;</w:t>
      </w:r>
    </w:p>
    <w:p w14:paraId="5B5C8CF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climate adaptation planning;</w:t>
      </w:r>
    </w:p>
    <w:p w14:paraId="08995AF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blended finance;</w:t>
      </w:r>
    </w:p>
    <w:p w14:paraId="7E439C9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risk mitigation;</w:t>
      </w:r>
    </w:p>
    <w:p w14:paraId="02DBCF3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policy alignment.</w:t>
      </w:r>
    </w:p>
    <w:p w14:paraId="45A9097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Their role is to connect Prometheus to broader institutional ecosystems.</w:t>
      </w:r>
    </w:p>
    <w:p w14:paraId="00DD9CB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regenerative asset class cannot mature in isolation.</w:t>
      </w:r>
    </w:p>
    <w:p w14:paraId="50D2BC1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requires scientific, legal, financial, and public legitimacy.</w:t>
      </w:r>
    </w:p>
    <w:p w14:paraId="3F87093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Baseline and regenerative delta</w:t>
      </w:r>
    </w:p>
    <w:p w14:paraId="3A78504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Every OHE begins with a baseline.</w:t>
      </w:r>
    </w:p>
    <w:p w14:paraId="34AC857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baseline defines the starting condition of the system before regenerative intervention.</w:t>
      </w:r>
    </w:p>
    <w:p w14:paraId="5988FF9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may include:</w:t>
      </w:r>
    </w:p>
    <w:p w14:paraId="77C344F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soil condition;</w:t>
      </w:r>
    </w:p>
    <w:p w14:paraId="193A69A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organic matter;</w:t>
      </w:r>
    </w:p>
    <w:p w14:paraId="70F46AC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soil organic carbon;</w:t>
      </w:r>
    </w:p>
    <w:p w14:paraId="6BB26F0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pH;</w:t>
      </w:r>
    </w:p>
    <w:p w14:paraId="375B164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bulk density;</w:t>
      </w:r>
    </w:p>
    <w:p w14:paraId="3C72391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water infiltration;</w:t>
      </w:r>
    </w:p>
    <w:p w14:paraId="05053A5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soil moisture;</w:t>
      </w:r>
    </w:p>
    <w:p w14:paraId="349CEA2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vegetation cover;</w:t>
      </w:r>
    </w:p>
    <w:p w14:paraId="02D001B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biodiversity;</w:t>
      </w:r>
    </w:p>
    <w:p w14:paraId="00DE5C4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productivity;</w:t>
      </w:r>
    </w:p>
    <w:p w14:paraId="6D874D1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land-use history;</w:t>
      </w:r>
    </w:p>
    <w:p w14:paraId="7AA448E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input dependency;</w:t>
      </w:r>
    </w:p>
    <w:p w14:paraId="0B8DBAE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hydrological context;</w:t>
      </w:r>
    </w:p>
    <w:p w14:paraId="5747386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microclimate;</w:t>
      </w:r>
    </w:p>
    <w:p w14:paraId="624BD27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operational constraints;</w:t>
      </w:r>
    </w:p>
    <w:p w14:paraId="11D6BDA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social and governance context.</w:t>
      </w:r>
    </w:p>
    <w:p w14:paraId="7637A5D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baseline is essential because regeneration is measured as change over time.</w:t>
      </w:r>
    </w:p>
    <w:p w14:paraId="4FE2C71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That change is the regenerative delta.</w:t>
      </w:r>
    </w:p>
    <w:p w14:paraId="49FD3D1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regenerative delta describes the difference between the starting condition and the verified condition after intervention.</w:t>
      </w:r>
    </w:p>
    <w:p w14:paraId="131D4C8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may be positive, neutral, or negative.</w:t>
      </w:r>
    </w:p>
    <w:p w14:paraId="660CF70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matters.</w:t>
      </w:r>
    </w:p>
    <w:p w14:paraId="1A6EE08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does not assume improvement by declaration.</w:t>
      </w:r>
    </w:p>
    <w:p w14:paraId="2AA7777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observes whether improvement occurs.</w:t>
      </w:r>
    </w:p>
    <w:p w14:paraId="759F492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credible regenerative delta must be:</w:t>
      </w:r>
    </w:p>
    <w:p w14:paraId="7AC6421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measured;</w:t>
      </w:r>
    </w:p>
    <w:p w14:paraId="22E2865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time-bounded;</w:t>
      </w:r>
    </w:p>
    <w:p w14:paraId="67484F3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source-linked;</w:t>
      </w:r>
    </w:p>
    <w:p w14:paraId="5C13866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confidence-scored;</w:t>
      </w:r>
    </w:p>
    <w:p w14:paraId="7418420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methodologically consistent;</w:t>
      </w:r>
    </w:p>
    <w:p w14:paraId="61AA2F9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comparable over time;</w:t>
      </w:r>
    </w:p>
    <w:p w14:paraId="58F0389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reviewed where necessary;</w:t>
      </w:r>
    </w:p>
    <w:p w14:paraId="12B74A4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connected to admissibility rules.</w:t>
      </w:r>
    </w:p>
    <w:p w14:paraId="1CA853D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regenerative delta is the operational bridge between intervention and value.</w:t>
      </w:r>
    </w:p>
    <w:p w14:paraId="00A529B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Operational process flow</w:t>
      </w:r>
    </w:p>
    <w:p w14:paraId="5B3EE7D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operates through a cyclical process.</w:t>
      </w:r>
    </w:p>
    <w:p w14:paraId="1750F51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This process allows regenerative systems to be deployed, observed, verified, improved, and eventually scaled.</w:t>
      </w:r>
    </w:p>
    <w:p w14:paraId="17D6DAA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Phase 1 — Site identification</w:t>
      </w:r>
    </w:p>
    <w:p w14:paraId="288E2E9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first phase identifies the site or unit where regenerative deployment may occur.</w:t>
      </w:r>
    </w:p>
    <w:p w14:paraId="719DA04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includes ecological, legal, operational, and social screening.</w:t>
      </w:r>
    </w:p>
    <w:p w14:paraId="471BC78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Key questions include:</w:t>
      </w:r>
    </w:p>
    <w:p w14:paraId="0FC31F6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What is the land context?</w:t>
      </w:r>
    </w:p>
    <w:p w14:paraId="4B98683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What is the current ecological condition?</w:t>
      </w:r>
    </w:p>
    <w:p w14:paraId="30E2EFD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What are the access rights?</w:t>
      </w:r>
    </w:p>
    <w:p w14:paraId="0D18714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What are the climatic constraints?</w:t>
      </w:r>
    </w:p>
    <w:p w14:paraId="7DBED75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What are the hydrological dynamics?</w:t>
      </w:r>
    </w:p>
    <w:p w14:paraId="1D58B61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What are the operational risks?</w:t>
      </w:r>
    </w:p>
    <w:p w14:paraId="6F4E904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Who are the stewards?</w:t>
      </w:r>
    </w:p>
    <w:p w14:paraId="3401102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What is the intended use case?</w:t>
      </w:r>
    </w:p>
    <w:p w14:paraId="27D4F8B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What data can be collected?</w:t>
      </w:r>
    </w:p>
    <w:p w14:paraId="3057455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Phase 2 — Baseline assessment</w:t>
      </w:r>
    </w:p>
    <w:p w14:paraId="1F0B52C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second phase establishes the baseline.</w:t>
      </w:r>
    </w:p>
    <w:p w14:paraId="1072622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includes measurement, observation, documentation, and initial evidence capture.</w:t>
      </w:r>
    </w:p>
    <w:p w14:paraId="0F2D045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Baseline assessment should include enough information to make future change measurable.</w:t>
      </w:r>
    </w:p>
    <w:p w14:paraId="4D0BFC4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weak baseline weakens future claims.</w:t>
      </w:r>
    </w:p>
    <w:p w14:paraId="5FD93F7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strong baseline strengthens the entire PRU pathway.</w:t>
      </w:r>
    </w:p>
    <w:p w14:paraId="3D4459FC" w14:textId="77777777" w:rsidR="002E5EB1" w:rsidRDefault="002E5EB1" w:rsidP="008D67A4">
      <w:pPr>
        <w:spacing w:line="360" w:lineRule="auto"/>
        <w:rPr>
          <w:rFonts w:ascii="Baskerville Old Face" w:hAnsi="Baskerville Old Face"/>
          <w:b/>
          <w:bCs/>
          <w:i/>
          <w:iCs/>
        </w:rPr>
      </w:pPr>
    </w:p>
    <w:p w14:paraId="2C64FA72" w14:textId="5D3B0BE6"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lastRenderedPageBreak/>
        <w:t>Phase 3 — Design and planning</w:t>
      </w:r>
    </w:p>
    <w:p w14:paraId="38E8BA1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third phase designs the regenerative intervention.</w:t>
      </w:r>
    </w:p>
    <w:p w14:paraId="5336B8B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includes:</w:t>
      </w:r>
    </w:p>
    <w:p w14:paraId="7558906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OHE layout;</w:t>
      </w:r>
    </w:p>
    <w:p w14:paraId="61A8B66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water design;</w:t>
      </w:r>
    </w:p>
    <w:p w14:paraId="206A785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species selection;</w:t>
      </w:r>
    </w:p>
    <w:p w14:paraId="2F97832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successional sequencing;</w:t>
      </w:r>
    </w:p>
    <w:p w14:paraId="628FA8C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stratification strategy;</w:t>
      </w:r>
    </w:p>
    <w:p w14:paraId="3C4A3E1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soil improvement plan;</w:t>
      </w:r>
    </w:p>
    <w:p w14:paraId="073DF9B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biodiversity enhancement;</w:t>
      </w:r>
    </w:p>
    <w:p w14:paraId="6FA19BC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sensor placement;</w:t>
      </w:r>
    </w:p>
    <w:p w14:paraId="25E1E0E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sampling plan;</w:t>
      </w:r>
    </w:p>
    <w:p w14:paraId="657E065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operational workflow;</w:t>
      </w:r>
    </w:p>
    <w:p w14:paraId="2EC6EEB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stewardship responsibilities;</w:t>
      </w:r>
    </w:p>
    <w:p w14:paraId="20C0763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risk mitigation;</w:t>
      </w:r>
    </w:p>
    <w:p w14:paraId="1282E08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budget and deployment timeline.</w:t>
      </w:r>
    </w:p>
    <w:p w14:paraId="41EBC99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Design is where ecological intelligence becomes operational intent.</w:t>
      </w:r>
    </w:p>
    <w:p w14:paraId="0DA1BB6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Phase 4 — Implementation</w:t>
      </w:r>
    </w:p>
    <w:p w14:paraId="109F9A4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fourth phase activates the regenerative system.</w:t>
      </w:r>
    </w:p>
    <w:p w14:paraId="55EDE47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may include:</w:t>
      </w:r>
    </w:p>
    <w:p w14:paraId="22637BA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land preparation;</w:t>
      </w:r>
    </w:p>
    <w:p w14:paraId="5D8CAE1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earthworks or water-retention structures;</w:t>
      </w:r>
    </w:p>
    <w:p w14:paraId="7900313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planting;</w:t>
      </w:r>
    </w:p>
    <w:p w14:paraId="176D5BB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mulching;</w:t>
      </w:r>
    </w:p>
    <w:p w14:paraId="5964F0D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compost or organic input application;</w:t>
      </w:r>
    </w:p>
    <w:p w14:paraId="10796FF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sensor installation;</w:t>
      </w:r>
    </w:p>
    <w:p w14:paraId="1DC9C94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irrigation setup;</w:t>
      </w:r>
    </w:p>
    <w:p w14:paraId="613B5B2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biodiversity corridor creation;</w:t>
      </w:r>
    </w:p>
    <w:p w14:paraId="3D2476A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operational training;</w:t>
      </w:r>
    </w:p>
    <w:p w14:paraId="3AE9BBB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governance activation;</w:t>
      </w:r>
    </w:p>
    <w:p w14:paraId="33D23DE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initial documentation.</w:t>
      </w:r>
    </w:p>
    <w:p w14:paraId="239DC77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Implementation events should be recorded as structured operational evidence.</w:t>
      </w:r>
    </w:p>
    <w:p w14:paraId="76FB214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Phase 5 — Monitoring</w:t>
      </w:r>
    </w:p>
    <w:p w14:paraId="1B38D8A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fifth phase observes system performance over time.</w:t>
      </w:r>
    </w:p>
    <w:p w14:paraId="6EDCE85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Monitoring may include:</w:t>
      </w:r>
    </w:p>
    <w:p w14:paraId="2BCB4C9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sensor readings;</w:t>
      </w:r>
    </w:p>
    <w:p w14:paraId="3146332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laboratory testing;</w:t>
      </w:r>
    </w:p>
    <w:p w14:paraId="6D25CB3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field observations;</w:t>
      </w:r>
    </w:p>
    <w:p w14:paraId="5DF0F71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satellite or drone imagery;</w:t>
      </w:r>
    </w:p>
    <w:p w14:paraId="0043CA3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photographic records;</w:t>
      </w:r>
    </w:p>
    <w:p w14:paraId="43B1041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yield tracking;</w:t>
      </w:r>
    </w:p>
    <w:p w14:paraId="78F76A2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biodiversity surveys;</w:t>
      </w:r>
    </w:p>
    <w:p w14:paraId="46AF78E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operational logs;</w:t>
      </w:r>
    </w:p>
    <w:p w14:paraId="54BE657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stewardship reports;</w:t>
      </w:r>
    </w:p>
    <w:p w14:paraId="2747C33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weather and climate data.</w:t>
      </w:r>
    </w:p>
    <w:p w14:paraId="0718591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Monitoring transforms ecological change into evidence.</w:t>
      </w:r>
    </w:p>
    <w:p w14:paraId="4C1F825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Phase 6 — Verification</w:t>
      </w:r>
    </w:p>
    <w:p w14:paraId="6FD8A83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sixth phase evaluates evidence quality and consistency.</w:t>
      </w:r>
    </w:p>
    <w:p w14:paraId="65BA009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Verification may include:</w:t>
      </w:r>
    </w:p>
    <w:p w14:paraId="2BB4E30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data validation;</w:t>
      </w:r>
    </w:p>
    <w:p w14:paraId="5576D61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cross-source comparison;</w:t>
      </w:r>
    </w:p>
    <w:p w14:paraId="4B0019E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calibration checks;</w:t>
      </w:r>
    </w:p>
    <w:p w14:paraId="5DEF96A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auditor review;</w:t>
      </w:r>
    </w:p>
    <w:p w14:paraId="4B74552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methodology review;</w:t>
      </w:r>
    </w:p>
    <w:p w14:paraId="48F4492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no-double-counting checks;</w:t>
      </w:r>
    </w:p>
    <w:p w14:paraId="5EA76B0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confidence scoring;</w:t>
      </w:r>
    </w:p>
    <w:p w14:paraId="57C0FFA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anomaly detection;</w:t>
      </w:r>
    </w:p>
    <w:p w14:paraId="221C479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governance review.</w:t>
      </w:r>
    </w:p>
    <w:p w14:paraId="31F24B5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Verification transforms evidence into trusted indicators.</w:t>
      </w:r>
    </w:p>
    <w:p w14:paraId="3741DF6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Phase 7 — PRU translation</w:t>
      </w:r>
    </w:p>
    <w:p w14:paraId="7524BAE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seventh phase translates verified indicators into PRU-relevant logic.</w:t>
      </w:r>
    </w:p>
    <w:p w14:paraId="1D23F2A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does not mean every indicator becomes financial value.</w:t>
      </w:r>
    </w:p>
    <w:p w14:paraId="160B8A30" w14:textId="77777777" w:rsidR="009348E4" w:rsidRPr="00B479AE" w:rsidRDefault="009348E4" w:rsidP="008D67A4">
      <w:pPr>
        <w:spacing w:line="360" w:lineRule="auto"/>
        <w:rPr>
          <w:rFonts w:ascii="Baskerville Old Face" w:hAnsi="Baskerville Old Face"/>
          <w:i/>
          <w:iCs/>
        </w:rPr>
      </w:pPr>
      <w:r w:rsidRPr="00B479AE">
        <w:rPr>
          <w:rFonts w:ascii="Baskerville Old Face" w:hAnsi="Baskerville Old Face"/>
          <w:i/>
          <w:iCs/>
        </w:rPr>
        <w:t xml:space="preserve">Only indicators meeting admissibility thresholds may contribute to PRU value analysis, maturity classification, or reporting. </w:t>
      </w:r>
    </w:p>
    <w:p w14:paraId="7529E43E" w14:textId="61019DB1"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phase requires discipline.</w:t>
      </w:r>
    </w:p>
    <w:p w14:paraId="63261C7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The system must distinguish between observed improvement, verified improvement, and financially admissible improvement.</w:t>
      </w:r>
    </w:p>
    <w:p w14:paraId="481F5B3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Phase 8 — Reporting and governance review</w:t>
      </w:r>
    </w:p>
    <w:p w14:paraId="75FA761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eighth phase presents results to relevant actors.</w:t>
      </w:r>
    </w:p>
    <w:p w14:paraId="2490290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may include:</w:t>
      </w:r>
    </w:p>
    <w:p w14:paraId="49834DC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stewardship reports;</w:t>
      </w:r>
    </w:p>
    <w:p w14:paraId="4D4ADF3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MRV reports;</w:t>
      </w:r>
    </w:p>
    <w:p w14:paraId="4C63509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governance dashboards;</w:t>
      </w:r>
    </w:p>
    <w:p w14:paraId="1916E55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investor reports;</w:t>
      </w:r>
    </w:p>
    <w:p w14:paraId="1E689DC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PRU updates;</w:t>
      </w:r>
    </w:p>
    <w:p w14:paraId="2E78F7F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risk dashboards;</w:t>
      </w:r>
    </w:p>
    <w:p w14:paraId="71CC919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operational review;</w:t>
      </w:r>
    </w:p>
    <w:p w14:paraId="4FF970A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methodology notes;</w:t>
      </w:r>
    </w:p>
    <w:p w14:paraId="2F63454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adverse event reports.</w:t>
      </w:r>
    </w:p>
    <w:p w14:paraId="0E659EB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Reporting allows the system to learn.</w:t>
      </w:r>
    </w:p>
    <w:p w14:paraId="6B87B2B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Governance review allows the system to adapt.</w:t>
      </w:r>
    </w:p>
    <w:p w14:paraId="4FE0129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Phase 9 — Reinvestment and improvement</w:t>
      </w:r>
    </w:p>
    <w:p w14:paraId="6234F05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ninth phase channels learning and value back into the system.</w:t>
      </w:r>
    </w:p>
    <w:p w14:paraId="23F5CF4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may include:</w:t>
      </w:r>
    </w:p>
    <w:p w14:paraId="281E29D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design adjustments;</w:t>
      </w:r>
    </w:p>
    <w:p w14:paraId="2838F74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additional planting;</w:t>
      </w:r>
    </w:p>
    <w:p w14:paraId="2C73192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soil interventions;</w:t>
      </w:r>
    </w:p>
    <w:p w14:paraId="569926D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water-system improvement;</w:t>
      </w:r>
    </w:p>
    <w:p w14:paraId="4C73E3F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training;</w:t>
      </w:r>
    </w:p>
    <w:p w14:paraId="14FE519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sensor upgrades;</w:t>
      </w:r>
    </w:p>
    <w:p w14:paraId="7B8D61F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methodology refinement;</w:t>
      </w:r>
    </w:p>
    <w:p w14:paraId="79F4964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community programs;</w:t>
      </w:r>
    </w:p>
    <w:p w14:paraId="3735EF5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capital reinvestment;</w:t>
      </w:r>
    </w:p>
    <w:p w14:paraId="2B2BDCC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new OHE deployment.</w:t>
      </w:r>
    </w:p>
    <w:p w14:paraId="4CC2C2D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Regeneration becomes infrastructure when the system learns how to improve itself.</w:t>
      </w:r>
    </w:p>
    <w:p w14:paraId="66BABE6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Network formation</w:t>
      </w:r>
    </w:p>
    <w:p w14:paraId="252743A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Individual OHE units gain greater significance when connected.</w:t>
      </w:r>
    </w:p>
    <w:p w14:paraId="6E5ADCB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single OHE can demonstrate local regenerative performance.</w:t>
      </w:r>
    </w:p>
    <w:p w14:paraId="2ED164A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cluster of OHE units can support shared learning, biodiversity corridors, local food systems, cooperative production, and community resilience.</w:t>
      </w:r>
    </w:p>
    <w:p w14:paraId="320EC89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bioregional network can support hydrological coherence, landscape restoration, supply-chain integration, institutional reporting, and portfolio-level resilience.</w:t>
      </w:r>
    </w:p>
    <w:p w14:paraId="7C32EB2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therefore scales through network formation rather than centralization.</w:t>
      </w:r>
    </w:p>
    <w:p w14:paraId="48731E6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progression may be expressed as:</w:t>
      </w:r>
    </w:p>
    <w:p w14:paraId="0361AE3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OHE</w:t>
      </w:r>
      <w:r w:rsidRPr="00B479AE">
        <w:rPr>
          <w:rFonts w:ascii="Baskerville Old Face" w:hAnsi="Baskerville Old Face"/>
          <w:i/>
          <w:iCs/>
        </w:rPr>
        <w:br/>
        <w:t>local cluster</w:t>
      </w:r>
      <w:r w:rsidRPr="00B479AE">
        <w:rPr>
          <w:rFonts w:ascii="Baskerville Old Face" w:hAnsi="Baskerville Old Face"/>
          <w:i/>
          <w:iCs/>
        </w:rPr>
        <w:br/>
        <w:t>community network</w:t>
      </w:r>
      <w:r w:rsidRPr="00B479AE">
        <w:rPr>
          <w:rFonts w:ascii="Baskerville Old Face" w:hAnsi="Baskerville Old Face"/>
          <w:i/>
          <w:iCs/>
        </w:rPr>
        <w:br/>
        <w:t>bioregional system</w:t>
      </w:r>
      <w:r w:rsidRPr="00B479AE">
        <w:rPr>
          <w:rFonts w:ascii="Baskerville Old Face" w:hAnsi="Baskerville Old Face"/>
          <w:i/>
          <w:iCs/>
        </w:rPr>
        <w:br/>
        <w:t>Regenerative Asset Pool</w:t>
      </w:r>
      <w:r w:rsidRPr="00B479AE">
        <w:rPr>
          <w:rFonts w:ascii="Baskerville Old Face" w:hAnsi="Baskerville Old Face"/>
          <w:i/>
          <w:iCs/>
        </w:rPr>
        <w:br/>
        <w:t>institutional regenerative infrastructure.</w:t>
      </w:r>
    </w:p>
    <w:p w14:paraId="5565E75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Each level adds complexity.</w:t>
      </w:r>
    </w:p>
    <w:p w14:paraId="416919F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Each level must preserve evidence, governance, and ecological coherence.</w:t>
      </w:r>
    </w:p>
    <w:p w14:paraId="78163AB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goal is not to make every unit identical.</w:t>
      </w:r>
    </w:p>
    <w:p w14:paraId="07D7C02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goal is to make diverse units interoperable.</w:t>
      </w:r>
    </w:p>
    <w:p w14:paraId="7AF4204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Local clusters</w:t>
      </w:r>
    </w:p>
    <w:p w14:paraId="02879B9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Local clusters connect OHE units within a shared territory.</w:t>
      </w:r>
    </w:p>
    <w:p w14:paraId="2768A82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may support:</w:t>
      </w:r>
    </w:p>
    <w:p w14:paraId="7506BD4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shared equipment;</w:t>
      </w:r>
    </w:p>
    <w:p w14:paraId="1E981B9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collective learning;</w:t>
      </w:r>
    </w:p>
    <w:p w14:paraId="4C68598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cooperative labor;</w:t>
      </w:r>
    </w:p>
    <w:p w14:paraId="5A3FAE2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joint processing;</w:t>
      </w:r>
    </w:p>
    <w:p w14:paraId="58087EF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local distribution;</w:t>
      </w:r>
    </w:p>
    <w:p w14:paraId="58FB5BB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shared MRV infrastructure;</w:t>
      </w:r>
    </w:p>
    <w:p w14:paraId="3DFA45B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biodiversity corridors;</w:t>
      </w:r>
    </w:p>
    <w:p w14:paraId="4552175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water-system coordination;</w:t>
      </w:r>
    </w:p>
    <w:p w14:paraId="79570AF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community programs;</w:t>
      </w:r>
    </w:p>
    <w:p w14:paraId="1B4DCC0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local governance.</w:t>
      </w:r>
    </w:p>
    <w:p w14:paraId="1298F7E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Clusters reduce isolation.</w:t>
      </w:r>
    </w:p>
    <w:p w14:paraId="116ACD6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allow regenerative units to become part of territorial infrastructure.</w:t>
      </w:r>
    </w:p>
    <w:p w14:paraId="4955DD2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Bioregional systems</w:t>
      </w:r>
    </w:p>
    <w:p w14:paraId="7E10FB2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Bioregional systems connect clusters across ecological and cultural landscapes.</w:t>
      </w:r>
    </w:p>
    <w:p w14:paraId="6C7EE70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may coordinate:</w:t>
      </w:r>
    </w:p>
    <w:p w14:paraId="5B728AE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watershed restoration;</w:t>
      </w:r>
    </w:p>
    <w:p w14:paraId="5447AE2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species corridors;</w:t>
      </w:r>
    </w:p>
    <w:p w14:paraId="5CF055F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regional food systems;</w:t>
      </w:r>
    </w:p>
    <w:p w14:paraId="0B1F027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landscape-level biodiversity;</w:t>
      </w:r>
    </w:p>
    <w:p w14:paraId="3FAE038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local economic development;</w:t>
      </w:r>
    </w:p>
    <w:p w14:paraId="11CAB87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institutional partnerships;</w:t>
      </w:r>
    </w:p>
    <w:p w14:paraId="2912DC2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aggregated MRV;</w:t>
      </w:r>
    </w:p>
    <w:p w14:paraId="5394D63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regional PRU portfolios;</w:t>
      </w:r>
    </w:p>
    <w:p w14:paraId="0FEA636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risk diversification;</w:t>
      </w:r>
    </w:p>
    <w:p w14:paraId="2DF4507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public-private finance.</w:t>
      </w:r>
    </w:p>
    <w:p w14:paraId="10BED9B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Bioregional scaling is essential because living systems do not stop at property boundaries.</w:t>
      </w:r>
    </w:p>
    <w:p w14:paraId="04B3131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Water flows across land.</w:t>
      </w:r>
    </w:p>
    <w:p w14:paraId="64EFB8A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Pollinators move across territories.</w:t>
      </w:r>
    </w:p>
    <w:p w14:paraId="5B8D0A4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Biodiversity requires continuity.</w:t>
      </w:r>
    </w:p>
    <w:p w14:paraId="4CD05DE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Markets require networks.</w:t>
      </w:r>
    </w:p>
    <w:p w14:paraId="70AF100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Governance requires context.</w:t>
      </w:r>
    </w:p>
    <w:p w14:paraId="0707B83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therefore treats the bioregion as a natural scale for regenerative infrastructure.</w:t>
      </w:r>
    </w:p>
    <w:p w14:paraId="4E32C24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Feedback loops</w:t>
      </w:r>
    </w:p>
    <w:p w14:paraId="0C536B9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operates through feedback loops.</w:t>
      </w:r>
    </w:p>
    <w:p w14:paraId="7753653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Feedback is the mechanism through which the system learns.</w:t>
      </w:r>
    </w:p>
    <w:p w14:paraId="555F7F6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core feedback loops include:</w:t>
      </w:r>
    </w:p>
    <w:p w14:paraId="4BA816C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Ecological feedback</w:t>
      </w:r>
    </w:p>
    <w:p w14:paraId="0A7F4B4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Soil, water, biodiversity, biomass, and productivity indicators reveal whether the system is regenerating, stagnating, or degrading.</w:t>
      </w:r>
    </w:p>
    <w:p w14:paraId="5078B5D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Operational feedback</w:t>
      </w:r>
    </w:p>
    <w:p w14:paraId="41E4F66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Logs, workflows, delays, costs, labor requirements, and intervention outcomes reveal whether implementation is effective.</w:t>
      </w:r>
    </w:p>
    <w:p w14:paraId="07CD026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Governance feedback</w:t>
      </w:r>
    </w:p>
    <w:p w14:paraId="5EE27D2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Participation, conflict, decision quality, quorum, stewardship reliability, and community trust reveal whether the governance layer is coherent.</w:t>
      </w:r>
    </w:p>
    <w:p w14:paraId="31E89A3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Financial feedback</w:t>
      </w:r>
    </w:p>
    <w:p w14:paraId="4371D1C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Costs, revenues, reserves, cash flow, PRU quality, investor reporting, and capital availability reveal whether the system is economically sustainable.</w:t>
      </w:r>
    </w:p>
    <w:p w14:paraId="008A95C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Verification feedback</w:t>
      </w:r>
    </w:p>
    <w:p w14:paraId="5FA14AE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Evidence gaps, sensor failures, methodology weaknesses, confidence scores, and audit findings reveal whether the MRV layer is credible.</w:t>
      </w:r>
    </w:p>
    <w:p w14:paraId="49C4A9E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Together, these feedback loops make Prometheus adaptive.</w:t>
      </w:r>
    </w:p>
    <w:p w14:paraId="18B6407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allow the system to correct itself before failure becomes systemic.</w:t>
      </w:r>
    </w:p>
    <w:p w14:paraId="22D39DE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Operational readiness</w:t>
      </w:r>
    </w:p>
    <w:p w14:paraId="2B5E434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should advance through explicit readiness conditions.</w:t>
      </w:r>
    </w:p>
    <w:p w14:paraId="5A47946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Operational readiness may include:</w:t>
      </w:r>
    </w:p>
    <w:p w14:paraId="0715AB5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clear site boundaries;</w:t>
      </w:r>
    </w:p>
    <w:p w14:paraId="655B9DC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documented land access;</w:t>
      </w:r>
    </w:p>
    <w:p w14:paraId="06C074F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assigned stewardship responsibility;</w:t>
      </w:r>
    </w:p>
    <w:p w14:paraId="205519B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baseline data collection;</w:t>
      </w:r>
    </w:p>
    <w:p w14:paraId="7BC8CC2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deployment plan;</w:t>
      </w:r>
    </w:p>
    <w:p w14:paraId="614D27B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MRV plan;</w:t>
      </w:r>
    </w:p>
    <w:p w14:paraId="67F8B99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budget and resource availability;</w:t>
      </w:r>
    </w:p>
    <w:p w14:paraId="4BF4E59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governance process;</w:t>
      </w:r>
    </w:p>
    <w:p w14:paraId="0D17D45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risk register;</w:t>
      </w:r>
    </w:p>
    <w:p w14:paraId="663A510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operational runbook;</w:t>
      </w:r>
    </w:p>
    <w:p w14:paraId="6642FBD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data management process;</w:t>
      </w:r>
    </w:p>
    <w:p w14:paraId="32C53F5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review and reporting schedule.</w:t>
      </w:r>
    </w:p>
    <w:p w14:paraId="541B3E8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site should not be treated as PRU-ready simply because it has regenerative potential.</w:t>
      </w:r>
    </w:p>
    <w:p w14:paraId="343A7FA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Potential must mature through evidence and operations.</w:t>
      </w:r>
    </w:p>
    <w:p w14:paraId="434130B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Readiness protects the system from premature claims.</w:t>
      </w:r>
    </w:p>
    <w:p w14:paraId="36F6DC0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Execution gates</w:t>
      </w:r>
    </w:p>
    <w:p w14:paraId="3763186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Execution gates help preserve discipline.</w:t>
      </w:r>
    </w:p>
    <w:p w14:paraId="6FAC4C4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gate is a formal point at which the system reviews whether progression is justified.</w:t>
      </w:r>
    </w:p>
    <w:p w14:paraId="3FF6713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Possible gate outcomes include:</w:t>
      </w:r>
    </w:p>
    <w:p w14:paraId="6C61505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proceed;</w:t>
      </w:r>
    </w:p>
    <w:p w14:paraId="6C534CB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proceed with conditions;</w:t>
      </w:r>
    </w:p>
    <w:p w14:paraId="52B36DF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manual review;</w:t>
      </w:r>
    </w:p>
    <w:p w14:paraId="488F447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pause;</w:t>
      </w:r>
    </w:p>
    <w:p w14:paraId="3B42AD5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redesign;</w:t>
      </w:r>
    </w:p>
    <w:p w14:paraId="08001B0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reject;</w:t>
      </w:r>
    </w:p>
    <w:p w14:paraId="071A89A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archive.</w:t>
      </w:r>
    </w:p>
    <w:p w14:paraId="201FB3E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Execution gates may apply to:</w:t>
      </w:r>
    </w:p>
    <w:p w14:paraId="7B45251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site onboarding;</w:t>
      </w:r>
    </w:p>
    <w:p w14:paraId="26ABE4F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baseline approval;</w:t>
      </w:r>
    </w:p>
    <w:p w14:paraId="2B7B2E2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deployment approval;</w:t>
      </w:r>
    </w:p>
    <w:p w14:paraId="2FA6228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MRV activation;</w:t>
      </w:r>
    </w:p>
    <w:p w14:paraId="13883E4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PRU eligibility;</w:t>
      </w:r>
    </w:p>
    <w:p w14:paraId="6CCA3FC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RAP inclusion;</w:t>
      </w:r>
    </w:p>
    <w:p w14:paraId="25FE67A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investor reporting;</w:t>
      </w:r>
    </w:p>
    <w:p w14:paraId="2BDC275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methodology updates;</w:t>
      </w:r>
    </w:p>
    <w:p w14:paraId="37DE507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tokenized representation;</w:t>
      </w:r>
    </w:p>
    <w:p w14:paraId="66C16B2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portfolio expansion.</w:t>
      </w:r>
    </w:p>
    <w:p w14:paraId="2538780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prevents the system from moving automatically from narrative to finance.</w:t>
      </w:r>
    </w:p>
    <w:p w14:paraId="0262967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Each progression must pass through evidence and governance.</w:t>
      </w:r>
    </w:p>
    <w:p w14:paraId="1B3323D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Operational records</w:t>
      </w:r>
    </w:p>
    <w:p w14:paraId="13F34D2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Operational records are essential to the Prometheus evidence fabric.</w:t>
      </w:r>
    </w:p>
    <w:p w14:paraId="77E2707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They document what happened, when, where, by whom, and under which conditions.</w:t>
      </w:r>
    </w:p>
    <w:p w14:paraId="45011C4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Relevant records may include:</w:t>
      </w:r>
    </w:p>
    <w:p w14:paraId="56A7DA7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planting events;</w:t>
      </w:r>
    </w:p>
    <w:p w14:paraId="0073EF6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pruning events;</w:t>
      </w:r>
    </w:p>
    <w:p w14:paraId="7AB5024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irrigation events;</w:t>
      </w:r>
    </w:p>
    <w:p w14:paraId="0D25949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compost applications;</w:t>
      </w:r>
    </w:p>
    <w:p w14:paraId="75C35E9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biomass return;</w:t>
      </w:r>
    </w:p>
    <w:p w14:paraId="630FD37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harvest logs;</w:t>
      </w:r>
    </w:p>
    <w:p w14:paraId="7130608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pest observations;</w:t>
      </w:r>
    </w:p>
    <w:p w14:paraId="67F5301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disease observations;</w:t>
      </w:r>
    </w:p>
    <w:p w14:paraId="444353D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soil sampling;</w:t>
      </w:r>
    </w:p>
    <w:p w14:paraId="65F4961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water testing;</w:t>
      </w:r>
    </w:p>
    <w:p w14:paraId="732E6CD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sensor maintenance;</w:t>
      </w:r>
    </w:p>
    <w:p w14:paraId="571212F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calibration events;</w:t>
      </w:r>
    </w:p>
    <w:p w14:paraId="6B6ED45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equipment failures;</w:t>
      </w:r>
    </w:p>
    <w:p w14:paraId="15D5E1E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labor records;</w:t>
      </w:r>
    </w:p>
    <w:p w14:paraId="494941E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governance decisions;</w:t>
      </w:r>
    </w:p>
    <w:p w14:paraId="1A71F79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audits;</w:t>
      </w:r>
    </w:p>
    <w:p w14:paraId="2134FA7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corrective actions.</w:t>
      </w:r>
    </w:p>
    <w:p w14:paraId="08792BB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These records should be structured in ways compatible with provenance, Valueflows, and PRU methodology.</w:t>
      </w:r>
    </w:p>
    <w:p w14:paraId="2B8F548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operational record is where stewardship becomes reviewable.</w:t>
      </w:r>
    </w:p>
    <w:p w14:paraId="34AA0C8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Data room formation</w:t>
      </w:r>
    </w:p>
    <w:p w14:paraId="7AAFF9F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Each mature regenerative unit should progressively develop a data room.</w:t>
      </w:r>
    </w:p>
    <w:p w14:paraId="4C16B31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data room is the organized body of evidence through which the system becomes readable to auditors, partners, capital allocators, and institutions.</w:t>
      </w:r>
    </w:p>
    <w:p w14:paraId="1DE1FC3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Prometheus data room may contain:</w:t>
      </w:r>
    </w:p>
    <w:p w14:paraId="0196531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site overview;</w:t>
      </w:r>
    </w:p>
    <w:p w14:paraId="7EFDF27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land access documentation;</w:t>
      </w:r>
    </w:p>
    <w:p w14:paraId="6F4BB50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baseline report;</w:t>
      </w:r>
    </w:p>
    <w:p w14:paraId="466C548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design plan;</w:t>
      </w:r>
    </w:p>
    <w:p w14:paraId="44F2FB6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implementation records;</w:t>
      </w:r>
    </w:p>
    <w:p w14:paraId="38A2B79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MRV protocol;</w:t>
      </w:r>
    </w:p>
    <w:p w14:paraId="556AFA2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sensor inventory;</w:t>
      </w:r>
    </w:p>
    <w:p w14:paraId="040B3DC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laboratory reports;</w:t>
      </w:r>
    </w:p>
    <w:p w14:paraId="3E4EAB9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satellite or drone evidence;</w:t>
      </w:r>
    </w:p>
    <w:p w14:paraId="6B1918E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operational logs;</w:t>
      </w:r>
    </w:p>
    <w:p w14:paraId="3CDCD1A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governance documentation;</w:t>
      </w:r>
    </w:p>
    <w:p w14:paraId="7E6399A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risk register;</w:t>
      </w:r>
    </w:p>
    <w:p w14:paraId="4E0A9F6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financial model;</w:t>
      </w:r>
    </w:p>
    <w:p w14:paraId="0891A5C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PRU methodology;</w:t>
      </w:r>
    </w:p>
    <w:p w14:paraId="5690C29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confidence scoring;</w:t>
      </w:r>
    </w:p>
    <w:p w14:paraId="0A850C4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audit records;</w:t>
      </w:r>
    </w:p>
    <w:p w14:paraId="2D34738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investor reporting;</w:t>
      </w:r>
    </w:p>
    <w:p w14:paraId="503FFDC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adverse event history;</w:t>
      </w:r>
    </w:p>
    <w:p w14:paraId="41F83E1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methodology versions.</w:t>
      </w:r>
    </w:p>
    <w:p w14:paraId="6B73076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data room is not bureaucracy.</w:t>
      </w:r>
    </w:p>
    <w:p w14:paraId="36EF7E0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the memory of the asset.</w:t>
      </w:r>
    </w:p>
    <w:p w14:paraId="1CC22E8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Without it, value remains hard to underwrite.</w:t>
      </w:r>
    </w:p>
    <w:p w14:paraId="607ED68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With it, regenerative infrastructure becomes legible.</w:t>
      </w:r>
    </w:p>
    <w:p w14:paraId="7CF9578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Operational economics</w:t>
      </w:r>
    </w:p>
    <w:p w14:paraId="049ED4D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The operational ecosystem must generate economic viability.</w:t>
      </w:r>
    </w:p>
    <w:p w14:paraId="5C591CC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Regeneration cannot scale if it remains structurally dependent on permanent subsidy.</w:t>
      </w:r>
    </w:p>
    <w:p w14:paraId="61B270E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therefore recognizes multiple possible operational revenue streams:</w:t>
      </w:r>
    </w:p>
    <w:p w14:paraId="15A27A5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hospitality;</w:t>
      </w:r>
    </w:p>
    <w:p w14:paraId="153BC0A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food production;</w:t>
      </w:r>
    </w:p>
    <w:p w14:paraId="3059D1B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agroforestry products;</w:t>
      </w:r>
    </w:p>
    <w:p w14:paraId="00CED1D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education and training;</w:t>
      </w:r>
    </w:p>
    <w:p w14:paraId="1954EAB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ecological design services;</w:t>
      </w:r>
    </w:p>
    <w:p w14:paraId="69BD3E8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regenerative experiences;</w:t>
      </w:r>
    </w:p>
    <w:p w14:paraId="1C13BFE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data and MRV services;</w:t>
      </w:r>
    </w:p>
    <w:p w14:paraId="3CB5EBC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ecosystem-service contracts;</w:t>
      </w:r>
    </w:p>
    <w:p w14:paraId="2A2298C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public procurement;</w:t>
      </w:r>
    </w:p>
    <w:p w14:paraId="0C4C6E6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health and nutrition programs;</w:t>
      </w:r>
    </w:p>
    <w:p w14:paraId="6B332F6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institutional partnerships;</w:t>
      </w:r>
    </w:p>
    <w:p w14:paraId="25AEEDD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future PRU-linked financial structuring.</w:t>
      </w:r>
    </w:p>
    <w:p w14:paraId="42E7468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Not every deployment will use every revenue stream.</w:t>
      </w:r>
    </w:p>
    <w:p w14:paraId="3D8927F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Each site must define its own operational model.</w:t>
      </w:r>
    </w:p>
    <w:p w14:paraId="51D026A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key principle is that PRU logic supports underwriting and comparability, but it should not replace real operational viability.</w:t>
      </w:r>
    </w:p>
    <w:p w14:paraId="39676CF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Cash flow matters.</w:t>
      </w:r>
    </w:p>
    <w:p w14:paraId="4FCB540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Stewardship matters.</w:t>
      </w:r>
    </w:p>
    <w:p w14:paraId="46649C9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Evidence matters.</w:t>
      </w:r>
    </w:p>
    <w:p w14:paraId="1CD912B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Legal structure matters.</w:t>
      </w:r>
    </w:p>
    <w:p w14:paraId="4EAFF4F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Together, they create financeability.</w:t>
      </w:r>
    </w:p>
    <w:p w14:paraId="4F554C3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Capital allocation at the operational level</w:t>
      </w:r>
    </w:p>
    <w:p w14:paraId="1659EBC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Capital enters the operational ecosystem to support deployment and scaling.</w:t>
      </w:r>
    </w:p>
    <w:p w14:paraId="12B7905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Capital may fund:</w:t>
      </w:r>
    </w:p>
    <w:p w14:paraId="2729C31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land access structuring;</w:t>
      </w:r>
    </w:p>
    <w:p w14:paraId="082DD62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site preparation;</w:t>
      </w:r>
    </w:p>
    <w:p w14:paraId="617E0BC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OHE installation;</w:t>
      </w:r>
    </w:p>
    <w:p w14:paraId="3B96E18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water systems;</w:t>
      </w:r>
    </w:p>
    <w:p w14:paraId="2656EB2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planting and materials;</w:t>
      </w:r>
    </w:p>
    <w:p w14:paraId="6F87513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sensors and MRV tools;</w:t>
      </w:r>
    </w:p>
    <w:p w14:paraId="3542967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digital infrastructure;</w:t>
      </w:r>
    </w:p>
    <w:p w14:paraId="5693797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stewardship training;</w:t>
      </w:r>
    </w:p>
    <w:p w14:paraId="72A8D94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operating reserves;</w:t>
      </w:r>
    </w:p>
    <w:p w14:paraId="52A5227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governance setup;</w:t>
      </w:r>
    </w:p>
    <w:p w14:paraId="2428BBD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reporting systems;</w:t>
      </w:r>
    </w:p>
    <w:p w14:paraId="49BB54A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data room formation;</w:t>
      </w:r>
    </w:p>
    <w:p w14:paraId="32AAE52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replication.</w:t>
      </w:r>
    </w:p>
    <w:p w14:paraId="6124FCC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Capital should be deployed according to stage.</w:t>
      </w:r>
    </w:p>
    <w:p w14:paraId="630142D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Early capital supports proof.</w:t>
      </w:r>
    </w:p>
    <w:p w14:paraId="426D297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Growth capital supports replication.</w:t>
      </w:r>
    </w:p>
    <w:p w14:paraId="70DB7B8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Institutional capital supports portfolios.</w:t>
      </w:r>
    </w:p>
    <w:p w14:paraId="2F1F2C6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This staged logic protects both the investor and the living system.</w:t>
      </w:r>
    </w:p>
    <w:p w14:paraId="59F7728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is not designed to pull capital ahead of evidence.</w:t>
      </w:r>
    </w:p>
    <w:p w14:paraId="04F0F88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designed to let evidence progressively improve the quality of capital.</w:t>
      </w:r>
    </w:p>
    <w:p w14:paraId="2B7B7DA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Risk at the operational level</w:t>
      </w:r>
    </w:p>
    <w:p w14:paraId="3B90605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Operational risk is unavoidable.</w:t>
      </w:r>
    </w:p>
    <w:p w14:paraId="2CCD8A7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does not hide it.</w:t>
      </w:r>
    </w:p>
    <w:p w14:paraId="6445669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structures it.</w:t>
      </w:r>
    </w:p>
    <w:p w14:paraId="557DC8F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Key operational risks include:</w:t>
      </w:r>
    </w:p>
    <w:p w14:paraId="5594376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poor site selection;</w:t>
      </w:r>
    </w:p>
    <w:p w14:paraId="321D30D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weak design;</w:t>
      </w:r>
    </w:p>
    <w:p w14:paraId="24E6C50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insufficient stewardship;</w:t>
      </w:r>
    </w:p>
    <w:p w14:paraId="4422589E"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drought;</w:t>
      </w:r>
    </w:p>
    <w:p w14:paraId="74AE778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pest or disease pressure;</w:t>
      </w:r>
    </w:p>
    <w:p w14:paraId="642C062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delayed ecological maturity;</w:t>
      </w:r>
    </w:p>
    <w:p w14:paraId="07F4E21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sensor failure;</w:t>
      </w:r>
    </w:p>
    <w:p w14:paraId="5892FAC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incomplete data;</w:t>
      </w:r>
    </w:p>
    <w:p w14:paraId="19AB7D6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governance conflict;</w:t>
      </w:r>
    </w:p>
    <w:p w14:paraId="62F5F15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cost overruns;</w:t>
      </w:r>
    </w:p>
    <w:p w14:paraId="10378CA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market access limitations;</w:t>
      </w:r>
    </w:p>
    <w:p w14:paraId="3E1C203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regulatory complexity;</w:t>
      </w:r>
    </w:p>
    <w:p w14:paraId="580D8CC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capital timing mismatch;</w:t>
      </w:r>
    </w:p>
    <w:p w14:paraId="1ADE156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overstatement of future value.</w:t>
      </w:r>
    </w:p>
    <w:p w14:paraId="54E8780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Each risk must be connected to mitigation.</w:t>
      </w:r>
    </w:p>
    <w:p w14:paraId="755142F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Examples include:</w:t>
      </w:r>
    </w:p>
    <w:p w14:paraId="4982CDD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conservative site screening;</w:t>
      </w:r>
    </w:p>
    <w:p w14:paraId="3A1F1E9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phased deployment;</w:t>
      </w:r>
    </w:p>
    <w:p w14:paraId="56E5B29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water-first design;</w:t>
      </w:r>
    </w:p>
    <w:p w14:paraId="450130F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biodiversity-based risk distribution;</w:t>
      </w:r>
    </w:p>
    <w:p w14:paraId="59C0FD2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operator training;</w:t>
      </w:r>
    </w:p>
    <w:p w14:paraId="5BBB9CB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contingency reserves;</w:t>
      </w:r>
    </w:p>
    <w:p w14:paraId="4777645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sensor redundancy;</w:t>
      </w:r>
    </w:p>
    <w:p w14:paraId="4A50DA8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third-party verification;</w:t>
      </w:r>
    </w:p>
    <w:p w14:paraId="1ADC827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governance procedures;</w:t>
      </w:r>
    </w:p>
    <w:p w14:paraId="188556F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financial stress testing;</w:t>
      </w:r>
    </w:p>
    <w:p w14:paraId="4E65E56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clear reporting boundaries.</w:t>
      </w:r>
    </w:p>
    <w:p w14:paraId="361E3F3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Risk discipline is not the enemy of regeneration.</w:t>
      </w:r>
    </w:p>
    <w:p w14:paraId="416BED8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the way regeneration becomes investable.</w:t>
      </w:r>
    </w:p>
    <w:p w14:paraId="648552D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Operational scalability</w:t>
      </w:r>
    </w:p>
    <w:p w14:paraId="69C84F1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scales through repeatable units, not centralized uniformity.</w:t>
      </w:r>
    </w:p>
    <w:p w14:paraId="448FBDD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OHE provides a replicable pattern.</w:t>
      </w:r>
    </w:p>
    <w:p w14:paraId="5971A9D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MRV layer provides evidence continuity.</w:t>
      </w:r>
    </w:p>
    <w:p w14:paraId="788D1EF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Valueflows provides semantic structure.</w:t>
      </w:r>
    </w:p>
    <w:p w14:paraId="58EA4B6A" w14:textId="33C8BC45"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xml:space="preserve">PRU provides </w:t>
      </w:r>
      <w:r w:rsidR="005920C4" w:rsidRPr="00B479AE">
        <w:rPr>
          <w:rFonts w:ascii="Baskerville Old Face" w:hAnsi="Baskerville Old Face"/>
          <w:i/>
          <w:iCs/>
        </w:rPr>
        <w:t>the institutional interface between regeneration and capital</w:t>
      </w:r>
      <w:r w:rsidRPr="00B479AE">
        <w:rPr>
          <w:rFonts w:ascii="Baskerville Old Face" w:hAnsi="Baskerville Old Face"/>
          <w:i/>
          <w:iCs/>
        </w:rPr>
        <w:t>.</w:t>
      </w:r>
    </w:p>
    <w:p w14:paraId="2F5BFF3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RAP provides portfolio aggregation.</w:t>
      </w:r>
    </w:p>
    <w:p w14:paraId="775BD04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Governance provides coherence.</w:t>
      </w:r>
    </w:p>
    <w:p w14:paraId="18521D1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Capital provides deployment capacity.</w:t>
      </w:r>
    </w:p>
    <w:p w14:paraId="2131F6F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AI may improve learning across deployments.</w:t>
      </w:r>
    </w:p>
    <w:p w14:paraId="14DBF06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As more units are deployed, the system can learn from variations in climate, design, species, management, revenue, and governance.</w:t>
      </w:r>
    </w:p>
    <w:p w14:paraId="54A3036C"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creates a knowledge flywheel.</w:t>
      </w:r>
    </w:p>
    <w:p w14:paraId="0CC73C2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More deployments generate more data.</w:t>
      </w:r>
    </w:p>
    <w:p w14:paraId="525C3A1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More data improves models.</w:t>
      </w:r>
    </w:p>
    <w:p w14:paraId="372CDFC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Better models improve design.</w:t>
      </w:r>
    </w:p>
    <w:p w14:paraId="4F92300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Better design improves performance.</w:t>
      </w:r>
    </w:p>
    <w:p w14:paraId="36489E9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Better performance improves PRU quality.</w:t>
      </w:r>
    </w:p>
    <w:p w14:paraId="1AF89C8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Improved PRU quality supports better capital allocation.</w:t>
      </w:r>
    </w:p>
    <w:p w14:paraId="4E99140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Better capital allocation enables more deployments.</w:t>
      </w:r>
    </w:p>
    <w:p w14:paraId="61A1FA2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is the operational spiral of Prometheus.</w:t>
      </w:r>
    </w:p>
    <w:p w14:paraId="1E05969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Pilot-first discipline</w:t>
      </w:r>
    </w:p>
    <w:p w14:paraId="576DCC3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pilot is the first serious test of the Prometheus architecture.</w:t>
      </w:r>
    </w:p>
    <w:p w14:paraId="2A40DCE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pilot should prove several things:</w:t>
      </w:r>
    </w:p>
    <w:p w14:paraId="15688D13"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that regeneration can be implemented under defined conditions;</w:t>
      </w:r>
    </w:p>
    <w:p w14:paraId="66F8D9FB"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that baseline data can be collected;</w:t>
      </w:r>
    </w:p>
    <w:p w14:paraId="73CF6858"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that MRV can be operationalized;</w:t>
      </w:r>
    </w:p>
    <w:p w14:paraId="76E2E2F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that stewardship can be documented;</w:t>
      </w:r>
    </w:p>
    <w:p w14:paraId="792A064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that digital records can preserve provenance;</w:t>
      </w:r>
    </w:p>
    <w:p w14:paraId="5C3ED470"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 that governance can remain coherent;</w:t>
      </w:r>
    </w:p>
    <w:p w14:paraId="7168AB0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that financial logic can remain grounded;</w:t>
      </w:r>
    </w:p>
    <w:p w14:paraId="5775D2F4"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that PRU translation can occur without inflation;</w:t>
      </w:r>
    </w:p>
    <w:p w14:paraId="5E2AC97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that reporting can be produced;</w:t>
      </w:r>
    </w:p>
    <w:p w14:paraId="2A7F802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 that lessons can be integrated.</w:t>
      </w:r>
    </w:p>
    <w:p w14:paraId="7863E1D5"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A pilot is successful not because it validates every future claim.</w:t>
      </w:r>
    </w:p>
    <w:p w14:paraId="2ADB92C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successful if it creates a trustworthy pathway from observation to improvement to verified value.</w:t>
      </w:r>
    </w:p>
    <w:p w14:paraId="449AB36F"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From operational ecosystem to asset class</w:t>
      </w:r>
    </w:p>
    <w:p w14:paraId="7DE28CA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operational ecosystem is where Prometheus earns the right to become financeable.</w:t>
      </w:r>
    </w:p>
    <w:p w14:paraId="773BC38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Without operations, asset-class language remains abstract.</w:t>
      </w:r>
    </w:p>
    <w:p w14:paraId="4AC8130A"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Without evidence, PRU remains theoretical.</w:t>
      </w:r>
    </w:p>
    <w:p w14:paraId="788F451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Without governance, capital becomes dangerous.</w:t>
      </w:r>
    </w:p>
    <w:p w14:paraId="2B5B6B9D"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Without cash flow or value pathways, investment remains fragile.</w:t>
      </w:r>
    </w:p>
    <w:p w14:paraId="6D3C261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Without data rooms, institutional trust remains limited.</w:t>
      </w:r>
    </w:p>
    <w:p w14:paraId="378E7289"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Prometheus becomes a candidate asset class only when regenerative systems operate, generate evidence, demonstrate improvements, support governance, and produce financial pathways that can be underwritten.</w:t>
      </w:r>
    </w:p>
    <w:p w14:paraId="6ECCC982"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This is why the operational ecosystem is central.</w:t>
      </w:r>
    </w:p>
    <w:p w14:paraId="415B74F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It is the bridge between vision and market.</w:t>
      </w:r>
    </w:p>
    <w:p w14:paraId="6CA3019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b/>
          <w:bCs/>
          <w:i/>
          <w:iCs/>
        </w:rPr>
        <w:t>Transition to the next part</w:t>
      </w:r>
    </w:p>
    <w:p w14:paraId="44800FB6"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operational ecosystem shows how Prometheus becomes real through actors, sites, evidence, governance, and deployment discipline.</w:t>
      </w:r>
    </w:p>
    <w:p w14:paraId="7FE792A7"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t>The next part defines the financial transformation more directly.</w:t>
      </w:r>
    </w:p>
    <w:p w14:paraId="71F21331" w14:textId="77777777" w:rsidR="008D67A4" w:rsidRPr="00B479AE" w:rsidRDefault="008D67A4" w:rsidP="008D67A4">
      <w:pPr>
        <w:spacing w:line="360" w:lineRule="auto"/>
        <w:rPr>
          <w:rFonts w:ascii="Baskerville Old Face" w:hAnsi="Baskerville Old Face"/>
          <w:i/>
          <w:iCs/>
        </w:rPr>
      </w:pPr>
      <w:r w:rsidRPr="00B479AE">
        <w:rPr>
          <w:rFonts w:ascii="Baskerville Old Face" w:hAnsi="Baskerville Old Face"/>
          <w:i/>
          <w:iCs/>
        </w:rPr>
        <w:lastRenderedPageBreak/>
        <w:t>It explains how verified regenerative value becomes an asset class, how PRU functions as the translation layer, how RAP creates portfolio logic, and how capital can participate in regenerative infrastructure without detaching value from life.</w:t>
      </w:r>
    </w:p>
    <w:p w14:paraId="78D8AB5A" w14:textId="1BE6FDFF" w:rsidR="00504071" w:rsidRPr="00B479AE" w:rsidRDefault="00504071" w:rsidP="00504071">
      <w:pPr>
        <w:spacing w:line="360" w:lineRule="auto"/>
        <w:rPr>
          <w:rFonts w:ascii="Baskerville Old Face" w:hAnsi="Baskerville Old Face"/>
          <w:i/>
          <w:iCs/>
        </w:rPr>
      </w:pPr>
    </w:p>
    <w:p w14:paraId="01793917" w14:textId="114A8F21" w:rsidR="00504071" w:rsidRPr="00B479AE" w:rsidRDefault="00504071" w:rsidP="009B650E">
      <w:pPr>
        <w:pStyle w:val="Titolo1"/>
        <w:rPr>
          <w:rFonts w:ascii="Baskerville Old Face" w:hAnsi="Baskerville Old Face"/>
          <w:b/>
          <w:bCs/>
          <w:i/>
          <w:iCs/>
          <w:sz w:val="24"/>
          <w:szCs w:val="24"/>
        </w:rPr>
      </w:pPr>
      <w:r w:rsidRPr="00B479AE">
        <w:rPr>
          <w:rFonts w:ascii="Baskerville Old Face" w:hAnsi="Baskerville Old Face"/>
          <w:b/>
          <w:bCs/>
          <w:i/>
          <w:iCs/>
          <w:sz w:val="24"/>
          <w:szCs w:val="24"/>
        </w:rPr>
        <w:t>PART VI</w:t>
      </w:r>
      <w:r w:rsidR="009B650E" w:rsidRPr="00B479AE">
        <w:rPr>
          <w:rFonts w:ascii="Baskerville Old Face" w:hAnsi="Baskerville Old Face"/>
          <w:b/>
          <w:bCs/>
          <w:i/>
          <w:iCs/>
          <w:sz w:val="24"/>
          <w:szCs w:val="24"/>
        </w:rPr>
        <w:t xml:space="preserve"> - </w:t>
      </w:r>
      <w:r w:rsidRPr="00B479AE">
        <w:rPr>
          <w:rFonts w:ascii="Baskerville Old Face" w:hAnsi="Baskerville Old Face"/>
          <w:b/>
          <w:bCs/>
          <w:i/>
          <w:iCs/>
          <w:sz w:val="24"/>
          <w:szCs w:val="24"/>
        </w:rPr>
        <w:t>Regenerative Value as an Asset Class</w:t>
      </w:r>
    </w:p>
    <w:p w14:paraId="228FD18B"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From regeneration to investable value</w:t>
      </w:r>
    </w:p>
    <w:p w14:paraId="02667F18"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Regenerative value is the measurable enhancement of living systems that increases the long-term productive capacity, resilience, and stability of a territory.</w:t>
      </w:r>
    </w:p>
    <w:p w14:paraId="3126602C"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emerges through soil regeneration, water-cycle stabilization, biodiversity restoration, biomass accumulation, nutritional production, human stewardship, and reduced dependency on extractive inputs.</w:t>
      </w:r>
    </w:p>
    <w:p w14:paraId="28444CC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These processes create real economic effects.</w:t>
      </w:r>
    </w:p>
    <w:p w14:paraId="5F41ED0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They can increase productivity.</w:t>
      </w:r>
    </w:p>
    <w:p w14:paraId="7F301F37"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They can reduce exposure to drought, erosion, biological simplification, supply-chain fragility, and input volatility.</w:t>
      </w:r>
    </w:p>
    <w:p w14:paraId="742A8381"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They can improve local food resilience.</w:t>
      </w:r>
    </w:p>
    <w:p w14:paraId="1E03D5E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They can support health-oriented systems.</w:t>
      </w:r>
    </w:p>
    <w:p w14:paraId="1431403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They can strengthen territorial stability.</w:t>
      </w:r>
    </w:p>
    <w:p w14:paraId="4078E37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They can reduce long-term risk.</w:t>
      </w:r>
    </w:p>
    <w:p w14:paraId="78BACDCD"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Yet traditional financial systems have struggled to recognize this value because it is distributed, multidimensional, slow-maturing, context-dependent, and historically difficult to measure.</w:t>
      </w:r>
    </w:p>
    <w:p w14:paraId="31762A8F"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Prometheus addresses this gap by creating the architecture through which regenerative performance becomes observable, verifiable, comparable, underwritable, and eventually investable.</w:t>
      </w:r>
    </w:p>
    <w:p w14:paraId="1D4B77CF"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This is the function of the Prometheus Regenerative Unit.</w:t>
      </w:r>
    </w:p>
    <w:p w14:paraId="77622F2D" w14:textId="77777777" w:rsidR="002E5EB1" w:rsidRDefault="002E5EB1" w:rsidP="00504071">
      <w:pPr>
        <w:spacing w:line="360" w:lineRule="auto"/>
        <w:rPr>
          <w:rFonts w:ascii="Baskerville Old Face" w:hAnsi="Baskerville Old Face"/>
          <w:b/>
          <w:bCs/>
          <w:i/>
          <w:iCs/>
        </w:rPr>
      </w:pPr>
    </w:p>
    <w:p w14:paraId="733FFB17" w14:textId="023CF3D0"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lastRenderedPageBreak/>
        <w:t>The financial translation problem</w:t>
      </w:r>
    </w:p>
    <w:p w14:paraId="7C69F218"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Living systems generate value in ways that conventional finance often fails to recognize.</w:t>
      </w:r>
    </w:p>
    <w:p w14:paraId="0779700B"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A forest may increase water retention, improve microclimate, support biodiversity, produce food, reduce erosion, and stabilize soil.</w:t>
      </w:r>
    </w:p>
    <w:p w14:paraId="58CC0A12"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A syntropic agroforestry system may generate yield while also increasing organic matter, reducing external inputs, improving resilience, and supporting ecological cooperation.</w:t>
      </w:r>
    </w:p>
    <w:p w14:paraId="26AB3799"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A healthy soil may reduce risk more effectively than a financial hedge, because it changes the biophysical conditions under which productivity occurs.</w:t>
      </w:r>
    </w:p>
    <w:p w14:paraId="1180A102"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Yet these forms of value do not automatically become financially legible, institutionally admissible, or capital-ready.</w:t>
      </w:r>
    </w:p>
    <w:p w14:paraId="0EAD7497"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They require a translation layer capable of distinguishing evidence from narrative, ecological improvement from financial value, verified performance from legal rights, and systemic relevance from investor entitlement.</w:t>
      </w:r>
    </w:p>
    <w:p w14:paraId="2F5E7470"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This is the function of the Prometheus Regenerative Unit.</w:t>
      </w:r>
    </w:p>
    <w:p w14:paraId="55A5AD46"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The PRU is the value-analysis interface of verified regenerative performance.</w:t>
      </w:r>
    </w:p>
    <w:p w14:paraId="4FF5464C"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It represents a structured translation layer between ecological reality and capital allocation.</w:t>
      </w:r>
    </w:p>
    <w:p w14:paraId="0F96B2B8"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The PRU may incorporate several dimensions:</w:t>
      </w:r>
    </w:p>
    <w:p w14:paraId="2352FFE8"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 productive output;</w:t>
      </w:r>
    </w:p>
    <w:p w14:paraId="42303090"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 soil function;</w:t>
      </w:r>
    </w:p>
    <w:p w14:paraId="4DC3D084"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 hydrological performance;</w:t>
      </w:r>
    </w:p>
    <w:p w14:paraId="6C232760"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 biodiversity;</w:t>
      </w:r>
    </w:p>
    <w:p w14:paraId="1BAA7C66"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 biomass cycling;</w:t>
      </w:r>
    </w:p>
    <w:p w14:paraId="76730588"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 input-dependency reduction;</w:t>
      </w:r>
    </w:p>
    <w:p w14:paraId="35A82041"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 resilience;</w:t>
      </w:r>
    </w:p>
    <w:p w14:paraId="0DEA1C2F"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lastRenderedPageBreak/>
        <w:t>• MRV integrity;</w:t>
      </w:r>
    </w:p>
    <w:p w14:paraId="6947DDE3"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 confidence score;</w:t>
      </w:r>
    </w:p>
    <w:p w14:paraId="05182AC1"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 admissibility status;</w:t>
      </w:r>
    </w:p>
    <w:p w14:paraId="0B2CE710"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 governance and operational reliability.</w:t>
      </w:r>
    </w:p>
    <w:p w14:paraId="54A90616"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The PRU exists because ecological performance must become comparable before it can become financeable.</w:t>
      </w:r>
    </w:p>
    <w:p w14:paraId="735B5973"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A soil improvement in Sicily, a water-retention gain in Spain, a biodiversity increase in Florida, and a syntropic yield improvement in another bioregion cannot become portfolio-grade unless they are translated into structured, normalized, reviewable, and admissible analytical units.</w:t>
      </w:r>
    </w:p>
    <w:p w14:paraId="12837A5B"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The PRU does not reduce all value to money.</w:t>
      </w:r>
    </w:p>
    <w:p w14:paraId="58F9A5FC"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It creates a disciplined analytical interface through which verified regenerative performance can be assessed by capital without detaching value from the living system that generated it.</w:t>
      </w:r>
    </w:p>
    <w:p w14:paraId="7C61A5D6"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PRU value analysis may occur only when evidence is methodology-aligned, confidence-scored, reviewable, admissible, and legally bounded where required.</w:t>
      </w:r>
    </w:p>
    <w:p w14:paraId="4923F528"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The correct sequence is:</w:t>
      </w:r>
    </w:p>
    <w:p w14:paraId="0380E776" w14:textId="77777777" w:rsidR="0079701E" w:rsidRPr="00B479AE" w:rsidRDefault="0079701E" w:rsidP="0079701E">
      <w:pPr>
        <w:spacing w:line="360" w:lineRule="auto"/>
        <w:rPr>
          <w:rFonts w:ascii="Baskerville Old Face" w:hAnsi="Baskerville Old Face"/>
          <w:i/>
          <w:iCs/>
        </w:rPr>
      </w:pPr>
      <w:r w:rsidRPr="00B479AE">
        <w:rPr>
          <w:rFonts w:ascii="Baskerville Old Face" w:hAnsi="Baskerville Old Face"/>
          <w:i/>
          <w:iCs/>
        </w:rPr>
        <w:t xml:space="preserve">verified regenerative performance </w:t>
      </w:r>
      <w:r w:rsidRPr="00B479AE">
        <w:rPr>
          <w:rFonts w:ascii="Times New Roman" w:hAnsi="Times New Roman" w:cs="Times New Roman"/>
          <w:i/>
          <w:iCs/>
        </w:rPr>
        <w:t>→</w:t>
      </w:r>
      <w:r w:rsidRPr="00B479AE">
        <w:rPr>
          <w:rFonts w:ascii="Baskerville Old Face" w:hAnsi="Baskerville Old Face"/>
          <w:i/>
          <w:iCs/>
        </w:rPr>
        <w:t xml:space="preserve"> structured analytical layer </w:t>
      </w:r>
      <w:r w:rsidRPr="00B479AE">
        <w:rPr>
          <w:rFonts w:ascii="Times New Roman" w:hAnsi="Times New Roman" w:cs="Times New Roman"/>
          <w:i/>
          <w:iCs/>
        </w:rPr>
        <w:t>→</w:t>
      </w:r>
      <w:r w:rsidRPr="00B479AE">
        <w:rPr>
          <w:rFonts w:ascii="Baskerville Old Face" w:hAnsi="Baskerville Old Face"/>
          <w:i/>
          <w:iCs/>
        </w:rPr>
        <w:t xml:space="preserve"> maturity classification </w:t>
      </w:r>
      <w:r w:rsidRPr="00B479AE">
        <w:rPr>
          <w:rFonts w:ascii="Times New Roman" w:hAnsi="Times New Roman" w:cs="Times New Roman"/>
          <w:i/>
          <w:iCs/>
        </w:rPr>
        <w:t>→</w:t>
      </w:r>
      <w:r w:rsidRPr="00B479AE">
        <w:rPr>
          <w:rFonts w:ascii="Baskerville Old Face" w:hAnsi="Baskerville Old Face"/>
          <w:i/>
          <w:iCs/>
        </w:rPr>
        <w:t xml:space="preserve"> capital-readiness</w:t>
      </w:r>
    </w:p>
    <w:p w14:paraId="117B7212" w14:textId="301CB9BE" w:rsidR="00504071" w:rsidRPr="00B479AE" w:rsidRDefault="00CB2F0E" w:rsidP="00504071">
      <w:pPr>
        <w:spacing w:line="360" w:lineRule="auto"/>
        <w:rPr>
          <w:rFonts w:ascii="Baskerville Old Face" w:hAnsi="Baskerville Old Face"/>
          <w:i/>
          <w:iCs/>
        </w:rPr>
      </w:pPr>
      <w:r w:rsidRPr="00B479AE">
        <w:rPr>
          <w:rFonts w:ascii="Baskerville Old Face" w:hAnsi="Baskerville Old Face"/>
          <w:b/>
          <w:bCs/>
          <w:i/>
          <w:iCs/>
        </w:rPr>
        <w:t xml:space="preserve">PRU as analytical interface, not extraction </w:t>
      </w:r>
    </w:p>
    <w:p w14:paraId="78F92E04" w14:textId="77777777" w:rsidR="00CB2F0E" w:rsidRPr="00B479AE" w:rsidRDefault="00CB2F0E" w:rsidP="00CB2F0E">
      <w:pPr>
        <w:spacing w:line="360" w:lineRule="auto"/>
        <w:rPr>
          <w:rFonts w:ascii="Baskerville Old Face" w:hAnsi="Baskerville Old Face"/>
          <w:i/>
          <w:iCs/>
        </w:rPr>
      </w:pPr>
      <w:r w:rsidRPr="00B479AE">
        <w:rPr>
          <w:rFonts w:ascii="Baskerville Old Face" w:hAnsi="Baskerville Old Face"/>
          <w:i/>
          <w:iCs/>
        </w:rPr>
        <w:t>The PRU must preserve a direct relationship with its ecological source.</w:t>
      </w:r>
    </w:p>
    <w:p w14:paraId="35E0EEF4" w14:textId="77777777" w:rsidR="00CB2F0E" w:rsidRPr="00B479AE" w:rsidRDefault="00CB2F0E" w:rsidP="00CB2F0E">
      <w:pPr>
        <w:spacing w:line="360" w:lineRule="auto"/>
        <w:rPr>
          <w:rFonts w:ascii="Baskerville Old Face" w:hAnsi="Baskerville Old Face"/>
          <w:i/>
          <w:iCs/>
        </w:rPr>
      </w:pPr>
      <w:r w:rsidRPr="00B479AE">
        <w:rPr>
          <w:rFonts w:ascii="Baskerville Old Face" w:hAnsi="Baskerville Old Face"/>
          <w:i/>
          <w:iCs/>
        </w:rPr>
        <w:t>It does not detach value from the living system.</w:t>
      </w:r>
    </w:p>
    <w:p w14:paraId="3E5F600A" w14:textId="77777777" w:rsidR="00CB2F0E" w:rsidRPr="00B479AE" w:rsidRDefault="00CB2F0E" w:rsidP="00CB2F0E">
      <w:pPr>
        <w:spacing w:line="360" w:lineRule="auto"/>
        <w:rPr>
          <w:rFonts w:ascii="Baskerville Old Face" w:hAnsi="Baskerville Old Face"/>
          <w:i/>
          <w:iCs/>
        </w:rPr>
      </w:pPr>
      <w:r w:rsidRPr="00B479AE">
        <w:rPr>
          <w:rFonts w:ascii="Baskerville Old Face" w:hAnsi="Baskerville Old Face"/>
          <w:i/>
          <w:iCs/>
        </w:rPr>
        <w:t>It represents verified performance generated by that system.</w:t>
      </w:r>
    </w:p>
    <w:p w14:paraId="1510F454" w14:textId="77777777" w:rsidR="00CB2F0E" w:rsidRPr="00B479AE" w:rsidRDefault="00CB2F0E" w:rsidP="00CB2F0E">
      <w:pPr>
        <w:spacing w:line="360" w:lineRule="auto"/>
        <w:rPr>
          <w:rFonts w:ascii="Baskerville Old Face" w:hAnsi="Baskerville Old Face"/>
          <w:i/>
          <w:iCs/>
        </w:rPr>
      </w:pPr>
      <w:r w:rsidRPr="00B479AE">
        <w:rPr>
          <w:rFonts w:ascii="Baskerville Old Face" w:hAnsi="Baskerville Old Face"/>
          <w:i/>
          <w:iCs/>
        </w:rPr>
        <w:t>This distinction is essential.</w:t>
      </w:r>
    </w:p>
    <w:p w14:paraId="4F63F2AB" w14:textId="77777777" w:rsidR="00CB2F0E" w:rsidRPr="00B479AE" w:rsidRDefault="00CB2F0E" w:rsidP="00CB2F0E">
      <w:pPr>
        <w:spacing w:line="360" w:lineRule="auto"/>
        <w:rPr>
          <w:rFonts w:ascii="Baskerville Old Face" w:hAnsi="Baskerville Old Face"/>
          <w:i/>
          <w:iCs/>
        </w:rPr>
      </w:pPr>
      <w:r w:rsidRPr="00B479AE">
        <w:rPr>
          <w:rFonts w:ascii="Baskerville Old Face" w:hAnsi="Baskerville Old Face"/>
          <w:i/>
          <w:iCs/>
        </w:rPr>
        <w:t>A regenerative financial architecture becomes extractive when financial interpretation separates from the living processes that support it.</w:t>
      </w:r>
    </w:p>
    <w:p w14:paraId="5BEB5E89" w14:textId="77777777" w:rsidR="00CB2F0E" w:rsidRPr="00B479AE" w:rsidRDefault="00CB2F0E" w:rsidP="00CB2F0E">
      <w:pPr>
        <w:spacing w:line="360" w:lineRule="auto"/>
        <w:rPr>
          <w:rFonts w:ascii="Baskerville Old Face" w:hAnsi="Baskerville Old Face"/>
          <w:i/>
          <w:iCs/>
        </w:rPr>
      </w:pPr>
      <w:r w:rsidRPr="00B479AE">
        <w:rPr>
          <w:rFonts w:ascii="Baskerville Old Face" w:hAnsi="Baskerville Old Face"/>
          <w:i/>
          <w:iCs/>
        </w:rPr>
        <w:lastRenderedPageBreak/>
        <w:t>Prometheus is designed to prevent that separation.</w:t>
      </w:r>
    </w:p>
    <w:p w14:paraId="01388B2B" w14:textId="77777777" w:rsidR="00CB2F0E" w:rsidRPr="00B479AE" w:rsidRDefault="00CB2F0E" w:rsidP="00CB2F0E">
      <w:pPr>
        <w:spacing w:line="360" w:lineRule="auto"/>
        <w:rPr>
          <w:rFonts w:ascii="Baskerville Old Face" w:hAnsi="Baskerville Old Face"/>
          <w:i/>
          <w:iCs/>
        </w:rPr>
      </w:pPr>
      <w:r w:rsidRPr="00B479AE">
        <w:rPr>
          <w:rFonts w:ascii="Baskerville Old Face" w:hAnsi="Baskerville Old Face"/>
          <w:i/>
          <w:iCs/>
        </w:rPr>
        <w:t>Every PRU should remain linked to:</w:t>
      </w:r>
    </w:p>
    <w:p w14:paraId="33531010" w14:textId="77777777" w:rsidR="00CB2F0E" w:rsidRPr="00B479AE" w:rsidRDefault="00CB2F0E" w:rsidP="00CB2F0E">
      <w:pPr>
        <w:spacing w:line="360" w:lineRule="auto"/>
        <w:rPr>
          <w:rFonts w:ascii="Baskerville Old Face" w:hAnsi="Baskerville Old Face"/>
          <w:i/>
          <w:iCs/>
        </w:rPr>
      </w:pPr>
      <w:r w:rsidRPr="00B479AE">
        <w:rPr>
          <w:rFonts w:ascii="Baskerville Old Face" w:hAnsi="Baskerville Old Face"/>
          <w:i/>
          <w:iCs/>
        </w:rPr>
        <w:t>• its originating site or OHE;</w:t>
      </w:r>
    </w:p>
    <w:p w14:paraId="42A6C49D" w14:textId="77777777" w:rsidR="00CB2F0E" w:rsidRPr="00B479AE" w:rsidRDefault="00CB2F0E" w:rsidP="00CB2F0E">
      <w:pPr>
        <w:spacing w:line="360" w:lineRule="auto"/>
        <w:rPr>
          <w:rFonts w:ascii="Baskerville Old Face" w:hAnsi="Baskerville Old Face"/>
          <w:i/>
          <w:iCs/>
        </w:rPr>
      </w:pPr>
      <w:r w:rsidRPr="00B479AE">
        <w:rPr>
          <w:rFonts w:ascii="Baskerville Old Face" w:hAnsi="Baskerville Old Face"/>
          <w:i/>
          <w:iCs/>
        </w:rPr>
        <w:t>• its baseline condition;</w:t>
      </w:r>
    </w:p>
    <w:p w14:paraId="0F994C69" w14:textId="77777777" w:rsidR="00CB2F0E" w:rsidRPr="00B479AE" w:rsidRDefault="00CB2F0E" w:rsidP="00CB2F0E">
      <w:pPr>
        <w:spacing w:line="360" w:lineRule="auto"/>
        <w:rPr>
          <w:rFonts w:ascii="Baskerville Old Face" w:hAnsi="Baskerville Old Face"/>
          <w:i/>
          <w:iCs/>
        </w:rPr>
      </w:pPr>
      <w:r w:rsidRPr="00B479AE">
        <w:rPr>
          <w:rFonts w:ascii="Baskerville Old Face" w:hAnsi="Baskerville Old Face"/>
          <w:i/>
          <w:iCs/>
        </w:rPr>
        <w:t>• its MRV evidence;</w:t>
      </w:r>
    </w:p>
    <w:p w14:paraId="4C9CADBF" w14:textId="77777777" w:rsidR="00CB2F0E" w:rsidRPr="00B479AE" w:rsidRDefault="00CB2F0E" w:rsidP="00CB2F0E">
      <w:pPr>
        <w:spacing w:line="360" w:lineRule="auto"/>
        <w:rPr>
          <w:rFonts w:ascii="Baskerville Old Face" w:hAnsi="Baskerville Old Face"/>
          <w:i/>
          <w:iCs/>
        </w:rPr>
      </w:pPr>
      <w:r w:rsidRPr="00B479AE">
        <w:rPr>
          <w:rFonts w:ascii="Baskerville Old Face" w:hAnsi="Baskerville Old Face"/>
          <w:i/>
          <w:iCs/>
        </w:rPr>
        <w:t>• its methodology version;</w:t>
      </w:r>
    </w:p>
    <w:p w14:paraId="05411F1C" w14:textId="77777777" w:rsidR="00CB2F0E" w:rsidRPr="00B479AE" w:rsidRDefault="00CB2F0E" w:rsidP="00CB2F0E">
      <w:pPr>
        <w:spacing w:line="360" w:lineRule="auto"/>
        <w:rPr>
          <w:rFonts w:ascii="Baskerville Old Face" w:hAnsi="Baskerville Old Face"/>
          <w:i/>
          <w:iCs/>
        </w:rPr>
      </w:pPr>
      <w:r w:rsidRPr="00B479AE">
        <w:rPr>
          <w:rFonts w:ascii="Baskerville Old Face" w:hAnsi="Baskerville Old Face"/>
          <w:i/>
          <w:iCs/>
        </w:rPr>
        <w:t>• its confidence score;</w:t>
      </w:r>
    </w:p>
    <w:p w14:paraId="48AFA9F1" w14:textId="77777777" w:rsidR="00CB2F0E" w:rsidRPr="00B479AE" w:rsidRDefault="00CB2F0E" w:rsidP="00CB2F0E">
      <w:pPr>
        <w:spacing w:line="360" w:lineRule="auto"/>
        <w:rPr>
          <w:rFonts w:ascii="Baskerville Old Face" w:hAnsi="Baskerville Old Face"/>
          <w:i/>
          <w:iCs/>
        </w:rPr>
      </w:pPr>
      <w:r w:rsidRPr="00B479AE">
        <w:rPr>
          <w:rFonts w:ascii="Baskerville Old Face" w:hAnsi="Baskerville Old Face"/>
          <w:i/>
          <w:iCs/>
        </w:rPr>
        <w:t>• its governance context;</w:t>
      </w:r>
    </w:p>
    <w:p w14:paraId="17578FFD" w14:textId="77777777" w:rsidR="00CB2F0E" w:rsidRPr="00B479AE" w:rsidRDefault="00CB2F0E" w:rsidP="00CB2F0E">
      <w:pPr>
        <w:spacing w:line="360" w:lineRule="auto"/>
        <w:rPr>
          <w:rFonts w:ascii="Baskerville Old Face" w:hAnsi="Baskerville Old Face"/>
          <w:i/>
          <w:iCs/>
        </w:rPr>
      </w:pPr>
      <w:r w:rsidRPr="00B479AE">
        <w:rPr>
          <w:rFonts w:ascii="Baskerville Old Face" w:hAnsi="Baskerville Old Face"/>
          <w:i/>
          <w:iCs/>
        </w:rPr>
        <w:t>• its operational records;</w:t>
      </w:r>
    </w:p>
    <w:p w14:paraId="2A8EE716" w14:textId="77777777" w:rsidR="00CB2F0E" w:rsidRPr="00B479AE" w:rsidRDefault="00CB2F0E" w:rsidP="00CB2F0E">
      <w:pPr>
        <w:spacing w:line="360" w:lineRule="auto"/>
        <w:rPr>
          <w:rFonts w:ascii="Baskerville Old Face" w:hAnsi="Baskerville Old Face"/>
          <w:i/>
          <w:iCs/>
        </w:rPr>
      </w:pPr>
      <w:r w:rsidRPr="00B479AE">
        <w:rPr>
          <w:rFonts w:ascii="Baskerville Old Face" w:hAnsi="Baskerville Old Face"/>
          <w:i/>
          <w:iCs/>
        </w:rPr>
        <w:t>• its admissibility status;</w:t>
      </w:r>
    </w:p>
    <w:p w14:paraId="14E57F7E" w14:textId="77777777" w:rsidR="00CB2F0E" w:rsidRPr="00B479AE" w:rsidRDefault="00CB2F0E" w:rsidP="00CB2F0E">
      <w:pPr>
        <w:spacing w:line="360" w:lineRule="auto"/>
        <w:rPr>
          <w:rFonts w:ascii="Baskerville Old Face" w:hAnsi="Baskerville Old Face"/>
          <w:i/>
          <w:iCs/>
        </w:rPr>
      </w:pPr>
      <w:r w:rsidRPr="00B479AE">
        <w:rPr>
          <w:rFonts w:ascii="Baskerville Old Face" w:hAnsi="Baskerville Old Face"/>
          <w:i/>
          <w:iCs/>
        </w:rPr>
        <w:t>• its risk profile;</w:t>
      </w:r>
    </w:p>
    <w:p w14:paraId="3CF4C8AF" w14:textId="77777777" w:rsidR="00CB2F0E" w:rsidRPr="00B479AE" w:rsidRDefault="00CB2F0E" w:rsidP="00CB2F0E">
      <w:pPr>
        <w:spacing w:line="360" w:lineRule="auto"/>
        <w:rPr>
          <w:rFonts w:ascii="Baskerville Old Face" w:hAnsi="Baskerville Old Face"/>
          <w:i/>
          <w:iCs/>
        </w:rPr>
      </w:pPr>
      <w:r w:rsidRPr="00B479AE">
        <w:rPr>
          <w:rFonts w:ascii="Baskerville Old Face" w:hAnsi="Baskerville Old Face"/>
          <w:i/>
          <w:iCs/>
        </w:rPr>
        <w:t>• its no-double-counting controls.</w:t>
      </w:r>
    </w:p>
    <w:p w14:paraId="2D8D414E" w14:textId="0DB808B0" w:rsidR="00CB2F0E" w:rsidRPr="00B479AE" w:rsidRDefault="00CB2F0E" w:rsidP="00CB2F0E">
      <w:pPr>
        <w:spacing w:line="360" w:lineRule="auto"/>
        <w:rPr>
          <w:rFonts w:ascii="Baskerville Old Face" w:hAnsi="Baskerville Old Face"/>
          <w:i/>
          <w:iCs/>
        </w:rPr>
      </w:pPr>
      <w:r w:rsidRPr="00B479AE">
        <w:rPr>
          <w:rFonts w:ascii="Baskerville Old Face" w:hAnsi="Baskerville Old Face"/>
          <w:i/>
          <w:iCs/>
        </w:rPr>
        <w:t>This makes the PRU a reviewable analytical representation of verified regenerative performance rather than a free-floating claim.</w:t>
      </w:r>
    </w:p>
    <w:p w14:paraId="6F38E70E" w14:textId="53CAFE5E"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PRU value stack</w:t>
      </w:r>
    </w:p>
    <w:p w14:paraId="7504EC62"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 PRU value stack is organized by epistemic strength and financial admissibility.</w:t>
      </w:r>
    </w:p>
    <w:p w14:paraId="58ED65CF"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Not every form of value has the same maturity.</w:t>
      </w:r>
    </w:p>
    <w:p w14:paraId="266799E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Prometheus therefore distinguishes among different layers of value.</w:t>
      </w:r>
    </w:p>
    <w:p w14:paraId="12731971" w14:textId="77777777" w:rsidR="00130196" w:rsidRPr="00B479AE" w:rsidRDefault="00130196" w:rsidP="00504071">
      <w:pPr>
        <w:spacing w:line="360" w:lineRule="auto"/>
        <w:rPr>
          <w:rFonts w:ascii="Baskerville Old Face" w:hAnsi="Baskerville Old Face"/>
          <w:b/>
          <w:bCs/>
          <w:i/>
          <w:iCs/>
        </w:rPr>
      </w:pPr>
    </w:p>
    <w:p w14:paraId="6F89103B" w14:textId="0FD5A6F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Layer 1 — Core productive value</w:t>
      </w:r>
    </w:p>
    <w:p w14:paraId="7840A04A"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Core productive value is the most directly observable and cash-relevant layer.</w:t>
      </w:r>
    </w:p>
    <w:p w14:paraId="625236A2"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may include:</w:t>
      </w:r>
    </w:p>
    <w:p w14:paraId="0706D98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lastRenderedPageBreak/>
        <w:t>• food production;</w:t>
      </w:r>
    </w:p>
    <w:p w14:paraId="2CD36FAD"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hospitality revenues;</w:t>
      </w:r>
    </w:p>
    <w:p w14:paraId="467007B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agroforestry products;</w:t>
      </w:r>
    </w:p>
    <w:p w14:paraId="52E465A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biomass outputs;</w:t>
      </w:r>
    </w:p>
    <w:p w14:paraId="1F1C624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education and training services;</w:t>
      </w:r>
    </w:p>
    <w:p w14:paraId="1EF40B6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regenerative experiences;</w:t>
      </w:r>
    </w:p>
    <w:p w14:paraId="13652ED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local market sales;</w:t>
      </w:r>
    </w:p>
    <w:p w14:paraId="2BC2436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operational cost reduction;</w:t>
      </w:r>
    </w:p>
    <w:p w14:paraId="56A0655D"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household food substitution where measurable.</w:t>
      </w:r>
    </w:p>
    <w:p w14:paraId="625D7B4C"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This layer is closest to ordinary financial underwriting because it can be linked to actual or projected cash flows.</w:t>
      </w:r>
    </w:p>
    <w:p w14:paraId="374FFCA2" w14:textId="0CBDC907" w:rsidR="00504071" w:rsidRPr="002E5EB1" w:rsidRDefault="00504071" w:rsidP="00504071">
      <w:pPr>
        <w:spacing w:line="360" w:lineRule="auto"/>
        <w:rPr>
          <w:rFonts w:ascii="Baskerville Old Face" w:hAnsi="Baskerville Old Face"/>
          <w:i/>
          <w:iCs/>
        </w:rPr>
      </w:pPr>
      <w:r w:rsidRPr="00B479AE">
        <w:rPr>
          <w:rFonts w:ascii="Baskerville Old Face" w:hAnsi="Baskerville Old Face"/>
          <w:i/>
          <w:iCs/>
        </w:rPr>
        <w:t>It forms the base of financial modeling.</w:t>
      </w:r>
      <w:r w:rsidR="005C576E" w:rsidRPr="00B479AE">
        <w:rPr>
          <w:rFonts w:ascii="Baskerville Old Face" w:hAnsi="Baskerville Old Face"/>
          <w:i/>
          <w:iCs/>
        </w:rPr>
        <w:t xml:space="preserve"> </w:t>
      </w:r>
    </w:p>
    <w:p w14:paraId="0EDB7B8A" w14:textId="77777777" w:rsidR="005C576E" w:rsidRPr="002E5EB1" w:rsidRDefault="005C576E" w:rsidP="005C576E">
      <w:pPr>
        <w:spacing w:line="360" w:lineRule="auto"/>
        <w:rPr>
          <w:rFonts w:ascii="Baskerville Old Face" w:hAnsi="Baskerville Old Face"/>
          <w:i/>
          <w:iCs/>
        </w:rPr>
      </w:pPr>
      <w:r w:rsidRPr="002E5EB1">
        <w:rPr>
          <w:rFonts w:ascii="Baskerville Old Face" w:hAnsi="Baskerville Old Face"/>
          <w:i/>
          <w:iCs/>
        </w:rPr>
        <w:t>Industrial Value Logic vs Prometheus Value Logic</w:t>
      </w:r>
    </w:p>
    <w:p w14:paraId="151F20CC" w14:textId="77777777" w:rsidR="005C576E" w:rsidRPr="002E5EB1" w:rsidRDefault="005C576E" w:rsidP="005C576E">
      <w:pPr>
        <w:spacing w:line="360" w:lineRule="auto"/>
        <w:rPr>
          <w:rFonts w:ascii="Baskerville Old Face" w:hAnsi="Baskerville Old Face"/>
          <w:i/>
          <w:iCs/>
        </w:rPr>
      </w:pPr>
      <w:r w:rsidRPr="002E5EB1">
        <w:rPr>
          <w:rFonts w:ascii="Baskerville Old Face" w:hAnsi="Baskerville Old Face"/>
          <w:i/>
          <w:iCs/>
        </w:rPr>
        <w:t>Conventional economic systems usually interpret value through a linear production sequence:</w:t>
      </w:r>
    </w:p>
    <w:p w14:paraId="6639E668" w14:textId="77777777" w:rsidR="005C576E" w:rsidRPr="002E5EB1" w:rsidRDefault="005C576E" w:rsidP="005C576E">
      <w:pPr>
        <w:spacing w:line="360" w:lineRule="auto"/>
        <w:rPr>
          <w:rFonts w:ascii="Baskerville Old Face" w:hAnsi="Baskerville Old Face"/>
          <w:i/>
          <w:iCs/>
        </w:rPr>
      </w:pPr>
      <w:r w:rsidRPr="002E5EB1">
        <w:rPr>
          <w:rFonts w:ascii="Baskerville Old Face" w:hAnsi="Baskerville Old Face"/>
          <w:i/>
          <w:iCs/>
        </w:rPr>
        <w:t xml:space="preserve">Input </w:t>
      </w:r>
      <w:r w:rsidRPr="002E5EB1">
        <w:rPr>
          <w:rFonts w:ascii="Times New Roman" w:hAnsi="Times New Roman" w:cs="Times New Roman"/>
          <w:i/>
          <w:iCs/>
        </w:rPr>
        <w:t>→</w:t>
      </w:r>
      <w:r w:rsidRPr="002E5EB1">
        <w:rPr>
          <w:rFonts w:ascii="Baskerville Old Face" w:hAnsi="Baskerville Old Face"/>
          <w:i/>
          <w:iCs/>
        </w:rPr>
        <w:t xml:space="preserve"> Output </w:t>
      </w:r>
      <w:r w:rsidRPr="002E5EB1">
        <w:rPr>
          <w:rFonts w:ascii="Times New Roman" w:hAnsi="Times New Roman" w:cs="Times New Roman"/>
          <w:i/>
          <w:iCs/>
        </w:rPr>
        <w:t>→</w:t>
      </w:r>
      <w:r w:rsidRPr="002E5EB1">
        <w:rPr>
          <w:rFonts w:ascii="Baskerville Old Face" w:hAnsi="Baskerville Old Face"/>
          <w:i/>
          <w:iCs/>
        </w:rPr>
        <w:t xml:space="preserve"> Revenue</w:t>
      </w:r>
    </w:p>
    <w:p w14:paraId="56491BBE"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t>This sequence is useful for simple industrial accounting.</w:t>
      </w:r>
    </w:p>
    <w:p w14:paraId="4DBA1A72"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t>It is insufficient for regenerative infrastructure.</w:t>
      </w:r>
    </w:p>
    <w:p w14:paraId="779559C2"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t>In a regenerative system, value does not arise only from the conversion of inputs into outputs.</w:t>
      </w:r>
    </w:p>
    <w:p w14:paraId="37A15938"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t>It arises from the increasing coherence of the living system that produces those outputs.</w:t>
      </w:r>
    </w:p>
    <w:p w14:paraId="43E888FE" w14:textId="77777777" w:rsidR="005C576E" w:rsidRPr="002E5EB1" w:rsidRDefault="005C576E" w:rsidP="005C576E">
      <w:pPr>
        <w:spacing w:line="360" w:lineRule="auto"/>
        <w:rPr>
          <w:rFonts w:ascii="Baskerville Old Face" w:hAnsi="Baskerville Old Face"/>
          <w:i/>
          <w:iCs/>
        </w:rPr>
      </w:pPr>
      <w:r w:rsidRPr="00B479AE">
        <w:rPr>
          <w:rFonts w:ascii="Baskerville Old Face" w:hAnsi="Baskerville Old Face"/>
          <w:i/>
          <w:iCs/>
        </w:rPr>
        <w:t>Prometheus therefore uses a deeper value sequence:</w:t>
      </w:r>
    </w:p>
    <w:p w14:paraId="4ADC5556" w14:textId="77777777" w:rsidR="005C576E" w:rsidRPr="002E5EB1" w:rsidRDefault="005C576E" w:rsidP="005C576E">
      <w:pPr>
        <w:spacing w:line="360" w:lineRule="auto"/>
        <w:rPr>
          <w:rFonts w:ascii="Baskerville Old Face" w:hAnsi="Baskerville Old Face"/>
          <w:i/>
          <w:iCs/>
        </w:rPr>
      </w:pPr>
      <w:r w:rsidRPr="002E5EB1">
        <w:rPr>
          <w:rFonts w:ascii="Baskerville Old Face" w:hAnsi="Baskerville Old Face"/>
          <w:i/>
          <w:iCs/>
        </w:rPr>
        <w:t xml:space="preserve">Biological Capital </w:t>
      </w:r>
      <w:r w:rsidRPr="002E5EB1">
        <w:rPr>
          <w:rFonts w:ascii="Times New Roman" w:hAnsi="Times New Roman" w:cs="Times New Roman"/>
          <w:i/>
          <w:iCs/>
        </w:rPr>
        <w:t>→</w:t>
      </w:r>
      <w:r w:rsidRPr="002E5EB1">
        <w:rPr>
          <w:rFonts w:ascii="Baskerville Old Face" w:hAnsi="Baskerville Old Face"/>
          <w:i/>
          <w:iCs/>
        </w:rPr>
        <w:t xml:space="preserve"> Ecological Order </w:t>
      </w:r>
      <w:r w:rsidRPr="002E5EB1">
        <w:rPr>
          <w:rFonts w:ascii="Times New Roman" w:hAnsi="Times New Roman" w:cs="Times New Roman"/>
          <w:i/>
          <w:iCs/>
        </w:rPr>
        <w:t>→</w:t>
      </w:r>
      <w:r w:rsidRPr="002E5EB1">
        <w:rPr>
          <w:rFonts w:ascii="Baskerville Old Face" w:hAnsi="Baskerville Old Face"/>
          <w:i/>
          <w:iCs/>
        </w:rPr>
        <w:t xml:space="preserve"> MRV Indices </w:t>
      </w:r>
      <w:r w:rsidRPr="002E5EB1">
        <w:rPr>
          <w:rFonts w:ascii="Times New Roman" w:hAnsi="Times New Roman" w:cs="Times New Roman"/>
          <w:i/>
          <w:iCs/>
        </w:rPr>
        <w:t>→</w:t>
      </w:r>
      <w:r w:rsidRPr="002E5EB1">
        <w:rPr>
          <w:rFonts w:ascii="Baskerville Old Face" w:hAnsi="Baskerville Old Face"/>
          <w:i/>
          <w:iCs/>
        </w:rPr>
        <w:t xml:space="preserve"> Financial Value</w:t>
      </w:r>
    </w:p>
    <w:p w14:paraId="01C28EA6"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t>This sequence changes the meaning of value formation.</w:t>
      </w:r>
    </w:p>
    <w:p w14:paraId="1FE737F2"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lastRenderedPageBreak/>
        <w:t>Biological capital refers to the living capacity of the system: soil, water, biodiversity, roots, biomass, microbial life, mycorrhizal relationships, ecological succession, and human stewardship.</w:t>
      </w:r>
    </w:p>
    <w:p w14:paraId="0459F6E4"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t>Ecological order refers to the increasing organization, resilience, productivity, and coherence of those living relationships over time.</w:t>
      </w:r>
    </w:p>
    <w:p w14:paraId="0A61473F"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t>MRV indices translate this ecological order into observable, measurable, confidence-scored, and reviewable indicators.</w:t>
      </w:r>
    </w:p>
    <w:p w14:paraId="50F6FB20"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t>Financial value may emerge only after these indicators become verified, admissible, legally interpretable, and institutionally usable.</w:t>
      </w:r>
    </w:p>
    <w:p w14:paraId="2E0CE027"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t>The difference is structural.</w:t>
      </w:r>
    </w:p>
    <w:p w14:paraId="3F0016BA"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t>The industrial sequence asks:</w:t>
      </w:r>
    </w:p>
    <w:p w14:paraId="0174C041"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t>how much output can be produced from the input?</w:t>
      </w:r>
    </w:p>
    <w:p w14:paraId="7700398E"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t>The Prometheus sequence asks:</w:t>
      </w:r>
    </w:p>
    <w:p w14:paraId="5EACE26A"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t>how much future productive capacity is the system generating while it produces?</w:t>
      </w:r>
    </w:p>
    <w:p w14:paraId="2976DC31"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t>This distinction is foundational.</w:t>
      </w:r>
    </w:p>
    <w:p w14:paraId="4FEA1BEA"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t>A system that produces output while degrading soil, water, biodiversity, human health, or resilience may generate short-term revenue while destroying long-term value.</w:t>
      </w:r>
    </w:p>
    <w:p w14:paraId="633DD139"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t>A regenerative system produces while increasing the capacity of the system to keep producing.</w:t>
      </w:r>
    </w:p>
    <w:p w14:paraId="55906327" w14:textId="77777777" w:rsidR="005C576E" w:rsidRPr="002E5EB1" w:rsidRDefault="005C576E" w:rsidP="005C576E">
      <w:pPr>
        <w:spacing w:line="360" w:lineRule="auto"/>
        <w:rPr>
          <w:rFonts w:ascii="Baskerville Old Face" w:hAnsi="Baskerville Old Face"/>
          <w:i/>
          <w:iCs/>
        </w:rPr>
      </w:pPr>
      <w:r w:rsidRPr="00B479AE">
        <w:rPr>
          <w:rFonts w:ascii="Baskerville Old Face" w:hAnsi="Baskerville Old Face"/>
          <w:i/>
          <w:iCs/>
        </w:rPr>
        <w:t>The Prometheus value logic may therefore be summarized as:</w:t>
      </w:r>
    </w:p>
    <w:p w14:paraId="1F38BB24" w14:textId="77777777" w:rsidR="005C576E" w:rsidRPr="002E5EB1" w:rsidRDefault="005C576E" w:rsidP="005C576E">
      <w:pPr>
        <w:spacing w:line="360" w:lineRule="auto"/>
        <w:rPr>
          <w:rFonts w:ascii="Baskerville Old Face" w:hAnsi="Baskerville Old Face"/>
          <w:i/>
          <w:iCs/>
        </w:rPr>
      </w:pPr>
      <w:r w:rsidRPr="002E5EB1">
        <w:rPr>
          <w:rFonts w:ascii="Baskerville Old Face" w:hAnsi="Baskerville Old Face"/>
          <w:i/>
          <w:iCs/>
        </w:rPr>
        <w:t xml:space="preserve">resilience </w:t>
      </w:r>
      <w:r w:rsidRPr="002E5EB1">
        <w:rPr>
          <w:rFonts w:ascii="Times New Roman" w:hAnsi="Times New Roman" w:cs="Times New Roman"/>
          <w:i/>
          <w:iCs/>
        </w:rPr>
        <w:t>→</w:t>
      </w:r>
      <w:r w:rsidRPr="002E5EB1">
        <w:rPr>
          <w:rFonts w:ascii="Baskerville Old Face" w:hAnsi="Baskerville Old Face"/>
          <w:i/>
          <w:iCs/>
        </w:rPr>
        <w:t xml:space="preserve"> variance </w:t>
      </w:r>
      <w:r w:rsidRPr="002E5EB1">
        <w:rPr>
          <w:rFonts w:ascii="Times New Roman" w:hAnsi="Times New Roman" w:cs="Times New Roman"/>
          <w:i/>
          <w:iCs/>
        </w:rPr>
        <w:t>↓</w:t>
      </w:r>
      <w:r w:rsidRPr="002E5EB1">
        <w:rPr>
          <w:rFonts w:ascii="Baskerville Old Face" w:hAnsi="Baskerville Old Face"/>
          <w:i/>
          <w:iCs/>
        </w:rPr>
        <w:t xml:space="preserve"> </w:t>
      </w:r>
      <w:r w:rsidRPr="002E5EB1">
        <w:rPr>
          <w:rFonts w:ascii="Times New Roman" w:hAnsi="Times New Roman" w:cs="Times New Roman"/>
          <w:i/>
          <w:iCs/>
        </w:rPr>
        <w:t>→</w:t>
      </w:r>
      <w:r w:rsidRPr="002E5EB1">
        <w:rPr>
          <w:rFonts w:ascii="Baskerville Old Face" w:hAnsi="Baskerville Old Face"/>
          <w:i/>
          <w:iCs/>
        </w:rPr>
        <w:t xml:space="preserve"> risk </w:t>
      </w:r>
      <w:r w:rsidRPr="002E5EB1">
        <w:rPr>
          <w:rFonts w:ascii="Times New Roman" w:hAnsi="Times New Roman" w:cs="Times New Roman"/>
          <w:i/>
          <w:iCs/>
        </w:rPr>
        <w:t>↓</w:t>
      </w:r>
      <w:r w:rsidRPr="002E5EB1">
        <w:rPr>
          <w:rFonts w:ascii="Baskerville Old Face" w:hAnsi="Baskerville Old Face"/>
          <w:i/>
          <w:iCs/>
        </w:rPr>
        <w:t xml:space="preserve"> </w:t>
      </w:r>
      <w:r w:rsidRPr="002E5EB1">
        <w:rPr>
          <w:rFonts w:ascii="Times New Roman" w:hAnsi="Times New Roman" w:cs="Times New Roman"/>
          <w:i/>
          <w:iCs/>
        </w:rPr>
        <w:t>→</w:t>
      </w:r>
      <w:r w:rsidRPr="002E5EB1">
        <w:rPr>
          <w:rFonts w:ascii="Baskerville Old Face" w:hAnsi="Baskerville Old Face"/>
          <w:i/>
          <w:iCs/>
        </w:rPr>
        <w:t xml:space="preserve"> value </w:t>
      </w:r>
      <w:r w:rsidRPr="002E5EB1">
        <w:rPr>
          <w:rFonts w:ascii="Times New Roman" w:hAnsi="Times New Roman" w:cs="Times New Roman"/>
          <w:i/>
          <w:iCs/>
        </w:rPr>
        <w:t>↑</w:t>
      </w:r>
    </w:p>
    <w:p w14:paraId="5E70241A"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t>This does not mean that value automatically increases whenever a system is called regenerative.</w:t>
      </w:r>
    </w:p>
    <w:p w14:paraId="0F25D2FD"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t>It means that verified increases in resilience may reduce variance, verified reductions in variance may reduce specific risk factors, and verified risk compression may support stronger capital-readiness.</w:t>
      </w:r>
    </w:p>
    <w:p w14:paraId="391BE9B6"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t>The chain remains evidence-bound:</w:t>
      </w:r>
    </w:p>
    <w:p w14:paraId="7EE1AEA0"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lastRenderedPageBreak/>
        <w:t>resilience must be observed;</w:t>
      </w:r>
      <w:r w:rsidRPr="00B479AE">
        <w:rPr>
          <w:rFonts w:ascii="Baskerville Old Face" w:hAnsi="Baskerville Old Face"/>
          <w:i/>
          <w:iCs/>
        </w:rPr>
        <w:br/>
        <w:t>variance must be measured;</w:t>
      </w:r>
      <w:r w:rsidRPr="00B479AE">
        <w:rPr>
          <w:rFonts w:ascii="Baskerville Old Face" w:hAnsi="Baskerville Old Face"/>
          <w:i/>
          <w:iCs/>
        </w:rPr>
        <w:br/>
        <w:t>risk reduction must be analyzed;</w:t>
      </w:r>
      <w:r w:rsidRPr="00B479AE">
        <w:rPr>
          <w:rFonts w:ascii="Baskerville Old Face" w:hAnsi="Baskerville Old Face"/>
          <w:i/>
          <w:iCs/>
        </w:rPr>
        <w:br/>
        <w:t>value relevance must be reviewed;</w:t>
      </w:r>
      <w:r w:rsidRPr="00B479AE">
        <w:rPr>
          <w:rFonts w:ascii="Baskerville Old Face" w:hAnsi="Baskerville Old Face"/>
          <w:i/>
          <w:iCs/>
        </w:rPr>
        <w:br/>
        <w:t>financial use must be legally structured.</w:t>
      </w:r>
    </w:p>
    <w:p w14:paraId="32F52337" w14:textId="77777777" w:rsidR="005C576E" w:rsidRPr="00B479AE" w:rsidRDefault="005C576E" w:rsidP="005C576E">
      <w:pPr>
        <w:spacing w:line="360" w:lineRule="auto"/>
        <w:rPr>
          <w:rFonts w:ascii="Baskerville Old Face" w:hAnsi="Baskerville Old Face"/>
          <w:i/>
          <w:iCs/>
        </w:rPr>
      </w:pPr>
      <w:r w:rsidRPr="00B479AE">
        <w:rPr>
          <w:rFonts w:ascii="Baskerville Old Face" w:hAnsi="Baskerville Old Face"/>
          <w:i/>
          <w:iCs/>
        </w:rPr>
        <w:t>This is how Prometheus transforms regeneration from narrative into underwritable infrastructure.</w:t>
      </w:r>
    </w:p>
    <w:p w14:paraId="129BAD8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Layer 2 — Ecological performance value</w:t>
      </w:r>
    </w:p>
    <w:p w14:paraId="795C728C"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Ecological performance value derives from verified improvements in living-system function.</w:t>
      </w:r>
    </w:p>
    <w:p w14:paraId="6AA35DA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may include:</w:t>
      </w:r>
    </w:p>
    <w:p w14:paraId="184C554A"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soil organic carbon improvement;</w:t>
      </w:r>
    </w:p>
    <w:p w14:paraId="4370C34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water retention;</w:t>
      </w:r>
    </w:p>
    <w:p w14:paraId="57FFB0D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infiltration gains;</w:t>
      </w:r>
    </w:p>
    <w:p w14:paraId="072FF73C"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biodiversity enhancement;</w:t>
      </w:r>
    </w:p>
    <w:p w14:paraId="562C651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input dependency reduction;</w:t>
      </w:r>
    </w:p>
    <w:p w14:paraId="002E978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productive stability;</w:t>
      </w:r>
    </w:p>
    <w:p w14:paraId="1677885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resilience under stress;</w:t>
      </w:r>
    </w:p>
    <w:p w14:paraId="02B5F582"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biomass cycling;</w:t>
      </w:r>
    </w:p>
    <w:p w14:paraId="199828CB"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microclimate effects;</w:t>
      </w:r>
    </w:p>
    <w:p w14:paraId="7D61B1F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reduced erosion;</w:t>
      </w:r>
    </w:p>
    <w:p w14:paraId="27F653CB"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ecosystem-service potential.</w:t>
      </w:r>
    </w:p>
    <w:p w14:paraId="2FF95BCD"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This layer becomes financially relevant only when linked to MRV, confidence scoring, recognized methodologies, contracts, crediting pathways, avoided-cost pathways, insurance logic, procurement logic, or investment underwriting criteria.</w:t>
      </w:r>
    </w:p>
    <w:p w14:paraId="0C43A52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Its value is significant, but it must remain evidence-constrained.</w:t>
      </w:r>
    </w:p>
    <w:p w14:paraId="1A22E52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lastRenderedPageBreak/>
        <w:t>Layer 3 — Systemic and health-related value</w:t>
      </w:r>
    </w:p>
    <w:p w14:paraId="47BD5D1C"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Systemic value includes broader effects such as improved nutritional quality, human movement, nature exposure, social coherence, preventive health potential, and territorial resilience.</w:t>
      </w:r>
    </w:p>
    <w:p w14:paraId="46A9DC81"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This layer may be strategically powerful, especially through SyntroGIFT, public-health partnerships, food-as-medicine programs, insurer collaboration, or public procurement.</w:t>
      </w:r>
    </w:p>
    <w:p w14:paraId="7D7D18D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However, it should remain outside base-case financial cash flows unless a contractual, institutional, or measurable monetization pathway exists.</w:t>
      </w:r>
    </w:p>
    <w:p w14:paraId="432E604C"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This discipline protects credibility.</w:t>
      </w:r>
    </w:p>
    <w:p w14:paraId="65311102"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Prometheus can recognize systemic value without overstating liquidity.</w:t>
      </w:r>
    </w:p>
    <w:p w14:paraId="3627BA63" w14:textId="77777777" w:rsidR="005816F9" w:rsidRPr="00B479AE" w:rsidRDefault="005816F9" w:rsidP="005816F9">
      <w:pPr>
        <w:spacing w:line="360" w:lineRule="auto"/>
        <w:rPr>
          <w:rFonts w:ascii="Baskerville Old Face" w:hAnsi="Baskerville Old Face"/>
          <w:i/>
          <w:iCs/>
        </w:rPr>
      </w:pPr>
      <w:r w:rsidRPr="00B479AE">
        <w:rPr>
          <w:rFonts w:ascii="Baskerville Old Face" w:hAnsi="Baskerville Old Face"/>
          <w:b/>
          <w:bCs/>
          <w:i/>
          <w:iCs/>
        </w:rPr>
        <w:t>SyntroGIFT as a Systemic Value Layer</w:t>
      </w:r>
    </w:p>
    <w:p w14:paraId="46CFD897"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SyntroGIFT represents the systemic value layer that emerges when the One Human Ecosystem is interpreted not only as an agroecological unit, but also as a preventive-health, metabolic-resilience, educational, hospitality, and community-coherence infrastructure.</w:t>
      </w:r>
    </w:p>
    <w:p w14:paraId="2EB4E429"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Its central claim is deliberately conservative.</w:t>
      </w:r>
    </w:p>
    <w:p w14:paraId="6CA1C16C"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An OHE does not automatically generate healthcare savings.</w:t>
      </w:r>
    </w:p>
    <w:p w14:paraId="148645D9"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It does not create medical claims.</w:t>
      </w:r>
    </w:p>
    <w:p w14:paraId="7E3241D0"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It does not replace clinical care.</w:t>
      </w:r>
    </w:p>
    <w:p w14:paraId="6913BA4D"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It does not prescribe treatment.</w:t>
      </w:r>
    </w:p>
    <w:p w14:paraId="34DF11FC"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It does not convert nutrition, movement, nature exposure, social coherence, or wellbeing into immediate financial value.</w:t>
      </w:r>
    </w:p>
    <w:p w14:paraId="6CC1CD9B"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Rather, SyntroGIFT identifies a systemic alignment among determinants that modern systems often separate, commodify, finance, and treat downstream:</w:t>
      </w:r>
    </w:p>
    <w:p w14:paraId="61F9A413"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food quality;</w:t>
      </w:r>
    </w:p>
    <w:p w14:paraId="411854FA"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functional movement;</w:t>
      </w:r>
    </w:p>
    <w:p w14:paraId="5D80E01F"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lastRenderedPageBreak/>
        <w:t>• nature exposure;</w:t>
      </w:r>
    </w:p>
    <w:p w14:paraId="3422F548"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social and behavioral coherence;</w:t>
      </w:r>
    </w:p>
    <w:p w14:paraId="3C2893D6"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preventive-health potential;</w:t>
      </w:r>
    </w:p>
    <w:p w14:paraId="7BBC59EC"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educational experience;</w:t>
      </w:r>
    </w:p>
    <w:p w14:paraId="03D2A321"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hospitality and wellness context;</w:t>
      </w:r>
    </w:p>
    <w:p w14:paraId="42C8EE26"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community resilience;</w:t>
      </w:r>
    </w:p>
    <w:p w14:paraId="3164F462"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research and public-health relevance.</w:t>
      </w:r>
    </w:p>
    <w:p w14:paraId="09001F82"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When these determinants are recomposed within a regenerative living system, the OHE may support healthier conditions for human metabolism, wellbeing, participation, learning, stewardship, and long-term territorial resilience.</w:t>
      </w:r>
    </w:p>
    <w:p w14:paraId="64C571C6"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This makes SyntroGIFT strategically significant within the Prometheus architecture.</w:t>
      </w:r>
    </w:p>
    <w:p w14:paraId="05AAB7F0"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It may connect regenerative food systems, functional movement, living environments, social coherence, preventive-health pathways, public procurement, hospitality, education, wellness, research partnerships, insurer conversations, and municipal resilience programs into a broader systemic-value layer.</w:t>
      </w:r>
    </w:p>
    <w:p w14:paraId="015F2119"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However, this upside remains outside base-case value analysis, financial modeling, PRU value analysis, investor reporting, and capital-readiness interpretation unless supported by verified data, recognized methodologies, explicit contractual or institutional arrangements, appropriate medical or public-health governance where relevant, and a measurable monetization or avoided-cost pathway.</w:t>
      </w:r>
    </w:p>
    <w:p w14:paraId="39856452"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Potential pathways may include:</w:t>
      </w:r>
    </w:p>
    <w:p w14:paraId="4D666605"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public procurement;</w:t>
      </w:r>
    </w:p>
    <w:p w14:paraId="6C64B703"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insurer partnerships;</w:t>
      </w:r>
    </w:p>
    <w:p w14:paraId="6ECDEF30"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food-as-medicine programs;</w:t>
      </w:r>
    </w:p>
    <w:p w14:paraId="6D5E0370"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preventive-health initiatives;</w:t>
      </w:r>
    </w:p>
    <w:p w14:paraId="4AB6DB65"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education;</w:t>
      </w:r>
    </w:p>
    <w:p w14:paraId="640B8755"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lastRenderedPageBreak/>
        <w:t>• hospitality;</w:t>
      </w:r>
    </w:p>
    <w:p w14:paraId="2953B952"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wellness services;</w:t>
      </w:r>
    </w:p>
    <w:p w14:paraId="0BF958C8"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research partnerships;</w:t>
      </w:r>
    </w:p>
    <w:p w14:paraId="77CFA9E6"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municipal resilience programs;</w:t>
      </w:r>
    </w:p>
    <w:p w14:paraId="74B5D410"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community-health pilots;</w:t>
      </w:r>
    </w:p>
    <w:p w14:paraId="7E955F39"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public-sector or institutional programs;</w:t>
      </w:r>
    </w:p>
    <w:p w14:paraId="4372FFD3"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other legally and methodologically reviewable structures.</w:t>
      </w:r>
    </w:p>
    <w:p w14:paraId="2DCD0DB5"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Until such pathways are established, the SyntroGIFT layer should be treated as strategic upside, research potential, partnership architecture, systemic-value intelligence, and future optionality.</w:t>
      </w:r>
    </w:p>
    <w:p w14:paraId="2E939A3E"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It should not be treated as automatic financial value, medical savings, PRU value, investor return, health-credit issuance, insurance value, public reimbursement, or capital-facing entitlement.</w:t>
      </w:r>
    </w:p>
    <w:p w14:paraId="6F910CEB"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The correct interpretation is:</w:t>
      </w:r>
    </w:p>
    <w:p w14:paraId="2AA98FC1"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systemic health potential may inform strategy;</w:t>
      </w:r>
    </w:p>
    <w:p w14:paraId="45FCA6AB"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verified data may support methodology;</w:t>
      </w:r>
    </w:p>
    <w:p w14:paraId="0892D9DF"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institutional agreements may support monetization;</w:t>
      </w:r>
    </w:p>
    <w:p w14:paraId="04BCFB22"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medical or public-health governance may support admissibility;</w:t>
      </w:r>
    </w:p>
    <w:p w14:paraId="60FB06E4"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legal and contractual structure may support capital-facing use;</w:t>
      </w:r>
    </w:p>
    <w:p w14:paraId="194433DE"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but no health-economic upside enters base-case financial interpretation merely because the regenerative system is conceptually aligned with wellbeing.</w:t>
      </w:r>
    </w:p>
    <w:p w14:paraId="688699B9"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The SyntroGIFT layer is therefore not a medical protocol.</w:t>
      </w:r>
    </w:p>
    <w:p w14:paraId="0EC43264"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It is not a therapeutic claim.</w:t>
      </w:r>
    </w:p>
    <w:p w14:paraId="17CDD430"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It is not a substitute for physicians, nutritionists, public-health authorities, clinical research, insurer underwriting, or recognized health-economic methodology.</w:t>
      </w:r>
    </w:p>
    <w:p w14:paraId="4E51EF35"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lastRenderedPageBreak/>
        <w:t>It is a systemic value hypothesis: regenerative ecosystems may create healthier human conditions when food, movement, nature exposure, learning, stewardship, and social coherence are reintegrated into one operational environment.</w:t>
      </w:r>
    </w:p>
    <w:p w14:paraId="38529FD1"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Within Prometheus, SyntroGIFT can inform:</w:t>
      </w:r>
    </w:p>
    <w:p w14:paraId="54C9ED6A"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public-health partnerships;</w:t>
      </w:r>
    </w:p>
    <w:p w14:paraId="61A5E933"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food-as-medicine pilots;</w:t>
      </w:r>
    </w:p>
    <w:p w14:paraId="34F046BC"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community resilience programs;</w:t>
      </w:r>
    </w:p>
    <w:p w14:paraId="00D661C8"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hospitality and wellness experiences;</w:t>
      </w:r>
    </w:p>
    <w:p w14:paraId="3B71F412"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educational models;</w:t>
      </w:r>
    </w:p>
    <w:p w14:paraId="1DAD3C25"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research design;</w:t>
      </w:r>
    </w:p>
    <w:p w14:paraId="19E92213"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insurer or public-sector conversations;</w:t>
      </w:r>
    </w:p>
    <w:p w14:paraId="1FCCE315"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 future systemic value accounting.</w:t>
      </w:r>
    </w:p>
    <w:p w14:paraId="12306E9B"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Its institutional boundary is clear:</w:t>
      </w:r>
    </w:p>
    <w:p w14:paraId="670FD8D8"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SyntroGIFT can support strategic upside, research, partnership design, and future systemic-value pathways.</w:t>
      </w:r>
    </w:p>
    <w:p w14:paraId="65FEBA92" w14:textId="77777777" w:rsidR="00383EF8" w:rsidRPr="00B479AE" w:rsidRDefault="00383EF8" w:rsidP="00383EF8">
      <w:pPr>
        <w:spacing w:line="360" w:lineRule="auto"/>
        <w:rPr>
          <w:rFonts w:ascii="Baskerville Old Face" w:hAnsi="Baskerville Old Face"/>
          <w:i/>
          <w:iCs/>
        </w:rPr>
      </w:pPr>
      <w:r w:rsidRPr="00B479AE">
        <w:rPr>
          <w:rFonts w:ascii="Baskerville Old Face" w:hAnsi="Baskerville Old Face"/>
          <w:i/>
          <w:iCs/>
        </w:rPr>
        <w:t>It cannot support PRU value, investor return, medical savings, health-credit issuance, public reimbursement, or capital-facing entitlement unless evidence, methodology, legal structure, institutional validation, and appropriate governance make that value admissible.</w:t>
      </w:r>
    </w:p>
    <w:p w14:paraId="26666BEB" w14:textId="1C57C803"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Layer 4 — Portfolio and resilience value</w:t>
      </w:r>
    </w:p>
    <w:p w14:paraId="4246E951"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Portfolio and resilience value emerges when multiple verified regenerative units are aggregated.</w:t>
      </w:r>
    </w:p>
    <w:p w14:paraId="3571A53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A single OHE may carry local risks.</w:t>
      </w:r>
    </w:p>
    <w:p w14:paraId="63DAF75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A diversified pool of OHE-linked PRUs can create a more stable risk profile.</w:t>
      </w:r>
    </w:p>
    <w:p w14:paraId="624F4A0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Portfolio value may arise from:</w:t>
      </w:r>
    </w:p>
    <w:p w14:paraId="16D6BED7"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lastRenderedPageBreak/>
        <w:t>• diversification across sites;</w:t>
      </w:r>
    </w:p>
    <w:p w14:paraId="4763F39B"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diversification across climates;</w:t>
      </w:r>
    </w:p>
    <w:p w14:paraId="60854F4F"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diversification across species;</w:t>
      </w:r>
    </w:p>
    <w:p w14:paraId="754066E8"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diversification across operators;</w:t>
      </w:r>
    </w:p>
    <w:p w14:paraId="42B8D0FC"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diversification across revenue streams;</w:t>
      </w:r>
    </w:p>
    <w:p w14:paraId="47363361"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reduced correlation;</w:t>
      </w:r>
    </w:p>
    <w:p w14:paraId="055DF64B"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improved evidence continuity;</w:t>
      </w:r>
    </w:p>
    <w:p w14:paraId="00BE5DDD" w14:textId="7C1824A6"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xml:space="preserve">• </w:t>
      </w:r>
      <w:r w:rsidR="00B33ACB" w:rsidRPr="00B479AE">
        <w:rPr>
          <w:rFonts w:ascii="Baskerville Old Face" w:hAnsi="Baskerville Old Face"/>
          <w:i/>
          <w:iCs/>
        </w:rPr>
        <w:t>maturity-class evolution over time</w:t>
      </w:r>
      <w:r w:rsidRPr="00B479AE">
        <w:rPr>
          <w:rFonts w:ascii="Baskerville Old Face" w:hAnsi="Baskerville Old Face"/>
          <w:i/>
          <w:iCs/>
        </w:rPr>
        <w:t>;</w:t>
      </w:r>
    </w:p>
    <w:p w14:paraId="222386C2"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improved underwriting confidence;</w:t>
      </w:r>
    </w:p>
    <w:p w14:paraId="47F57F0B"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potential insurance or guarantee structures.</w:t>
      </w:r>
    </w:p>
    <w:p w14:paraId="3017A1AD"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This layer becomes central to Regenerative Asset Pools.</w:t>
      </w:r>
    </w:p>
    <w:p w14:paraId="15A22F62"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Admissibility constraints</w:t>
      </w:r>
    </w:p>
    <w:p w14:paraId="0A008BA9"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PRU value does not aggregate every attractive claim.</w:t>
      </w:r>
    </w:p>
    <w:p w14:paraId="51FA89B1"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admits value only when defined conditions are met.</w:t>
      </w:r>
    </w:p>
    <w:p w14:paraId="13812717"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Each PRU-relevant component must satisfy the following constraints:</w:t>
      </w:r>
    </w:p>
    <w:p w14:paraId="5CC5646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measurability;</w:t>
      </w:r>
    </w:p>
    <w:p w14:paraId="1BA90B4D"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provenance;</w:t>
      </w:r>
    </w:p>
    <w:p w14:paraId="3F233A9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verification;</w:t>
      </w:r>
    </w:p>
    <w:p w14:paraId="458AFCAF"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confidence scoring;</w:t>
      </w:r>
    </w:p>
    <w:p w14:paraId="000C92E8"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methodology alignment;</w:t>
      </w:r>
    </w:p>
    <w:p w14:paraId="7D6C6CC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no-double-counting;</w:t>
      </w:r>
    </w:p>
    <w:p w14:paraId="4395E55C"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legal clarity;</w:t>
      </w:r>
    </w:p>
    <w:p w14:paraId="688CE498"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lastRenderedPageBreak/>
        <w:t>• financial relevance;</w:t>
      </w:r>
    </w:p>
    <w:p w14:paraId="002A83D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reporting discipline;</w:t>
      </w:r>
    </w:p>
    <w:p w14:paraId="7A0FD8A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reviewability.</w:t>
      </w:r>
    </w:p>
    <w:p w14:paraId="4CF7051D"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A value component that cannot meet these conditions may remain relevant to narrative, strategy, research, or future development.</w:t>
      </w:r>
    </w:p>
    <w:p w14:paraId="3B8C033A"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should not be treated as financially admissible PRU value.</w:t>
      </w:r>
    </w:p>
    <w:p w14:paraId="05648BCF"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This is the line between vision and underwriting.</w:t>
      </w:r>
    </w:p>
    <w:p w14:paraId="7D543F77"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Prometheus must remain capable of both.</w:t>
      </w:r>
    </w:p>
    <w:p w14:paraId="2413AC12" w14:textId="5DB804C6"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PRU value function</w:t>
      </w:r>
    </w:p>
    <w:p w14:paraId="21BD017D"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 PRU value function is not a fixed universal formula at this stage.</w:t>
      </w:r>
    </w:p>
    <w:p w14:paraId="6AEECEC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is a methodology framework.</w:t>
      </w:r>
    </w:p>
    <w:p w14:paraId="4030C173" w14:textId="5B3F6D9C" w:rsidR="00317015" w:rsidRPr="00B479AE" w:rsidRDefault="00317015" w:rsidP="00504071">
      <w:pPr>
        <w:spacing w:line="360" w:lineRule="auto"/>
        <w:rPr>
          <w:rFonts w:ascii="Baskerville Old Face" w:hAnsi="Baskerville Old Face"/>
          <w:i/>
          <w:iCs/>
        </w:rPr>
      </w:pPr>
      <w:r w:rsidRPr="00B479AE">
        <w:rPr>
          <w:rFonts w:ascii="Baskerville Old Face" w:hAnsi="Baskerville Old Face"/>
          <w:i/>
          <w:iCs/>
        </w:rPr>
        <w:t>Its purpose is to organize how verified regenerative performance can inform PRU value analysis, maturity classification, risk interpretation, underwriting readability, and capital allocation.</w:t>
      </w:r>
    </w:p>
    <w:p w14:paraId="71F05AEA"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A simplified conceptual structure may be expressed as:</w:t>
      </w:r>
    </w:p>
    <w:p w14:paraId="2CDCA6D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PRU Value = Base Productive Value × Regenerative Performance Adjustment × Confidence Adjustment × Admissibility Factor</w:t>
      </w:r>
    </w:p>
    <w:p w14:paraId="27F8514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Where:</w:t>
      </w:r>
    </w:p>
    <w:p w14:paraId="7C53EBB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Base Productive Value represents observable and cash-relevant output;</w:t>
      </w:r>
    </w:p>
    <w:p w14:paraId="3A867ECF"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Regenerative Performance Adjustment reflects verified ecological performance;</w:t>
      </w:r>
    </w:p>
    <w:p w14:paraId="54BB8F02"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Confidence Adjustment reflects evidence quality and uncertainty;</w:t>
      </w:r>
    </w:p>
    <w:p w14:paraId="033EA94D" w14:textId="39D2B979" w:rsidR="00FC6249" w:rsidRPr="00B479AE" w:rsidRDefault="00FC6249" w:rsidP="00504071">
      <w:pPr>
        <w:spacing w:line="360" w:lineRule="auto"/>
        <w:rPr>
          <w:rFonts w:ascii="Baskerville Old Face" w:hAnsi="Baskerville Old Face"/>
          <w:i/>
          <w:iCs/>
        </w:rPr>
      </w:pPr>
      <w:r w:rsidRPr="00B479AE">
        <w:rPr>
          <w:rFonts w:ascii="Baskerville Old Face" w:hAnsi="Baskerville Old Face"/>
          <w:i/>
          <w:iCs/>
        </w:rPr>
        <w:t>Admissibility Factor determines which components may enter PRU value analysis or capital-readiness</w:t>
      </w:r>
      <w:r w:rsidR="000A1FA7" w:rsidRPr="00B479AE">
        <w:rPr>
          <w:rFonts w:ascii="Baskerville Old Face" w:hAnsi="Baskerville Old Face"/>
          <w:i/>
          <w:iCs/>
        </w:rPr>
        <w:t xml:space="preserve"> assessment</w:t>
      </w:r>
      <w:r w:rsidRPr="00B479AE">
        <w:rPr>
          <w:rFonts w:ascii="Baskerville Old Face" w:hAnsi="Baskerville Old Face"/>
          <w:i/>
          <w:iCs/>
        </w:rPr>
        <w:t>.</w:t>
      </w:r>
    </w:p>
    <w:p w14:paraId="1599E7E0" w14:textId="4E3931F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More detailed PRU methodologies may incorporate indices such as:</w:t>
      </w:r>
    </w:p>
    <w:p w14:paraId="4C61292F"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lastRenderedPageBreak/>
        <w:t>• Syntropic Resilience Index;</w:t>
      </w:r>
    </w:p>
    <w:p w14:paraId="4675BB61"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Regenerative Productivity Index;</w:t>
      </w:r>
    </w:p>
    <w:p w14:paraId="2DA240C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Cooperative Ecological Surplus Index;</w:t>
      </w:r>
    </w:p>
    <w:p w14:paraId="449B98D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MRV Integrity Score;</w:t>
      </w:r>
    </w:p>
    <w:p w14:paraId="204235D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Input Dependency Reduction;</w:t>
      </w:r>
    </w:p>
    <w:p w14:paraId="27181727"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Hydrological Resilience Score;</w:t>
      </w:r>
    </w:p>
    <w:p w14:paraId="623D06C9"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Soil Metabolic Capacity;</w:t>
      </w:r>
    </w:p>
    <w:p w14:paraId="5A3A4222"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Biodiversity Function Score;</w:t>
      </w:r>
    </w:p>
    <w:p w14:paraId="0807E88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Operational Reliability;</w:t>
      </w:r>
    </w:p>
    <w:p w14:paraId="32700BD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Governance Quality;</w:t>
      </w:r>
    </w:p>
    <w:p w14:paraId="0F81E7B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Legal Readiness.</w:t>
      </w:r>
    </w:p>
    <w:p w14:paraId="05A2C6A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 methodology must remain versioned, reviewable, and conservative enough to support institutional trust.</w:t>
      </w:r>
    </w:p>
    <w:p w14:paraId="50AAA09F" w14:textId="5CDC30C4"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Syntropic Resilience Index</w:t>
      </w:r>
    </w:p>
    <w:p w14:paraId="3CE0CBF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 Syntropic Resilience Index measures the internal adaptive capacity of a regenerative unit.</w:t>
      </w:r>
    </w:p>
    <w:p w14:paraId="16FD2177"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may include:</w:t>
      </w:r>
    </w:p>
    <w:p w14:paraId="07F99332"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soil organic matter;</w:t>
      </w:r>
    </w:p>
    <w:p w14:paraId="0C90AB27"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soil structure;</w:t>
      </w:r>
    </w:p>
    <w:p w14:paraId="25029D4F"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microbial activity;</w:t>
      </w:r>
    </w:p>
    <w:p w14:paraId="7059A4A1"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earthworm activity;</w:t>
      </w:r>
    </w:p>
    <w:p w14:paraId="3A0DB8E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infiltration rate;</w:t>
      </w:r>
    </w:p>
    <w:p w14:paraId="3B7AB4C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water retention;</w:t>
      </w:r>
    </w:p>
    <w:p w14:paraId="6D772298"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lastRenderedPageBreak/>
        <w:t>• vegetation structure;</w:t>
      </w:r>
    </w:p>
    <w:p w14:paraId="0E77004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biomass cycling;</w:t>
      </w:r>
    </w:p>
    <w:p w14:paraId="0653772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species diversity;</w:t>
      </w:r>
    </w:p>
    <w:p w14:paraId="4B0E92D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drought response;</w:t>
      </w:r>
    </w:p>
    <w:p w14:paraId="092532FB"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recovery after disturbance.</w:t>
      </w:r>
    </w:p>
    <w:p w14:paraId="732182F9"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Its financial relevance lies in risk compression.</w:t>
      </w:r>
    </w:p>
    <w:p w14:paraId="67AA88B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A more resilient system may show lower variance, lower input dependency, and greater operational stability.</w:t>
      </w:r>
    </w:p>
    <w:p w14:paraId="144B8A82"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Regenerative Productivity Index</w:t>
      </w:r>
    </w:p>
    <w:p w14:paraId="310D4F48"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 Regenerative Productivity Index measures productive performance adjusted for ecological quality.</w:t>
      </w:r>
    </w:p>
    <w:p w14:paraId="66A73D8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may include:</w:t>
      </w:r>
    </w:p>
    <w:p w14:paraId="38EFF248"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edible biomass output;</w:t>
      </w:r>
    </w:p>
    <w:p w14:paraId="682E7B4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crop diversity;</w:t>
      </w:r>
    </w:p>
    <w:p w14:paraId="5A3BA1A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seasonal yield distribution;</w:t>
      </w:r>
    </w:p>
    <w:p w14:paraId="3CB4E46C"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yield stability;</w:t>
      </w:r>
    </w:p>
    <w:p w14:paraId="02ABE6E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nutritional potential;</w:t>
      </w:r>
    </w:p>
    <w:p w14:paraId="17C582A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input efficiency;</w:t>
      </w:r>
    </w:p>
    <w:p w14:paraId="0F315779"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productivity per unit of water;</w:t>
      </w:r>
    </w:p>
    <w:p w14:paraId="72F58689"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productivity per unit of external input;</w:t>
      </w:r>
    </w:p>
    <w:p w14:paraId="50371DD8"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productive maturation over time.</w:t>
      </w:r>
    </w:p>
    <w:p w14:paraId="6D80CCD8"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Its financial relevance lies in the relationship between output and system health.</w:t>
      </w:r>
    </w:p>
    <w:p w14:paraId="013F717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lastRenderedPageBreak/>
        <w:t>A system that produces while degrading itself is not regenerative.</w:t>
      </w:r>
    </w:p>
    <w:p w14:paraId="79F05A0F"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A system that produces while strengthening its foundations is.</w:t>
      </w:r>
    </w:p>
    <w:p w14:paraId="14BBF96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Cooperative Ecological Surplus Index</w:t>
      </w:r>
    </w:p>
    <w:p w14:paraId="0A5A839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 Cooperative Ecological Surplus Index measures the surplus generated by biological relationships.</w:t>
      </w:r>
    </w:p>
    <w:p w14:paraId="4D75DAD1"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This may include the value created through:</w:t>
      </w:r>
    </w:p>
    <w:p w14:paraId="3D5863E9"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mycorrhizal networks;</w:t>
      </w:r>
    </w:p>
    <w:p w14:paraId="02FDAF4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stratification;</w:t>
      </w:r>
    </w:p>
    <w:p w14:paraId="5939CACC"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complementary root systems;</w:t>
      </w:r>
    </w:p>
    <w:p w14:paraId="1925E10F"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biodiversity;</w:t>
      </w:r>
    </w:p>
    <w:p w14:paraId="5D37CAF9"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pollination;</w:t>
      </w:r>
    </w:p>
    <w:p w14:paraId="40729A1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pest regulation;</w:t>
      </w:r>
    </w:p>
    <w:p w14:paraId="078DF97D"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biomass cycling;</w:t>
      </w:r>
    </w:p>
    <w:p w14:paraId="6CA8EC6D"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microclimate buffering;</w:t>
      </w:r>
    </w:p>
    <w:p w14:paraId="2782FE6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cooperative plant guilds;</w:t>
      </w:r>
    </w:p>
    <w:p w14:paraId="676638A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reduced competition for external inputs.</w:t>
      </w:r>
    </w:p>
    <w:p w14:paraId="5797BE2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 key question is whether the system generates more stability, resilience, or productive capacity than simplified isolated components would suggest.</w:t>
      </w:r>
    </w:p>
    <w:p w14:paraId="7366981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This index is especially important because it captures the distinctive intelligence of syntropic and regenerative systems.</w:t>
      </w:r>
    </w:p>
    <w:p w14:paraId="41E56D7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MRV Integrity Score</w:t>
      </w:r>
    </w:p>
    <w:p w14:paraId="19A64B0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 MRV Integrity Score measures the strength of the evidence architecture supporting PRU claims.</w:t>
      </w:r>
    </w:p>
    <w:p w14:paraId="1B98ED4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may consider:</w:t>
      </w:r>
    </w:p>
    <w:p w14:paraId="54D2F32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lastRenderedPageBreak/>
        <w:t>• baseline quality;</w:t>
      </w:r>
    </w:p>
    <w:p w14:paraId="3BC670B7"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sampling consistency;</w:t>
      </w:r>
    </w:p>
    <w:p w14:paraId="46DEDEA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sensor reliability;</w:t>
      </w:r>
    </w:p>
    <w:p w14:paraId="6F10225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laboratory documentation;</w:t>
      </w:r>
    </w:p>
    <w:p w14:paraId="5901C7C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remote-sensing continuity;</w:t>
      </w:r>
    </w:p>
    <w:p w14:paraId="345B1B3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field-audit quality;</w:t>
      </w:r>
    </w:p>
    <w:p w14:paraId="262F6CEA"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data lineage;</w:t>
      </w:r>
    </w:p>
    <w:p w14:paraId="04720A61"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methodology versioning;</w:t>
      </w:r>
    </w:p>
    <w:p w14:paraId="2604D5A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confidence scoring;</w:t>
      </w:r>
    </w:p>
    <w:p w14:paraId="228513C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third-party verification;</w:t>
      </w:r>
    </w:p>
    <w:p w14:paraId="665578C9"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provenance integrity;</w:t>
      </w:r>
    </w:p>
    <w:p w14:paraId="7807A4A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no-double-counting safeguards.</w:t>
      </w:r>
    </w:p>
    <w:p w14:paraId="5843F77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This score is fundamental because capital should not rely only on ecological promise.</w:t>
      </w:r>
    </w:p>
    <w:p w14:paraId="4278E8E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should rely on the quality of evidence.</w:t>
      </w:r>
    </w:p>
    <w:p w14:paraId="338B652B"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Risk compression</w:t>
      </w:r>
    </w:p>
    <w:p w14:paraId="05B50382"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One of the strongest financial implications of regeneration is risk compression.</w:t>
      </w:r>
    </w:p>
    <w:p w14:paraId="0C54406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A regenerative system can reduce risk when it improves the conditions that make future production more reliable.</w:t>
      </w:r>
    </w:p>
    <w:p w14:paraId="1736C53F"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Risk may decrease as:</w:t>
      </w:r>
    </w:p>
    <w:p w14:paraId="2B39CCF7"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soil buffers drought;</w:t>
      </w:r>
    </w:p>
    <w:p w14:paraId="6378F9B8"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biodiversity distributes ecological functions;</w:t>
      </w:r>
    </w:p>
    <w:p w14:paraId="3310E77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water retention improves;</w:t>
      </w:r>
    </w:p>
    <w:p w14:paraId="2A8C1E4A"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lastRenderedPageBreak/>
        <w:t>• input dependency declines;</w:t>
      </w:r>
    </w:p>
    <w:p w14:paraId="5C72CBDB"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crop diversity reduces concentration risk;</w:t>
      </w:r>
    </w:p>
    <w:p w14:paraId="3B037BA2"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ecosystem health reduces pest and disease vulnerability;</w:t>
      </w:r>
    </w:p>
    <w:p w14:paraId="0FAABEFC"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operational knowledge improves;</w:t>
      </w:r>
    </w:p>
    <w:p w14:paraId="246D87D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data continuity increases;</w:t>
      </w:r>
    </w:p>
    <w:p w14:paraId="19000E3B"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governance becomes more reliable.</w:t>
      </w:r>
    </w:p>
    <w:p w14:paraId="322EB4D7"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This can be expressed conceptually as:</w:t>
      </w:r>
    </w:p>
    <w:p w14:paraId="44DC79EA"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ecological coherence increases;</w:t>
      </w:r>
    </w:p>
    <w:p w14:paraId="593DEFBB"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variance decreases;</w:t>
      </w:r>
    </w:p>
    <w:p w14:paraId="3822BE1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predictability improves;</w:t>
      </w:r>
    </w:p>
    <w:p w14:paraId="27E33413" w14:textId="0662513D"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xml:space="preserve">risk premium </w:t>
      </w:r>
      <w:r w:rsidR="00A86E17" w:rsidRPr="00B479AE">
        <w:rPr>
          <w:rFonts w:ascii="Baskerville Old Face" w:hAnsi="Baskerville Old Face"/>
          <w:i/>
          <w:iCs/>
        </w:rPr>
        <w:t xml:space="preserve">may </w:t>
      </w:r>
      <w:r w:rsidRPr="00B479AE">
        <w:rPr>
          <w:rFonts w:ascii="Baskerville Old Face" w:hAnsi="Baskerville Old Face"/>
          <w:i/>
          <w:iCs/>
        </w:rPr>
        <w:t>decline;</w:t>
      </w:r>
    </w:p>
    <w:p w14:paraId="52518DD3" w14:textId="0C0FBC39" w:rsidR="00504071" w:rsidRPr="00B479AE" w:rsidRDefault="00A86E17" w:rsidP="00504071">
      <w:pPr>
        <w:spacing w:line="360" w:lineRule="auto"/>
        <w:rPr>
          <w:rFonts w:ascii="Baskerville Old Face" w:hAnsi="Baskerville Old Face"/>
          <w:i/>
          <w:iCs/>
        </w:rPr>
      </w:pPr>
      <w:r w:rsidRPr="00B479AE">
        <w:rPr>
          <w:rFonts w:ascii="Baskerville Old Face" w:hAnsi="Baskerville Old Face"/>
          <w:i/>
          <w:iCs/>
        </w:rPr>
        <w:t>capital-readiness quality may improve</w:t>
      </w:r>
      <w:r w:rsidR="00504071" w:rsidRPr="00B479AE">
        <w:rPr>
          <w:rFonts w:ascii="Baskerville Old Face" w:hAnsi="Baskerville Old Face"/>
          <w:i/>
          <w:iCs/>
        </w:rPr>
        <w:t>.</w:t>
      </w:r>
    </w:p>
    <w:p w14:paraId="1DBAB81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Risk compression must be demonstrated, not assumed.</w:t>
      </w:r>
    </w:p>
    <w:p w14:paraId="1F34F511"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becomes financially relevant only when supported by evidence over time.</w:t>
      </w:r>
    </w:p>
    <w:p w14:paraId="4DAA552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Time-positive asset dynamics</w:t>
      </w:r>
    </w:p>
    <w:p w14:paraId="1A92B4E8"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Many conventional assets depreciate with time.</w:t>
      </w:r>
    </w:p>
    <w:p w14:paraId="0932F10A"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Buildings require maintenance.</w:t>
      </w:r>
    </w:p>
    <w:p w14:paraId="0255CE6D"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Machines lose efficiency.</w:t>
      </w:r>
    </w:p>
    <w:p w14:paraId="30DCCB2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Industrial systems often need replacement.</w:t>
      </w:r>
    </w:p>
    <w:p w14:paraId="216A0FFB"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Degraded agricultural systems may require increasing inputs to maintain output.</w:t>
      </w:r>
    </w:p>
    <w:p w14:paraId="7CF3C9E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Regenerative systems may follow a different dynamic when properly designed and managed.</w:t>
      </w:r>
    </w:p>
    <w:p w14:paraId="2F94915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As soil improves, water retention can increase.</w:t>
      </w:r>
    </w:p>
    <w:p w14:paraId="7198469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lastRenderedPageBreak/>
        <w:t>As biodiversity expands, resilience can strengthen.</w:t>
      </w:r>
    </w:p>
    <w:p w14:paraId="79D7F699"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As biomass cycles, fertility can compound.</w:t>
      </w:r>
    </w:p>
    <w:p w14:paraId="6D1C482F"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As stewardship improves, interventions become more precise.</w:t>
      </w:r>
    </w:p>
    <w:p w14:paraId="710A35F9"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As data accumulates, uncertainty can decrease.</w:t>
      </w:r>
    </w:p>
    <w:p w14:paraId="2FC577E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As uncertainty decreases, underwriting quality can improve.</w:t>
      </w:r>
    </w:p>
    <w:p w14:paraId="4594FEA1"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This creates the possibility of time-positive asset dynamics.</w:t>
      </w:r>
    </w:p>
    <w:p w14:paraId="7FF9450B"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Time-positive does not mean automatic appreciation.</w:t>
      </w:r>
    </w:p>
    <w:p w14:paraId="18DAC00B"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means that under verified regenerative conditions, the system may become more valuable as it matures.</w:t>
      </w:r>
    </w:p>
    <w:p w14:paraId="1B06220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This is one of the defining characteristics of regenerative infrastructure.</w:t>
      </w:r>
    </w:p>
    <w:p w14:paraId="5553B9E2"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Regenerative Asset Pool</w:t>
      </w:r>
    </w:p>
    <w:p w14:paraId="080F096B"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 Regenerative Asset Pool, or RAP, is the portfolio structure through which verified PRUs become institutional.</w:t>
      </w:r>
    </w:p>
    <w:p w14:paraId="43E8FA1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A RAP aggregates PRUs across multiple regenerative units.</w:t>
      </w:r>
    </w:p>
    <w:p w14:paraId="237E315C" w14:textId="20616C35"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may include different geographies, climates, operators, maturity stages, species designs, revenue channels, and legal wrappers.</w:t>
      </w:r>
      <w:r w:rsidR="002E5EB1">
        <w:rPr>
          <w:rFonts w:ascii="Baskerville Old Face" w:hAnsi="Baskerville Old Face"/>
          <w:i/>
          <w:iCs/>
        </w:rPr>
        <w:t xml:space="preserve"> </w:t>
      </w:r>
      <w:r w:rsidRPr="00B479AE">
        <w:rPr>
          <w:rFonts w:ascii="Baskerville Old Face" w:hAnsi="Baskerville Old Face"/>
          <w:i/>
          <w:iCs/>
        </w:rPr>
        <w:t>The purpose of a RAP is to create:</w:t>
      </w:r>
    </w:p>
    <w:p w14:paraId="3B3866AC"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diversification;</w:t>
      </w:r>
    </w:p>
    <w:p w14:paraId="7DC79C9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risk distribution;</w:t>
      </w:r>
    </w:p>
    <w:p w14:paraId="6DCE3679"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portfolio monitoring;</w:t>
      </w:r>
    </w:p>
    <w:p w14:paraId="1B0CAB08"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investor reporting;</w:t>
      </w:r>
    </w:p>
    <w:p w14:paraId="500A1B1C" w14:textId="675FBA21"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xml:space="preserve">• </w:t>
      </w:r>
      <w:r w:rsidR="001C0DFB" w:rsidRPr="00B479AE">
        <w:rPr>
          <w:rFonts w:ascii="Baskerville Old Face" w:hAnsi="Baskerville Old Face"/>
          <w:i/>
          <w:iCs/>
        </w:rPr>
        <w:t>maturity-classification logic</w:t>
      </w:r>
      <w:r w:rsidRPr="00B479AE">
        <w:rPr>
          <w:rFonts w:ascii="Baskerville Old Face" w:hAnsi="Baskerville Old Face"/>
          <w:i/>
          <w:iCs/>
        </w:rPr>
        <w:t>;</w:t>
      </w:r>
    </w:p>
    <w:p w14:paraId="2EBEECC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insurance or guarantee compatibility;</w:t>
      </w:r>
    </w:p>
    <w:p w14:paraId="6D8E151C"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capital deployment scale;</w:t>
      </w:r>
    </w:p>
    <w:p w14:paraId="7ECCC15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lastRenderedPageBreak/>
        <w:t>• future securitization readiness;</w:t>
      </w:r>
    </w:p>
    <w:p w14:paraId="10211AD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institutional asset management.</w:t>
      </w:r>
    </w:p>
    <w:p w14:paraId="6110736A"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 RAP is the bridge between project-level regeneration and portfolio-level finance.</w:t>
      </w:r>
    </w:p>
    <w:p w14:paraId="4F288F4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A single regenerative unit can prove the model.</w:t>
      </w:r>
    </w:p>
    <w:p w14:paraId="620CCA7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A RAP can scale it.</w:t>
      </w:r>
    </w:p>
    <w:p w14:paraId="1FBF275F" w14:textId="4D7939F8"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Portfolio construction</w:t>
      </w:r>
    </w:p>
    <w:p w14:paraId="0356249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RAP portfolio construction should consider multiple dimensions.</w:t>
      </w:r>
    </w:p>
    <w:p w14:paraId="1AC61D08"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Geographic diversification</w:t>
      </w:r>
    </w:p>
    <w:p w14:paraId="3D54788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Different sites reduce exposure to local climate, regulatory, operational, or market shocks.</w:t>
      </w:r>
    </w:p>
    <w:p w14:paraId="6CA0847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Ecological diversification</w:t>
      </w:r>
    </w:p>
    <w:p w14:paraId="6507D17A"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Different species, designs, soil contexts, water systems, and biodiversity profiles reduce biological concentration risk.</w:t>
      </w:r>
    </w:p>
    <w:p w14:paraId="77FC315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Maturity diversification</w:t>
      </w:r>
    </w:p>
    <w:p w14:paraId="20FD2E99"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Young systems may offer growth potential.</w:t>
      </w:r>
    </w:p>
    <w:p w14:paraId="2BF1575C"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Mature systems may offer evidence continuity and greater stability.</w:t>
      </w:r>
    </w:p>
    <w:p w14:paraId="64B12B9A"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Operator diversification</w:t>
      </w:r>
    </w:p>
    <w:p w14:paraId="7BE2A23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Different operators reduce dependence on one stewardship team.</w:t>
      </w:r>
    </w:p>
    <w:p w14:paraId="4075E7B4" w14:textId="3157F86C"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Revenue diversification</w:t>
      </w:r>
    </w:p>
    <w:p w14:paraId="0646C86C"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Hospitality, food, ecosystem services, education, data, procurement, and other revenues may behave differently across contexts.</w:t>
      </w:r>
    </w:p>
    <w:p w14:paraId="64839D84" w14:textId="0CB8CF88"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MRV diversification</w:t>
      </w:r>
    </w:p>
    <w:p w14:paraId="283EB95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Different evidence sources and verification methods strengthen the reliability of portfolio-level reporting.</w:t>
      </w:r>
    </w:p>
    <w:p w14:paraId="0958A65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lastRenderedPageBreak/>
        <w:t>The objective is not complexity for its own sake.</w:t>
      </w:r>
    </w:p>
    <w:p w14:paraId="28F1C40D"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 objective is resilience.</w:t>
      </w:r>
    </w:p>
    <w:p w14:paraId="471B1C9A" w14:textId="77777777" w:rsidR="00CC71FB" w:rsidRPr="00B479AE" w:rsidRDefault="00CC71FB" w:rsidP="00CC71FB">
      <w:pPr>
        <w:spacing w:line="360" w:lineRule="auto"/>
        <w:rPr>
          <w:rFonts w:ascii="Baskerville Old Face" w:hAnsi="Baskerville Old Face"/>
          <w:b/>
          <w:bCs/>
          <w:i/>
          <w:iCs/>
        </w:rPr>
      </w:pPr>
      <w:r w:rsidRPr="00B479AE">
        <w:rPr>
          <w:rFonts w:ascii="Baskerville Old Face" w:hAnsi="Baskerville Old Face"/>
          <w:b/>
          <w:bCs/>
          <w:i/>
          <w:iCs/>
        </w:rPr>
        <w:t>PRU Maturity Classification</w:t>
      </w:r>
    </w:p>
    <w:p w14:paraId="76250C12" w14:textId="77777777" w:rsidR="00CC71FB" w:rsidRPr="00B479AE" w:rsidRDefault="00CC71FB" w:rsidP="00CC71FB">
      <w:pPr>
        <w:spacing w:line="360" w:lineRule="auto"/>
        <w:rPr>
          <w:rFonts w:ascii="Baskerville Old Face" w:hAnsi="Baskerville Old Face"/>
          <w:i/>
          <w:iCs/>
        </w:rPr>
      </w:pPr>
      <w:r w:rsidRPr="00B479AE">
        <w:rPr>
          <w:rFonts w:ascii="Baskerville Old Face" w:hAnsi="Baskerville Old Face"/>
          <w:i/>
          <w:iCs/>
        </w:rPr>
        <w:t>A PRU maturity classification system is necessary for institutional comparability.</w:t>
      </w:r>
    </w:p>
    <w:p w14:paraId="064CFD5D" w14:textId="77777777" w:rsidR="00CC71FB" w:rsidRPr="00B479AE" w:rsidRDefault="00CC71FB" w:rsidP="00CC71FB">
      <w:pPr>
        <w:spacing w:line="360" w:lineRule="auto"/>
        <w:rPr>
          <w:rFonts w:ascii="Baskerville Old Face" w:hAnsi="Baskerville Old Face"/>
          <w:i/>
          <w:iCs/>
        </w:rPr>
      </w:pPr>
      <w:r w:rsidRPr="00B479AE">
        <w:rPr>
          <w:rFonts w:ascii="Baskerville Old Face" w:hAnsi="Baskerville Old Face"/>
          <w:i/>
          <w:iCs/>
        </w:rPr>
        <w:t>The classification should evaluate ecological performance, evidence quality, methodology maturity, governance reliability, operational history, legal readiness, and capital-readiness.</w:t>
      </w:r>
    </w:p>
    <w:p w14:paraId="27DBE07D" w14:textId="4936CE82" w:rsidR="00B50E92" w:rsidRPr="00B479AE" w:rsidRDefault="00CC71FB" w:rsidP="00CC71FB">
      <w:pPr>
        <w:spacing w:line="360" w:lineRule="auto"/>
        <w:rPr>
          <w:rFonts w:ascii="Baskerville Old Face" w:hAnsi="Baskerville Old Face"/>
          <w:i/>
          <w:iCs/>
        </w:rPr>
      </w:pPr>
      <w:r w:rsidRPr="00B479AE">
        <w:rPr>
          <w:rFonts w:ascii="Baskerville Old Face" w:hAnsi="Baskerville Old Face"/>
          <w:i/>
          <w:iCs/>
        </w:rPr>
        <w:t>The operative Prometheus-native maturity scale 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5"/>
        <w:gridCol w:w="4916"/>
        <w:gridCol w:w="2807"/>
      </w:tblGrid>
      <w:tr w:rsidR="00CC71FB" w:rsidRPr="00B479AE" w14:paraId="7AD36814" w14:textId="77777777" w:rsidTr="00CC71FB">
        <w:trPr>
          <w:tblHeader/>
          <w:tblCellSpacing w:w="15" w:type="dxa"/>
        </w:trPr>
        <w:tc>
          <w:tcPr>
            <w:tcW w:w="0" w:type="auto"/>
            <w:vAlign w:val="center"/>
            <w:hideMark/>
          </w:tcPr>
          <w:p w14:paraId="1FDBC8CD" w14:textId="77777777" w:rsidR="00CC71FB" w:rsidRPr="00B479AE" w:rsidRDefault="00CC71FB" w:rsidP="00CC71FB">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PRU maturity class</w:t>
            </w:r>
          </w:p>
        </w:tc>
        <w:tc>
          <w:tcPr>
            <w:tcW w:w="0" w:type="auto"/>
            <w:vAlign w:val="center"/>
            <w:hideMark/>
          </w:tcPr>
          <w:p w14:paraId="4DB3257B" w14:textId="77777777" w:rsidR="00CC71FB" w:rsidRPr="00B479AE" w:rsidRDefault="00CC71FB" w:rsidP="00CC71FB">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c>
          <w:tcPr>
            <w:tcW w:w="0" w:type="auto"/>
            <w:vAlign w:val="center"/>
            <w:hideMark/>
          </w:tcPr>
          <w:p w14:paraId="6CB1C4AF" w14:textId="77777777" w:rsidR="00CC71FB" w:rsidRPr="00B479AE" w:rsidRDefault="00CC71FB" w:rsidP="00CC71FB">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Use</w:t>
            </w:r>
          </w:p>
        </w:tc>
      </w:tr>
      <w:tr w:rsidR="00CC71FB" w:rsidRPr="00B479AE" w14:paraId="364EC95D" w14:textId="77777777" w:rsidTr="00CC71FB">
        <w:trPr>
          <w:tblCellSpacing w:w="15" w:type="dxa"/>
        </w:trPr>
        <w:tc>
          <w:tcPr>
            <w:tcW w:w="0" w:type="auto"/>
            <w:vAlign w:val="center"/>
            <w:hideMark/>
          </w:tcPr>
          <w:p w14:paraId="1B4CC6DF"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PRU-R0 — Conceptual</w:t>
            </w:r>
          </w:p>
        </w:tc>
        <w:tc>
          <w:tcPr>
            <w:tcW w:w="0" w:type="auto"/>
            <w:vAlign w:val="center"/>
            <w:hideMark/>
          </w:tcPr>
          <w:p w14:paraId="6B76195F"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Methodology or project thesis exists, but evidence is preliminary</w:t>
            </w:r>
          </w:p>
        </w:tc>
        <w:tc>
          <w:tcPr>
            <w:tcW w:w="0" w:type="auto"/>
            <w:vAlign w:val="center"/>
            <w:hideMark/>
          </w:tcPr>
          <w:p w14:paraId="2CB852D7"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Research and pilot design</w:t>
            </w:r>
          </w:p>
        </w:tc>
      </w:tr>
      <w:tr w:rsidR="00CC71FB" w:rsidRPr="00B479AE" w14:paraId="6CA399C1" w14:textId="77777777" w:rsidTr="00CC71FB">
        <w:trPr>
          <w:tblCellSpacing w:w="15" w:type="dxa"/>
        </w:trPr>
        <w:tc>
          <w:tcPr>
            <w:tcW w:w="0" w:type="auto"/>
            <w:vAlign w:val="center"/>
            <w:hideMark/>
          </w:tcPr>
          <w:p w14:paraId="078FC4AA"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PRU-R1 — Observed</w:t>
            </w:r>
          </w:p>
        </w:tc>
        <w:tc>
          <w:tcPr>
            <w:tcW w:w="0" w:type="auto"/>
            <w:vAlign w:val="center"/>
            <w:hideMark/>
          </w:tcPr>
          <w:p w14:paraId="31785300"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Field observations and early records exist</w:t>
            </w:r>
          </w:p>
        </w:tc>
        <w:tc>
          <w:tcPr>
            <w:tcW w:w="0" w:type="auto"/>
            <w:vAlign w:val="center"/>
            <w:hideMark/>
          </w:tcPr>
          <w:p w14:paraId="7014E50A"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Internal monitoring and learning</w:t>
            </w:r>
          </w:p>
        </w:tc>
      </w:tr>
      <w:tr w:rsidR="00CC71FB" w:rsidRPr="00B479AE" w14:paraId="3BED6400" w14:textId="77777777" w:rsidTr="00CC71FB">
        <w:trPr>
          <w:tblCellSpacing w:w="15" w:type="dxa"/>
        </w:trPr>
        <w:tc>
          <w:tcPr>
            <w:tcW w:w="0" w:type="auto"/>
            <w:vAlign w:val="center"/>
            <w:hideMark/>
          </w:tcPr>
          <w:p w14:paraId="5B4E7B52"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PRU-R2 — Evidence-backed</w:t>
            </w:r>
          </w:p>
        </w:tc>
        <w:tc>
          <w:tcPr>
            <w:tcW w:w="0" w:type="auto"/>
            <w:vAlign w:val="center"/>
            <w:hideMark/>
          </w:tcPr>
          <w:p w14:paraId="6CDDDC84"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Evidence with provenance supports selected indicators</w:t>
            </w:r>
          </w:p>
        </w:tc>
        <w:tc>
          <w:tcPr>
            <w:tcW w:w="0" w:type="auto"/>
            <w:vAlign w:val="center"/>
            <w:hideMark/>
          </w:tcPr>
          <w:p w14:paraId="1661AB18"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MRV development and pilot reporting</w:t>
            </w:r>
          </w:p>
        </w:tc>
      </w:tr>
      <w:tr w:rsidR="00CC71FB" w:rsidRPr="00B479AE" w14:paraId="46392D18" w14:textId="77777777" w:rsidTr="00CC71FB">
        <w:trPr>
          <w:tblCellSpacing w:w="15" w:type="dxa"/>
        </w:trPr>
        <w:tc>
          <w:tcPr>
            <w:tcW w:w="0" w:type="auto"/>
            <w:vAlign w:val="center"/>
            <w:hideMark/>
          </w:tcPr>
          <w:p w14:paraId="1D223B41"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PRU-R3 — MRV-admissible</w:t>
            </w:r>
          </w:p>
        </w:tc>
        <w:tc>
          <w:tcPr>
            <w:tcW w:w="0" w:type="auto"/>
            <w:vAlign w:val="center"/>
            <w:hideMark/>
          </w:tcPr>
          <w:p w14:paraId="4547EBA1"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Evidence meets MRV methodology under defined scope</w:t>
            </w:r>
          </w:p>
        </w:tc>
        <w:tc>
          <w:tcPr>
            <w:tcW w:w="0" w:type="auto"/>
            <w:vAlign w:val="center"/>
            <w:hideMark/>
          </w:tcPr>
          <w:p w14:paraId="7327501C"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Controlled reporting and institutional diligence</w:t>
            </w:r>
          </w:p>
        </w:tc>
      </w:tr>
      <w:tr w:rsidR="00CC71FB" w:rsidRPr="00B479AE" w14:paraId="23A5827C" w14:textId="77777777" w:rsidTr="00CC71FB">
        <w:trPr>
          <w:tblCellSpacing w:w="15" w:type="dxa"/>
        </w:trPr>
        <w:tc>
          <w:tcPr>
            <w:tcW w:w="0" w:type="auto"/>
            <w:vAlign w:val="center"/>
            <w:hideMark/>
          </w:tcPr>
          <w:p w14:paraId="1A83D35A"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PRU-R4 — PRU-eligible</w:t>
            </w:r>
          </w:p>
        </w:tc>
        <w:tc>
          <w:tcPr>
            <w:tcW w:w="0" w:type="auto"/>
            <w:vAlign w:val="center"/>
            <w:hideMark/>
          </w:tcPr>
          <w:p w14:paraId="4E4FF12C"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Evidence may support PRU analysis under approved methodology</w:t>
            </w:r>
          </w:p>
        </w:tc>
        <w:tc>
          <w:tcPr>
            <w:tcW w:w="0" w:type="auto"/>
            <w:vAlign w:val="center"/>
            <w:hideMark/>
          </w:tcPr>
          <w:p w14:paraId="6BE3F7C7"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PRU report and capital-readiness review</w:t>
            </w:r>
          </w:p>
        </w:tc>
      </w:tr>
      <w:tr w:rsidR="00CC71FB" w:rsidRPr="00B479AE" w14:paraId="5F6F4123" w14:textId="77777777" w:rsidTr="00CC71FB">
        <w:trPr>
          <w:tblCellSpacing w:w="15" w:type="dxa"/>
        </w:trPr>
        <w:tc>
          <w:tcPr>
            <w:tcW w:w="0" w:type="auto"/>
            <w:vAlign w:val="center"/>
            <w:hideMark/>
          </w:tcPr>
          <w:p w14:paraId="1F8B85D2"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PRU-R5 — Reviewed</w:t>
            </w:r>
          </w:p>
        </w:tc>
        <w:tc>
          <w:tcPr>
            <w:tcW w:w="0" w:type="auto"/>
            <w:vAlign w:val="center"/>
            <w:hideMark/>
          </w:tcPr>
          <w:p w14:paraId="46999AA9"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PRU analysis has undergone appropriate review</w:t>
            </w:r>
          </w:p>
        </w:tc>
        <w:tc>
          <w:tcPr>
            <w:tcW w:w="0" w:type="auto"/>
            <w:vAlign w:val="center"/>
            <w:hideMark/>
          </w:tcPr>
          <w:p w14:paraId="0DCF2947"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Portfolio screening and underwriting support</w:t>
            </w:r>
          </w:p>
        </w:tc>
      </w:tr>
      <w:tr w:rsidR="00CC71FB" w:rsidRPr="00B479AE" w14:paraId="1D5AF504" w14:textId="77777777" w:rsidTr="00CC71FB">
        <w:trPr>
          <w:tblCellSpacing w:w="15" w:type="dxa"/>
        </w:trPr>
        <w:tc>
          <w:tcPr>
            <w:tcW w:w="0" w:type="auto"/>
            <w:vAlign w:val="center"/>
            <w:hideMark/>
          </w:tcPr>
          <w:p w14:paraId="4A22CC55"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PRU-R6 — Structured-ready</w:t>
            </w:r>
          </w:p>
        </w:tc>
        <w:tc>
          <w:tcPr>
            <w:tcW w:w="0" w:type="auto"/>
            <w:vAlign w:val="center"/>
            <w:hideMark/>
          </w:tcPr>
          <w:p w14:paraId="3405B2F2"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Legal, governance, MRV, and reporting elements are sufficiently mature for structuring review</w:t>
            </w:r>
          </w:p>
        </w:tc>
        <w:tc>
          <w:tcPr>
            <w:tcW w:w="0" w:type="auto"/>
            <w:vAlign w:val="center"/>
            <w:hideMark/>
          </w:tcPr>
          <w:p w14:paraId="59AEAE20"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Possible legal instrument design</w:t>
            </w:r>
          </w:p>
        </w:tc>
      </w:tr>
      <w:tr w:rsidR="00CC71FB" w:rsidRPr="00B479AE" w14:paraId="4C6D3CC1" w14:textId="77777777" w:rsidTr="00CC71FB">
        <w:trPr>
          <w:tblCellSpacing w:w="15" w:type="dxa"/>
        </w:trPr>
        <w:tc>
          <w:tcPr>
            <w:tcW w:w="0" w:type="auto"/>
            <w:vAlign w:val="center"/>
            <w:hideMark/>
          </w:tcPr>
          <w:p w14:paraId="457669CD"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PRU-R7 — Legally structured</w:t>
            </w:r>
          </w:p>
        </w:tc>
        <w:tc>
          <w:tcPr>
            <w:tcW w:w="0" w:type="auto"/>
            <w:vAlign w:val="center"/>
            <w:hideMark/>
          </w:tcPr>
          <w:p w14:paraId="6AC5C505"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PRU logic is connected to a compliant legal instrument</w:t>
            </w:r>
          </w:p>
        </w:tc>
        <w:tc>
          <w:tcPr>
            <w:tcW w:w="0" w:type="auto"/>
            <w:vAlign w:val="center"/>
            <w:hideMark/>
          </w:tcPr>
          <w:p w14:paraId="40245211" w14:textId="77777777" w:rsidR="00CC71FB" w:rsidRPr="00B479AE" w:rsidRDefault="00CC71FB" w:rsidP="00CC71FB">
            <w:pPr>
              <w:spacing w:line="360" w:lineRule="auto"/>
              <w:rPr>
                <w:rFonts w:ascii="Baskerville Old Face" w:hAnsi="Baskerville Old Face"/>
                <w:i/>
                <w:iCs/>
                <w:sz w:val="22"/>
                <w:szCs w:val="22"/>
              </w:rPr>
            </w:pPr>
            <w:r w:rsidRPr="00B479AE">
              <w:rPr>
                <w:rFonts w:ascii="Baskerville Old Face" w:hAnsi="Baskerville Old Face"/>
                <w:i/>
                <w:iCs/>
                <w:sz w:val="22"/>
                <w:szCs w:val="22"/>
              </w:rPr>
              <w:t>Controlled capital deployment where permitted</w:t>
            </w:r>
          </w:p>
        </w:tc>
      </w:tr>
    </w:tbl>
    <w:p w14:paraId="1526C1BA" w14:textId="77777777" w:rsidR="00C37A2A" w:rsidRPr="00B479AE" w:rsidRDefault="00C37A2A" w:rsidP="00C37A2A">
      <w:pPr>
        <w:spacing w:line="360" w:lineRule="auto"/>
        <w:rPr>
          <w:rFonts w:ascii="Baskerville Old Face" w:hAnsi="Baskerville Old Face"/>
          <w:i/>
          <w:iCs/>
        </w:rPr>
      </w:pPr>
      <w:r w:rsidRPr="00B479AE">
        <w:rPr>
          <w:rFonts w:ascii="Baskerville Old Face" w:hAnsi="Baskerville Old Face"/>
          <w:i/>
          <w:iCs/>
        </w:rPr>
        <w:t>Classification criteria may include:</w:t>
      </w:r>
    </w:p>
    <w:p w14:paraId="0AE2B9F1" w14:textId="77777777" w:rsidR="00C37A2A" w:rsidRPr="00B479AE" w:rsidRDefault="00C37A2A" w:rsidP="00C37A2A">
      <w:pPr>
        <w:spacing w:line="360" w:lineRule="auto"/>
        <w:rPr>
          <w:rFonts w:ascii="Baskerville Old Face" w:hAnsi="Baskerville Old Face"/>
          <w:i/>
          <w:iCs/>
        </w:rPr>
      </w:pPr>
      <w:r w:rsidRPr="00B479AE">
        <w:rPr>
          <w:rFonts w:ascii="Baskerville Old Face" w:hAnsi="Baskerville Old Face"/>
          <w:i/>
          <w:iCs/>
        </w:rPr>
        <w:lastRenderedPageBreak/>
        <w:t>ecological performance;</w:t>
      </w:r>
      <w:r w:rsidRPr="00B479AE">
        <w:rPr>
          <w:rFonts w:ascii="Baskerville Old Face" w:hAnsi="Baskerville Old Face"/>
          <w:i/>
          <w:iCs/>
        </w:rPr>
        <w:br/>
        <w:t>productive stability;</w:t>
      </w:r>
      <w:r w:rsidRPr="00B479AE">
        <w:rPr>
          <w:rFonts w:ascii="Baskerville Old Face" w:hAnsi="Baskerville Old Face"/>
          <w:i/>
          <w:iCs/>
        </w:rPr>
        <w:br/>
        <w:t>hydrological resilience;</w:t>
      </w:r>
      <w:r w:rsidRPr="00B479AE">
        <w:rPr>
          <w:rFonts w:ascii="Baskerville Old Face" w:hAnsi="Baskerville Old Face"/>
          <w:i/>
          <w:iCs/>
        </w:rPr>
        <w:br/>
        <w:t>soil function;</w:t>
      </w:r>
      <w:r w:rsidRPr="00B479AE">
        <w:rPr>
          <w:rFonts w:ascii="Baskerville Old Face" w:hAnsi="Baskerville Old Face"/>
          <w:i/>
          <w:iCs/>
        </w:rPr>
        <w:br/>
        <w:t>biodiversity;</w:t>
      </w:r>
      <w:r w:rsidRPr="00B479AE">
        <w:rPr>
          <w:rFonts w:ascii="Baskerville Old Face" w:hAnsi="Baskerville Old Face"/>
          <w:i/>
          <w:iCs/>
        </w:rPr>
        <w:br/>
        <w:t>input independence;</w:t>
      </w:r>
      <w:r w:rsidRPr="00B479AE">
        <w:rPr>
          <w:rFonts w:ascii="Baskerville Old Face" w:hAnsi="Baskerville Old Face"/>
          <w:i/>
          <w:iCs/>
        </w:rPr>
        <w:br/>
        <w:t>MRV integrity;</w:t>
      </w:r>
      <w:r w:rsidRPr="00B479AE">
        <w:rPr>
          <w:rFonts w:ascii="Baskerville Old Face" w:hAnsi="Baskerville Old Face"/>
          <w:i/>
          <w:iCs/>
        </w:rPr>
        <w:br/>
        <w:t>confidence score;</w:t>
      </w:r>
      <w:r w:rsidRPr="00B479AE">
        <w:rPr>
          <w:rFonts w:ascii="Baskerville Old Face" w:hAnsi="Baskerville Old Face"/>
          <w:i/>
          <w:iCs/>
        </w:rPr>
        <w:br/>
        <w:t>operational history;</w:t>
      </w:r>
      <w:r w:rsidRPr="00B479AE">
        <w:rPr>
          <w:rFonts w:ascii="Baskerville Old Face" w:hAnsi="Baskerville Old Face"/>
          <w:i/>
          <w:iCs/>
        </w:rPr>
        <w:br/>
        <w:t>governance reliability;</w:t>
      </w:r>
      <w:r w:rsidRPr="00B479AE">
        <w:rPr>
          <w:rFonts w:ascii="Baskerville Old Face" w:hAnsi="Baskerville Old Face"/>
          <w:i/>
          <w:iCs/>
        </w:rPr>
        <w:br/>
        <w:t>legal structure;</w:t>
      </w:r>
      <w:r w:rsidRPr="00B479AE">
        <w:rPr>
          <w:rFonts w:ascii="Baskerville Old Face" w:hAnsi="Baskerville Old Face"/>
          <w:i/>
          <w:iCs/>
        </w:rPr>
        <w:br/>
        <w:t>revenue quality;</w:t>
      </w:r>
      <w:r w:rsidRPr="00B479AE">
        <w:rPr>
          <w:rFonts w:ascii="Baskerville Old Face" w:hAnsi="Baskerville Old Face"/>
          <w:i/>
          <w:iCs/>
        </w:rPr>
        <w:br/>
        <w:t>adverse event history;</w:t>
      </w:r>
      <w:r w:rsidRPr="00B479AE">
        <w:rPr>
          <w:rFonts w:ascii="Baskerville Old Face" w:hAnsi="Baskerville Old Face"/>
          <w:i/>
          <w:iCs/>
        </w:rPr>
        <w:br/>
        <w:t>portfolio fit.</w:t>
      </w:r>
    </w:p>
    <w:p w14:paraId="3703FCF6" w14:textId="77777777" w:rsidR="00C37A2A" w:rsidRPr="00B479AE" w:rsidRDefault="00C37A2A" w:rsidP="00C37A2A">
      <w:pPr>
        <w:spacing w:line="360" w:lineRule="auto"/>
        <w:rPr>
          <w:rFonts w:ascii="Baskerville Old Face" w:hAnsi="Baskerville Old Face"/>
          <w:i/>
          <w:iCs/>
        </w:rPr>
      </w:pPr>
      <w:r w:rsidRPr="00B479AE">
        <w:rPr>
          <w:rFonts w:ascii="Baskerville Old Face" w:hAnsi="Baskerville Old Face"/>
          <w:i/>
          <w:iCs/>
        </w:rPr>
        <w:t>These classes are analytical maturity classes.</w:t>
      </w:r>
    </w:p>
    <w:p w14:paraId="2F0C3BDD" w14:textId="77777777" w:rsidR="00C37A2A" w:rsidRPr="00B479AE" w:rsidRDefault="00C37A2A" w:rsidP="00C37A2A">
      <w:pPr>
        <w:spacing w:line="360" w:lineRule="auto"/>
        <w:rPr>
          <w:rFonts w:ascii="Baskerville Old Face" w:hAnsi="Baskerville Old Face"/>
          <w:i/>
          <w:iCs/>
        </w:rPr>
      </w:pPr>
      <w:r w:rsidRPr="00B479AE">
        <w:rPr>
          <w:rFonts w:ascii="Baskerville Old Face" w:hAnsi="Baskerville Old Face"/>
          <w:i/>
          <w:iCs/>
        </w:rPr>
        <w:t>They are not official credit ratings.</w:t>
      </w:r>
    </w:p>
    <w:p w14:paraId="0361669B" w14:textId="77777777" w:rsidR="00C37A2A" w:rsidRPr="00B479AE" w:rsidRDefault="00C37A2A" w:rsidP="00C37A2A">
      <w:pPr>
        <w:spacing w:line="360" w:lineRule="auto"/>
        <w:rPr>
          <w:rFonts w:ascii="Baskerville Old Face" w:hAnsi="Baskerville Old Face"/>
          <w:i/>
          <w:iCs/>
        </w:rPr>
      </w:pPr>
      <w:r w:rsidRPr="00B479AE">
        <w:rPr>
          <w:rFonts w:ascii="Baskerville Old Face" w:hAnsi="Baskerville Old Face"/>
          <w:i/>
          <w:iCs/>
        </w:rPr>
        <w:t>They are not securities ratings.</w:t>
      </w:r>
    </w:p>
    <w:p w14:paraId="4AA9E934" w14:textId="77777777" w:rsidR="00C37A2A" w:rsidRPr="00B479AE" w:rsidRDefault="00C37A2A" w:rsidP="00C37A2A">
      <w:pPr>
        <w:spacing w:line="360" w:lineRule="auto"/>
        <w:rPr>
          <w:rFonts w:ascii="Baskerville Old Face" w:hAnsi="Baskerville Old Face"/>
          <w:i/>
          <w:iCs/>
        </w:rPr>
      </w:pPr>
      <w:r w:rsidRPr="00B479AE">
        <w:rPr>
          <w:rFonts w:ascii="Baskerville Old Face" w:hAnsi="Baskerville Old Face"/>
          <w:i/>
          <w:iCs/>
        </w:rPr>
        <w:t>They are not regulated investment ratings.</w:t>
      </w:r>
    </w:p>
    <w:p w14:paraId="73643FC3" w14:textId="77777777" w:rsidR="00C37A2A" w:rsidRPr="00B479AE" w:rsidRDefault="00C37A2A" w:rsidP="00C37A2A">
      <w:pPr>
        <w:spacing w:line="360" w:lineRule="auto"/>
        <w:rPr>
          <w:rFonts w:ascii="Baskerville Old Face" w:hAnsi="Baskerville Old Face"/>
          <w:i/>
          <w:iCs/>
        </w:rPr>
      </w:pPr>
      <w:r w:rsidRPr="00B479AE">
        <w:rPr>
          <w:rFonts w:ascii="Baskerville Old Face" w:hAnsi="Baskerville Old Face"/>
          <w:i/>
          <w:iCs/>
        </w:rPr>
        <w:t>They are not guarantees.</w:t>
      </w:r>
    </w:p>
    <w:p w14:paraId="67EF0DCE" w14:textId="77777777" w:rsidR="00C37A2A" w:rsidRPr="00B479AE" w:rsidRDefault="00C37A2A" w:rsidP="00C37A2A">
      <w:pPr>
        <w:spacing w:line="360" w:lineRule="auto"/>
        <w:rPr>
          <w:rFonts w:ascii="Baskerville Old Face" w:hAnsi="Baskerville Old Face"/>
          <w:i/>
          <w:iCs/>
        </w:rPr>
      </w:pPr>
      <w:r w:rsidRPr="00B479AE">
        <w:rPr>
          <w:rFonts w:ascii="Baskerville Old Face" w:hAnsi="Baskerville Old Face"/>
          <w:i/>
          <w:iCs/>
        </w:rPr>
        <w:t>They are not promises of return.</w:t>
      </w:r>
    </w:p>
    <w:p w14:paraId="433AF928" w14:textId="77777777" w:rsidR="00C37A2A" w:rsidRPr="00B479AE" w:rsidRDefault="00C37A2A" w:rsidP="00C37A2A">
      <w:pPr>
        <w:spacing w:line="360" w:lineRule="auto"/>
        <w:rPr>
          <w:rFonts w:ascii="Baskerville Old Face" w:hAnsi="Baskerville Old Face"/>
          <w:i/>
          <w:iCs/>
        </w:rPr>
      </w:pPr>
      <w:r w:rsidRPr="00B479AE">
        <w:rPr>
          <w:rFonts w:ascii="Baskerville Old Face" w:hAnsi="Baskerville Old Face"/>
          <w:i/>
          <w:iCs/>
        </w:rPr>
        <w:t>The threshold for inclusion in more institutional pools may be set at a minimum Prometheus-native maturity class, such as PRU-R4, PRU-R5, or PRU-R6, depending on methodology maturity, MRV admissibility, legal structure, investor mandate, and portfolio-governance requirements.</w:t>
      </w:r>
    </w:p>
    <w:p w14:paraId="4875432E" w14:textId="77777777" w:rsidR="00C37A2A" w:rsidRPr="00B479AE" w:rsidRDefault="00C37A2A" w:rsidP="00C37A2A">
      <w:pPr>
        <w:spacing w:line="360" w:lineRule="auto"/>
        <w:rPr>
          <w:rFonts w:ascii="Baskerville Old Face" w:hAnsi="Baskerville Old Face"/>
          <w:i/>
          <w:iCs/>
        </w:rPr>
      </w:pPr>
      <w:r w:rsidRPr="00B479AE">
        <w:rPr>
          <w:rFonts w:ascii="Baskerville Old Face" w:hAnsi="Baskerville Old Face"/>
          <w:i/>
          <w:iCs/>
        </w:rPr>
        <w:t>A PRU maturity class is not a moral judgment.</w:t>
      </w:r>
    </w:p>
    <w:p w14:paraId="559F18C5" w14:textId="77777777" w:rsidR="00C37A2A" w:rsidRPr="00B479AE" w:rsidRDefault="00C37A2A" w:rsidP="00C37A2A">
      <w:pPr>
        <w:spacing w:line="360" w:lineRule="auto"/>
        <w:rPr>
          <w:rFonts w:ascii="Baskerville Old Face" w:hAnsi="Baskerville Old Face"/>
          <w:i/>
          <w:iCs/>
        </w:rPr>
      </w:pPr>
      <w:r w:rsidRPr="00B479AE">
        <w:rPr>
          <w:rFonts w:ascii="Baskerville Old Face" w:hAnsi="Baskerville Old Face"/>
          <w:i/>
          <w:iCs/>
        </w:rPr>
        <w:t>It is an institutional readiness tool.</w:t>
      </w:r>
    </w:p>
    <w:p w14:paraId="53862E55" w14:textId="77777777" w:rsidR="00C37A2A" w:rsidRPr="00B479AE" w:rsidRDefault="00C37A2A" w:rsidP="00C37A2A">
      <w:pPr>
        <w:spacing w:line="360" w:lineRule="auto"/>
        <w:rPr>
          <w:rFonts w:ascii="Baskerville Old Face" w:hAnsi="Baskerville Old Face"/>
          <w:i/>
          <w:iCs/>
        </w:rPr>
      </w:pPr>
      <w:r w:rsidRPr="00B479AE">
        <w:rPr>
          <w:rFonts w:ascii="Baskerville Old Face" w:hAnsi="Baskerville Old Face"/>
          <w:i/>
          <w:iCs/>
        </w:rPr>
        <w:t>It helps capital understand evidence, maturity, and risk without detaching value from ecology.</w:t>
      </w:r>
    </w:p>
    <w:p w14:paraId="5C5C4F95" w14:textId="77777777" w:rsidR="00CC71FB" w:rsidRPr="00B479AE" w:rsidRDefault="00CC71FB" w:rsidP="00504071">
      <w:pPr>
        <w:spacing w:line="360" w:lineRule="auto"/>
        <w:rPr>
          <w:rFonts w:ascii="Baskerville Old Face" w:hAnsi="Baskerville Old Face"/>
          <w:i/>
          <w:iCs/>
        </w:rPr>
      </w:pPr>
    </w:p>
    <w:p w14:paraId="5350E054" w14:textId="7A1206A8" w:rsidR="00504071" w:rsidRPr="00B479AE" w:rsidRDefault="007113D5" w:rsidP="00504071">
      <w:pPr>
        <w:spacing w:line="360" w:lineRule="auto"/>
        <w:rPr>
          <w:rFonts w:ascii="Baskerville Old Face" w:hAnsi="Baskerville Old Face"/>
          <w:i/>
          <w:iCs/>
        </w:rPr>
      </w:pPr>
      <w:r w:rsidRPr="00B479AE">
        <w:rPr>
          <w:rFonts w:ascii="Baskerville Old Face" w:hAnsi="Baskerville Old Face"/>
          <w:b/>
          <w:bCs/>
          <w:i/>
          <w:iCs/>
        </w:rPr>
        <w:lastRenderedPageBreak/>
        <w:t xml:space="preserve">PRU Maturity Evolution </w:t>
      </w:r>
    </w:p>
    <w:p w14:paraId="0F468983" w14:textId="77777777" w:rsidR="007113D5" w:rsidRPr="00B479AE" w:rsidRDefault="007113D5" w:rsidP="007113D5">
      <w:pPr>
        <w:spacing w:line="360" w:lineRule="auto"/>
        <w:rPr>
          <w:rFonts w:ascii="Baskerville Old Face" w:hAnsi="Baskerville Old Face"/>
          <w:i/>
          <w:iCs/>
        </w:rPr>
      </w:pPr>
      <w:r w:rsidRPr="00B479AE">
        <w:rPr>
          <w:rFonts w:ascii="Baskerville Old Face" w:hAnsi="Baskerville Old Face"/>
          <w:i/>
          <w:iCs/>
        </w:rPr>
        <w:t>PRU maturity classes should evolve over time.</w:t>
      </w:r>
    </w:p>
    <w:p w14:paraId="201615B9" w14:textId="77777777" w:rsidR="007113D5" w:rsidRPr="00B479AE" w:rsidRDefault="007113D5" w:rsidP="007113D5">
      <w:pPr>
        <w:spacing w:line="360" w:lineRule="auto"/>
        <w:rPr>
          <w:rFonts w:ascii="Baskerville Old Face" w:hAnsi="Baskerville Old Face"/>
          <w:i/>
          <w:iCs/>
        </w:rPr>
      </w:pPr>
      <w:r w:rsidRPr="00B479AE">
        <w:rPr>
          <w:rFonts w:ascii="Baskerville Old Face" w:hAnsi="Baskerville Old Face"/>
          <w:i/>
          <w:iCs/>
        </w:rPr>
        <w:t>A new regenerative unit may begin with limited data and therefore lower confidence.</w:t>
      </w:r>
    </w:p>
    <w:p w14:paraId="0A4C175A" w14:textId="77777777" w:rsidR="007113D5" w:rsidRPr="00B479AE" w:rsidRDefault="007113D5" w:rsidP="007113D5">
      <w:pPr>
        <w:spacing w:line="360" w:lineRule="auto"/>
        <w:rPr>
          <w:rFonts w:ascii="Baskerville Old Face" w:hAnsi="Baskerville Old Face"/>
          <w:i/>
          <w:iCs/>
        </w:rPr>
      </w:pPr>
      <w:r w:rsidRPr="00B479AE">
        <w:rPr>
          <w:rFonts w:ascii="Baskerville Old Face" w:hAnsi="Baskerville Old Face"/>
          <w:i/>
          <w:iCs/>
        </w:rPr>
        <w:t>If the system performs well, accumulates evidence, improves ecological indicators, reduces variance, and maintains governance discipline, its maturity class may improve.</w:t>
      </w:r>
    </w:p>
    <w:p w14:paraId="24289391" w14:textId="77777777" w:rsidR="007113D5" w:rsidRPr="00B479AE" w:rsidRDefault="007113D5" w:rsidP="007113D5">
      <w:pPr>
        <w:spacing w:line="360" w:lineRule="auto"/>
        <w:rPr>
          <w:rFonts w:ascii="Baskerville Old Face" w:hAnsi="Baskerville Old Face"/>
          <w:i/>
          <w:iCs/>
        </w:rPr>
      </w:pPr>
      <w:r w:rsidRPr="00B479AE">
        <w:rPr>
          <w:rFonts w:ascii="Baskerville Old Face" w:hAnsi="Baskerville Old Face"/>
          <w:i/>
          <w:iCs/>
        </w:rPr>
        <w:t>If the system underperforms, loses data integrity, experiences governance failure, fails to meet ecological thresholds, or weakens its legal, operational, or MRV basis, its maturity class may decline.</w:t>
      </w:r>
    </w:p>
    <w:p w14:paraId="43B1DA2C" w14:textId="77777777" w:rsidR="007113D5" w:rsidRPr="00B479AE" w:rsidRDefault="007113D5" w:rsidP="007113D5">
      <w:pPr>
        <w:spacing w:line="360" w:lineRule="auto"/>
        <w:rPr>
          <w:rFonts w:ascii="Baskerville Old Face" w:hAnsi="Baskerville Old Face"/>
          <w:i/>
          <w:iCs/>
        </w:rPr>
      </w:pPr>
      <w:r w:rsidRPr="00B479AE">
        <w:rPr>
          <w:rFonts w:ascii="Baskerville Old Face" w:hAnsi="Baskerville Old Face"/>
          <w:i/>
          <w:iCs/>
        </w:rPr>
        <w:t>This dynamic process is essential.</w:t>
      </w:r>
    </w:p>
    <w:p w14:paraId="190BA22D" w14:textId="77777777" w:rsidR="007113D5" w:rsidRPr="00B479AE" w:rsidRDefault="007113D5" w:rsidP="007113D5">
      <w:pPr>
        <w:spacing w:line="360" w:lineRule="auto"/>
        <w:rPr>
          <w:rFonts w:ascii="Baskerville Old Face" w:hAnsi="Baskerville Old Face"/>
          <w:i/>
          <w:iCs/>
        </w:rPr>
      </w:pPr>
      <w:r w:rsidRPr="00B479AE">
        <w:rPr>
          <w:rFonts w:ascii="Baskerville Old Face" w:hAnsi="Baskerville Old Face"/>
          <w:i/>
          <w:iCs/>
        </w:rPr>
        <w:t>Regenerative finance should reward actual maturation, not static projection.</w:t>
      </w:r>
    </w:p>
    <w:p w14:paraId="6E596A2B" w14:textId="77777777" w:rsidR="007113D5" w:rsidRPr="00B479AE" w:rsidRDefault="007113D5" w:rsidP="007113D5">
      <w:pPr>
        <w:spacing w:line="360" w:lineRule="auto"/>
        <w:rPr>
          <w:rFonts w:ascii="Baskerville Old Face" w:hAnsi="Baskerville Old Face"/>
          <w:i/>
          <w:iCs/>
        </w:rPr>
      </w:pPr>
      <w:r w:rsidRPr="00B479AE">
        <w:rPr>
          <w:rFonts w:ascii="Baskerville Old Face" w:hAnsi="Baskerville Old Face"/>
          <w:i/>
          <w:iCs/>
        </w:rPr>
        <w:t>The PRU maturity-classification system therefore creates incentives for long-term stewardship, evidence continuity, governance reliability, and verified ecological improvement.</w:t>
      </w:r>
    </w:p>
    <w:p w14:paraId="774ADAF2" w14:textId="77777777" w:rsidR="007113D5" w:rsidRPr="002E5EB1" w:rsidRDefault="007113D5" w:rsidP="007113D5">
      <w:pPr>
        <w:spacing w:line="360" w:lineRule="auto"/>
        <w:rPr>
          <w:rFonts w:ascii="Baskerville Old Face" w:hAnsi="Baskerville Old Face"/>
          <w:i/>
          <w:iCs/>
        </w:rPr>
      </w:pPr>
      <w:r w:rsidRPr="00B479AE">
        <w:rPr>
          <w:rFonts w:ascii="Baskerville Old Face" w:hAnsi="Baskerville Old Face"/>
          <w:i/>
          <w:iCs/>
        </w:rPr>
        <w:t>The maturity evolution pathway may be summarized as:</w:t>
      </w:r>
    </w:p>
    <w:p w14:paraId="0DBE6257" w14:textId="77777777" w:rsidR="007113D5" w:rsidRPr="002E5EB1" w:rsidRDefault="007113D5" w:rsidP="007113D5">
      <w:pPr>
        <w:spacing w:line="360" w:lineRule="auto"/>
        <w:rPr>
          <w:rFonts w:ascii="Baskerville Old Face" w:hAnsi="Baskerville Old Face"/>
          <w:i/>
          <w:iCs/>
        </w:rPr>
      </w:pPr>
      <w:r w:rsidRPr="002E5EB1">
        <w:rPr>
          <w:rFonts w:ascii="Baskerville Old Face" w:hAnsi="Baskerville Old Face"/>
          <w:i/>
          <w:iCs/>
        </w:rPr>
        <w:t xml:space="preserve">time </w:t>
      </w:r>
      <w:r w:rsidRPr="002E5EB1">
        <w:rPr>
          <w:rFonts w:ascii="Times New Roman" w:hAnsi="Times New Roman" w:cs="Times New Roman"/>
          <w:i/>
          <w:iCs/>
        </w:rPr>
        <w:t>→</w:t>
      </w:r>
      <w:r w:rsidRPr="002E5EB1">
        <w:rPr>
          <w:rFonts w:ascii="Baskerville Old Face" w:hAnsi="Baskerville Old Face"/>
          <w:i/>
          <w:iCs/>
        </w:rPr>
        <w:t xml:space="preserve"> evidence </w:t>
      </w:r>
      <w:r w:rsidRPr="002E5EB1">
        <w:rPr>
          <w:rFonts w:ascii="Times New Roman" w:hAnsi="Times New Roman" w:cs="Times New Roman"/>
          <w:i/>
          <w:iCs/>
        </w:rPr>
        <w:t>→</w:t>
      </w:r>
      <w:r w:rsidRPr="002E5EB1">
        <w:rPr>
          <w:rFonts w:ascii="Baskerville Old Face" w:hAnsi="Baskerville Old Face"/>
          <w:i/>
          <w:iCs/>
        </w:rPr>
        <w:t xml:space="preserve"> confidence </w:t>
      </w:r>
      <w:r w:rsidRPr="002E5EB1">
        <w:rPr>
          <w:rFonts w:ascii="Times New Roman" w:hAnsi="Times New Roman" w:cs="Times New Roman"/>
          <w:i/>
          <w:iCs/>
        </w:rPr>
        <w:t>→</w:t>
      </w:r>
      <w:r w:rsidRPr="002E5EB1">
        <w:rPr>
          <w:rFonts w:ascii="Baskerville Old Face" w:hAnsi="Baskerville Old Face"/>
          <w:i/>
          <w:iCs/>
        </w:rPr>
        <w:t xml:space="preserve"> risk adjustment </w:t>
      </w:r>
      <w:r w:rsidRPr="002E5EB1">
        <w:rPr>
          <w:rFonts w:ascii="Times New Roman" w:hAnsi="Times New Roman" w:cs="Times New Roman"/>
          <w:i/>
          <w:iCs/>
        </w:rPr>
        <w:t>→</w:t>
      </w:r>
      <w:r w:rsidRPr="002E5EB1">
        <w:rPr>
          <w:rFonts w:ascii="Baskerville Old Face" w:hAnsi="Baskerville Old Face"/>
          <w:i/>
          <w:iCs/>
        </w:rPr>
        <w:t xml:space="preserve"> maturity-class evolution</w:t>
      </w:r>
    </w:p>
    <w:p w14:paraId="5BCF50C9" w14:textId="77777777" w:rsidR="007113D5" w:rsidRPr="00B479AE" w:rsidRDefault="007113D5" w:rsidP="007113D5">
      <w:pPr>
        <w:spacing w:line="360" w:lineRule="auto"/>
        <w:rPr>
          <w:rFonts w:ascii="Baskerville Old Face" w:hAnsi="Baskerville Old Face"/>
          <w:i/>
          <w:iCs/>
        </w:rPr>
      </w:pPr>
      <w:r w:rsidRPr="00B479AE">
        <w:rPr>
          <w:rFonts w:ascii="Baskerville Old Face" w:hAnsi="Baskerville Old Face"/>
          <w:i/>
          <w:iCs/>
        </w:rPr>
        <w:t>The objective is not to assign prestige.</w:t>
      </w:r>
    </w:p>
    <w:p w14:paraId="3B5B1D2A" w14:textId="77777777" w:rsidR="007113D5" w:rsidRPr="00B479AE" w:rsidRDefault="007113D5" w:rsidP="007113D5">
      <w:pPr>
        <w:spacing w:line="360" w:lineRule="auto"/>
        <w:rPr>
          <w:rFonts w:ascii="Baskerville Old Face" w:hAnsi="Baskerville Old Face"/>
          <w:i/>
          <w:iCs/>
        </w:rPr>
      </w:pPr>
      <w:r w:rsidRPr="00B479AE">
        <w:rPr>
          <w:rFonts w:ascii="Baskerville Old Face" w:hAnsi="Baskerville Old Face"/>
          <w:i/>
          <w:iCs/>
        </w:rPr>
        <w:t>The objective is to make regenerative performance comparable, monitorable, reviewable, and capital-admissible without presenting Prometheus maturity classes as regulated credit ratings, securities ratings, or investment ratings.</w:t>
      </w:r>
    </w:p>
    <w:p w14:paraId="0AC8D15E" w14:textId="77777777" w:rsidR="00676D74" w:rsidRPr="00B479AE" w:rsidRDefault="00676D74" w:rsidP="00676D74">
      <w:pPr>
        <w:spacing w:line="360" w:lineRule="auto"/>
        <w:rPr>
          <w:rFonts w:ascii="Baskerville Old Face" w:hAnsi="Baskerville Old Face"/>
          <w:b/>
          <w:bCs/>
          <w:i/>
          <w:iCs/>
        </w:rPr>
      </w:pPr>
      <w:r w:rsidRPr="00B479AE">
        <w:rPr>
          <w:rFonts w:ascii="Baskerville Old Face" w:hAnsi="Baskerville Old Face"/>
          <w:b/>
          <w:bCs/>
          <w:i/>
          <w:iCs/>
        </w:rPr>
        <w:t>Investor Reporting Architecture</w:t>
      </w:r>
    </w:p>
    <w:p w14:paraId="149E0199" w14:textId="77777777" w:rsidR="00676D74" w:rsidRPr="00B479AE" w:rsidRDefault="00676D74" w:rsidP="00676D74">
      <w:pPr>
        <w:spacing w:line="360" w:lineRule="auto"/>
        <w:rPr>
          <w:rFonts w:ascii="Baskerville Old Face" w:hAnsi="Baskerville Old Face"/>
          <w:i/>
          <w:iCs/>
        </w:rPr>
      </w:pPr>
      <w:r w:rsidRPr="00B479AE">
        <w:rPr>
          <w:rFonts w:ascii="Baskerville Old Face" w:hAnsi="Baskerville Old Face"/>
          <w:i/>
          <w:iCs/>
        </w:rPr>
        <w:t>Investor reporting within Prometheus should integrate financial, ecological, operational, governance, legal, and risk data.</w:t>
      </w:r>
    </w:p>
    <w:p w14:paraId="5548276A" w14:textId="77777777" w:rsidR="00676D74" w:rsidRPr="00B479AE" w:rsidRDefault="00676D74" w:rsidP="00676D74">
      <w:pPr>
        <w:spacing w:line="360" w:lineRule="auto"/>
        <w:rPr>
          <w:rFonts w:ascii="Baskerville Old Face" w:hAnsi="Baskerville Old Face"/>
          <w:i/>
          <w:iCs/>
        </w:rPr>
      </w:pPr>
      <w:r w:rsidRPr="00B479AE">
        <w:rPr>
          <w:rFonts w:ascii="Baskerville Old Face" w:hAnsi="Baskerville Old Face"/>
          <w:i/>
          <w:iCs/>
        </w:rPr>
        <w:t>A mature report may include the following components:</w:t>
      </w:r>
    </w:p>
    <w:p w14:paraId="491247EE" w14:textId="77777777" w:rsidR="00C7027D" w:rsidRPr="00B479AE" w:rsidRDefault="00C7027D" w:rsidP="00676D74">
      <w:pPr>
        <w:spacing w:line="360" w:lineRule="auto"/>
        <w:rPr>
          <w:rFonts w:ascii="Baskerville Old Face" w:hAnsi="Baskerville Old Face"/>
          <w:i/>
          <w:iCs/>
        </w:rPr>
      </w:pPr>
    </w:p>
    <w:p w14:paraId="041B2569" w14:textId="77777777" w:rsidR="00C7027D" w:rsidRPr="00B479AE" w:rsidRDefault="00C7027D" w:rsidP="00676D74">
      <w:pPr>
        <w:spacing w:line="360" w:lineRule="auto"/>
        <w:rPr>
          <w:rFonts w:ascii="Baskerville Old Face" w:hAnsi="Baskerville Old Face"/>
          <w:i/>
          <w:iCs/>
        </w:rPr>
      </w:pPr>
    </w:p>
    <w:p w14:paraId="7E36B450" w14:textId="77777777" w:rsidR="00C7027D" w:rsidRPr="00B479AE" w:rsidRDefault="00C7027D" w:rsidP="00676D74">
      <w:pPr>
        <w:spacing w:line="360" w:lineRule="auto"/>
        <w:rPr>
          <w:rFonts w:ascii="Baskerville Old Face" w:hAnsi="Baskerville Old Face"/>
          <w:i/>
          <w:iCs/>
        </w:rPr>
      </w:pPr>
    </w:p>
    <w:p w14:paraId="0AF8CC6C" w14:textId="77777777" w:rsidR="00C7027D" w:rsidRPr="00B479AE" w:rsidRDefault="00C7027D" w:rsidP="00676D74">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6939"/>
      </w:tblGrid>
      <w:tr w:rsidR="002067CD" w:rsidRPr="00B479AE" w14:paraId="143DE476" w14:textId="77777777" w:rsidTr="00D71AA3">
        <w:trPr>
          <w:tblHeader/>
          <w:tblCellSpacing w:w="15" w:type="dxa"/>
        </w:trPr>
        <w:tc>
          <w:tcPr>
            <w:tcW w:w="2644" w:type="dxa"/>
            <w:vAlign w:val="center"/>
            <w:hideMark/>
          </w:tcPr>
          <w:p w14:paraId="2A70B34A" w14:textId="77777777" w:rsidR="002067CD" w:rsidRPr="00B479AE" w:rsidRDefault="002067CD" w:rsidP="002067CD">
            <w:pPr>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Reporting component</w:t>
            </w:r>
          </w:p>
        </w:tc>
        <w:tc>
          <w:tcPr>
            <w:tcW w:w="6894" w:type="dxa"/>
            <w:vAlign w:val="center"/>
            <w:hideMark/>
          </w:tcPr>
          <w:p w14:paraId="409AF88C" w14:textId="77777777" w:rsidR="002067CD" w:rsidRPr="00B479AE" w:rsidRDefault="002067CD" w:rsidP="002067CD">
            <w:pPr>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Purpose</w:t>
            </w:r>
          </w:p>
        </w:tc>
      </w:tr>
      <w:tr w:rsidR="002067CD" w:rsidRPr="00B479AE" w14:paraId="2D0D3CCB" w14:textId="77777777" w:rsidTr="00D71AA3">
        <w:trPr>
          <w:tblCellSpacing w:w="15" w:type="dxa"/>
        </w:trPr>
        <w:tc>
          <w:tcPr>
            <w:tcW w:w="2644" w:type="dxa"/>
            <w:vAlign w:val="center"/>
            <w:hideMark/>
          </w:tcPr>
          <w:p w14:paraId="25722EED" w14:textId="06F797A6" w:rsidR="002067CD" w:rsidRPr="00B479AE" w:rsidRDefault="00E83CD3"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NAV or indicative value analysis</w:t>
            </w:r>
          </w:p>
        </w:tc>
        <w:tc>
          <w:tcPr>
            <w:tcW w:w="6894" w:type="dxa"/>
            <w:vAlign w:val="center"/>
            <w:hideMark/>
          </w:tcPr>
          <w:p w14:paraId="287F0C72" w14:textId="06C9B3A8" w:rsidR="00DC1A30" w:rsidRPr="00B479AE" w:rsidRDefault="00DC1A30"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Shows financial position or value interpretation where legally and methodologically appropriate</w:t>
            </w:r>
          </w:p>
        </w:tc>
      </w:tr>
      <w:tr w:rsidR="002067CD" w:rsidRPr="00B479AE" w14:paraId="304504BD" w14:textId="77777777" w:rsidTr="00D71AA3">
        <w:trPr>
          <w:tblCellSpacing w:w="15" w:type="dxa"/>
        </w:trPr>
        <w:tc>
          <w:tcPr>
            <w:tcW w:w="2644" w:type="dxa"/>
            <w:vAlign w:val="center"/>
            <w:hideMark/>
          </w:tcPr>
          <w:p w14:paraId="6FE2073E" w14:textId="2E467A32"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PRU score</w:t>
            </w:r>
            <w:r w:rsidR="00F440C7" w:rsidRPr="00B479AE">
              <w:rPr>
                <w:rFonts w:ascii="Baskerville Old Face" w:hAnsi="Baskerville Old Face"/>
                <w:i/>
                <w:iCs/>
                <w:sz w:val="18"/>
                <w:szCs w:val="18"/>
              </w:rPr>
              <w:t>,</w:t>
            </w:r>
            <w:r w:rsidR="00F440C7" w:rsidRPr="00B479AE">
              <w:rPr>
                <w:sz w:val="18"/>
                <w:szCs w:val="18"/>
              </w:rPr>
              <w:t xml:space="preserve"> </w:t>
            </w:r>
            <w:r w:rsidR="00F440C7" w:rsidRPr="00B479AE">
              <w:rPr>
                <w:rFonts w:ascii="Baskerville Old Face" w:hAnsi="Baskerville Old Face"/>
                <w:i/>
                <w:iCs/>
                <w:sz w:val="18"/>
                <w:szCs w:val="18"/>
              </w:rPr>
              <w:t>where methodology supports such use</w:t>
            </w:r>
          </w:p>
        </w:tc>
        <w:tc>
          <w:tcPr>
            <w:tcW w:w="6894" w:type="dxa"/>
            <w:vAlign w:val="center"/>
            <w:hideMark/>
          </w:tcPr>
          <w:p w14:paraId="4D3CCB03" w14:textId="08AA8823" w:rsidR="002067CD" w:rsidRPr="00B479AE" w:rsidRDefault="00F440C7"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 xml:space="preserve">Summarizes regenerative performance under an applicable methodology </w:t>
            </w:r>
          </w:p>
        </w:tc>
      </w:tr>
      <w:tr w:rsidR="002067CD" w:rsidRPr="00B479AE" w14:paraId="796453C8" w14:textId="77777777" w:rsidTr="00D71AA3">
        <w:trPr>
          <w:tblCellSpacing w:w="15" w:type="dxa"/>
        </w:trPr>
        <w:tc>
          <w:tcPr>
            <w:tcW w:w="2644" w:type="dxa"/>
            <w:vAlign w:val="center"/>
            <w:hideMark/>
          </w:tcPr>
          <w:p w14:paraId="62D3878C"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PRU maturity class</w:t>
            </w:r>
          </w:p>
        </w:tc>
        <w:tc>
          <w:tcPr>
            <w:tcW w:w="6894" w:type="dxa"/>
            <w:vAlign w:val="center"/>
            <w:hideMark/>
          </w:tcPr>
          <w:p w14:paraId="6803EB3C"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Shows readiness level, such as PRU-R0 through PRU-R7</w:t>
            </w:r>
          </w:p>
        </w:tc>
      </w:tr>
      <w:tr w:rsidR="002067CD" w:rsidRPr="00B479AE" w14:paraId="2F236388" w14:textId="77777777" w:rsidTr="00D71AA3">
        <w:trPr>
          <w:tblCellSpacing w:w="15" w:type="dxa"/>
        </w:trPr>
        <w:tc>
          <w:tcPr>
            <w:tcW w:w="2644" w:type="dxa"/>
            <w:vAlign w:val="center"/>
            <w:hideMark/>
          </w:tcPr>
          <w:p w14:paraId="18EF0A95"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MRV confidence score</w:t>
            </w:r>
          </w:p>
        </w:tc>
        <w:tc>
          <w:tcPr>
            <w:tcW w:w="6894" w:type="dxa"/>
            <w:vAlign w:val="center"/>
            <w:hideMark/>
          </w:tcPr>
          <w:p w14:paraId="2575B166"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Indicates evidence strength</w:t>
            </w:r>
          </w:p>
        </w:tc>
      </w:tr>
      <w:tr w:rsidR="002067CD" w:rsidRPr="00B479AE" w14:paraId="46D8A19E" w14:textId="77777777" w:rsidTr="00D71AA3">
        <w:trPr>
          <w:tblCellSpacing w:w="15" w:type="dxa"/>
        </w:trPr>
        <w:tc>
          <w:tcPr>
            <w:tcW w:w="2644" w:type="dxa"/>
            <w:vAlign w:val="center"/>
            <w:hideMark/>
          </w:tcPr>
          <w:p w14:paraId="7BAE2B33"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Ecological delta</w:t>
            </w:r>
          </w:p>
        </w:tc>
        <w:tc>
          <w:tcPr>
            <w:tcW w:w="6894" w:type="dxa"/>
            <w:vAlign w:val="center"/>
            <w:hideMark/>
          </w:tcPr>
          <w:p w14:paraId="63BC38B7"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Shows change in ecological indicators over time</w:t>
            </w:r>
          </w:p>
        </w:tc>
      </w:tr>
      <w:tr w:rsidR="002067CD" w:rsidRPr="00B479AE" w14:paraId="5ACC2C32" w14:textId="77777777" w:rsidTr="00D71AA3">
        <w:trPr>
          <w:tblCellSpacing w:w="15" w:type="dxa"/>
        </w:trPr>
        <w:tc>
          <w:tcPr>
            <w:tcW w:w="2644" w:type="dxa"/>
            <w:vAlign w:val="center"/>
            <w:hideMark/>
          </w:tcPr>
          <w:p w14:paraId="7FBCFBC4"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Cash-flow performance</w:t>
            </w:r>
          </w:p>
        </w:tc>
        <w:tc>
          <w:tcPr>
            <w:tcW w:w="6894" w:type="dxa"/>
            <w:vAlign w:val="center"/>
            <w:hideMark/>
          </w:tcPr>
          <w:p w14:paraId="10139873"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Shows operational financial performance</w:t>
            </w:r>
          </w:p>
        </w:tc>
      </w:tr>
      <w:tr w:rsidR="002067CD" w:rsidRPr="00B479AE" w14:paraId="5B147540" w14:textId="77777777" w:rsidTr="00D71AA3">
        <w:trPr>
          <w:tblCellSpacing w:w="15" w:type="dxa"/>
        </w:trPr>
        <w:tc>
          <w:tcPr>
            <w:tcW w:w="2644" w:type="dxa"/>
            <w:vAlign w:val="center"/>
            <w:hideMark/>
          </w:tcPr>
          <w:p w14:paraId="65C871BF"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Revenue breakdown</w:t>
            </w:r>
          </w:p>
        </w:tc>
        <w:tc>
          <w:tcPr>
            <w:tcW w:w="6894" w:type="dxa"/>
            <w:vAlign w:val="center"/>
            <w:hideMark/>
          </w:tcPr>
          <w:p w14:paraId="55C0A8B1"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Distinguishes productive, service, contractual, and other revenues</w:t>
            </w:r>
          </w:p>
        </w:tc>
      </w:tr>
      <w:tr w:rsidR="002067CD" w:rsidRPr="00B479AE" w14:paraId="55C637C9" w14:textId="77777777" w:rsidTr="00D71AA3">
        <w:trPr>
          <w:tblCellSpacing w:w="15" w:type="dxa"/>
        </w:trPr>
        <w:tc>
          <w:tcPr>
            <w:tcW w:w="2644" w:type="dxa"/>
            <w:vAlign w:val="center"/>
            <w:hideMark/>
          </w:tcPr>
          <w:p w14:paraId="3AE3081E"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Operating costs</w:t>
            </w:r>
          </w:p>
        </w:tc>
        <w:tc>
          <w:tcPr>
            <w:tcW w:w="6894" w:type="dxa"/>
            <w:vAlign w:val="center"/>
            <w:hideMark/>
          </w:tcPr>
          <w:p w14:paraId="32BB4802"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Shows cost structure</w:t>
            </w:r>
          </w:p>
        </w:tc>
      </w:tr>
      <w:tr w:rsidR="002067CD" w:rsidRPr="00B479AE" w14:paraId="1351CECB" w14:textId="77777777" w:rsidTr="00D71AA3">
        <w:trPr>
          <w:tblCellSpacing w:w="15" w:type="dxa"/>
        </w:trPr>
        <w:tc>
          <w:tcPr>
            <w:tcW w:w="2644" w:type="dxa"/>
            <w:vAlign w:val="center"/>
            <w:hideMark/>
          </w:tcPr>
          <w:p w14:paraId="305709AA"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Reserves</w:t>
            </w:r>
          </w:p>
        </w:tc>
        <w:tc>
          <w:tcPr>
            <w:tcW w:w="6894" w:type="dxa"/>
            <w:vAlign w:val="center"/>
            <w:hideMark/>
          </w:tcPr>
          <w:p w14:paraId="161A8AF6"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Shows risk-buffering capacity</w:t>
            </w:r>
          </w:p>
        </w:tc>
      </w:tr>
      <w:tr w:rsidR="002067CD" w:rsidRPr="00B479AE" w14:paraId="60B75573" w14:textId="77777777" w:rsidTr="00D71AA3">
        <w:trPr>
          <w:tblCellSpacing w:w="15" w:type="dxa"/>
        </w:trPr>
        <w:tc>
          <w:tcPr>
            <w:tcW w:w="2644" w:type="dxa"/>
            <w:vAlign w:val="center"/>
            <w:hideMark/>
          </w:tcPr>
          <w:p w14:paraId="447709E7"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Reinvestment</w:t>
            </w:r>
          </w:p>
        </w:tc>
        <w:tc>
          <w:tcPr>
            <w:tcW w:w="6894" w:type="dxa"/>
            <w:vAlign w:val="center"/>
            <w:hideMark/>
          </w:tcPr>
          <w:p w14:paraId="25C3B9B0"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Shows capital returned into regenerative capacity</w:t>
            </w:r>
          </w:p>
        </w:tc>
      </w:tr>
      <w:tr w:rsidR="002067CD" w:rsidRPr="00B479AE" w14:paraId="4F90F907" w14:textId="77777777" w:rsidTr="00D71AA3">
        <w:trPr>
          <w:tblCellSpacing w:w="15" w:type="dxa"/>
        </w:trPr>
        <w:tc>
          <w:tcPr>
            <w:tcW w:w="2644" w:type="dxa"/>
            <w:vAlign w:val="center"/>
            <w:hideMark/>
          </w:tcPr>
          <w:p w14:paraId="745605AD"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Risk dashboard</w:t>
            </w:r>
          </w:p>
        </w:tc>
        <w:tc>
          <w:tcPr>
            <w:tcW w:w="6894" w:type="dxa"/>
            <w:vAlign w:val="center"/>
            <w:hideMark/>
          </w:tcPr>
          <w:p w14:paraId="2324A314"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Shows Ravel, operational, ecological, legal, and governance risk signals</w:t>
            </w:r>
          </w:p>
        </w:tc>
      </w:tr>
      <w:tr w:rsidR="002067CD" w:rsidRPr="00B479AE" w14:paraId="4B0825AD" w14:textId="77777777" w:rsidTr="00D71AA3">
        <w:trPr>
          <w:tblCellSpacing w:w="15" w:type="dxa"/>
        </w:trPr>
        <w:tc>
          <w:tcPr>
            <w:tcW w:w="2644" w:type="dxa"/>
            <w:vAlign w:val="center"/>
            <w:hideMark/>
          </w:tcPr>
          <w:p w14:paraId="07AE5551"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Adverse events</w:t>
            </w:r>
          </w:p>
        </w:tc>
        <w:tc>
          <w:tcPr>
            <w:tcW w:w="6894" w:type="dxa"/>
            <w:vAlign w:val="center"/>
            <w:hideMark/>
          </w:tcPr>
          <w:p w14:paraId="460BBAC0"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Shows drought, fire, disease, governance failure, data issues, or other material events</w:t>
            </w:r>
          </w:p>
        </w:tc>
      </w:tr>
      <w:tr w:rsidR="002067CD" w:rsidRPr="00B479AE" w14:paraId="1B235B50" w14:textId="77777777" w:rsidTr="00D71AA3">
        <w:trPr>
          <w:tblCellSpacing w:w="15" w:type="dxa"/>
        </w:trPr>
        <w:tc>
          <w:tcPr>
            <w:tcW w:w="2644" w:type="dxa"/>
            <w:vAlign w:val="center"/>
            <w:hideMark/>
          </w:tcPr>
          <w:p w14:paraId="129A3418"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Methodology version</w:t>
            </w:r>
          </w:p>
        </w:tc>
        <w:tc>
          <w:tcPr>
            <w:tcW w:w="6894" w:type="dxa"/>
            <w:vAlign w:val="center"/>
            <w:hideMark/>
          </w:tcPr>
          <w:p w14:paraId="40CD32D1"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Shows which PRU / MRV method was used</w:t>
            </w:r>
          </w:p>
        </w:tc>
      </w:tr>
      <w:tr w:rsidR="002067CD" w:rsidRPr="00B479AE" w14:paraId="4D7A376F" w14:textId="77777777" w:rsidTr="00D71AA3">
        <w:trPr>
          <w:tblCellSpacing w:w="15" w:type="dxa"/>
        </w:trPr>
        <w:tc>
          <w:tcPr>
            <w:tcW w:w="2644" w:type="dxa"/>
            <w:vAlign w:val="center"/>
            <w:hideMark/>
          </w:tcPr>
          <w:p w14:paraId="3672C84E"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Audit status</w:t>
            </w:r>
          </w:p>
        </w:tc>
        <w:tc>
          <w:tcPr>
            <w:tcW w:w="6894" w:type="dxa"/>
            <w:vAlign w:val="center"/>
            <w:hideMark/>
          </w:tcPr>
          <w:p w14:paraId="6C7B33AC"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Shows internal, third-party, or pending review status</w:t>
            </w:r>
          </w:p>
        </w:tc>
      </w:tr>
      <w:tr w:rsidR="002067CD" w:rsidRPr="00B479AE" w14:paraId="37560799" w14:textId="77777777" w:rsidTr="00D71AA3">
        <w:trPr>
          <w:tblCellSpacing w:w="15" w:type="dxa"/>
        </w:trPr>
        <w:tc>
          <w:tcPr>
            <w:tcW w:w="2644" w:type="dxa"/>
            <w:vAlign w:val="center"/>
            <w:hideMark/>
          </w:tcPr>
          <w:p w14:paraId="64AD712B"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No-double-counting statement</w:t>
            </w:r>
          </w:p>
        </w:tc>
        <w:tc>
          <w:tcPr>
            <w:tcW w:w="6894" w:type="dxa"/>
            <w:vAlign w:val="center"/>
            <w:hideMark/>
          </w:tcPr>
          <w:p w14:paraId="6CDB6246"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Protects against incompatible claims</w:t>
            </w:r>
          </w:p>
        </w:tc>
      </w:tr>
      <w:tr w:rsidR="002067CD" w:rsidRPr="00B479AE" w14:paraId="6C53A043" w14:textId="77777777" w:rsidTr="00D71AA3">
        <w:trPr>
          <w:tblCellSpacing w:w="15" w:type="dxa"/>
        </w:trPr>
        <w:tc>
          <w:tcPr>
            <w:tcW w:w="2644" w:type="dxa"/>
            <w:vAlign w:val="center"/>
            <w:hideMark/>
          </w:tcPr>
          <w:p w14:paraId="7A6E4F45"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Legal wrapper status</w:t>
            </w:r>
          </w:p>
        </w:tc>
        <w:tc>
          <w:tcPr>
            <w:tcW w:w="6894" w:type="dxa"/>
            <w:vAlign w:val="center"/>
            <w:hideMark/>
          </w:tcPr>
          <w:p w14:paraId="74E41056"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Shows whether any instrument is legally structured</w:t>
            </w:r>
          </w:p>
        </w:tc>
      </w:tr>
      <w:tr w:rsidR="002067CD" w:rsidRPr="00B479AE" w14:paraId="38EFE2AE" w14:textId="77777777" w:rsidTr="00D71AA3">
        <w:trPr>
          <w:tblCellSpacing w:w="15" w:type="dxa"/>
        </w:trPr>
        <w:tc>
          <w:tcPr>
            <w:tcW w:w="2644" w:type="dxa"/>
            <w:vAlign w:val="center"/>
            <w:hideMark/>
          </w:tcPr>
          <w:p w14:paraId="5F380F44"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Portfolio composition</w:t>
            </w:r>
          </w:p>
        </w:tc>
        <w:tc>
          <w:tcPr>
            <w:tcW w:w="6894" w:type="dxa"/>
            <w:vAlign w:val="center"/>
            <w:hideMark/>
          </w:tcPr>
          <w:p w14:paraId="04AE9752"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Shows RAP diversification by site, maturity, operator, geography, and evidence quality</w:t>
            </w:r>
          </w:p>
        </w:tc>
      </w:tr>
      <w:tr w:rsidR="002067CD" w:rsidRPr="00B479AE" w14:paraId="0E4D211E" w14:textId="77777777" w:rsidTr="00D71AA3">
        <w:trPr>
          <w:tblCellSpacing w:w="15" w:type="dxa"/>
        </w:trPr>
        <w:tc>
          <w:tcPr>
            <w:tcW w:w="2644" w:type="dxa"/>
            <w:vAlign w:val="center"/>
            <w:hideMark/>
          </w:tcPr>
          <w:p w14:paraId="65D80866"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ESG / nature disclosure compatibility</w:t>
            </w:r>
          </w:p>
        </w:tc>
        <w:tc>
          <w:tcPr>
            <w:tcW w:w="6894" w:type="dxa"/>
            <w:vAlign w:val="center"/>
            <w:hideMark/>
          </w:tcPr>
          <w:p w14:paraId="2BC70D11" w14:textId="77777777" w:rsidR="002067CD" w:rsidRPr="00B479AE" w:rsidRDefault="002067CD"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Supports institutional reporting where applicable</w:t>
            </w:r>
          </w:p>
        </w:tc>
      </w:tr>
      <w:tr w:rsidR="002067CD" w:rsidRPr="00B479AE" w14:paraId="7A8EBC5A" w14:textId="77777777" w:rsidTr="00D71AA3">
        <w:trPr>
          <w:tblCellSpacing w:w="15" w:type="dxa"/>
        </w:trPr>
        <w:tc>
          <w:tcPr>
            <w:tcW w:w="2644" w:type="dxa"/>
            <w:vAlign w:val="center"/>
            <w:hideMark/>
          </w:tcPr>
          <w:p w14:paraId="3FFC2A81" w14:textId="586FF377" w:rsidR="002067CD" w:rsidRPr="00B479AE" w:rsidRDefault="00D71AA3"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Claim traceability and disclosure boundary</w:t>
            </w:r>
          </w:p>
        </w:tc>
        <w:tc>
          <w:tcPr>
            <w:tcW w:w="6894" w:type="dxa"/>
            <w:vAlign w:val="center"/>
            <w:hideMark/>
          </w:tcPr>
          <w:p w14:paraId="47F76FF4" w14:textId="560DC87A" w:rsidR="002067CD" w:rsidRPr="00B479AE" w:rsidRDefault="00D71AA3" w:rsidP="002067CD">
            <w:pPr>
              <w:spacing w:line="360" w:lineRule="auto"/>
              <w:rPr>
                <w:rFonts w:ascii="Baskerville Old Face" w:hAnsi="Baskerville Old Face"/>
                <w:i/>
                <w:iCs/>
                <w:sz w:val="18"/>
                <w:szCs w:val="18"/>
              </w:rPr>
            </w:pPr>
            <w:r w:rsidRPr="00B479AE">
              <w:rPr>
                <w:rFonts w:ascii="Baskerville Old Face" w:hAnsi="Baskerville Old Face"/>
                <w:i/>
                <w:iCs/>
                <w:sz w:val="18"/>
                <w:szCs w:val="18"/>
              </w:rPr>
              <w:t>Links claims to evidence, review, legal structure, and permitted disclosure status</w:t>
            </w:r>
          </w:p>
        </w:tc>
      </w:tr>
    </w:tbl>
    <w:p w14:paraId="059CA61A" w14:textId="77777777" w:rsidR="00676D74" w:rsidRPr="00B479AE" w:rsidRDefault="00676D74" w:rsidP="00676D74">
      <w:pPr>
        <w:spacing w:line="360" w:lineRule="auto"/>
        <w:rPr>
          <w:rFonts w:ascii="Baskerville Old Face" w:hAnsi="Baskerville Old Face"/>
          <w:i/>
          <w:iCs/>
        </w:rPr>
      </w:pPr>
      <w:r w:rsidRPr="00B479AE">
        <w:rPr>
          <w:rFonts w:ascii="Baskerville Old Face" w:hAnsi="Baskerville Old Face"/>
          <w:i/>
          <w:iCs/>
        </w:rPr>
        <w:lastRenderedPageBreak/>
        <w:t>This reporting architecture allows institutional capital to evaluate regenerative infrastructure with seriousness while preserving the distinction between evidence, value, legal rights, and investment exposure.</w:t>
      </w:r>
    </w:p>
    <w:p w14:paraId="3EB1892F" w14:textId="1BB1F788"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Regenerative infrastructure assets</w:t>
      </w:r>
    </w:p>
    <w:p w14:paraId="69F32ED9" w14:textId="269B6676"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Prometheus defines regenerative infrastructure assets as real-world assets whose value is linked to verified improvement in living-system performance.</w:t>
      </w:r>
      <w:r w:rsidR="00503079" w:rsidRPr="00B479AE">
        <w:rPr>
          <w:rFonts w:ascii="Baskerville Old Face" w:hAnsi="Baskerville Old Face"/>
          <w:i/>
          <w:iCs/>
        </w:rPr>
        <w:t xml:space="preserve"> </w:t>
      </w:r>
      <w:r w:rsidRPr="00B479AE">
        <w:rPr>
          <w:rFonts w:ascii="Baskerville Old Face" w:hAnsi="Baskerville Old Face"/>
          <w:i/>
          <w:iCs/>
        </w:rPr>
        <w:t>These assets are distinct from conventional asset categories, while sharing certain features with them.</w:t>
      </w:r>
    </w:p>
    <w:p w14:paraId="3159229C"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They are territorial like real estate.</w:t>
      </w:r>
    </w:p>
    <w:p w14:paraId="4391841A"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They are long-duration like infrastructure.</w:t>
      </w:r>
    </w:p>
    <w:p w14:paraId="4085B39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They are productive like agriculture.</w:t>
      </w:r>
    </w:p>
    <w:p w14:paraId="644748AC"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They are risk-sensitive like private credit.</w:t>
      </w:r>
    </w:p>
    <w:p w14:paraId="1DBBDDC1"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They are ecological like nature finance.</w:t>
      </w:r>
    </w:p>
    <w:p w14:paraId="4B3704D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They are data-rich like digital infrastructure.</w:t>
      </w:r>
    </w:p>
    <w:p w14:paraId="47D798F9" w14:textId="7F1778E9" w:rsidR="00394CA0" w:rsidRPr="00B479AE" w:rsidRDefault="00394CA0" w:rsidP="00504071">
      <w:pPr>
        <w:spacing w:line="360" w:lineRule="auto"/>
        <w:rPr>
          <w:rFonts w:ascii="Baskerville Old Face" w:hAnsi="Baskerville Old Face"/>
          <w:i/>
          <w:iCs/>
        </w:rPr>
      </w:pPr>
      <w:r w:rsidRPr="00B479AE">
        <w:rPr>
          <w:rFonts w:ascii="Baskerville Old Face" w:hAnsi="Baskerville Old Face"/>
          <w:i/>
          <w:iCs/>
        </w:rPr>
        <w:t>They may become representable through compliant real-world asset structures where legal, evidentiary, and institutional conditions allow.</w:t>
      </w:r>
    </w:p>
    <w:p w14:paraId="4F03973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Their distinctive feature is that value derives from verified regeneration.</w:t>
      </w:r>
    </w:p>
    <w:p w14:paraId="57CCDAF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This positions Prometheus as a candidate framework for a new asset class:</w:t>
      </w:r>
    </w:p>
    <w:p w14:paraId="68FA1D16" w14:textId="1CB0768E"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verified regenerative infrastructure.</w:t>
      </w:r>
      <w:r w:rsidR="0077031A" w:rsidRPr="00B479AE">
        <w:rPr>
          <w:rFonts w:ascii="Baskerville Old Face" w:hAnsi="Baskerville Old Face"/>
          <w:i/>
          <w:iCs/>
        </w:rPr>
        <w:t xml:space="preserve"> </w:t>
      </w:r>
    </w:p>
    <w:p w14:paraId="2DF35503" w14:textId="77777777" w:rsidR="00290D30" w:rsidRPr="00B479AE" w:rsidRDefault="00290D30" w:rsidP="00290D30">
      <w:pPr>
        <w:spacing w:line="360" w:lineRule="auto"/>
        <w:rPr>
          <w:rFonts w:ascii="Baskerville Old Face" w:hAnsi="Baskerville Old Face"/>
          <w:b/>
          <w:bCs/>
          <w:i/>
          <w:iCs/>
        </w:rPr>
      </w:pPr>
      <w:r w:rsidRPr="00B479AE">
        <w:rPr>
          <w:rFonts w:ascii="Baskerville Old Face" w:hAnsi="Baskerville Old Face"/>
          <w:b/>
          <w:bCs/>
          <w:i/>
          <w:iCs/>
        </w:rPr>
        <w:t>Regenerative Real Assets as Resilience Infrastructure</w:t>
      </w:r>
    </w:p>
    <w:p w14:paraId="6B1132DF"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Within Prometheus, a regenerated land asset, building, farm, hospitality site, productive estate, or territorial unit should not be understood only as real estate.</w:t>
      </w:r>
    </w:p>
    <w:p w14:paraId="0DD98C9A"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It may become a resilience infrastructure asset.</w:t>
      </w:r>
    </w:p>
    <w:p w14:paraId="363BBEA2" w14:textId="1E1FF933"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Traditional real estate value is often based on location, scarcity, ownership, rent, appreciation, and market liquidity.</w:t>
      </w:r>
      <w:r w:rsidR="00503079" w:rsidRPr="00B479AE">
        <w:rPr>
          <w:rFonts w:ascii="Baskerville Old Face" w:hAnsi="Baskerville Old Face"/>
          <w:i/>
          <w:iCs/>
        </w:rPr>
        <w:t xml:space="preserve"> </w:t>
      </w:r>
      <w:r w:rsidRPr="00B479AE">
        <w:rPr>
          <w:rFonts w:ascii="Baskerville Old Face" w:hAnsi="Baskerville Old Face"/>
          <w:i/>
          <w:iCs/>
        </w:rPr>
        <w:t>Regenerative real asset value is based on a deeper logic:</w:t>
      </w:r>
    </w:p>
    <w:p w14:paraId="2D0D1682"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lastRenderedPageBreak/>
        <w:t>territorial resilience;</w:t>
      </w:r>
    </w:p>
    <w:p w14:paraId="6A2541E8"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productive capacity;</w:t>
      </w:r>
    </w:p>
    <w:p w14:paraId="325E4277"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water security;</w:t>
      </w:r>
    </w:p>
    <w:p w14:paraId="65289942"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soil fertility;</w:t>
      </w:r>
    </w:p>
    <w:p w14:paraId="618C647F"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food-system relevance;</w:t>
      </w:r>
    </w:p>
    <w:p w14:paraId="61F84F13"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energy and operational autonomy where available;</w:t>
      </w:r>
    </w:p>
    <w:p w14:paraId="0DFE7E2C"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ecological coherence;</w:t>
      </w:r>
    </w:p>
    <w:p w14:paraId="773B1188"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governance reliability;</w:t>
      </w:r>
    </w:p>
    <w:p w14:paraId="301C8D69"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community usefulness;</w:t>
      </w:r>
    </w:p>
    <w:p w14:paraId="5269CA7D"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reduced dependency on fragile external systems.</w:t>
      </w:r>
    </w:p>
    <w:p w14:paraId="3F89F2FB"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This does not mean that every rural property, farm, building, eco-village, hospitality site, or regenerative project automatically becomes a safe haven.</w:t>
      </w:r>
    </w:p>
    <w:p w14:paraId="3FC45A5B" w14:textId="036163A5"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It means that land and buildings designed, managed, verified, and governed as regenerative infrastructure may reduce exposure to certain forms of systemic fragility.</w:t>
      </w:r>
      <w:r w:rsidR="00503079" w:rsidRPr="00B479AE">
        <w:rPr>
          <w:rFonts w:ascii="Baskerville Old Face" w:hAnsi="Baskerville Old Face"/>
          <w:i/>
          <w:iCs/>
        </w:rPr>
        <w:t xml:space="preserve"> </w:t>
      </w:r>
      <w:r w:rsidRPr="00B479AE">
        <w:rPr>
          <w:rFonts w:ascii="Baskerville Old Face" w:hAnsi="Baskerville Old Face"/>
          <w:i/>
          <w:iCs/>
        </w:rPr>
        <w:t>These may include:</w:t>
      </w:r>
    </w:p>
    <w:p w14:paraId="6ACB344A"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food insecurity;</w:t>
      </w:r>
    </w:p>
    <w:p w14:paraId="10A1F5EB"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water stress;</w:t>
      </w:r>
    </w:p>
    <w:p w14:paraId="3063F5BD"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supply-chain disruption;</w:t>
      </w:r>
    </w:p>
    <w:p w14:paraId="05D72470"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energy and infrastructure dependency;</w:t>
      </w:r>
    </w:p>
    <w:p w14:paraId="299D88D2"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ecological degradation;</w:t>
      </w:r>
    </w:p>
    <w:p w14:paraId="1B96B99B"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pollution exposure;</w:t>
      </w:r>
    </w:p>
    <w:p w14:paraId="005B3692"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climate volatility;</w:t>
      </w:r>
    </w:p>
    <w:p w14:paraId="4649288D"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social fragmentation;</w:t>
      </w:r>
    </w:p>
    <w:p w14:paraId="7FA574D3"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lastRenderedPageBreak/>
        <w:t>• institutional distrust;</w:t>
      </w:r>
    </w:p>
    <w:p w14:paraId="097FB572"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market instability;</w:t>
      </w:r>
    </w:p>
    <w:p w14:paraId="03609462"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territorial abandonment;</w:t>
      </w:r>
    </w:p>
    <w:p w14:paraId="2B292F65"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operational fragility.</w:t>
      </w:r>
    </w:p>
    <w:p w14:paraId="660C0D95"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A regenerative real asset may therefore perform a function that conventional real estate often does not perform.</w:t>
      </w:r>
    </w:p>
    <w:p w14:paraId="7771E970"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It may produce food.</w:t>
      </w:r>
    </w:p>
    <w:p w14:paraId="6815657F"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It may retain water.</w:t>
      </w:r>
    </w:p>
    <w:p w14:paraId="17E3A410"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It may improve soil.</w:t>
      </w:r>
    </w:p>
    <w:p w14:paraId="1319B502"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It may support biodiversity.</w:t>
      </w:r>
    </w:p>
    <w:p w14:paraId="5C41D43C"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It may host community learning.</w:t>
      </w:r>
    </w:p>
    <w:p w14:paraId="6477D8B6"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It may provide hospitality, education, wellness, or stewardship services.</w:t>
      </w:r>
    </w:p>
    <w:p w14:paraId="64C1B2EE"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It may reduce input dependency.</w:t>
      </w:r>
    </w:p>
    <w:p w14:paraId="75FA351E"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It may create local circular production.</w:t>
      </w:r>
    </w:p>
    <w:p w14:paraId="1AD4A5E1"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It may support emergency continuity.</w:t>
      </w:r>
    </w:p>
    <w:p w14:paraId="4E28010D" w14:textId="2135A819"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It may increase functional independence by reducing dependence on distant supply chains, fragile infrastructure, centralized food systems, imported inputs, and purely financial forms of security.</w:t>
      </w:r>
    </w:p>
    <w:p w14:paraId="6AEC6474"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It may preserve productive capacity during periods of economic, ecological, or institutional stress.</w:t>
      </w:r>
    </w:p>
    <w:p w14:paraId="09D6AD6E"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This gives regenerated land and buildings a potential shelter-resilience function.</w:t>
      </w:r>
    </w:p>
    <w:p w14:paraId="349C0542" w14:textId="5CDA3514" w:rsidR="0070290B" w:rsidRPr="00B479AE" w:rsidRDefault="0070290B" w:rsidP="00290D30">
      <w:pPr>
        <w:spacing w:line="360" w:lineRule="auto"/>
        <w:rPr>
          <w:rFonts w:ascii="Baskerville Old Face" w:hAnsi="Baskerville Old Face"/>
          <w:i/>
          <w:iCs/>
        </w:rPr>
      </w:pPr>
      <w:r w:rsidRPr="00B479AE">
        <w:rPr>
          <w:rFonts w:ascii="Baskerville Old Face" w:hAnsi="Baskerville Old Face"/>
          <w:i/>
          <w:iCs/>
        </w:rPr>
        <w:t>This function is strongest where productive autonomy, water strategy, access control, community trust, ecological buffering, and operational governance are designed together.</w:t>
      </w:r>
    </w:p>
    <w:p w14:paraId="0BC80F09"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The term shelter-resilience does not mean absolute physical protection.</w:t>
      </w:r>
    </w:p>
    <w:p w14:paraId="14F576FB"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lastRenderedPageBreak/>
        <w:t>It does not mean immunity from conflict, crime, pollution, financial crisis, political disorder, climate events, or social instability.</w:t>
      </w:r>
    </w:p>
    <w:p w14:paraId="27E24331"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It means that a well-designed regenerative asset may provide stronger continuity, autonomy, adaptability, and local productive capacity than a purely speculative, consumption-based, or infrastructure-dependent asset.</w:t>
      </w:r>
    </w:p>
    <w:p w14:paraId="2E3877A2"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The Prometheus interpretation is therefore conservative:</w:t>
      </w:r>
    </w:p>
    <w:p w14:paraId="47524A9B"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regenerative land may support resilience;</w:t>
      </w:r>
    </w:p>
    <w:p w14:paraId="3B050476"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regenerative buildings may support continuity;</w:t>
      </w:r>
    </w:p>
    <w:p w14:paraId="4A88E8C6"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regenerative operations may support autonomy;</w:t>
      </w:r>
    </w:p>
    <w:p w14:paraId="0156DFD5"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regenerative governance may support trust;</w:t>
      </w:r>
    </w:p>
    <w:p w14:paraId="7CD59111"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regenerative MRV may support institutional credibility;</w:t>
      </w:r>
    </w:p>
    <w:p w14:paraId="282B3D34"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but no asset is risk-free by definition.</w:t>
      </w:r>
    </w:p>
    <w:p w14:paraId="1DD7B4DB"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A property becomes resilience-relevant only where design, location, stewardship, legal structure, governance, security, infrastructure, ecological function, and operational capacity support that interpretation.</w:t>
      </w:r>
    </w:p>
    <w:p w14:paraId="7741FB8A"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This is especially important under scenarios of financial volatility, currency instability, supply disruption, climate stress, infrastructure fragility, or social instability.</w:t>
      </w:r>
    </w:p>
    <w:p w14:paraId="395BD000"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In such conditions, assets that depend only on market price may become fragile.</w:t>
      </w:r>
    </w:p>
    <w:p w14:paraId="12475503"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Assets that also produce food, retain water, support energy or operational autonomy, strengthen soil, host communities, and preserve local productive capacity may become strategically more resilient.</w:t>
      </w:r>
    </w:p>
    <w:p w14:paraId="559512BB"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This is not a promise of protection.</w:t>
      </w:r>
    </w:p>
    <w:p w14:paraId="52FC6414"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It is a theory of reduced fragility.</w:t>
      </w:r>
    </w:p>
    <w:p w14:paraId="37982C6E"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The Prometheus logic can be summarized as follows:</w:t>
      </w:r>
    </w:p>
    <w:p w14:paraId="63ED57A4"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speculative real estate stores price;</w:t>
      </w:r>
    </w:p>
    <w:p w14:paraId="23482D0F"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lastRenderedPageBreak/>
        <w:t>productive regenerative land stores capacity;</w:t>
      </w:r>
    </w:p>
    <w:p w14:paraId="22F5634E"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resilient infrastructure stores continuity;</w:t>
      </w:r>
    </w:p>
    <w:p w14:paraId="3AEF6C6C"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verified regeneration stores future optionality.</w:t>
      </w:r>
    </w:p>
    <w:p w14:paraId="0E1F30D9"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A regenerative real asset should therefore be evaluated not only by:</w:t>
      </w:r>
    </w:p>
    <w:p w14:paraId="5DA19E7E"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What is its market price?</w:t>
      </w:r>
    </w:p>
    <w:p w14:paraId="1C4A2151"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but also by:</w:t>
      </w:r>
    </w:p>
    <w:p w14:paraId="62ECD639"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What can it produce?</w:t>
      </w:r>
    </w:p>
    <w:p w14:paraId="32E33295"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What can it withstand?</w:t>
      </w:r>
    </w:p>
    <w:p w14:paraId="51184ADB"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What dependencies can it reduce?</w:t>
      </w:r>
    </w:p>
    <w:p w14:paraId="2BFC8D66"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What living systems does it strengthen?</w:t>
      </w:r>
    </w:p>
    <w:p w14:paraId="12C953BB"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What forms of continuity can it support under stress?</w:t>
      </w:r>
    </w:p>
    <w:p w14:paraId="509DDFF6"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What evidence supports those claims?</w:t>
      </w:r>
    </w:p>
    <w:p w14:paraId="53A5AE97"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In Prometheus, this creates a new interpretation of real assets.</w:t>
      </w:r>
    </w:p>
    <w:p w14:paraId="1627C8F9"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The strongest asset is not merely the one that appreciates under favorable markets.</w:t>
      </w:r>
    </w:p>
    <w:p w14:paraId="0F55C470"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The strongest asset is the one that remains useful when markets, supply chains, climate conditions, infrastructure, or institutions become unstable.</w:t>
      </w:r>
    </w:p>
    <w:p w14:paraId="685DB734"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For this reason, a regenerated land-and-building system may become more than property.</w:t>
      </w:r>
    </w:p>
    <w:p w14:paraId="6E4A40C5"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It may become a territorial continuity node.</w:t>
      </w:r>
    </w:p>
    <w:p w14:paraId="31A3C193"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It may function as:</w:t>
      </w:r>
    </w:p>
    <w:p w14:paraId="7245EF8D"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productive shelter;</w:t>
      </w:r>
    </w:p>
    <w:p w14:paraId="0003FB8C"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food and water resilience infrastructure;</w:t>
      </w:r>
    </w:p>
    <w:p w14:paraId="33D5DF22"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ecological restoration unit;</w:t>
      </w:r>
    </w:p>
    <w:p w14:paraId="2EDDFAD0"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lastRenderedPageBreak/>
        <w:t>• community-coherence platform;</w:t>
      </w:r>
    </w:p>
    <w:p w14:paraId="14EBCE9A"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local circular economy node;</w:t>
      </w:r>
    </w:p>
    <w:p w14:paraId="35619B49"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verified regenerative asset;</w:t>
      </w:r>
    </w:p>
    <w:p w14:paraId="7C8F1D97"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capital-ready territorial infrastructure.</w:t>
      </w:r>
    </w:p>
    <w:p w14:paraId="196F18CA"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However, any such interpretation must remain evidence-bound.</w:t>
      </w:r>
    </w:p>
    <w:p w14:paraId="5616C10B"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Resilience claims should be supported by:</w:t>
      </w:r>
    </w:p>
    <w:p w14:paraId="41F89DA9"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site analysis;</w:t>
      </w:r>
    </w:p>
    <w:p w14:paraId="79C52DFD"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water strategy;</w:t>
      </w:r>
    </w:p>
    <w:p w14:paraId="1C823BB2"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soil and ecological baseline;</w:t>
      </w:r>
    </w:p>
    <w:p w14:paraId="4B38EE03"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food-production capacity;</w:t>
      </w:r>
    </w:p>
    <w:p w14:paraId="620FB477"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energy and operational strategy where applicable;</w:t>
      </w:r>
    </w:p>
    <w:p w14:paraId="0F8B2F19"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security and access considerations;</w:t>
      </w:r>
    </w:p>
    <w:p w14:paraId="699A7AD7"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governance structure;</w:t>
      </w:r>
    </w:p>
    <w:p w14:paraId="6667831D"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community integration;</w:t>
      </w:r>
    </w:p>
    <w:p w14:paraId="2C1DD6CA"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legal and land-use clarity;</w:t>
      </w:r>
    </w:p>
    <w:p w14:paraId="0FC5C267"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MRV evidence;</w:t>
      </w:r>
    </w:p>
    <w:p w14:paraId="30BF93AE"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operational records;</w:t>
      </w:r>
    </w:p>
    <w:p w14:paraId="40913EC5"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risk assessment;</w:t>
      </w:r>
    </w:p>
    <w:p w14:paraId="1F21ED20"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 emergency-continuity planning.</w:t>
      </w:r>
    </w:p>
    <w:p w14:paraId="7392AB21"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This preserves the difference between a romantic refuge narrative and an institutionally credible regenerative infrastructure asset.</w:t>
      </w:r>
    </w:p>
    <w:p w14:paraId="5CBC0E44"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The Prometheus boundary is clear:</w:t>
      </w:r>
    </w:p>
    <w:p w14:paraId="357C3B84"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lastRenderedPageBreak/>
        <w:t>a regenerated real asset may support resilience;</w:t>
      </w:r>
    </w:p>
    <w:p w14:paraId="7A04179B"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resilience may support value interpretation;</w:t>
      </w:r>
    </w:p>
    <w:p w14:paraId="0A0AA1A7"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value interpretation may support capital-readiness;</w:t>
      </w:r>
    </w:p>
    <w:p w14:paraId="54E83F63"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capital-readiness may support legal structuring;</w:t>
      </w:r>
    </w:p>
    <w:p w14:paraId="30BAA9E6" w14:textId="4C6D579D"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but no land, building, OHE, PRU, or RAP becomes a guaranteed safe haven, investment product, collateral asset, or protection instrument merely by being described as regenerative.</w:t>
      </w:r>
      <w:r w:rsidR="00A92C11" w:rsidRPr="00B479AE">
        <w:rPr>
          <w:rFonts w:ascii="Baskerville Old Face" w:hAnsi="Baskerville Old Face"/>
          <w:i/>
          <w:iCs/>
        </w:rPr>
        <w:t xml:space="preserve"> </w:t>
      </w:r>
      <w:r w:rsidRPr="00B479AE">
        <w:rPr>
          <w:rFonts w:ascii="Baskerville Old Face" w:hAnsi="Baskerville Old Face"/>
          <w:i/>
          <w:iCs/>
        </w:rPr>
        <w:t>The final principle is:</w:t>
      </w:r>
    </w:p>
    <w:p w14:paraId="0414ADB5"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regenerative real assets are not valuable because they escape the world;</w:t>
      </w:r>
    </w:p>
    <w:p w14:paraId="2858A15E" w14:textId="77777777" w:rsidR="00290D30" w:rsidRPr="00B479AE" w:rsidRDefault="00290D30" w:rsidP="00290D30">
      <w:pPr>
        <w:spacing w:line="360" w:lineRule="auto"/>
        <w:rPr>
          <w:rFonts w:ascii="Baskerville Old Face" w:hAnsi="Baskerville Old Face"/>
          <w:i/>
          <w:iCs/>
        </w:rPr>
      </w:pPr>
      <w:r w:rsidRPr="00B479AE">
        <w:rPr>
          <w:rFonts w:ascii="Baskerville Old Face" w:hAnsi="Baskerville Old Face"/>
          <w:i/>
          <w:iCs/>
        </w:rPr>
        <w:t>they are valuable because they can help keep life, production, evidence, community, and continuity functioning when the world becomes less stable.</w:t>
      </w:r>
    </w:p>
    <w:p w14:paraId="0A1F7EE1" w14:textId="77777777" w:rsidR="00BC52DC" w:rsidRPr="00B479AE" w:rsidRDefault="00BC52DC" w:rsidP="00BC52DC">
      <w:pPr>
        <w:spacing w:line="360" w:lineRule="auto"/>
        <w:rPr>
          <w:rFonts w:ascii="Baskerville Old Face" w:hAnsi="Baskerville Old Face"/>
          <w:i/>
          <w:iCs/>
        </w:rPr>
      </w:pPr>
      <w:r w:rsidRPr="00B479AE">
        <w:rPr>
          <w:rFonts w:ascii="Baskerville Old Face" w:hAnsi="Baskerville Old Face"/>
          <w:b/>
          <w:bCs/>
          <w:i/>
          <w:iCs/>
        </w:rPr>
        <w:t>From Bancor to Planetary Metabolism</w:t>
      </w:r>
    </w:p>
    <w:p w14:paraId="7553461E" w14:textId="77777777" w:rsidR="00BC52DC" w:rsidRPr="00B479AE" w:rsidRDefault="00BC52DC" w:rsidP="00BC52DC">
      <w:pPr>
        <w:spacing w:line="360" w:lineRule="auto"/>
        <w:rPr>
          <w:rFonts w:ascii="Baskerville Old Face" w:hAnsi="Baskerville Old Face"/>
          <w:i/>
          <w:iCs/>
        </w:rPr>
      </w:pPr>
      <w:r w:rsidRPr="00B479AE">
        <w:rPr>
          <w:rFonts w:ascii="Baskerville Old Face" w:hAnsi="Baskerville Old Face"/>
          <w:i/>
          <w:iCs/>
        </w:rPr>
        <w:t>The need for systemic balance in economic architectures is not new.</w:t>
      </w:r>
    </w:p>
    <w:p w14:paraId="16B5D893" w14:textId="77777777" w:rsidR="00BC52DC" w:rsidRPr="00B479AE" w:rsidRDefault="00BC52DC" w:rsidP="00BC52DC">
      <w:pPr>
        <w:spacing w:line="360" w:lineRule="auto"/>
        <w:rPr>
          <w:rFonts w:ascii="Baskerville Old Face" w:hAnsi="Baskerville Old Face"/>
          <w:i/>
          <w:iCs/>
        </w:rPr>
      </w:pPr>
      <w:r w:rsidRPr="00B479AE">
        <w:rPr>
          <w:rFonts w:ascii="Baskerville Old Face" w:hAnsi="Baskerville Old Face"/>
          <w:i/>
          <w:iCs/>
        </w:rPr>
        <w:t>At Bretton Woods, Keynes proposed Bancor as a supranational clearing mechanism intended to reduce persistent imbalances between surplus and deficit economies.</w:t>
      </w:r>
    </w:p>
    <w:p w14:paraId="594233A0" w14:textId="77777777" w:rsidR="00BC52DC" w:rsidRPr="00B479AE" w:rsidRDefault="00BC52DC" w:rsidP="00BC52DC">
      <w:pPr>
        <w:spacing w:line="360" w:lineRule="auto"/>
        <w:rPr>
          <w:rFonts w:ascii="Baskerville Old Face" w:hAnsi="Baskerville Old Face"/>
          <w:i/>
          <w:iCs/>
        </w:rPr>
      </w:pPr>
      <w:r w:rsidRPr="00B479AE">
        <w:rPr>
          <w:rFonts w:ascii="Baskerville Old Face" w:hAnsi="Baskerville Old Face"/>
          <w:i/>
          <w:iCs/>
        </w:rPr>
        <w:t>Although Bancor was never implemented, its underlying insight remains important: durable systems require mechanisms that identify and correct structural imbalance.</w:t>
      </w:r>
    </w:p>
    <w:p w14:paraId="5BC3721E" w14:textId="77777777" w:rsidR="00BC52DC" w:rsidRPr="00B479AE" w:rsidRDefault="00BC52DC" w:rsidP="00BC52DC">
      <w:pPr>
        <w:spacing w:line="360" w:lineRule="auto"/>
        <w:rPr>
          <w:rFonts w:ascii="Baskerville Old Face" w:hAnsi="Baskerville Old Face"/>
          <w:i/>
          <w:iCs/>
        </w:rPr>
      </w:pPr>
      <w:r w:rsidRPr="00B479AE">
        <w:rPr>
          <w:rFonts w:ascii="Baskerville Old Face" w:hAnsi="Baskerville Old Face"/>
          <w:i/>
          <w:iCs/>
        </w:rPr>
        <w:t>Prometheus extends this principle from financial accounts to biophysical accounts.</w:t>
      </w:r>
    </w:p>
    <w:p w14:paraId="73FDBF70" w14:textId="77777777" w:rsidR="00BC52DC" w:rsidRPr="00B479AE" w:rsidRDefault="00BC52DC" w:rsidP="00BC52DC">
      <w:pPr>
        <w:spacing w:line="360" w:lineRule="auto"/>
        <w:rPr>
          <w:rFonts w:ascii="Baskerville Old Face" w:hAnsi="Baskerville Old Face"/>
          <w:i/>
          <w:iCs/>
        </w:rPr>
      </w:pPr>
      <w:r w:rsidRPr="00B479AE">
        <w:rPr>
          <w:rFonts w:ascii="Baskerville Old Face" w:hAnsi="Baskerville Old Face"/>
          <w:i/>
          <w:iCs/>
        </w:rPr>
        <w:t>The relevant imbalance is not only between monetary surplus and deficit.</w:t>
      </w:r>
    </w:p>
    <w:p w14:paraId="68A62405" w14:textId="77777777" w:rsidR="00BC52DC" w:rsidRPr="00B479AE" w:rsidRDefault="00BC52DC" w:rsidP="00BC52DC">
      <w:pPr>
        <w:spacing w:line="360" w:lineRule="auto"/>
        <w:rPr>
          <w:rFonts w:ascii="Baskerville Old Face" w:hAnsi="Baskerville Old Face"/>
          <w:i/>
          <w:iCs/>
        </w:rPr>
      </w:pPr>
      <w:r w:rsidRPr="00B479AE">
        <w:rPr>
          <w:rFonts w:ascii="Baskerville Old Face" w:hAnsi="Baskerville Old Face"/>
          <w:i/>
          <w:iCs/>
        </w:rPr>
        <w:t>It is between human economic activity and the regenerative capacity of living systems.</w:t>
      </w:r>
    </w:p>
    <w:p w14:paraId="48C0C93B" w14:textId="77777777" w:rsidR="00BC52DC" w:rsidRPr="00B479AE" w:rsidRDefault="00BC52DC" w:rsidP="00BC52DC">
      <w:pPr>
        <w:spacing w:line="360" w:lineRule="auto"/>
        <w:rPr>
          <w:rFonts w:ascii="Baskerville Old Face" w:hAnsi="Baskerville Old Face"/>
          <w:i/>
          <w:iCs/>
        </w:rPr>
      </w:pPr>
      <w:r w:rsidRPr="00B479AE">
        <w:rPr>
          <w:rFonts w:ascii="Baskerville Old Face" w:hAnsi="Baskerville Old Face"/>
          <w:i/>
          <w:iCs/>
        </w:rPr>
        <w:t>In this sense, Prometheus can be understood as an ecological clearing architecture.</w:t>
      </w:r>
    </w:p>
    <w:p w14:paraId="26F4A81D" w14:textId="77777777" w:rsidR="00BC52DC" w:rsidRPr="00B479AE" w:rsidRDefault="00BC52DC" w:rsidP="00BC52DC">
      <w:pPr>
        <w:spacing w:line="360" w:lineRule="auto"/>
        <w:rPr>
          <w:rFonts w:ascii="Baskerville Old Face" w:hAnsi="Baskerville Old Face"/>
          <w:i/>
          <w:iCs/>
        </w:rPr>
      </w:pPr>
      <w:r w:rsidRPr="00B479AE">
        <w:rPr>
          <w:rFonts w:ascii="Baskerville Old Face" w:hAnsi="Baskerville Old Face"/>
          <w:i/>
          <w:iCs/>
        </w:rPr>
        <w:t>Its purpose is not to clear trade balances between nations, but to make visible the metabolic relationship between extraction, regeneration, evidence, and capital allocation.</w:t>
      </w:r>
    </w:p>
    <w:p w14:paraId="12E2258C" w14:textId="77777777" w:rsidR="00BC52DC" w:rsidRPr="00B479AE" w:rsidRDefault="00BC52DC" w:rsidP="00BC52DC">
      <w:pPr>
        <w:spacing w:line="360" w:lineRule="auto"/>
        <w:rPr>
          <w:rFonts w:ascii="Baskerville Old Face" w:hAnsi="Baskerville Old Face"/>
          <w:i/>
          <w:iCs/>
        </w:rPr>
      </w:pPr>
      <w:r w:rsidRPr="00B479AE">
        <w:rPr>
          <w:rFonts w:ascii="Baskerville Old Face" w:hAnsi="Baskerville Old Face"/>
          <w:i/>
          <w:iCs/>
        </w:rPr>
        <w:t>The equilibrium sought by Prometheus is therefore not merely accounting balance.</w:t>
      </w:r>
    </w:p>
    <w:p w14:paraId="08C72A81" w14:textId="77777777" w:rsidR="00BC52DC" w:rsidRPr="00B479AE" w:rsidRDefault="00BC52DC" w:rsidP="00BC52DC">
      <w:pPr>
        <w:spacing w:line="360" w:lineRule="auto"/>
        <w:rPr>
          <w:rFonts w:ascii="Baskerville Old Face" w:hAnsi="Baskerville Old Face"/>
          <w:i/>
          <w:iCs/>
        </w:rPr>
      </w:pPr>
      <w:r w:rsidRPr="00B479AE">
        <w:rPr>
          <w:rFonts w:ascii="Baskerville Old Face" w:hAnsi="Baskerville Old Face"/>
          <w:i/>
          <w:iCs/>
        </w:rPr>
        <w:t>It is dynamic alignment between value formation and the living systems that make value possible.</w:t>
      </w:r>
    </w:p>
    <w:p w14:paraId="7555FD35" w14:textId="77777777" w:rsidR="00321544" w:rsidRPr="00321544" w:rsidRDefault="00321544" w:rsidP="00321544">
      <w:pPr>
        <w:spacing w:line="360" w:lineRule="auto"/>
        <w:rPr>
          <w:rFonts w:ascii="Baskerville Old Face" w:hAnsi="Baskerville Old Face"/>
          <w:b/>
          <w:bCs/>
          <w:i/>
          <w:iCs/>
        </w:rPr>
      </w:pPr>
      <w:r w:rsidRPr="00321544">
        <w:rPr>
          <w:rFonts w:ascii="Baskerville Old Face" w:hAnsi="Baskerville Old Face"/>
          <w:b/>
          <w:bCs/>
          <w:i/>
          <w:iCs/>
        </w:rPr>
        <w:lastRenderedPageBreak/>
        <w:t>Capital Flow as Hydrological Discipline</w:t>
      </w:r>
    </w:p>
    <w:p w14:paraId="7EDFBF54"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Prometheus treats capital flow through a hydrological analogy.</w:t>
      </w:r>
    </w:p>
    <w:p w14:paraId="68BBFB11"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Water becomes life-supporting when it circulates, slows down, infiltrates, recharges, cools, distributes, and returns to the living system.</w:t>
      </w:r>
    </w:p>
    <w:p w14:paraId="0E9B9744"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When water is accelerated, extracted, polluted, centralized, or prevented from infiltrating, landscapes become fragile.</w:t>
      </w:r>
    </w:p>
    <w:p w14:paraId="0206C840"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A similar logic applies to capital.</w:t>
      </w:r>
    </w:p>
    <w:p w14:paraId="593CE9BC"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Capital becomes regenerative when it circulates toward living capacity, strengthens productive foundations, supports stewardship, restores degraded systems, reduces fragility, and returns surplus into the conditions that generated value.</w:t>
      </w:r>
    </w:p>
    <w:p w14:paraId="10DFAAC4"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Capital becomes extractive when it accelerates beyond evidence, concentrates away from the source of value, strips liquidity from productive systems, converts living processes into speculative claims, or captures future capacity for short-term financial gain.</w:t>
      </w:r>
    </w:p>
    <w:p w14:paraId="6FA6E709"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The Prometheus interpretation is therefore conservative and operational:</w:t>
      </w:r>
    </w:p>
    <w:p w14:paraId="70FA2932"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capital should flow like water through a regenerative landscape.</w:t>
      </w:r>
    </w:p>
    <w:p w14:paraId="480B56C7"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It should be slowed where acceleration creates fragility.</w:t>
      </w:r>
    </w:p>
    <w:p w14:paraId="760CF49E"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It should infiltrate where living capacity needs support.</w:t>
      </w:r>
    </w:p>
    <w:p w14:paraId="6A1159EA"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It should circulate where value depends on relationships.</w:t>
      </w:r>
    </w:p>
    <w:p w14:paraId="36B3646A"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It should recharge the ecological, social, operational, and evidentiary foundations of the system.</w:t>
      </w:r>
    </w:p>
    <w:p w14:paraId="1B1FFA65"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It should not bypass the living source from which value emerges.</w:t>
      </w:r>
    </w:p>
    <w:p w14:paraId="34D5BDE6"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This analogy does not create a financial instrument.</w:t>
      </w:r>
    </w:p>
    <w:p w14:paraId="06E2E5CB"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It does not create a liquidity promise.</w:t>
      </w:r>
    </w:p>
    <w:p w14:paraId="499649ED"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It does not create credit issuance.</w:t>
      </w:r>
    </w:p>
    <w:p w14:paraId="259EF73F"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It does not create token rights.</w:t>
      </w:r>
    </w:p>
    <w:p w14:paraId="5E7FDFCF"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lastRenderedPageBreak/>
        <w:t>It does not create investor entitlement.</w:t>
      </w:r>
    </w:p>
    <w:p w14:paraId="6ABA03AE"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It does not create automatic PRU value.</w:t>
      </w:r>
    </w:p>
    <w:p w14:paraId="7D2C113C"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It defines a capital-allocation discipline.</w:t>
      </w:r>
    </w:p>
    <w:p w14:paraId="1E9E21A3"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Within Prometheus, capital flow becomes admissible only when routed through evidence, governance, legal structure, MRV integrity, operational need, and regenerative purpose.</w:t>
      </w:r>
    </w:p>
    <w:p w14:paraId="337D20FD"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The correct pathway is:</w:t>
      </w:r>
    </w:p>
    <w:p w14:paraId="62675B48"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 xml:space="preserve">capital </w:t>
      </w:r>
      <w:r w:rsidRPr="00321544">
        <w:rPr>
          <w:rFonts w:ascii="Times New Roman" w:hAnsi="Times New Roman" w:cs="Times New Roman"/>
          <w:i/>
          <w:iCs/>
        </w:rPr>
        <w:t>→</w:t>
      </w:r>
      <w:r w:rsidRPr="00321544">
        <w:rPr>
          <w:rFonts w:ascii="Baskerville Old Face" w:hAnsi="Baskerville Old Face"/>
          <w:i/>
          <w:iCs/>
        </w:rPr>
        <w:t xml:space="preserve"> deployment </w:t>
      </w:r>
      <w:r w:rsidRPr="00321544">
        <w:rPr>
          <w:rFonts w:ascii="Times New Roman" w:hAnsi="Times New Roman" w:cs="Times New Roman"/>
          <w:i/>
          <w:iCs/>
        </w:rPr>
        <w:t>→</w:t>
      </w:r>
      <w:r w:rsidRPr="00321544">
        <w:rPr>
          <w:rFonts w:ascii="Baskerville Old Face" w:hAnsi="Baskerville Old Face"/>
          <w:i/>
          <w:iCs/>
        </w:rPr>
        <w:t xml:space="preserve"> living-system capacity </w:t>
      </w:r>
      <w:r w:rsidRPr="00321544">
        <w:rPr>
          <w:rFonts w:ascii="Times New Roman" w:hAnsi="Times New Roman" w:cs="Times New Roman"/>
          <w:i/>
          <w:iCs/>
        </w:rPr>
        <w:t>→</w:t>
      </w:r>
      <w:r w:rsidRPr="00321544">
        <w:rPr>
          <w:rFonts w:ascii="Baskerville Old Face" w:hAnsi="Baskerville Old Face"/>
          <w:i/>
          <w:iCs/>
        </w:rPr>
        <w:t xml:space="preserve"> evidence </w:t>
      </w:r>
      <w:r w:rsidRPr="00321544">
        <w:rPr>
          <w:rFonts w:ascii="Times New Roman" w:hAnsi="Times New Roman" w:cs="Times New Roman"/>
          <w:i/>
          <w:iCs/>
        </w:rPr>
        <w:t>→</w:t>
      </w:r>
      <w:r w:rsidRPr="00321544">
        <w:rPr>
          <w:rFonts w:ascii="Baskerville Old Face" w:hAnsi="Baskerville Old Face"/>
          <w:i/>
          <w:iCs/>
        </w:rPr>
        <w:t xml:space="preserve"> verified performance </w:t>
      </w:r>
      <w:r w:rsidRPr="00321544">
        <w:rPr>
          <w:rFonts w:ascii="Times New Roman" w:hAnsi="Times New Roman" w:cs="Times New Roman"/>
          <w:i/>
          <w:iCs/>
        </w:rPr>
        <w:t>→</w:t>
      </w:r>
      <w:r w:rsidRPr="00321544">
        <w:rPr>
          <w:rFonts w:ascii="Baskerville Old Face" w:hAnsi="Baskerville Old Face"/>
          <w:i/>
          <w:iCs/>
        </w:rPr>
        <w:t xml:space="preserve"> PRU value analysis </w:t>
      </w:r>
      <w:r w:rsidRPr="00321544">
        <w:rPr>
          <w:rFonts w:ascii="Times New Roman" w:hAnsi="Times New Roman" w:cs="Times New Roman"/>
          <w:i/>
          <w:iCs/>
        </w:rPr>
        <w:t>→</w:t>
      </w:r>
      <w:r w:rsidRPr="00321544">
        <w:rPr>
          <w:rFonts w:ascii="Baskerville Old Face" w:hAnsi="Baskerville Old Face"/>
          <w:i/>
          <w:iCs/>
        </w:rPr>
        <w:t xml:space="preserve"> governance review </w:t>
      </w:r>
      <w:r w:rsidRPr="00321544">
        <w:rPr>
          <w:rFonts w:ascii="Times New Roman" w:hAnsi="Times New Roman" w:cs="Times New Roman"/>
          <w:i/>
          <w:iCs/>
        </w:rPr>
        <w:t>→</w:t>
      </w:r>
      <w:r w:rsidRPr="00321544">
        <w:rPr>
          <w:rFonts w:ascii="Baskerville Old Face" w:hAnsi="Baskerville Old Face"/>
          <w:i/>
          <w:iCs/>
        </w:rPr>
        <w:t xml:space="preserve"> reinvestment </w:t>
      </w:r>
      <w:r w:rsidRPr="00321544">
        <w:rPr>
          <w:rFonts w:ascii="Times New Roman" w:hAnsi="Times New Roman" w:cs="Times New Roman"/>
          <w:i/>
          <w:iCs/>
        </w:rPr>
        <w:t>→</w:t>
      </w:r>
      <w:r w:rsidRPr="00321544">
        <w:rPr>
          <w:rFonts w:ascii="Baskerville Old Face" w:hAnsi="Baskerville Old Face"/>
          <w:i/>
          <w:iCs/>
        </w:rPr>
        <w:t xml:space="preserve"> expanded regeneration.</w:t>
      </w:r>
    </w:p>
    <w:p w14:paraId="3225BD09"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This is the hydrological discipline of regenerative finance:</w:t>
      </w:r>
    </w:p>
    <w:p w14:paraId="6CD1E0FA"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capital must return to the source of life, or it becomes extraction wearing liquidity’s clothes.</w:t>
      </w:r>
    </w:p>
    <w:p w14:paraId="1E2F855D" w14:textId="77777777" w:rsidR="00321544" w:rsidRPr="00321544" w:rsidRDefault="00321544" w:rsidP="00321544">
      <w:pPr>
        <w:spacing w:line="360" w:lineRule="auto"/>
        <w:rPr>
          <w:rFonts w:ascii="Baskerville Old Face" w:hAnsi="Baskerville Old Face"/>
          <w:b/>
          <w:bCs/>
          <w:i/>
          <w:iCs/>
        </w:rPr>
      </w:pPr>
      <w:r w:rsidRPr="00321544">
        <w:rPr>
          <w:rFonts w:ascii="Baskerville Old Face" w:hAnsi="Baskerville Old Face"/>
          <w:b/>
          <w:bCs/>
          <w:i/>
          <w:iCs/>
        </w:rPr>
        <w:t>Regenerative Control Architecture</w:t>
      </w:r>
    </w:p>
    <w:p w14:paraId="201BFD8E"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Prometheus may also be understood as a regenerative control architecture.</w:t>
      </w:r>
    </w:p>
    <w:p w14:paraId="6CDAEFF9"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Its purpose is not to control living systems from above.</w:t>
      </w:r>
    </w:p>
    <w:p w14:paraId="263516EC"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Its purpose is to detect drift, preserve coherence, and prevent ecological, operational, financial, governance, or semantic imbalance from becoming systemic failure.</w:t>
      </w:r>
    </w:p>
    <w:p w14:paraId="5DBD3220"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Modern financial systems often allocate capital after damage has already appeared.</w:t>
      </w:r>
    </w:p>
    <w:p w14:paraId="3E38E006"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Ecological degradation becomes cost.</w:t>
      </w:r>
    </w:p>
    <w:p w14:paraId="26F71D53"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Health burden becomes expenditure.</w:t>
      </w:r>
    </w:p>
    <w:p w14:paraId="712CB624"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Water stress becomes crisis.</w:t>
      </w:r>
    </w:p>
    <w:p w14:paraId="5B547DBC"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Soil loss becomes productivity decline.</w:t>
      </w:r>
    </w:p>
    <w:p w14:paraId="53687C79"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Governance capture becomes institutional fragility.</w:t>
      </w:r>
    </w:p>
    <w:p w14:paraId="6A7C0C5D"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Prometheus reverses this timing.</w:t>
      </w:r>
    </w:p>
    <w:p w14:paraId="33F346E5"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It seeks to identify early signals of imbalance before they mature into systemic liabilities.</w:t>
      </w:r>
    </w:p>
    <w:p w14:paraId="16F38361"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lastRenderedPageBreak/>
        <w:t>The system may monitor several forms of drift:</w:t>
      </w:r>
    </w:p>
    <w:p w14:paraId="1703DEF5"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 ecological drift, where regeneration falls below extraction;</w:t>
      </w:r>
    </w:p>
    <w:p w14:paraId="0A8D11C2"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 evidentiary drift, where claims move faster than proof;</w:t>
      </w:r>
    </w:p>
    <w:p w14:paraId="60EEEE28"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 governance drift, where authority separates from stewardship;</w:t>
      </w:r>
    </w:p>
    <w:p w14:paraId="49335497"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 financial drift, where capital-facing interpretation exceeds admissible value;</w:t>
      </w:r>
    </w:p>
    <w:p w14:paraId="5140F973"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 token drift, where representation begins to imply rights not legally structured;</w:t>
      </w:r>
    </w:p>
    <w:p w14:paraId="44AE8D64"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 operational drift, where deployment exceeds stewardship capacity;</w:t>
      </w:r>
    </w:p>
    <w:p w14:paraId="7772FC48"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 semantic drift, where regenerative language begins to conceal extractive behavior.</w:t>
      </w:r>
    </w:p>
    <w:p w14:paraId="114556E3"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This makes Prometheus comparable to an immune system for regenerative infrastructure.</w:t>
      </w:r>
    </w:p>
    <w:p w14:paraId="2C22F857"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An immune system does not create life.</w:t>
      </w:r>
    </w:p>
    <w:p w14:paraId="549DEC15"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It protects the conditions under which life can remain coherent.</w:t>
      </w:r>
    </w:p>
    <w:p w14:paraId="4976D099"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Likewise, Prometheus does not create ecological value by declaration.</w:t>
      </w:r>
    </w:p>
    <w:p w14:paraId="6E2D57CB"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It protects the pathway through which living-system performance becomes observable, verifiable, reviewable, and capital-readable without being detached from its source.</w:t>
      </w:r>
    </w:p>
    <w:p w14:paraId="5C8DFB42"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The control architecture may operate through:</w:t>
      </w:r>
    </w:p>
    <w:p w14:paraId="4DECFE33"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 MRV review;</w:t>
      </w:r>
    </w:p>
    <w:p w14:paraId="17E0C199"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 confidence scoring;</w:t>
      </w:r>
    </w:p>
    <w:p w14:paraId="246FC09B"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 admissibility thresholds;</w:t>
      </w:r>
    </w:p>
    <w:p w14:paraId="6E3CD2B9"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 execution gates;</w:t>
      </w:r>
    </w:p>
    <w:p w14:paraId="2E6CE9EF"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 protected-domain review;</w:t>
      </w:r>
    </w:p>
    <w:p w14:paraId="235750DD"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 legal-review requirements;</w:t>
      </w:r>
    </w:p>
    <w:p w14:paraId="67C5FC5C"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 constitutional-review pathways;</w:t>
      </w:r>
    </w:p>
    <w:p w14:paraId="316F399A"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lastRenderedPageBreak/>
        <w:t>• no-double-counting controls;</w:t>
      </w:r>
    </w:p>
    <w:p w14:paraId="13019D2B"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 methodology versioning;</w:t>
      </w:r>
    </w:p>
    <w:p w14:paraId="3FF73464"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 governance escalation;</w:t>
      </w:r>
    </w:p>
    <w:p w14:paraId="09A1BBE5"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 quarantine or non-admissibility status where required.</w:t>
      </w:r>
    </w:p>
    <w:p w14:paraId="1CB1F252"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The purpose is not automatic punishment.</w:t>
      </w:r>
    </w:p>
    <w:p w14:paraId="71A9FB1E"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The purpose is adaptive correction.</w:t>
      </w:r>
    </w:p>
    <w:p w14:paraId="2113AB1B"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Prometheus should not issue value, authorize claims, trigger token consequences, approve PRU maturity, or create capital-facing interpretation merely because a signal appears.</w:t>
      </w:r>
    </w:p>
    <w:p w14:paraId="0A97F25E"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Signals must be reviewed through the appropriate pathway.</w:t>
      </w:r>
    </w:p>
    <w:p w14:paraId="0239C589"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The control logic is:</w:t>
      </w:r>
    </w:p>
    <w:p w14:paraId="7D5BD3E2"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 xml:space="preserve">detect </w:t>
      </w:r>
      <w:r w:rsidRPr="00321544">
        <w:rPr>
          <w:rFonts w:ascii="Times New Roman" w:hAnsi="Times New Roman" w:cs="Times New Roman"/>
          <w:i/>
          <w:iCs/>
        </w:rPr>
        <w:t>→</w:t>
      </w:r>
      <w:r w:rsidRPr="00321544">
        <w:rPr>
          <w:rFonts w:ascii="Baskerville Old Face" w:hAnsi="Baskerville Old Face"/>
          <w:i/>
          <w:iCs/>
        </w:rPr>
        <w:t xml:space="preserve"> classify </w:t>
      </w:r>
      <w:r w:rsidRPr="00321544">
        <w:rPr>
          <w:rFonts w:ascii="Times New Roman" w:hAnsi="Times New Roman" w:cs="Times New Roman"/>
          <w:i/>
          <w:iCs/>
        </w:rPr>
        <w:t>→</w:t>
      </w:r>
      <w:r w:rsidRPr="00321544">
        <w:rPr>
          <w:rFonts w:ascii="Baskerville Old Face" w:hAnsi="Baskerville Old Face"/>
          <w:i/>
          <w:iCs/>
        </w:rPr>
        <w:t xml:space="preserve"> review </w:t>
      </w:r>
      <w:r w:rsidRPr="00321544">
        <w:rPr>
          <w:rFonts w:ascii="Times New Roman" w:hAnsi="Times New Roman" w:cs="Times New Roman"/>
          <w:i/>
          <w:iCs/>
        </w:rPr>
        <w:t>→</w:t>
      </w:r>
      <w:r w:rsidRPr="00321544">
        <w:rPr>
          <w:rFonts w:ascii="Baskerville Old Face" w:hAnsi="Baskerville Old Face"/>
          <w:i/>
          <w:iCs/>
        </w:rPr>
        <w:t xml:space="preserve"> correct </w:t>
      </w:r>
      <w:r w:rsidRPr="00321544">
        <w:rPr>
          <w:rFonts w:ascii="Times New Roman" w:hAnsi="Times New Roman" w:cs="Times New Roman"/>
          <w:i/>
          <w:iCs/>
        </w:rPr>
        <w:t>→</w:t>
      </w:r>
      <w:r w:rsidRPr="00321544">
        <w:rPr>
          <w:rFonts w:ascii="Baskerville Old Face" w:hAnsi="Baskerville Old Face"/>
          <w:i/>
          <w:iCs/>
        </w:rPr>
        <w:t xml:space="preserve"> document </w:t>
      </w:r>
      <w:r w:rsidRPr="00321544">
        <w:rPr>
          <w:rFonts w:ascii="Times New Roman" w:hAnsi="Times New Roman" w:cs="Times New Roman"/>
          <w:i/>
          <w:iCs/>
        </w:rPr>
        <w:t>→</w:t>
      </w:r>
      <w:r w:rsidRPr="00321544">
        <w:rPr>
          <w:rFonts w:ascii="Baskerville Old Face" w:hAnsi="Baskerville Old Face"/>
          <w:i/>
          <w:iCs/>
        </w:rPr>
        <w:t xml:space="preserve"> learn.</w:t>
      </w:r>
    </w:p>
    <w:p w14:paraId="46DC915F"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A regenerative system becomes institutionally credible when it can identify not only success, but also overclaiming, uncertainty, failure, regression, capture, and methodological weakness.</w:t>
      </w:r>
    </w:p>
    <w:p w14:paraId="16C1B544"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This is the deeper function of Prometheus as a control architecture:</w:t>
      </w:r>
    </w:p>
    <w:p w14:paraId="2053BDAF" w14:textId="77777777" w:rsidR="00321544" w:rsidRPr="00321544" w:rsidRDefault="00321544" w:rsidP="00321544">
      <w:pPr>
        <w:spacing w:line="360" w:lineRule="auto"/>
        <w:rPr>
          <w:rFonts w:ascii="Baskerville Old Face" w:hAnsi="Baskerville Old Face"/>
          <w:i/>
          <w:iCs/>
        </w:rPr>
      </w:pPr>
      <w:r w:rsidRPr="00321544">
        <w:rPr>
          <w:rFonts w:ascii="Baskerville Old Face" w:hAnsi="Baskerville Old Face"/>
          <w:i/>
          <w:iCs/>
        </w:rPr>
        <w:t>to keep capital, technology, governance, and evidence inside the regenerative corridor where living-system capacity increases faster than extraction, speculation, or semantic inflation can degrade it.</w:t>
      </w:r>
    </w:p>
    <w:p w14:paraId="17E0097E" w14:textId="2ECBCB3A" w:rsidR="00F707F3" w:rsidRPr="00B479AE" w:rsidRDefault="00F707F3" w:rsidP="00F707F3">
      <w:pPr>
        <w:spacing w:line="360" w:lineRule="auto"/>
        <w:rPr>
          <w:rFonts w:ascii="Baskerville Old Face" w:hAnsi="Baskerville Old Face"/>
          <w:b/>
          <w:bCs/>
          <w:i/>
          <w:iCs/>
        </w:rPr>
      </w:pPr>
      <w:r w:rsidRPr="00B479AE">
        <w:rPr>
          <w:rFonts w:ascii="Baskerville Old Face" w:hAnsi="Baskerville Old Face"/>
          <w:b/>
          <w:bCs/>
          <w:i/>
          <w:iCs/>
        </w:rPr>
        <w:t>Comparison with Traditional Asset Classes</w:t>
      </w:r>
    </w:p>
    <w:p w14:paraId="6CF11875" w14:textId="325E40F0" w:rsidR="00C7027D" w:rsidRDefault="00F707F3" w:rsidP="00F707F3">
      <w:pPr>
        <w:spacing w:line="360" w:lineRule="auto"/>
        <w:rPr>
          <w:rFonts w:ascii="Baskerville Old Face" w:hAnsi="Baskerville Old Face"/>
          <w:i/>
          <w:iCs/>
        </w:rPr>
      </w:pPr>
      <w:r w:rsidRPr="00B479AE">
        <w:rPr>
          <w:rFonts w:ascii="Baskerville Old Face" w:hAnsi="Baskerville Old Face"/>
          <w:i/>
          <w:iCs/>
        </w:rPr>
        <w:t>Regenerative infrastructure assets share certain features with existing asset classes, but they are reducible to none of them.</w:t>
      </w:r>
      <w:r w:rsidR="00C7027D" w:rsidRPr="00B479AE">
        <w:rPr>
          <w:rFonts w:ascii="Baskerville Old Face" w:hAnsi="Baskerville Old Face"/>
          <w:i/>
          <w:iCs/>
        </w:rPr>
        <w:t xml:space="preserve"> </w:t>
      </w:r>
      <w:r w:rsidR="00321544">
        <w:rPr>
          <w:rFonts w:ascii="Baskerville Old Face" w:hAnsi="Baskerville Old Face"/>
          <w:i/>
          <w:iCs/>
        </w:rPr>
        <w:t xml:space="preserve"> </w:t>
      </w:r>
    </w:p>
    <w:p w14:paraId="1C8BA5A8" w14:textId="77777777" w:rsidR="00321544" w:rsidRDefault="00321544" w:rsidP="00F707F3">
      <w:pPr>
        <w:spacing w:line="360" w:lineRule="auto"/>
        <w:rPr>
          <w:rFonts w:ascii="Baskerville Old Face" w:hAnsi="Baskerville Old Face"/>
          <w:i/>
          <w:iCs/>
        </w:rPr>
      </w:pPr>
    </w:p>
    <w:p w14:paraId="36B78175" w14:textId="77777777" w:rsidR="00321544" w:rsidRPr="00B479AE" w:rsidRDefault="00321544" w:rsidP="00F707F3">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2880"/>
        <w:gridCol w:w="4960"/>
      </w:tblGrid>
      <w:tr w:rsidR="00F707F3" w:rsidRPr="00B479AE" w14:paraId="41EDD3EF" w14:textId="77777777" w:rsidTr="00F707F3">
        <w:trPr>
          <w:tblHeader/>
          <w:tblCellSpacing w:w="15" w:type="dxa"/>
        </w:trPr>
        <w:tc>
          <w:tcPr>
            <w:tcW w:w="0" w:type="auto"/>
            <w:vAlign w:val="center"/>
            <w:hideMark/>
          </w:tcPr>
          <w:p w14:paraId="5AF64D1F" w14:textId="77777777" w:rsidR="00F707F3" w:rsidRPr="00B479AE" w:rsidRDefault="00F707F3" w:rsidP="00F707F3">
            <w:pPr>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lastRenderedPageBreak/>
              <w:t>Asset class</w:t>
            </w:r>
          </w:p>
        </w:tc>
        <w:tc>
          <w:tcPr>
            <w:tcW w:w="0" w:type="auto"/>
            <w:vAlign w:val="center"/>
            <w:hideMark/>
          </w:tcPr>
          <w:p w14:paraId="35F98F1B" w14:textId="77777777" w:rsidR="00F707F3" w:rsidRPr="00B479AE" w:rsidRDefault="00F707F3" w:rsidP="00F707F3">
            <w:pPr>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Traditional value logic</w:t>
            </w:r>
          </w:p>
        </w:tc>
        <w:tc>
          <w:tcPr>
            <w:tcW w:w="0" w:type="auto"/>
            <w:vAlign w:val="center"/>
            <w:hideMark/>
          </w:tcPr>
          <w:p w14:paraId="41F3D2E1" w14:textId="77777777" w:rsidR="00F707F3" w:rsidRPr="00B479AE" w:rsidRDefault="00F707F3" w:rsidP="00F707F3">
            <w:pPr>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Prometheus value logic</w:t>
            </w:r>
          </w:p>
        </w:tc>
      </w:tr>
      <w:tr w:rsidR="00F707F3" w:rsidRPr="00B479AE" w14:paraId="1F474F0A" w14:textId="77777777" w:rsidTr="00F707F3">
        <w:trPr>
          <w:tblCellSpacing w:w="15" w:type="dxa"/>
        </w:trPr>
        <w:tc>
          <w:tcPr>
            <w:tcW w:w="0" w:type="auto"/>
            <w:vAlign w:val="center"/>
            <w:hideMark/>
          </w:tcPr>
          <w:p w14:paraId="5BE85BA1"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Real estate</w:t>
            </w:r>
          </w:p>
        </w:tc>
        <w:tc>
          <w:tcPr>
            <w:tcW w:w="0" w:type="auto"/>
            <w:vAlign w:val="center"/>
            <w:hideMark/>
          </w:tcPr>
          <w:p w14:paraId="7C10073A"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Location, scarcity, rent, appreciation, ownership</w:t>
            </w:r>
          </w:p>
        </w:tc>
        <w:tc>
          <w:tcPr>
            <w:tcW w:w="0" w:type="auto"/>
            <w:vAlign w:val="center"/>
            <w:hideMark/>
          </w:tcPr>
          <w:p w14:paraId="0DF230D0"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Verified regenerative performance, territorial resilience, productive capacity, ecological coherence</w:t>
            </w:r>
          </w:p>
        </w:tc>
      </w:tr>
      <w:tr w:rsidR="00F707F3" w:rsidRPr="00B479AE" w14:paraId="3098DBDD" w14:textId="77777777" w:rsidTr="00F707F3">
        <w:trPr>
          <w:tblCellSpacing w:w="15" w:type="dxa"/>
        </w:trPr>
        <w:tc>
          <w:tcPr>
            <w:tcW w:w="0" w:type="auto"/>
            <w:vAlign w:val="center"/>
            <w:hideMark/>
          </w:tcPr>
          <w:p w14:paraId="0DB0044F"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Agriculture</w:t>
            </w:r>
          </w:p>
        </w:tc>
        <w:tc>
          <w:tcPr>
            <w:tcW w:w="0" w:type="auto"/>
            <w:vAlign w:val="center"/>
            <w:hideMark/>
          </w:tcPr>
          <w:p w14:paraId="34A1FDBA"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Yield, commodity pricing, land productivity, input efficiency</w:t>
            </w:r>
          </w:p>
        </w:tc>
        <w:tc>
          <w:tcPr>
            <w:tcW w:w="0" w:type="auto"/>
            <w:vAlign w:val="center"/>
            <w:hideMark/>
          </w:tcPr>
          <w:p w14:paraId="458F96CC"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Yield, system health, input independence, biodiversity, water performance, risk compression</w:t>
            </w:r>
          </w:p>
        </w:tc>
      </w:tr>
      <w:tr w:rsidR="00F707F3" w:rsidRPr="00B479AE" w14:paraId="7510C995" w14:textId="77777777" w:rsidTr="00F707F3">
        <w:trPr>
          <w:tblCellSpacing w:w="15" w:type="dxa"/>
        </w:trPr>
        <w:tc>
          <w:tcPr>
            <w:tcW w:w="0" w:type="auto"/>
            <w:vAlign w:val="center"/>
            <w:hideMark/>
          </w:tcPr>
          <w:p w14:paraId="73377942"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Infrastructure</w:t>
            </w:r>
          </w:p>
        </w:tc>
        <w:tc>
          <w:tcPr>
            <w:tcW w:w="0" w:type="auto"/>
            <w:vAlign w:val="center"/>
            <w:hideMark/>
          </w:tcPr>
          <w:p w14:paraId="3233E039"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Long-duration service provision and reliability</w:t>
            </w:r>
          </w:p>
        </w:tc>
        <w:tc>
          <w:tcPr>
            <w:tcW w:w="0" w:type="auto"/>
            <w:vAlign w:val="center"/>
            <w:hideMark/>
          </w:tcPr>
          <w:p w14:paraId="0B2DBF4E"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Soil, water, biodiversity, nutrition, data integrity, verification, and stewardship as foundational services</w:t>
            </w:r>
          </w:p>
        </w:tc>
      </w:tr>
      <w:tr w:rsidR="00F707F3" w:rsidRPr="00B479AE" w14:paraId="1889D935" w14:textId="77777777" w:rsidTr="00F707F3">
        <w:trPr>
          <w:tblCellSpacing w:w="15" w:type="dxa"/>
        </w:trPr>
        <w:tc>
          <w:tcPr>
            <w:tcW w:w="0" w:type="auto"/>
            <w:vAlign w:val="center"/>
            <w:hideMark/>
          </w:tcPr>
          <w:p w14:paraId="20124674"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Carbon credits</w:t>
            </w:r>
          </w:p>
        </w:tc>
        <w:tc>
          <w:tcPr>
            <w:tcW w:w="0" w:type="auto"/>
            <w:vAlign w:val="center"/>
            <w:hideMark/>
          </w:tcPr>
          <w:p w14:paraId="78258436"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Single-metric carbon accounting</w:t>
            </w:r>
          </w:p>
        </w:tc>
        <w:tc>
          <w:tcPr>
            <w:tcW w:w="0" w:type="auto"/>
            <w:vAlign w:val="center"/>
            <w:hideMark/>
          </w:tcPr>
          <w:p w14:paraId="524E1509"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Multi-dimensional ecological performance; carbon is one dimension, not the whole system</w:t>
            </w:r>
          </w:p>
        </w:tc>
      </w:tr>
      <w:tr w:rsidR="00F707F3" w:rsidRPr="00B479AE" w14:paraId="116DD299" w14:textId="77777777" w:rsidTr="00F707F3">
        <w:trPr>
          <w:tblCellSpacing w:w="15" w:type="dxa"/>
        </w:trPr>
        <w:tc>
          <w:tcPr>
            <w:tcW w:w="0" w:type="auto"/>
            <w:vAlign w:val="center"/>
            <w:hideMark/>
          </w:tcPr>
          <w:p w14:paraId="7B5E7F0C"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Private credit</w:t>
            </w:r>
          </w:p>
        </w:tc>
        <w:tc>
          <w:tcPr>
            <w:tcW w:w="0" w:type="auto"/>
            <w:vAlign w:val="center"/>
            <w:hideMark/>
          </w:tcPr>
          <w:p w14:paraId="733CE36C"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Repayment risk, collateral, cash-flow predictability</w:t>
            </w:r>
          </w:p>
        </w:tc>
        <w:tc>
          <w:tcPr>
            <w:tcW w:w="0" w:type="auto"/>
            <w:vAlign w:val="center"/>
            <w:hideMark/>
          </w:tcPr>
          <w:p w14:paraId="01ED8E04"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Cash-flow discipline plus ecological performance, resilience, MRV confidence, and governance maturity</w:t>
            </w:r>
          </w:p>
        </w:tc>
      </w:tr>
      <w:tr w:rsidR="00F707F3" w:rsidRPr="00B479AE" w14:paraId="4F91EAFF" w14:textId="77777777" w:rsidTr="00F707F3">
        <w:trPr>
          <w:tblCellSpacing w:w="15" w:type="dxa"/>
        </w:trPr>
        <w:tc>
          <w:tcPr>
            <w:tcW w:w="0" w:type="auto"/>
            <w:vAlign w:val="center"/>
            <w:hideMark/>
          </w:tcPr>
          <w:p w14:paraId="3D34F254"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Nature finance</w:t>
            </w:r>
          </w:p>
        </w:tc>
        <w:tc>
          <w:tcPr>
            <w:tcW w:w="0" w:type="auto"/>
            <w:vAlign w:val="center"/>
            <w:hideMark/>
          </w:tcPr>
          <w:p w14:paraId="33415A95"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Ecological value and conservation outcomes</w:t>
            </w:r>
          </w:p>
        </w:tc>
        <w:tc>
          <w:tcPr>
            <w:tcW w:w="0" w:type="auto"/>
            <w:vAlign w:val="center"/>
            <w:hideMark/>
          </w:tcPr>
          <w:p w14:paraId="6D3CC657"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Verified regeneration, productive resilience, PRU logic, RAP aggregation, and capital-readiness</w:t>
            </w:r>
          </w:p>
        </w:tc>
      </w:tr>
      <w:tr w:rsidR="00F707F3" w:rsidRPr="00B479AE" w14:paraId="2D240B99" w14:textId="77777777" w:rsidTr="00F707F3">
        <w:trPr>
          <w:tblCellSpacing w:w="15" w:type="dxa"/>
        </w:trPr>
        <w:tc>
          <w:tcPr>
            <w:tcW w:w="0" w:type="auto"/>
            <w:vAlign w:val="center"/>
            <w:hideMark/>
          </w:tcPr>
          <w:p w14:paraId="2BF107FD"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RWA tokenization</w:t>
            </w:r>
          </w:p>
        </w:tc>
        <w:tc>
          <w:tcPr>
            <w:tcW w:w="0" w:type="auto"/>
            <w:vAlign w:val="center"/>
            <w:hideMark/>
          </w:tcPr>
          <w:p w14:paraId="58CC3619"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Digital representation of existing assets</w:t>
            </w:r>
          </w:p>
        </w:tc>
        <w:tc>
          <w:tcPr>
            <w:tcW w:w="0" w:type="auto"/>
            <w:vAlign w:val="center"/>
            <w:hideMark/>
          </w:tcPr>
          <w:p w14:paraId="2D4437F9"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Possible future representation of verified, legally structured regenerative value</w:t>
            </w:r>
          </w:p>
        </w:tc>
      </w:tr>
      <w:tr w:rsidR="00F707F3" w:rsidRPr="00B479AE" w14:paraId="13D7C62F" w14:textId="77777777" w:rsidTr="00F707F3">
        <w:trPr>
          <w:tblCellSpacing w:w="15" w:type="dxa"/>
        </w:trPr>
        <w:tc>
          <w:tcPr>
            <w:tcW w:w="0" w:type="auto"/>
            <w:vAlign w:val="center"/>
            <w:hideMark/>
          </w:tcPr>
          <w:p w14:paraId="5ADDB2A4"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Impact investing</w:t>
            </w:r>
          </w:p>
        </w:tc>
        <w:tc>
          <w:tcPr>
            <w:tcW w:w="0" w:type="auto"/>
            <w:vAlign w:val="center"/>
            <w:hideMark/>
          </w:tcPr>
          <w:p w14:paraId="061B110D"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Mission-aligned capital allocation</w:t>
            </w:r>
          </w:p>
        </w:tc>
        <w:tc>
          <w:tcPr>
            <w:tcW w:w="0" w:type="auto"/>
            <w:vAlign w:val="center"/>
            <w:hideMark/>
          </w:tcPr>
          <w:p w14:paraId="5769E089"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Evidence-first capital allocation tied to measurable regenerative performance</w:t>
            </w:r>
          </w:p>
        </w:tc>
      </w:tr>
      <w:tr w:rsidR="00F707F3" w:rsidRPr="00B479AE" w14:paraId="583274A4" w14:textId="77777777" w:rsidTr="00F707F3">
        <w:trPr>
          <w:tblCellSpacing w:w="15" w:type="dxa"/>
        </w:trPr>
        <w:tc>
          <w:tcPr>
            <w:tcW w:w="0" w:type="auto"/>
            <w:vAlign w:val="center"/>
            <w:hideMark/>
          </w:tcPr>
          <w:p w14:paraId="57DAA774"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Insurance and resilience finance</w:t>
            </w:r>
          </w:p>
        </w:tc>
        <w:tc>
          <w:tcPr>
            <w:tcW w:w="0" w:type="auto"/>
            <w:vAlign w:val="center"/>
            <w:hideMark/>
          </w:tcPr>
          <w:p w14:paraId="7A56F7AF"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Risk transfer and loss mitigation</w:t>
            </w:r>
          </w:p>
        </w:tc>
        <w:tc>
          <w:tcPr>
            <w:tcW w:w="0" w:type="auto"/>
            <w:vAlign w:val="center"/>
            <w:hideMark/>
          </w:tcPr>
          <w:p w14:paraId="75690003"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Risk compression through verified soil, water, biodiversity, operational, and governance resilience</w:t>
            </w:r>
          </w:p>
        </w:tc>
      </w:tr>
      <w:tr w:rsidR="00F707F3" w:rsidRPr="00B479AE" w14:paraId="7F6310C5" w14:textId="77777777" w:rsidTr="00F707F3">
        <w:trPr>
          <w:tblCellSpacing w:w="15" w:type="dxa"/>
        </w:trPr>
        <w:tc>
          <w:tcPr>
            <w:tcW w:w="0" w:type="auto"/>
            <w:vAlign w:val="center"/>
            <w:hideMark/>
          </w:tcPr>
          <w:p w14:paraId="22B193AB"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Public infrastructure finance</w:t>
            </w:r>
          </w:p>
        </w:tc>
        <w:tc>
          <w:tcPr>
            <w:tcW w:w="0" w:type="auto"/>
            <w:vAlign w:val="center"/>
            <w:hideMark/>
          </w:tcPr>
          <w:p w14:paraId="117AC3AB"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Public-good infrastructure and long-duration service assets</w:t>
            </w:r>
          </w:p>
        </w:tc>
        <w:tc>
          <w:tcPr>
            <w:tcW w:w="0" w:type="auto"/>
            <w:vAlign w:val="center"/>
            <w:hideMark/>
          </w:tcPr>
          <w:p w14:paraId="2DB1219B" w14:textId="77777777" w:rsidR="00F707F3" w:rsidRPr="00B479AE" w:rsidRDefault="00F707F3" w:rsidP="00F707F3">
            <w:pPr>
              <w:spacing w:line="360" w:lineRule="auto"/>
              <w:rPr>
                <w:rFonts w:ascii="Baskerville Old Face" w:hAnsi="Baskerville Old Face"/>
                <w:i/>
                <w:iCs/>
                <w:sz w:val="18"/>
                <w:szCs w:val="18"/>
              </w:rPr>
            </w:pPr>
            <w:r w:rsidRPr="00B479AE">
              <w:rPr>
                <w:rFonts w:ascii="Baskerville Old Face" w:hAnsi="Baskerville Old Face"/>
                <w:i/>
                <w:iCs/>
                <w:sz w:val="18"/>
                <w:szCs w:val="18"/>
              </w:rPr>
              <w:t>Regenerative systems as territorial infrastructure supporting food, water, health, climate adaptation, and resilience</w:t>
            </w:r>
          </w:p>
        </w:tc>
      </w:tr>
    </w:tbl>
    <w:p w14:paraId="10100B05" w14:textId="679561F8" w:rsidR="00F707F3" w:rsidRPr="00B479AE" w:rsidRDefault="00F707F3" w:rsidP="00F707F3">
      <w:pPr>
        <w:spacing w:line="360" w:lineRule="auto"/>
        <w:rPr>
          <w:rFonts w:ascii="Baskerville Old Face" w:hAnsi="Baskerville Old Face"/>
          <w:i/>
          <w:iCs/>
        </w:rPr>
      </w:pPr>
      <w:r w:rsidRPr="00B479AE">
        <w:rPr>
          <w:rFonts w:ascii="Baskerville Old Face" w:hAnsi="Baskerville Old Face"/>
          <w:i/>
          <w:iCs/>
        </w:rPr>
        <w:t>This comparison clarifies the position of Prometheus.</w:t>
      </w:r>
      <w:r w:rsidR="00B5415F" w:rsidRPr="00B479AE">
        <w:rPr>
          <w:rFonts w:ascii="Baskerville Old Face" w:hAnsi="Baskerville Old Face"/>
          <w:i/>
          <w:iCs/>
        </w:rPr>
        <w:t xml:space="preserve"> </w:t>
      </w:r>
      <w:r w:rsidRPr="00B479AE">
        <w:rPr>
          <w:rFonts w:ascii="Baskerville Old Face" w:hAnsi="Baskerville Old Face"/>
          <w:i/>
          <w:iCs/>
        </w:rPr>
        <w:t>It is not a copy of an existing asset class.</w:t>
      </w:r>
      <w:r w:rsidR="00B5415F" w:rsidRPr="00B479AE">
        <w:rPr>
          <w:rFonts w:ascii="Baskerville Old Face" w:hAnsi="Baskerville Old Face"/>
          <w:i/>
          <w:iCs/>
        </w:rPr>
        <w:t xml:space="preserve"> </w:t>
      </w:r>
      <w:r w:rsidRPr="00B479AE">
        <w:rPr>
          <w:rFonts w:ascii="Baskerville Old Face" w:hAnsi="Baskerville Old Face"/>
          <w:i/>
          <w:iCs/>
        </w:rPr>
        <w:t>It is a synthesis of territorial infrastructure, biological productivity, ecological restoration, verification architecture, and disciplined capital formation.</w:t>
      </w:r>
    </w:p>
    <w:p w14:paraId="56E6A1AC" w14:textId="5480E54D" w:rsidR="00B5415F" w:rsidRPr="00B479AE" w:rsidRDefault="00B5415F" w:rsidP="00B5415F">
      <w:pPr>
        <w:spacing w:line="360" w:lineRule="auto"/>
        <w:rPr>
          <w:rFonts w:ascii="Baskerville Old Face" w:hAnsi="Baskerville Old Face"/>
          <w:b/>
          <w:bCs/>
          <w:i/>
          <w:iCs/>
        </w:rPr>
      </w:pPr>
      <w:r w:rsidRPr="00B479AE">
        <w:rPr>
          <w:rFonts w:ascii="Baskerville Old Face" w:hAnsi="Baskerville Old Face"/>
          <w:b/>
          <w:bCs/>
          <w:i/>
          <w:iCs/>
        </w:rPr>
        <w:t>Prometheus Capital Stack</w:t>
      </w:r>
    </w:p>
    <w:p w14:paraId="55622D56" w14:textId="71CE580C" w:rsidR="00B5415F" w:rsidRPr="00B479AE" w:rsidRDefault="00B5415F" w:rsidP="00B5415F">
      <w:pPr>
        <w:spacing w:line="360" w:lineRule="auto"/>
        <w:rPr>
          <w:rFonts w:ascii="Baskerville Old Face" w:hAnsi="Baskerville Old Face"/>
          <w:i/>
          <w:iCs/>
        </w:rPr>
      </w:pPr>
      <w:r w:rsidRPr="00B479AE">
        <w:rPr>
          <w:rFonts w:ascii="Baskerville Old Face" w:hAnsi="Baskerville Old Face"/>
          <w:i/>
          <w:iCs/>
        </w:rPr>
        <w:t>A Prometheus capital stack should mature with evidence.</w:t>
      </w:r>
      <w:r w:rsidR="00A92C11" w:rsidRPr="00B479AE">
        <w:rPr>
          <w:rFonts w:ascii="Baskerville Old Face" w:hAnsi="Baskerville Old Face"/>
          <w:i/>
          <w:iCs/>
        </w:rPr>
        <w:t xml:space="preserve"> </w:t>
      </w:r>
      <w:r w:rsidRPr="00B479AE">
        <w:rPr>
          <w:rFonts w:ascii="Baskerville Old Face" w:hAnsi="Baskerville Old Face"/>
          <w:i/>
          <w:iCs/>
        </w:rPr>
        <w:t>Capital should enter the system according to the maturity of the regenerative unit, the strength of MRV, the clarity of legal structure, and the reliability of cash-flow or value logic.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3"/>
        <w:gridCol w:w="3216"/>
        <w:gridCol w:w="1346"/>
        <w:gridCol w:w="3423"/>
      </w:tblGrid>
      <w:tr w:rsidR="00B5415F" w:rsidRPr="00B479AE" w14:paraId="60BD68DE" w14:textId="77777777" w:rsidTr="00B5415F">
        <w:trPr>
          <w:tblHeader/>
          <w:tblCellSpacing w:w="15" w:type="dxa"/>
        </w:trPr>
        <w:tc>
          <w:tcPr>
            <w:tcW w:w="0" w:type="auto"/>
            <w:vAlign w:val="center"/>
            <w:hideMark/>
          </w:tcPr>
          <w:p w14:paraId="502AC2B8" w14:textId="77777777" w:rsidR="00B5415F" w:rsidRPr="00B479AE" w:rsidRDefault="00B5415F" w:rsidP="00B5415F">
            <w:pPr>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lastRenderedPageBreak/>
              <w:t>Capital layer</w:t>
            </w:r>
          </w:p>
        </w:tc>
        <w:tc>
          <w:tcPr>
            <w:tcW w:w="0" w:type="auto"/>
            <w:vAlign w:val="center"/>
            <w:hideMark/>
          </w:tcPr>
          <w:p w14:paraId="137CE81C" w14:textId="77777777" w:rsidR="00B5415F" w:rsidRPr="00B479AE" w:rsidRDefault="00B5415F" w:rsidP="00B5415F">
            <w:pPr>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Best use</w:t>
            </w:r>
          </w:p>
        </w:tc>
        <w:tc>
          <w:tcPr>
            <w:tcW w:w="0" w:type="auto"/>
            <w:vAlign w:val="center"/>
            <w:hideMark/>
          </w:tcPr>
          <w:p w14:paraId="39E136CA" w14:textId="77777777" w:rsidR="00B5415F" w:rsidRPr="00B479AE" w:rsidRDefault="00B5415F" w:rsidP="00B5415F">
            <w:pPr>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Evidence maturity required</w:t>
            </w:r>
          </w:p>
        </w:tc>
        <w:tc>
          <w:tcPr>
            <w:tcW w:w="0" w:type="auto"/>
            <w:vAlign w:val="center"/>
            <w:hideMark/>
          </w:tcPr>
          <w:p w14:paraId="0FFFBB34" w14:textId="77777777" w:rsidR="00B5415F" w:rsidRPr="00B479AE" w:rsidRDefault="00B5415F" w:rsidP="00B5415F">
            <w:pPr>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Boundary</w:t>
            </w:r>
          </w:p>
        </w:tc>
      </w:tr>
      <w:tr w:rsidR="00B5415F" w:rsidRPr="00B479AE" w14:paraId="44F78EB7" w14:textId="77777777" w:rsidTr="00B5415F">
        <w:trPr>
          <w:tblCellSpacing w:w="15" w:type="dxa"/>
        </w:trPr>
        <w:tc>
          <w:tcPr>
            <w:tcW w:w="0" w:type="auto"/>
            <w:vAlign w:val="center"/>
            <w:hideMark/>
          </w:tcPr>
          <w:p w14:paraId="5D6D0894"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Philanthropic or catalytic capital</w:t>
            </w:r>
          </w:p>
        </w:tc>
        <w:tc>
          <w:tcPr>
            <w:tcW w:w="0" w:type="auto"/>
            <w:vAlign w:val="center"/>
            <w:hideMark/>
          </w:tcPr>
          <w:p w14:paraId="3AEF003D"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Early MRV, pilots, research, public benefit, de-risking</w:t>
            </w:r>
          </w:p>
        </w:tc>
        <w:tc>
          <w:tcPr>
            <w:tcW w:w="0" w:type="auto"/>
            <w:vAlign w:val="center"/>
            <w:hideMark/>
          </w:tcPr>
          <w:p w14:paraId="7DE90244"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Low to moderate</w:t>
            </w:r>
          </w:p>
        </w:tc>
        <w:tc>
          <w:tcPr>
            <w:tcW w:w="0" w:type="auto"/>
            <w:vAlign w:val="center"/>
            <w:hideMark/>
          </w:tcPr>
          <w:p w14:paraId="6F08F04C"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Should not imply investor return</w:t>
            </w:r>
          </w:p>
        </w:tc>
      </w:tr>
      <w:tr w:rsidR="00B5415F" w:rsidRPr="00B479AE" w14:paraId="19F39E4D" w14:textId="77777777" w:rsidTr="00B5415F">
        <w:trPr>
          <w:tblCellSpacing w:w="15" w:type="dxa"/>
        </w:trPr>
        <w:tc>
          <w:tcPr>
            <w:tcW w:w="0" w:type="auto"/>
            <w:vAlign w:val="center"/>
            <w:hideMark/>
          </w:tcPr>
          <w:p w14:paraId="682AED1A"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Seed or venture-style capital</w:t>
            </w:r>
          </w:p>
        </w:tc>
        <w:tc>
          <w:tcPr>
            <w:tcW w:w="0" w:type="auto"/>
            <w:vAlign w:val="center"/>
            <w:hideMark/>
          </w:tcPr>
          <w:p w14:paraId="51D6EA7E"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Protocol development, technology infrastructure, methodology design, early deployment</w:t>
            </w:r>
          </w:p>
        </w:tc>
        <w:tc>
          <w:tcPr>
            <w:tcW w:w="0" w:type="auto"/>
            <w:vAlign w:val="center"/>
            <w:hideMark/>
          </w:tcPr>
          <w:p w14:paraId="3CEEBAC4"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Conceptual to pilot-level</w:t>
            </w:r>
          </w:p>
        </w:tc>
        <w:tc>
          <w:tcPr>
            <w:tcW w:w="0" w:type="auto"/>
            <w:vAlign w:val="center"/>
            <w:hideMark/>
          </w:tcPr>
          <w:p w14:paraId="2D7FC69F"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Should fund capability, not overclaim asset maturity</w:t>
            </w:r>
          </w:p>
        </w:tc>
      </w:tr>
      <w:tr w:rsidR="00B5415F" w:rsidRPr="00B479AE" w14:paraId="55358335" w14:textId="77777777" w:rsidTr="00B5415F">
        <w:trPr>
          <w:tblCellSpacing w:w="15" w:type="dxa"/>
        </w:trPr>
        <w:tc>
          <w:tcPr>
            <w:tcW w:w="0" w:type="auto"/>
            <w:vAlign w:val="center"/>
            <w:hideMark/>
          </w:tcPr>
          <w:p w14:paraId="320CAFF6"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Project equity</w:t>
            </w:r>
          </w:p>
        </w:tc>
        <w:tc>
          <w:tcPr>
            <w:tcW w:w="0" w:type="auto"/>
            <w:vAlign w:val="center"/>
            <w:hideMark/>
          </w:tcPr>
          <w:p w14:paraId="2BC74EDA"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Site deployment, operations, growth, execution capacity</w:t>
            </w:r>
          </w:p>
        </w:tc>
        <w:tc>
          <w:tcPr>
            <w:tcW w:w="0" w:type="auto"/>
            <w:vAlign w:val="center"/>
            <w:hideMark/>
          </w:tcPr>
          <w:p w14:paraId="1828DCE9"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Pilot-ready</w:t>
            </w:r>
          </w:p>
        </w:tc>
        <w:tc>
          <w:tcPr>
            <w:tcW w:w="0" w:type="auto"/>
            <w:vAlign w:val="center"/>
            <w:hideMark/>
          </w:tcPr>
          <w:p w14:paraId="72AF96B5"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Requires operational plan and governance clarity</w:t>
            </w:r>
          </w:p>
        </w:tc>
      </w:tr>
      <w:tr w:rsidR="00B5415F" w:rsidRPr="00B479AE" w14:paraId="49E4BA12" w14:textId="77777777" w:rsidTr="00B5415F">
        <w:trPr>
          <w:tblCellSpacing w:w="15" w:type="dxa"/>
        </w:trPr>
        <w:tc>
          <w:tcPr>
            <w:tcW w:w="0" w:type="auto"/>
            <w:vAlign w:val="center"/>
            <w:hideMark/>
          </w:tcPr>
          <w:p w14:paraId="00F76000"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Debt / private credit</w:t>
            </w:r>
          </w:p>
        </w:tc>
        <w:tc>
          <w:tcPr>
            <w:tcW w:w="0" w:type="auto"/>
            <w:vAlign w:val="center"/>
            <w:hideMark/>
          </w:tcPr>
          <w:p w14:paraId="2D2A8803"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Predictable cash flows, clearer collateral, repayment discipline</w:t>
            </w:r>
          </w:p>
        </w:tc>
        <w:tc>
          <w:tcPr>
            <w:tcW w:w="0" w:type="auto"/>
            <w:vAlign w:val="center"/>
            <w:hideMark/>
          </w:tcPr>
          <w:p w14:paraId="53B0B4C8"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Moderate to high</w:t>
            </w:r>
          </w:p>
        </w:tc>
        <w:tc>
          <w:tcPr>
            <w:tcW w:w="0" w:type="auto"/>
            <w:vAlign w:val="center"/>
            <w:hideMark/>
          </w:tcPr>
          <w:p w14:paraId="3D142BE5"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Should not rely on speculative ecological value</w:t>
            </w:r>
          </w:p>
        </w:tc>
      </w:tr>
      <w:tr w:rsidR="00B5415F" w:rsidRPr="00B479AE" w14:paraId="66E33356" w14:textId="77777777" w:rsidTr="00B5415F">
        <w:trPr>
          <w:tblCellSpacing w:w="15" w:type="dxa"/>
        </w:trPr>
        <w:tc>
          <w:tcPr>
            <w:tcW w:w="0" w:type="auto"/>
            <w:vAlign w:val="center"/>
            <w:hideMark/>
          </w:tcPr>
          <w:p w14:paraId="66C3221F"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Blended finance</w:t>
            </w:r>
          </w:p>
        </w:tc>
        <w:tc>
          <w:tcPr>
            <w:tcW w:w="0" w:type="auto"/>
            <w:vAlign w:val="center"/>
            <w:hideMark/>
          </w:tcPr>
          <w:p w14:paraId="6700FA71"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Combining public, philanthropic, and private capital to unlock regenerative infrastructure</w:t>
            </w:r>
          </w:p>
        </w:tc>
        <w:tc>
          <w:tcPr>
            <w:tcW w:w="0" w:type="auto"/>
            <w:vAlign w:val="center"/>
            <w:hideMark/>
          </w:tcPr>
          <w:p w14:paraId="2B94B292"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Moderate</w:t>
            </w:r>
          </w:p>
        </w:tc>
        <w:tc>
          <w:tcPr>
            <w:tcW w:w="0" w:type="auto"/>
            <w:vAlign w:val="center"/>
            <w:hideMark/>
          </w:tcPr>
          <w:p w14:paraId="029345A3"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Requires clear risk allocation</w:t>
            </w:r>
          </w:p>
        </w:tc>
      </w:tr>
      <w:tr w:rsidR="00B5415F" w:rsidRPr="00B479AE" w14:paraId="5ACAE00F" w14:textId="77777777" w:rsidTr="00B5415F">
        <w:trPr>
          <w:tblCellSpacing w:w="15" w:type="dxa"/>
        </w:trPr>
        <w:tc>
          <w:tcPr>
            <w:tcW w:w="0" w:type="auto"/>
            <w:vAlign w:val="center"/>
            <w:hideMark/>
          </w:tcPr>
          <w:p w14:paraId="35356221"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Guarantees and insurance</w:t>
            </w:r>
          </w:p>
        </w:tc>
        <w:tc>
          <w:tcPr>
            <w:tcW w:w="0" w:type="auto"/>
            <w:vAlign w:val="center"/>
            <w:hideMark/>
          </w:tcPr>
          <w:p w14:paraId="5C026E71"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Reducing perceived risk in early asset-class formation</w:t>
            </w:r>
          </w:p>
        </w:tc>
        <w:tc>
          <w:tcPr>
            <w:tcW w:w="0" w:type="auto"/>
            <w:vAlign w:val="center"/>
            <w:hideMark/>
          </w:tcPr>
          <w:p w14:paraId="6453D8D0"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Moderate to high</w:t>
            </w:r>
          </w:p>
        </w:tc>
        <w:tc>
          <w:tcPr>
            <w:tcW w:w="0" w:type="auto"/>
            <w:vAlign w:val="center"/>
            <w:hideMark/>
          </w:tcPr>
          <w:p w14:paraId="7FB195C0"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Requires definable risks and underwriting logic</w:t>
            </w:r>
          </w:p>
        </w:tc>
      </w:tr>
      <w:tr w:rsidR="00B5415F" w:rsidRPr="00B479AE" w14:paraId="5C87C0DF" w14:textId="77777777" w:rsidTr="00B5415F">
        <w:trPr>
          <w:tblCellSpacing w:w="15" w:type="dxa"/>
        </w:trPr>
        <w:tc>
          <w:tcPr>
            <w:tcW w:w="0" w:type="auto"/>
            <w:vAlign w:val="center"/>
            <w:hideMark/>
          </w:tcPr>
          <w:p w14:paraId="34027C49"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Institutional fund capital</w:t>
            </w:r>
          </w:p>
        </w:tc>
        <w:tc>
          <w:tcPr>
            <w:tcW w:w="0" w:type="auto"/>
            <w:vAlign w:val="center"/>
            <w:hideMark/>
          </w:tcPr>
          <w:p w14:paraId="5E66D861"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Diversified portfolios of verified PRUs</w:t>
            </w:r>
          </w:p>
        </w:tc>
        <w:tc>
          <w:tcPr>
            <w:tcW w:w="0" w:type="auto"/>
            <w:vAlign w:val="center"/>
            <w:hideMark/>
          </w:tcPr>
          <w:p w14:paraId="2A87F59B"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High</w:t>
            </w:r>
          </w:p>
        </w:tc>
        <w:tc>
          <w:tcPr>
            <w:tcW w:w="0" w:type="auto"/>
            <w:vAlign w:val="center"/>
            <w:hideMark/>
          </w:tcPr>
          <w:p w14:paraId="3CE5F228"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Requires RAP maturity, reporting discipline, and legal structure</w:t>
            </w:r>
          </w:p>
        </w:tc>
      </w:tr>
      <w:tr w:rsidR="00B5415F" w:rsidRPr="00B479AE" w14:paraId="4D5D70D3" w14:textId="77777777" w:rsidTr="00B5415F">
        <w:trPr>
          <w:tblCellSpacing w:w="15" w:type="dxa"/>
        </w:trPr>
        <w:tc>
          <w:tcPr>
            <w:tcW w:w="0" w:type="auto"/>
            <w:vAlign w:val="center"/>
            <w:hideMark/>
          </w:tcPr>
          <w:p w14:paraId="5EFF0AC5"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Public procurement-linked capital</w:t>
            </w:r>
          </w:p>
        </w:tc>
        <w:tc>
          <w:tcPr>
            <w:tcW w:w="0" w:type="auto"/>
            <w:vAlign w:val="center"/>
            <w:hideMark/>
          </w:tcPr>
          <w:p w14:paraId="794D06A6"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Food, health, adaptation, education, or resilience programs</w:t>
            </w:r>
          </w:p>
        </w:tc>
        <w:tc>
          <w:tcPr>
            <w:tcW w:w="0" w:type="auto"/>
            <w:vAlign w:val="center"/>
            <w:hideMark/>
          </w:tcPr>
          <w:p w14:paraId="1B04FB67"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Moderate to high</w:t>
            </w:r>
          </w:p>
        </w:tc>
        <w:tc>
          <w:tcPr>
            <w:tcW w:w="0" w:type="auto"/>
            <w:vAlign w:val="center"/>
            <w:hideMark/>
          </w:tcPr>
          <w:p w14:paraId="292D63E1"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Requires public mandate, contract clarity, and measurable outputs</w:t>
            </w:r>
          </w:p>
        </w:tc>
      </w:tr>
      <w:tr w:rsidR="00B5415F" w:rsidRPr="00B479AE" w14:paraId="6F373CAD" w14:textId="77777777" w:rsidTr="00B5415F">
        <w:trPr>
          <w:tblCellSpacing w:w="15" w:type="dxa"/>
        </w:trPr>
        <w:tc>
          <w:tcPr>
            <w:tcW w:w="0" w:type="auto"/>
            <w:vAlign w:val="center"/>
            <w:hideMark/>
          </w:tcPr>
          <w:p w14:paraId="14BE3070"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Project finance / SPV capital</w:t>
            </w:r>
          </w:p>
        </w:tc>
        <w:tc>
          <w:tcPr>
            <w:tcW w:w="0" w:type="auto"/>
            <w:vAlign w:val="center"/>
            <w:hideMark/>
          </w:tcPr>
          <w:p w14:paraId="5F54EDBC"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Legally structured project deployment or portfolio vehicle</w:t>
            </w:r>
          </w:p>
        </w:tc>
        <w:tc>
          <w:tcPr>
            <w:tcW w:w="0" w:type="auto"/>
            <w:vAlign w:val="center"/>
            <w:hideMark/>
          </w:tcPr>
          <w:p w14:paraId="58313636"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High</w:t>
            </w:r>
          </w:p>
        </w:tc>
        <w:tc>
          <w:tcPr>
            <w:tcW w:w="0" w:type="auto"/>
            <w:vAlign w:val="center"/>
            <w:hideMark/>
          </w:tcPr>
          <w:p w14:paraId="72F9AB8D" w14:textId="77777777" w:rsidR="00B5415F" w:rsidRPr="00B479AE" w:rsidRDefault="00B5415F"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Requires enforceable rights, risk allocation, reporting, and governance</w:t>
            </w:r>
          </w:p>
        </w:tc>
      </w:tr>
      <w:tr w:rsidR="009B26A7" w:rsidRPr="00B479AE" w14:paraId="58061252" w14:textId="77777777" w:rsidTr="00B5415F">
        <w:trPr>
          <w:tblCellSpacing w:w="15" w:type="dxa"/>
        </w:trPr>
        <w:tc>
          <w:tcPr>
            <w:tcW w:w="0" w:type="auto"/>
            <w:vAlign w:val="center"/>
          </w:tcPr>
          <w:p w14:paraId="73ECCEEB" w14:textId="4FA8FF2C" w:rsidR="009B26A7" w:rsidRPr="00B479AE" w:rsidRDefault="009B26A7"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Compliant digital instruments</w:t>
            </w:r>
          </w:p>
        </w:tc>
        <w:tc>
          <w:tcPr>
            <w:tcW w:w="0" w:type="auto"/>
            <w:vAlign w:val="center"/>
          </w:tcPr>
          <w:p w14:paraId="5ECAFC30" w14:textId="1DADBC87" w:rsidR="009B26A7" w:rsidRPr="00B479AE" w:rsidRDefault="009B26A7"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Future representation of defined rights or claims</w:t>
            </w:r>
          </w:p>
        </w:tc>
        <w:tc>
          <w:tcPr>
            <w:tcW w:w="0" w:type="auto"/>
            <w:vAlign w:val="center"/>
          </w:tcPr>
          <w:p w14:paraId="2C39B027" w14:textId="0F3768B0" w:rsidR="009B26A7" w:rsidRPr="00B479AE" w:rsidRDefault="009B26A7"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High / legally structured</w:t>
            </w:r>
          </w:p>
        </w:tc>
        <w:tc>
          <w:tcPr>
            <w:tcW w:w="0" w:type="auto"/>
            <w:vAlign w:val="center"/>
          </w:tcPr>
          <w:p w14:paraId="3C27A587" w14:textId="3FECCD46" w:rsidR="009B26A7" w:rsidRPr="00B479AE" w:rsidRDefault="009B26A7" w:rsidP="00B5415F">
            <w:pPr>
              <w:spacing w:line="360" w:lineRule="auto"/>
              <w:rPr>
                <w:rFonts w:ascii="Baskerville Old Face" w:hAnsi="Baskerville Old Face"/>
                <w:i/>
                <w:iCs/>
                <w:sz w:val="18"/>
                <w:szCs w:val="18"/>
              </w:rPr>
            </w:pPr>
            <w:r w:rsidRPr="00B479AE">
              <w:rPr>
                <w:rFonts w:ascii="Baskerville Old Face" w:hAnsi="Baskerville Old Face"/>
                <w:i/>
                <w:iCs/>
                <w:sz w:val="18"/>
                <w:szCs w:val="18"/>
              </w:rPr>
              <w:t>Requires legal wrapper, disclosure, compliance, jurisdictional review, and no PRU/TRBK collapse</w:t>
            </w:r>
          </w:p>
        </w:tc>
      </w:tr>
    </w:tbl>
    <w:p w14:paraId="3A298F24" w14:textId="77777777" w:rsidR="002067CD" w:rsidRPr="00B479AE" w:rsidRDefault="002067CD" w:rsidP="002067CD">
      <w:pPr>
        <w:spacing w:line="360" w:lineRule="auto"/>
        <w:rPr>
          <w:rFonts w:ascii="Baskerville Old Face" w:hAnsi="Baskerville Old Face"/>
          <w:i/>
          <w:iCs/>
        </w:rPr>
      </w:pPr>
      <w:r w:rsidRPr="00B479AE">
        <w:rPr>
          <w:rFonts w:ascii="Baskerville Old Face" w:hAnsi="Baskerville Old Face"/>
          <w:i/>
          <w:iCs/>
        </w:rPr>
        <w:t>The capital stack should not be forced onto immature evidence.</w:t>
      </w:r>
    </w:p>
    <w:p w14:paraId="6765336A" w14:textId="77777777" w:rsidR="002067CD" w:rsidRPr="00B479AE" w:rsidRDefault="002067CD" w:rsidP="002067CD">
      <w:pPr>
        <w:spacing w:line="360" w:lineRule="auto"/>
        <w:rPr>
          <w:rFonts w:ascii="Baskerville Old Face" w:hAnsi="Baskerville Old Face"/>
          <w:i/>
          <w:iCs/>
        </w:rPr>
      </w:pPr>
      <w:r w:rsidRPr="00B479AE">
        <w:rPr>
          <w:rFonts w:ascii="Baskerville Old Face" w:hAnsi="Baskerville Old Face"/>
          <w:i/>
          <w:iCs/>
        </w:rPr>
        <w:t>Prometheus should build the evidence environment that allows capital to enter responsibly.</w:t>
      </w:r>
    </w:p>
    <w:p w14:paraId="30725375" w14:textId="77777777" w:rsidR="002067CD" w:rsidRPr="00B479AE" w:rsidRDefault="002067CD" w:rsidP="002067CD">
      <w:pPr>
        <w:spacing w:line="360" w:lineRule="auto"/>
        <w:rPr>
          <w:rFonts w:ascii="Baskerville Old Face" w:hAnsi="Baskerville Old Face"/>
          <w:i/>
          <w:iCs/>
        </w:rPr>
      </w:pPr>
      <w:r w:rsidRPr="00B479AE">
        <w:rPr>
          <w:rFonts w:ascii="Baskerville Old Face" w:hAnsi="Baskerville Old Face"/>
          <w:i/>
          <w:iCs/>
        </w:rPr>
        <w:t>Capital follows verified regeneration; it does not precede it.</w:t>
      </w:r>
    </w:p>
    <w:p w14:paraId="25321977" w14:textId="77777777" w:rsidR="00321544" w:rsidRDefault="00321544" w:rsidP="00504071">
      <w:pPr>
        <w:spacing w:line="360" w:lineRule="auto"/>
        <w:rPr>
          <w:rFonts w:ascii="Baskerville Old Face" w:hAnsi="Baskerville Old Face"/>
          <w:b/>
          <w:bCs/>
          <w:i/>
          <w:iCs/>
        </w:rPr>
      </w:pPr>
    </w:p>
    <w:p w14:paraId="56426CB9" w14:textId="38EE3348"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lastRenderedPageBreak/>
        <w:t>Securitization pathway</w:t>
      </w:r>
    </w:p>
    <w:p w14:paraId="36B5980B" w14:textId="77777777" w:rsidR="009F15EA" w:rsidRPr="00B479AE" w:rsidRDefault="009F15EA" w:rsidP="009F15EA">
      <w:pPr>
        <w:spacing w:line="360" w:lineRule="auto"/>
        <w:rPr>
          <w:rFonts w:ascii="Baskerville Old Face" w:hAnsi="Baskerville Old Face"/>
          <w:i/>
          <w:iCs/>
        </w:rPr>
      </w:pPr>
      <w:r w:rsidRPr="00B479AE">
        <w:rPr>
          <w:rFonts w:ascii="Baskerville Old Face" w:hAnsi="Baskerville Old Face"/>
          <w:i/>
          <w:iCs/>
        </w:rPr>
        <w:t>A long-term Prometheus securitization pathway may follow this sequence:</w:t>
      </w:r>
    </w:p>
    <w:p w14:paraId="03A74376" w14:textId="77777777" w:rsidR="009F15EA" w:rsidRPr="00B479AE" w:rsidRDefault="009F15EA" w:rsidP="009F15EA">
      <w:pPr>
        <w:spacing w:line="360" w:lineRule="auto"/>
        <w:rPr>
          <w:rFonts w:ascii="Baskerville Old Face" w:hAnsi="Baskerville Old Face"/>
          <w:i/>
          <w:iCs/>
        </w:rPr>
      </w:pPr>
      <w:r w:rsidRPr="00B479AE">
        <w:rPr>
          <w:rFonts w:ascii="Baskerville Old Face" w:hAnsi="Baskerville Old Face"/>
          <w:i/>
          <w:iCs/>
        </w:rPr>
        <w:t>OHE deployment;</w:t>
      </w:r>
    </w:p>
    <w:p w14:paraId="42D3C03D" w14:textId="77777777" w:rsidR="009F15EA" w:rsidRPr="00B479AE" w:rsidRDefault="009F15EA" w:rsidP="009F15EA">
      <w:pPr>
        <w:spacing w:line="360" w:lineRule="auto"/>
        <w:rPr>
          <w:rFonts w:ascii="Baskerville Old Face" w:hAnsi="Baskerville Old Face"/>
          <w:i/>
          <w:iCs/>
        </w:rPr>
      </w:pPr>
      <w:r w:rsidRPr="00B479AE">
        <w:rPr>
          <w:rFonts w:ascii="Baskerville Old Face" w:hAnsi="Baskerville Old Face"/>
          <w:i/>
          <w:iCs/>
        </w:rPr>
        <w:t>MRV activation;</w:t>
      </w:r>
    </w:p>
    <w:p w14:paraId="5082AABE" w14:textId="77777777" w:rsidR="009F15EA" w:rsidRPr="00B479AE" w:rsidRDefault="009F15EA" w:rsidP="009F15EA">
      <w:pPr>
        <w:spacing w:line="360" w:lineRule="auto"/>
        <w:rPr>
          <w:rFonts w:ascii="Baskerville Old Face" w:hAnsi="Baskerville Old Face"/>
          <w:i/>
          <w:iCs/>
        </w:rPr>
      </w:pPr>
      <w:r w:rsidRPr="00B479AE">
        <w:rPr>
          <w:rFonts w:ascii="Baskerville Old Face" w:hAnsi="Baskerville Old Face"/>
          <w:i/>
          <w:iCs/>
        </w:rPr>
        <w:t>PRU analysis;</w:t>
      </w:r>
    </w:p>
    <w:p w14:paraId="3FDD18E9" w14:textId="77777777" w:rsidR="009F15EA" w:rsidRPr="00B479AE" w:rsidRDefault="009F15EA" w:rsidP="009F15EA">
      <w:pPr>
        <w:spacing w:line="360" w:lineRule="auto"/>
        <w:rPr>
          <w:rFonts w:ascii="Baskerville Old Face" w:hAnsi="Baskerville Old Face"/>
          <w:i/>
          <w:iCs/>
        </w:rPr>
      </w:pPr>
      <w:r w:rsidRPr="00B479AE">
        <w:rPr>
          <w:rFonts w:ascii="Baskerville Old Face" w:hAnsi="Baskerville Old Face"/>
          <w:i/>
          <w:iCs/>
        </w:rPr>
        <w:t>PRU maturity classification;</w:t>
      </w:r>
    </w:p>
    <w:p w14:paraId="20116CFA" w14:textId="77777777" w:rsidR="009F15EA" w:rsidRPr="00B479AE" w:rsidRDefault="009F15EA" w:rsidP="009F15EA">
      <w:pPr>
        <w:spacing w:line="360" w:lineRule="auto"/>
        <w:rPr>
          <w:rFonts w:ascii="Baskerville Old Face" w:hAnsi="Baskerville Old Face"/>
          <w:i/>
          <w:iCs/>
        </w:rPr>
      </w:pPr>
      <w:r w:rsidRPr="00B479AE">
        <w:rPr>
          <w:rFonts w:ascii="Baskerville Old Face" w:hAnsi="Baskerville Old Face"/>
          <w:i/>
          <w:iCs/>
        </w:rPr>
        <w:t>RAP aggregation;</w:t>
      </w:r>
    </w:p>
    <w:p w14:paraId="578E6D7D" w14:textId="77777777" w:rsidR="009F15EA" w:rsidRPr="00B479AE" w:rsidRDefault="009F15EA" w:rsidP="009F15EA">
      <w:pPr>
        <w:spacing w:line="360" w:lineRule="auto"/>
        <w:rPr>
          <w:rFonts w:ascii="Baskerville Old Face" w:hAnsi="Baskerville Old Face"/>
          <w:i/>
          <w:iCs/>
        </w:rPr>
      </w:pPr>
      <w:r w:rsidRPr="00B479AE">
        <w:rPr>
          <w:rFonts w:ascii="Baskerville Old Face" w:hAnsi="Baskerville Old Face"/>
          <w:i/>
          <w:iCs/>
        </w:rPr>
        <w:t>legal structuring through an SPV, fund, note, or equivalent vehicle where appropriate;</w:t>
      </w:r>
    </w:p>
    <w:p w14:paraId="0E0B36DF" w14:textId="77777777" w:rsidR="009F15EA" w:rsidRPr="00B479AE" w:rsidRDefault="009F15EA" w:rsidP="009F15EA">
      <w:pPr>
        <w:spacing w:line="360" w:lineRule="auto"/>
        <w:rPr>
          <w:rFonts w:ascii="Baskerville Old Face" w:hAnsi="Baskerville Old Face"/>
          <w:i/>
          <w:iCs/>
        </w:rPr>
      </w:pPr>
      <w:r w:rsidRPr="00B479AE">
        <w:rPr>
          <w:rFonts w:ascii="Baskerville Old Face" w:hAnsi="Baskerville Old Face"/>
          <w:i/>
          <w:iCs/>
        </w:rPr>
        <w:t>cash-flow or value-allocation framework where legally defined;</w:t>
      </w:r>
    </w:p>
    <w:p w14:paraId="5F44B00C" w14:textId="77777777" w:rsidR="009F15EA" w:rsidRPr="00B479AE" w:rsidRDefault="009F15EA" w:rsidP="009F15EA">
      <w:pPr>
        <w:spacing w:line="360" w:lineRule="auto"/>
        <w:rPr>
          <w:rFonts w:ascii="Baskerville Old Face" w:hAnsi="Baskerville Old Face"/>
          <w:i/>
          <w:iCs/>
        </w:rPr>
      </w:pPr>
      <w:r w:rsidRPr="00B479AE">
        <w:rPr>
          <w:rFonts w:ascii="Baskerville Old Face" w:hAnsi="Baskerville Old Face"/>
          <w:i/>
          <w:iCs/>
        </w:rPr>
        <w:t>credit enhancement where available;</w:t>
      </w:r>
    </w:p>
    <w:p w14:paraId="6922AE8C" w14:textId="77777777" w:rsidR="009F15EA" w:rsidRPr="00B479AE" w:rsidRDefault="009F15EA" w:rsidP="009F15EA">
      <w:pPr>
        <w:spacing w:line="360" w:lineRule="auto"/>
        <w:rPr>
          <w:rFonts w:ascii="Baskerville Old Face" w:hAnsi="Baskerville Old Face"/>
          <w:i/>
          <w:iCs/>
        </w:rPr>
      </w:pPr>
      <w:r w:rsidRPr="00B479AE">
        <w:rPr>
          <w:rFonts w:ascii="Baskerville Old Face" w:hAnsi="Baskerville Old Face"/>
          <w:i/>
          <w:iCs/>
        </w:rPr>
        <w:t>investor reporting;</w:t>
      </w:r>
    </w:p>
    <w:p w14:paraId="728F2A2A" w14:textId="77777777" w:rsidR="009F15EA" w:rsidRPr="00B479AE" w:rsidRDefault="009F15EA" w:rsidP="009F15EA">
      <w:pPr>
        <w:spacing w:line="360" w:lineRule="auto"/>
        <w:rPr>
          <w:rFonts w:ascii="Baskerville Old Face" w:hAnsi="Baskerville Old Face"/>
          <w:i/>
          <w:iCs/>
        </w:rPr>
      </w:pPr>
      <w:r w:rsidRPr="00B479AE">
        <w:rPr>
          <w:rFonts w:ascii="Baskerville Old Face" w:hAnsi="Baskerville Old Face"/>
          <w:i/>
          <w:iCs/>
        </w:rPr>
        <w:t>possible compliant institutional or digital representation.</w:t>
      </w:r>
    </w:p>
    <w:p w14:paraId="491CD4A5" w14:textId="77777777" w:rsidR="009F15EA" w:rsidRPr="00B479AE" w:rsidRDefault="009F15EA" w:rsidP="009F15EA">
      <w:pPr>
        <w:spacing w:line="360" w:lineRule="auto"/>
        <w:rPr>
          <w:rFonts w:ascii="Baskerville Old Face" w:hAnsi="Baskerville Old Face"/>
          <w:i/>
          <w:iCs/>
        </w:rPr>
      </w:pPr>
      <w:r w:rsidRPr="00B479AE">
        <w:rPr>
          <w:rFonts w:ascii="Baskerville Old Face" w:hAnsi="Baskerville Old Face"/>
          <w:i/>
          <w:iCs/>
        </w:rPr>
        <w:t>This pathway must remain legally and jurisdictionally specific.</w:t>
      </w:r>
    </w:p>
    <w:p w14:paraId="68BB1A76" w14:textId="77777777" w:rsidR="009F15EA" w:rsidRPr="00B479AE" w:rsidRDefault="009F15EA" w:rsidP="009F15EA">
      <w:pPr>
        <w:spacing w:line="360" w:lineRule="auto"/>
        <w:rPr>
          <w:rFonts w:ascii="Baskerville Old Face" w:hAnsi="Baskerville Old Face"/>
          <w:i/>
          <w:iCs/>
        </w:rPr>
      </w:pPr>
      <w:r w:rsidRPr="00B479AE">
        <w:rPr>
          <w:rFonts w:ascii="Baskerville Old Face" w:hAnsi="Baskerville Old Face"/>
          <w:i/>
          <w:iCs/>
        </w:rPr>
        <w:t>The White Paper defines the architecture.</w:t>
      </w:r>
    </w:p>
    <w:p w14:paraId="461A8348" w14:textId="77777777" w:rsidR="009F15EA" w:rsidRPr="00B479AE" w:rsidRDefault="009F15EA" w:rsidP="009F15EA">
      <w:pPr>
        <w:spacing w:line="360" w:lineRule="auto"/>
        <w:rPr>
          <w:rFonts w:ascii="Baskerville Old Face" w:hAnsi="Baskerville Old Face"/>
          <w:i/>
          <w:iCs/>
        </w:rPr>
      </w:pPr>
      <w:r w:rsidRPr="00B479AE">
        <w:rPr>
          <w:rFonts w:ascii="Baskerville Old Face" w:hAnsi="Baskerville Old Face"/>
          <w:i/>
          <w:iCs/>
        </w:rPr>
        <w:t>Actual instruments require professional structuring, regulatory review, investor disclosure, and enforceable legal documentation.</w:t>
      </w:r>
    </w:p>
    <w:p w14:paraId="4DD9AD73" w14:textId="77777777" w:rsidR="009F15EA" w:rsidRPr="00B479AE" w:rsidRDefault="009F15EA" w:rsidP="009F15EA">
      <w:pPr>
        <w:spacing w:line="360" w:lineRule="auto"/>
        <w:rPr>
          <w:rFonts w:ascii="Baskerville Old Face" w:hAnsi="Baskerville Old Face"/>
          <w:i/>
          <w:iCs/>
        </w:rPr>
      </w:pPr>
      <w:r w:rsidRPr="00B479AE">
        <w:rPr>
          <w:rFonts w:ascii="Baskerville Old Face" w:hAnsi="Baskerville Old Face"/>
          <w:i/>
          <w:iCs/>
        </w:rPr>
        <w:t>The important point is that securitization begins only after verified regenerative units are aggregated into a credible asset pool.</w:t>
      </w:r>
    </w:p>
    <w:p w14:paraId="3648DB72" w14:textId="77777777" w:rsidR="00374FA2" w:rsidRPr="00B479AE" w:rsidRDefault="00374FA2" w:rsidP="00374FA2">
      <w:pPr>
        <w:spacing w:line="360" w:lineRule="auto"/>
        <w:rPr>
          <w:rFonts w:ascii="Baskerville Old Face" w:hAnsi="Baskerville Old Face"/>
          <w:i/>
          <w:iCs/>
        </w:rPr>
      </w:pPr>
      <w:r w:rsidRPr="00B479AE">
        <w:rPr>
          <w:rFonts w:ascii="Baskerville Old Face" w:hAnsi="Baskerville Old Face"/>
          <w:i/>
          <w:iCs/>
        </w:rPr>
        <w:t>The asset base comes first.</w:t>
      </w:r>
    </w:p>
    <w:p w14:paraId="32734AE2" w14:textId="77777777" w:rsidR="00374FA2" w:rsidRPr="00B479AE" w:rsidRDefault="00374FA2" w:rsidP="00374FA2">
      <w:pPr>
        <w:spacing w:line="360" w:lineRule="auto"/>
        <w:rPr>
          <w:rFonts w:ascii="Baskerville Old Face" w:hAnsi="Baskerville Old Face"/>
          <w:i/>
          <w:iCs/>
        </w:rPr>
      </w:pPr>
      <w:r w:rsidRPr="00B479AE">
        <w:rPr>
          <w:rFonts w:ascii="Baskerville Old Face" w:hAnsi="Baskerville Old Face"/>
          <w:i/>
          <w:iCs/>
        </w:rPr>
        <w:t>The instrument comes after.</w:t>
      </w:r>
    </w:p>
    <w:p w14:paraId="5A102902" w14:textId="77777777" w:rsidR="00374FA2" w:rsidRPr="00B479AE" w:rsidRDefault="00374FA2" w:rsidP="00374FA2">
      <w:pPr>
        <w:spacing w:line="360" w:lineRule="auto"/>
        <w:rPr>
          <w:rFonts w:ascii="Baskerville Old Face" w:hAnsi="Baskerville Old Face"/>
          <w:i/>
          <w:iCs/>
        </w:rPr>
      </w:pPr>
      <w:r w:rsidRPr="00B479AE">
        <w:rPr>
          <w:rFonts w:ascii="Baskerville Old Face" w:hAnsi="Baskerville Old Face"/>
          <w:i/>
          <w:iCs/>
        </w:rPr>
        <w:t>The correct sequence is:</w:t>
      </w:r>
    </w:p>
    <w:p w14:paraId="774B259B" w14:textId="1E4BEDCF" w:rsidR="00E015C8" w:rsidRPr="00B479AE" w:rsidRDefault="00374FA2" w:rsidP="00374FA2">
      <w:pPr>
        <w:spacing w:line="360" w:lineRule="auto"/>
        <w:rPr>
          <w:rFonts w:ascii="Baskerville Old Face" w:hAnsi="Baskerville Old Face"/>
          <w:i/>
          <w:iCs/>
        </w:rPr>
      </w:pPr>
      <w:r w:rsidRPr="00B479AE">
        <w:rPr>
          <w:rFonts w:ascii="Baskerville Old Face" w:hAnsi="Baskerville Old Face"/>
          <w:i/>
          <w:iCs/>
        </w:rPr>
        <w:t xml:space="preserve">OHE </w:t>
      </w:r>
      <w:r w:rsidRPr="00B479AE">
        <w:rPr>
          <w:rFonts w:ascii="Times New Roman" w:hAnsi="Times New Roman" w:cs="Times New Roman"/>
          <w:i/>
          <w:iCs/>
        </w:rPr>
        <w:t>→</w:t>
      </w:r>
      <w:r w:rsidRPr="00B479AE">
        <w:rPr>
          <w:rFonts w:ascii="Baskerville Old Face" w:hAnsi="Baskerville Old Face"/>
          <w:i/>
          <w:iCs/>
        </w:rPr>
        <w:t xml:space="preserve"> MRV </w:t>
      </w:r>
      <w:r w:rsidRPr="00B479AE">
        <w:rPr>
          <w:rFonts w:ascii="Times New Roman" w:hAnsi="Times New Roman" w:cs="Times New Roman"/>
          <w:i/>
          <w:iCs/>
        </w:rPr>
        <w:t>→</w:t>
      </w:r>
      <w:r w:rsidRPr="00B479AE">
        <w:rPr>
          <w:rFonts w:ascii="Baskerville Old Face" w:hAnsi="Baskerville Old Face"/>
          <w:i/>
          <w:iCs/>
        </w:rPr>
        <w:t xml:space="preserve"> PRU analysis </w:t>
      </w:r>
      <w:r w:rsidRPr="00B479AE">
        <w:rPr>
          <w:rFonts w:ascii="Times New Roman" w:hAnsi="Times New Roman" w:cs="Times New Roman"/>
          <w:i/>
          <w:iCs/>
        </w:rPr>
        <w:t>→</w:t>
      </w:r>
      <w:r w:rsidRPr="00B479AE">
        <w:rPr>
          <w:rFonts w:ascii="Baskerville Old Face" w:hAnsi="Baskerville Old Face"/>
          <w:i/>
          <w:iCs/>
        </w:rPr>
        <w:t xml:space="preserve"> PRU maturity classification </w:t>
      </w:r>
      <w:r w:rsidRPr="00B479AE">
        <w:rPr>
          <w:rFonts w:ascii="Times New Roman" w:hAnsi="Times New Roman" w:cs="Times New Roman"/>
          <w:i/>
          <w:iCs/>
        </w:rPr>
        <w:t>→</w:t>
      </w:r>
      <w:r w:rsidRPr="00B479AE">
        <w:rPr>
          <w:rFonts w:ascii="Baskerville Old Face" w:hAnsi="Baskerville Old Face"/>
          <w:i/>
          <w:iCs/>
        </w:rPr>
        <w:t xml:space="preserve"> RAP aggregation </w:t>
      </w:r>
      <w:r w:rsidRPr="00B479AE">
        <w:rPr>
          <w:rFonts w:ascii="Times New Roman" w:hAnsi="Times New Roman" w:cs="Times New Roman"/>
          <w:i/>
          <w:iCs/>
        </w:rPr>
        <w:t>→</w:t>
      </w:r>
      <w:r w:rsidRPr="00B479AE">
        <w:rPr>
          <w:rFonts w:ascii="Baskerville Old Face" w:hAnsi="Baskerville Old Face"/>
          <w:i/>
          <w:iCs/>
        </w:rPr>
        <w:t xml:space="preserve"> legal structuring </w:t>
      </w:r>
      <w:r w:rsidRPr="00B479AE">
        <w:rPr>
          <w:rFonts w:ascii="Times New Roman" w:hAnsi="Times New Roman" w:cs="Times New Roman"/>
          <w:i/>
          <w:iCs/>
        </w:rPr>
        <w:t>→</w:t>
      </w:r>
      <w:r w:rsidRPr="00B479AE">
        <w:rPr>
          <w:rFonts w:ascii="Baskerville Old Face" w:hAnsi="Baskerville Old Face"/>
          <w:i/>
          <w:iCs/>
        </w:rPr>
        <w:t xml:space="preserve"> investor reporting </w:t>
      </w:r>
      <w:r w:rsidRPr="00B479AE">
        <w:rPr>
          <w:rFonts w:ascii="Times New Roman" w:hAnsi="Times New Roman" w:cs="Times New Roman"/>
          <w:i/>
          <w:iCs/>
        </w:rPr>
        <w:t>→</w:t>
      </w:r>
      <w:r w:rsidRPr="00B479AE">
        <w:rPr>
          <w:rFonts w:ascii="Baskerville Old Face" w:hAnsi="Baskerville Old Face"/>
          <w:i/>
          <w:iCs/>
        </w:rPr>
        <w:t xml:space="preserve"> possible compliant representation.</w:t>
      </w:r>
    </w:p>
    <w:p w14:paraId="33FBED76" w14:textId="593F9530"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lastRenderedPageBreak/>
        <w:t>Tokenization pathway</w:t>
      </w:r>
    </w:p>
    <w:p w14:paraId="6C7676F2" w14:textId="77777777" w:rsidR="00BC1066" w:rsidRPr="00B479AE" w:rsidRDefault="00BC1066" w:rsidP="00BC1066">
      <w:pPr>
        <w:spacing w:line="360" w:lineRule="auto"/>
        <w:rPr>
          <w:rFonts w:ascii="Baskerville Old Face" w:hAnsi="Baskerville Old Face"/>
          <w:i/>
          <w:iCs/>
        </w:rPr>
      </w:pPr>
      <w:r w:rsidRPr="00B479AE">
        <w:rPr>
          <w:rFonts w:ascii="Baskerville Old Face" w:hAnsi="Baskerville Old Face"/>
          <w:i/>
          <w:iCs/>
        </w:rPr>
        <w:t>Tokenization within Prometheus is a representation pathway, not a value-generation shortcut.</w:t>
      </w:r>
    </w:p>
    <w:p w14:paraId="745DA893" w14:textId="77777777" w:rsidR="00BC1066" w:rsidRPr="00B479AE" w:rsidRDefault="00BC1066" w:rsidP="00BC1066">
      <w:pPr>
        <w:spacing w:line="360" w:lineRule="auto"/>
        <w:rPr>
          <w:rFonts w:ascii="Baskerville Old Face" w:hAnsi="Baskerville Old Face"/>
          <w:i/>
          <w:iCs/>
        </w:rPr>
      </w:pPr>
      <w:r w:rsidRPr="00B479AE">
        <w:rPr>
          <w:rFonts w:ascii="Baskerville Old Face" w:hAnsi="Baskerville Old Face"/>
          <w:i/>
          <w:iCs/>
        </w:rPr>
        <w:t>Prometheus does not move from evidence to issuance automatically. It moves from evidence to review, from review to admissibility, from admissibility to legal structure, and only then to possible compliant representation.</w:t>
      </w:r>
    </w:p>
    <w:p w14:paraId="0150C37A" w14:textId="77777777" w:rsidR="00BC1066" w:rsidRPr="00B479AE" w:rsidRDefault="00BC1066" w:rsidP="00BC1066">
      <w:pPr>
        <w:spacing w:line="360" w:lineRule="auto"/>
        <w:rPr>
          <w:rFonts w:ascii="Baskerville Old Face" w:hAnsi="Baskerville Old Face"/>
          <w:i/>
          <w:iCs/>
        </w:rPr>
      </w:pPr>
      <w:r w:rsidRPr="00B479AE">
        <w:rPr>
          <w:rFonts w:ascii="Baskerville Old Face" w:hAnsi="Baskerville Old Face"/>
          <w:i/>
          <w:iCs/>
        </w:rPr>
        <w:t>A legally structured digital instrument may, where applicable, represent:</w:t>
      </w:r>
    </w:p>
    <w:p w14:paraId="1267C10B" w14:textId="77777777" w:rsidR="00BC1066" w:rsidRPr="00B479AE" w:rsidRDefault="00BC1066" w:rsidP="00BC1066">
      <w:pPr>
        <w:spacing w:line="360" w:lineRule="auto"/>
        <w:rPr>
          <w:rFonts w:ascii="Baskerville Old Face" w:hAnsi="Baskerville Old Face"/>
          <w:i/>
          <w:iCs/>
        </w:rPr>
      </w:pPr>
      <w:r w:rsidRPr="00B479AE">
        <w:rPr>
          <w:rFonts w:ascii="Baskerville Old Face" w:hAnsi="Baskerville Old Face"/>
          <w:i/>
          <w:iCs/>
        </w:rPr>
        <w:t>• access rights;</w:t>
      </w:r>
    </w:p>
    <w:p w14:paraId="31656C6F" w14:textId="77777777" w:rsidR="00BC1066" w:rsidRPr="00B479AE" w:rsidRDefault="00BC1066" w:rsidP="00BC1066">
      <w:pPr>
        <w:spacing w:line="360" w:lineRule="auto"/>
        <w:rPr>
          <w:rFonts w:ascii="Baskerville Old Face" w:hAnsi="Baskerville Old Face"/>
          <w:i/>
          <w:iCs/>
        </w:rPr>
      </w:pPr>
      <w:r w:rsidRPr="00B479AE">
        <w:rPr>
          <w:rFonts w:ascii="Baskerville Old Face" w:hAnsi="Baskerville Old Face"/>
          <w:i/>
          <w:iCs/>
        </w:rPr>
        <w:t>• governance rights;</w:t>
      </w:r>
    </w:p>
    <w:p w14:paraId="1AFDAE76" w14:textId="77777777" w:rsidR="00BC1066" w:rsidRPr="00B479AE" w:rsidRDefault="00BC1066" w:rsidP="00BC1066">
      <w:pPr>
        <w:spacing w:line="360" w:lineRule="auto"/>
        <w:rPr>
          <w:rFonts w:ascii="Baskerville Old Face" w:hAnsi="Baskerville Old Face"/>
          <w:i/>
          <w:iCs/>
        </w:rPr>
      </w:pPr>
      <w:r w:rsidRPr="00B479AE">
        <w:rPr>
          <w:rFonts w:ascii="Baskerville Old Face" w:hAnsi="Baskerville Old Face"/>
          <w:i/>
          <w:iCs/>
        </w:rPr>
        <w:t>• participation rights;</w:t>
      </w:r>
    </w:p>
    <w:p w14:paraId="111AB5AE" w14:textId="77777777" w:rsidR="00BC1066" w:rsidRPr="00B479AE" w:rsidRDefault="00BC1066" w:rsidP="00BC1066">
      <w:pPr>
        <w:spacing w:line="360" w:lineRule="auto"/>
        <w:rPr>
          <w:rFonts w:ascii="Baskerville Old Face" w:hAnsi="Baskerville Old Face"/>
          <w:i/>
          <w:iCs/>
        </w:rPr>
      </w:pPr>
      <w:r w:rsidRPr="00B479AE">
        <w:rPr>
          <w:rFonts w:ascii="Baskerville Old Face" w:hAnsi="Baskerville Old Face"/>
          <w:i/>
          <w:iCs/>
        </w:rPr>
        <w:t>• operational credits;</w:t>
      </w:r>
    </w:p>
    <w:p w14:paraId="48B89702" w14:textId="77777777" w:rsidR="00BC1066" w:rsidRPr="00B479AE" w:rsidRDefault="00BC1066" w:rsidP="00BC1066">
      <w:pPr>
        <w:spacing w:line="360" w:lineRule="auto"/>
        <w:rPr>
          <w:rFonts w:ascii="Baskerville Old Face" w:hAnsi="Baskerville Old Face"/>
          <w:i/>
          <w:iCs/>
        </w:rPr>
      </w:pPr>
      <w:r w:rsidRPr="00B479AE">
        <w:rPr>
          <w:rFonts w:ascii="Baskerville Old Face" w:hAnsi="Baskerville Old Face"/>
          <w:i/>
          <w:iCs/>
        </w:rPr>
        <w:t>• fund interests;</w:t>
      </w:r>
    </w:p>
    <w:p w14:paraId="6C861229" w14:textId="77777777" w:rsidR="00BC1066" w:rsidRPr="00B479AE" w:rsidRDefault="00BC1066" w:rsidP="00BC1066">
      <w:pPr>
        <w:spacing w:line="360" w:lineRule="auto"/>
        <w:rPr>
          <w:rFonts w:ascii="Baskerville Old Face" w:hAnsi="Baskerville Old Face"/>
          <w:i/>
          <w:iCs/>
        </w:rPr>
      </w:pPr>
      <w:r w:rsidRPr="00B479AE">
        <w:rPr>
          <w:rFonts w:ascii="Baskerville Old Face" w:hAnsi="Baskerville Old Face"/>
          <w:i/>
          <w:iCs/>
        </w:rPr>
        <w:t>• notes;</w:t>
      </w:r>
    </w:p>
    <w:p w14:paraId="6E739CBD" w14:textId="77777777" w:rsidR="00BC1066" w:rsidRPr="00B479AE" w:rsidRDefault="00BC1066" w:rsidP="00BC1066">
      <w:pPr>
        <w:spacing w:line="360" w:lineRule="auto"/>
        <w:rPr>
          <w:rFonts w:ascii="Baskerville Old Face" w:hAnsi="Baskerville Old Face"/>
          <w:i/>
          <w:iCs/>
        </w:rPr>
      </w:pPr>
      <w:r w:rsidRPr="00B479AE">
        <w:rPr>
          <w:rFonts w:ascii="Baskerville Old Face" w:hAnsi="Baskerville Old Face"/>
          <w:i/>
          <w:iCs/>
        </w:rPr>
        <w:t>• revenue-sharing instruments;</w:t>
      </w:r>
    </w:p>
    <w:p w14:paraId="6450E396" w14:textId="77777777" w:rsidR="00BC1066" w:rsidRPr="00B479AE" w:rsidRDefault="00BC1066" w:rsidP="00BC1066">
      <w:pPr>
        <w:spacing w:line="360" w:lineRule="auto"/>
        <w:rPr>
          <w:rFonts w:ascii="Baskerville Old Face" w:hAnsi="Baskerville Old Face"/>
          <w:i/>
          <w:iCs/>
        </w:rPr>
      </w:pPr>
      <w:r w:rsidRPr="00B479AE">
        <w:rPr>
          <w:rFonts w:ascii="Baskerville Old Face" w:hAnsi="Baskerville Old Face"/>
          <w:i/>
          <w:iCs/>
        </w:rPr>
        <w:t>• securities;</w:t>
      </w:r>
    </w:p>
    <w:p w14:paraId="11467489" w14:textId="0E37E51C" w:rsidR="00BC1066" w:rsidRPr="00B479AE" w:rsidRDefault="00BC1066" w:rsidP="00BC1066">
      <w:pPr>
        <w:spacing w:line="360" w:lineRule="auto"/>
        <w:rPr>
          <w:rFonts w:ascii="Baskerville Old Face" w:hAnsi="Baskerville Old Face"/>
          <w:i/>
          <w:iCs/>
        </w:rPr>
      </w:pPr>
      <w:r w:rsidRPr="00B479AE">
        <w:rPr>
          <w:rFonts w:ascii="Baskerville Old Face" w:hAnsi="Baskerville Old Face"/>
          <w:i/>
          <w:iCs/>
        </w:rPr>
        <w:t>• or other legally defined rights.</w:t>
      </w:r>
    </w:p>
    <w:p w14:paraId="2B1F38B7" w14:textId="77777777" w:rsidR="00A94EB3" w:rsidRPr="00B479AE" w:rsidRDefault="00A94EB3" w:rsidP="00504071">
      <w:pPr>
        <w:spacing w:line="360" w:lineRule="auto"/>
        <w:rPr>
          <w:rFonts w:ascii="Baskerville Old Face" w:hAnsi="Baskerville Old Face"/>
          <w:i/>
          <w:iCs/>
        </w:rPr>
      </w:pPr>
      <w:r w:rsidRPr="00B479AE">
        <w:rPr>
          <w:rFonts w:ascii="Baskerville Old Face" w:hAnsi="Baskerville Old Face"/>
          <w:i/>
          <w:iCs/>
        </w:rPr>
        <w:t xml:space="preserve">The correct sequence is: </w:t>
      </w:r>
    </w:p>
    <w:p w14:paraId="25DD7786" w14:textId="32881F22" w:rsidR="009A7D8A" w:rsidRPr="00B479AE" w:rsidRDefault="009A7D8A" w:rsidP="00504071">
      <w:pPr>
        <w:spacing w:line="360" w:lineRule="auto"/>
        <w:rPr>
          <w:rFonts w:ascii="Baskerville Old Face" w:hAnsi="Baskerville Old Face"/>
          <w:i/>
          <w:iCs/>
        </w:rPr>
      </w:pPr>
      <w:r w:rsidRPr="00B479AE">
        <w:rPr>
          <w:rFonts w:ascii="Baskerville Old Face" w:hAnsi="Baskerville Old Face"/>
          <w:i/>
          <w:iCs/>
        </w:rPr>
        <w:t xml:space="preserve">evidence </w:t>
      </w:r>
      <w:r w:rsidRPr="00B479AE">
        <w:rPr>
          <w:rFonts w:ascii="Times New Roman" w:hAnsi="Times New Roman" w:cs="Times New Roman"/>
          <w:i/>
          <w:iCs/>
        </w:rPr>
        <w:t>→</w:t>
      </w:r>
      <w:r w:rsidRPr="00B479AE">
        <w:rPr>
          <w:rFonts w:ascii="Baskerville Old Face" w:hAnsi="Baskerville Old Face"/>
          <w:i/>
          <w:iCs/>
        </w:rPr>
        <w:t xml:space="preserve"> review </w:t>
      </w:r>
      <w:r w:rsidRPr="00B479AE">
        <w:rPr>
          <w:rFonts w:ascii="Times New Roman" w:hAnsi="Times New Roman" w:cs="Times New Roman"/>
          <w:i/>
          <w:iCs/>
        </w:rPr>
        <w:t>→</w:t>
      </w:r>
      <w:r w:rsidRPr="00B479AE">
        <w:rPr>
          <w:rFonts w:ascii="Baskerville Old Face" w:hAnsi="Baskerville Old Face"/>
          <w:i/>
          <w:iCs/>
        </w:rPr>
        <w:t xml:space="preserve"> admissibility </w:t>
      </w:r>
      <w:r w:rsidRPr="00B479AE">
        <w:rPr>
          <w:rFonts w:ascii="Times New Roman" w:hAnsi="Times New Roman" w:cs="Times New Roman"/>
          <w:i/>
          <w:iCs/>
        </w:rPr>
        <w:t>→</w:t>
      </w:r>
      <w:r w:rsidRPr="00B479AE">
        <w:rPr>
          <w:rFonts w:ascii="Baskerville Old Face" w:hAnsi="Baskerville Old Face"/>
          <w:i/>
          <w:iCs/>
        </w:rPr>
        <w:t xml:space="preserve"> legal structure </w:t>
      </w:r>
      <w:r w:rsidRPr="00B479AE">
        <w:rPr>
          <w:rFonts w:ascii="Times New Roman" w:hAnsi="Times New Roman" w:cs="Times New Roman"/>
          <w:i/>
          <w:iCs/>
        </w:rPr>
        <w:t>→</w:t>
      </w:r>
      <w:r w:rsidRPr="00B479AE">
        <w:rPr>
          <w:rFonts w:ascii="Baskerville Old Face" w:hAnsi="Baskerville Old Face"/>
          <w:i/>
          <w:iCs/>
        </w:rPr>
        <w:t xml:space="preserve"> possible compliant representation.</w:t>
      </w:r>
    </w:p>
    <w:p w14:paraId="3FE4C41A" w14:textId="1621B305"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 meaning of a token depends on the instrument that creates it.</w:t>
      </w:r>
    </w:p>
    <w:p w14:paraId="4643FAED"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For this reason, Prometheus separates:</w:t>
      </w:r>
    </w:p>
    <w:p w14:paraId="38FE3C00" w14:textId="7AFC1595"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PRU</w:t>
      </w:r>
      <w:r w:rsidR="00435C69" w:rsidRPr="00B479AE">
        <w:rPr>
          <w:rFonts w:ascii="Baskerville Old Face" w:hAnsi="Baskerville Old Face"/>
          <w:i/>
          <w:iCs/>
        </w:rPr>
        <w:t xml:space="preserve"> as value-analysis interface</w:t>
      </w:r>
      <w:r w:rsidRPr="00B479AE">
        <w:rPr>
          <w:rFonts w:ascii="Baskerville Old Face" w:hAnsi="Baskerville Old Face"/>
          <w:i/>
          <w:iCs/>
        </w:rPr>
        <w:t>;</w:t>
      </w:r>
    </w:p>
    <w:p w14:paraId="0C50A70B"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TRBK as governance, coordination, access, or participation layer;</w:t>
      </w:r>
    </w:p>
    <w:p w14:paraId="0D24F8B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HoloFuel as operational infrastructure layer;</w:t>
      </w:r>
    </w:p>
    <w:p w14:paraId="5E661BE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lastRenderedPageBreak/>
        <w:t>stablecoins or fiat as settlement rails;</w:t>
      </w:r>
    </w:p>
    <w:p w14:paraId="0E4A740C"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security tokens or tokenized notes as legally structured instruments.</w:t>
      </w:r>
    </w:p>
    <w:p w14:paraId="5952AA21"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This separation protects the system.</w:t>
      </w:r>
    </w:p>
    <w:p w14:paraId="53558F8D"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allows digital tools to serve regenerative value rather than replace it.</w:t>
      </w:r>
    </w:p>
    <w:p w14:paraId="1470ECB7"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Multi-dimensional value accounting</w:t>
      </w:r>
    </w:p>
    <w:p w14:paraId="4B35EFD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A regenerative asset class requires multi-dimensional accounting.</w:t>
      </w:r>
    </w:p>
    <w:p w14:paraId="6F3DD567"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A single monetary number cannot capture all relevant system dynamics.</w:t>
      </w:r>
    </w:p>
    <w:p w14:paraId="3230BE4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Prometheus therefore tracks several dimensions simultaneously:</w:t>
      </w:r>
    </w:p>
    <w:p w14:paraId="12FFF54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ecological performance;</w:t>
      </w:r>
    </w:p>
    <w:p w14:paraId="0071253F"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productive output;</w:t>
      </w:r>
    </w:p>
    <w:p w14:paraId="0FAE98D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hydrological function;</w:t>
      </w:r>
    </w:p>
    <w:p w14:paraId="38291C8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soil function;</w:t>
      </w:r>
    </w:p>
    <w:p w14:paraId="1C378E5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biodiversity;</w:t>
      </w:r>
    </w:p>
    <w:p w14:paraId="1A5D73EF"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biomass cycling;</w:t>
      </w:r>
    </w:p>
    <w:p w14:paraId="0E354BC1"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operational activity;</w:t>
      </w:r>
    </w:p>
    <w:p w14:paraId="2DA7D9DF"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governance participation;</w:t>
      </w:r>
    </w:p>
    <w:p w14:paraId="1B5E00AD"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financial flows;</w:t>
      </w:r>
    </w:p>
    <w:p w14:paraId="004CBD5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risk indicators;</w:t>
      </w:r>
    </w:p>
    <w:p w14:paraId="1B07CFC7"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evidence confidence;</w:t>
      </w:r>
    </w:p>
    <w:p w14:paraId="15BAC8BC"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legal status.</w:t>
      </w:r>
    </w:p>
    <w:p w14:paraId="39B3821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These dimensions may inform valuation, but they should not be collapsed irresponsibly.</w:t>
      </w:r>
    </w:p>
    <w:p w14:paraId="3692126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A strong system preserves the complexity needed for truthful decision-making.</w:t>
      </w:r>
    </w:p>
    <w:p w14:paraId="1CD9E5A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lastRenderedPageBreak/>
        <w:t>This reflects the principle of requisite variety introduced earlier.</w:t>
      </w:r>
    </w:p>
    <w:p w14:paraId="6E4BC30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 internal variety of Prometheus accounting must match the variety of the living systems it represents.</w:t>
      </w:r>
    </w:p>
    <w:p w14:paraId="6B86E14D"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Anti-double-counting discipline</w:t>
      </w:r>
    </w:p>
    <w:p w14:paraId="307E327F"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Regenerative systems produce overlapping benefits.</w:t>
      </w:r>
    </w:p>
    <w:p w14:paraId="7463FEC9"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A single intervention may improve soil, water retention, biodiversity, yield, carbon, and resilience at the same time.</w:t>
      </w:r>
    </w:p>
    <w:p w14:paraId="3B325E41"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This creates risk of double counting.</w:t>
      </w:r>
    </w:p>
    <w:p w14:paraId="1656B98F"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Prometheus addresses this by linking value claims to underlying processes and evidence chains.</w:t>
      </w:r>
    </w:p>
    <w:p w14:paraId="1819638A"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If one ecological process supports multiple outcomes, those outcomes must remain traceable to their source.</w:t>
      </w:r>
    </w:p>
    <w:p w14:paraId="210C6EA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A value component should not be sold, counted, reported, or financialized multiple times in incompatible ways.</w:t>
      </w:r>
    </w:p>
    <w:p w14:paraId="74FD4452"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No-double-counting discipline is essential for credibility.</w:t>
      </w:r>
    </w:p>
    <w:p w14:paraId="3332E737"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protects investors.</w:t>
      </w:r>
    </w:p>
    <w:p w14:paraId="42DCF25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protects communities.</w:t>
      </w:r>
    </w:p>
    <w:p w14:paraId="3149A06A"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protects the ecological asset.</w:t>
      </w:r>
    </w:p>
    <w:p w14:paraId="709BCDCF"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protects the reputation of the asset class.</w:t>
      </w:r>
    </w:p>
    <w:p w14:paraId="24336D18" w14:textId="5BD96DBF"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From cost to infrastructure investment</w:t>
      </w:r>
    </w:p>
    <w:p w14:paraId="63ED04F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Prometheus reframes many activities traditionally treated as costs.</w:t>
      </w:r>
    </w:p>
    <w:p w14:paraId="16E44A01"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Soil restoration is infrastructure investment.</w:t>
      </w:r>
    </w:p>
    <w:p w14:paraId="4EF7CCC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Water retention is infrastructure investment.</w:t>
      </w:r>
    </w:p>
    <w:p w14:paraId="13779B8D"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Biodiversity enhancement is infrastructure investment.</w:t>
      </w:r>
    </w:p>
    <w:p w14:paraId="6E973EF8"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lastRenderedPageBreak/>
        <w:t>Monitoring and verification are infrastructure investment.</w:t>
      </w:r>
    </w:p>
    <w:p w14:paraId="3B57ACA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Human stewardship is infrastructure investment.</w:t>
      </w:r>
    </w:p>
    <w:p w14:paraId="2D864BC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Governance is infrastructure investment.</w:t>
      </w:r>
    </w:p>
    <w:p w14:paraId="14158FA6"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Data integrity is infrastructure investment.</w:t>
      </w:r>
    </w:p>
    <w:p w14:paraId="1A3486EF"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When these activities increase future productive capacity and reduce systemic risk, they belong in the logic of capital formation.</w:t>
      </w:r>
    </w:p>
    <w:p w14:paraId="6C293811"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This does not mean every cost creates value.</w:t>
      </w:r>
    </w:p>
    <w:p w14:paraId="0458DBB1"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means that regenerative expenditures should be evaluated according to their capacity to increase verified system performance over time.</w:t>
      </w:r>
    </w:p>
    <w:p w14:paraId="5FF0BDFC"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This reframing is central to Prometheus.</w:t>
      </w:r>
    </w:p>
    <w:p w14:paraId="31B55E97"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Institutional investment thesis</w:t>
      </w:r>
    </w:p>
    <w:p w14:paraId="15FA8BD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 institutional thesis of Prometheus is that verified regeneration can become an investable real-world asset class when several conditions are satisfied:</w:t>
      </w:r>
    </w:p>
    <w:p w14:paraId="47D4824A"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the biophysical system is real;</w:t>
      </w:r>
    </w:p>
    <w:p w14:paraId="3E972507"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baseline conditions are documented;</w:t>
      </w:r>
    </w:p>
    <w:p w14:paraId="477456B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regenerative processes are operational;</w:t>
      </w:r>
    </w:p>
    <w:p w14:paraId="552F3D7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evidence is collected;</w:t>
      </w:r>
    </w:p>
    <w:p w14:paraId="1054C9C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indicators are verified;</w:t>
      </w:r>
    </w:p>
    <w:p w14:paraId="1FCEAEB1"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performance is confidence-scored;</w:t>
      </w:r>
    </w:p>
    <w:p w14:paraId="57108162"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PRU methodology is applied;</w:t>
      </w:r>
    </w:p>
    <w:p w14:paraId="2F40789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risk is assessed;</w:t>
      </w:r>
    </w:p>
    <w:p w14:paraId="575E6F6D"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legal structure is clear;</w:t>
      </w:r>
    </w:p>
    <w:p w14:paraId="5CE5822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governance is reliable;</w:t>
      </w:r>
    </w:p>
    <w:p w14:paraId="6BBE54E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lastRenderedPageBreak/>
        <w:t>• cash-flow or value pathways exist;</w:t>
      </w:r>
    </w:p>
    <w:p w14:paraId="7FCAFF3F"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portfolio aggregation is possible;</w:t>
      </w:r>
    </w:p>
    <w:p w14:paraId="29AF070E"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 reporting is institutional-grade.</w:t>
      </w:r>
    </w:p>
    <w:p w14:paraId="3AAE5E9B"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When these conditions mature, capital can evaluate regeneration not only as impact, but as infrastructure.</w:t>
      </w:r>
    </w:p>
    <w:p w14:paraId="4E7034D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This is the asset-class threshold.</w:t>
      </w:r>
    </w:p>
    <w:p w14:paraId="41A77EA9"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Final synthesis</w:t>
      </w:r>
    </w:p>
    <w:p w14:paraId="51B2E479"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Prometheus does not ask finance to believe in regeneration.</w:t>
      </w:r>
    </w:p>
    <w:p w14:paraId="56F3CFF2"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gives finance a way to observe it.</w:t>
      </w:r>
    </w:p>
    <w:p w14:paraId="627D5685"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gives capital a way to distinguish promise from performance.</w:t>
      </w:r>
    </w:p>
    <w:p w14:paraId="7D6D23D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gives investors a way to understand ecological risk and regenerative potential.</w:t>
      </w:r>
    </w:p>
    <w:p w14:paraId="5F044AFD"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gives stewards a way to translate their work into verified value.</w:t>
      </w:r>
    </w:p>
    <w:p w14:paraId="42BDB722"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gives communities a way to protect living foundations while participating in economic development.</w:t>
      </w:r>
    </w:p>
    <w:p w14:paraId="03276A6C"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It gives institutions a way to allocate capital toward systems that improve the conditions of future value.</w:t>
      </w:r>
    </w:p>
    <w:p w14:paraId="1A2A6743"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 thesis is simple:</w:t>
      </w:r>
    </w:p>
    <w:p w14:paraId="67C8276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when living systems become healthier, more resilient, more productive, and more verifiably regenerative over time, value can increase with them.</w:t>
      </w:r>
    </w:p>
    <w:p w14:paraId="049C251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 role of Prometheus is to make that increase observable, structured, governable, and financeable.</w:t>
      </w:r>
    </w:p>
    <w:p w14:paraId="75468258"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b/>
          <w:bCs/>
          <w:i/>
          <w:iCs/>
        </w:rPr>
        <w:t>Transition to the next part</w:t>
      </w:r>
    </w:p>
    <w:p w14:paraId="2D035844"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This part defined the financial translation of regeneration into an emerging asset class.</w:t>
      </w:r>
    </w:p>
    <w:p w14:paraId="745DEA90"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t>The next part turns to deployment.</w:t>
      </w:r>
    </w:p>
    <w:p w14:paraId="51FC898D" w14:textId="77777777" w:rsidR="00504071" w:rsidRPr="00B479AE" w:rsidRDefault="00504071" w:rsidP="00504071">
      <w:pPr>
        <w:spacing w:line="360" w:lineRule="auto"/>
        <w:rPr>
          <w:rFonts w:ascii="Baskerville Old Face" w:hAnsi="Baskerville Old Face"/>
          <w:i/>
          <w:iCs/>
        </w:rPr>
      </w:pPr>
      <w:r w:rsidRPr="00B479AE">
        <w:rPr>
          <w:rFonts w:ascii="Baskerville Old Face" w:hAnsi="Baskerville Old Face"/>
          <w:i/>
          <w:iCs/>
        </w:rPr>
        <w:lastRenderedPageBreak/>
        <w:t>It explains how Prometheus can move from unit-level pilots to local clusters, bioregional networks, Regenerative Asset Pools, and eventually institutional-scale regenerative infrastructure.</w:t>
      </w:r>
    </w:p>
    <w:p w14:paraId="16D12276" w14:textId="77777777" w:rsidR="00504071" w:rsidRPr="00B479AE" w:rsidRDefault="00504071" w:rsidP="008E20E1">
      <w:pPr>
        <w:spacing w:line="360" w:lineRule="auto"/>
        <w:rPr>
          <w:rFonts w:ascii="Baskerville Old Face" w:hAnsi="Baskerville Old Face"/>
          <w:i/>
          <w:iCs/>
        </w:rPr>
      </w:pPr>
    </w:p>
    <w:p w14:paraId="2FE03510" w14:textId="67A540D7" w:rsidR="002C57D8" w:rsidRPr="00B479AE" w:rsidRDefault="002C57D8" w:rsidP="00BD2C67">
      <w:pPr>
        <w:pStyle w:val="Titolo1"/>
        <w:rPr>
          <w:rFonts w:ascii="Baskerville Old Face" w:hAnsi="Baskerville Old Face"/>
          <w:b/>
          <w:bCs/>
          <w:i/>
          <w:iCs/>
          <w:sz w:val="24"/>
          <w:szCs w:val="24"/>
        </w:rPr>
      </w:pPr>
      <w:r w:rsidRPr="00B479AE">
        <w:rPr>
          <w:rFonts w:ascii="Baskerville Old Face" w:hAnsi="Baskerville Old Face"/>
          <w:b/>
          <w:bCs/>
          <w:i/>
          <w:iCs/>
          <w:sz w:val="24"/>
          <w:szCs w:val="24"/>
        </w:rPr>
        <w:t>PART VII</w:t>
      </w:r>
      <w:r w:rsidR="00BD2C67" w:rsidRPr="00B479AE">
        <w:rPr>
          <w:rFonts w:ascii="Baskerville Old Face" w:hAnsi="Baskerville Old Face"/>
          <w:b/>
          <w:bCs/>
          <w:i/>
          <w:iCs/>
          <w:sz w:val="24"/>
          <w:szCs w:val="24"/>
        </w:rPr>
        <w:t xml:space="preserve"> - </w:t>
      </w:r>
      <w:r w:rsidRPr="00B479AE">
        <w:rPr>
          <w:rFonts w:ascii="Baskerville Old Face" w:hAnsi="Baskerville Old Face"/>
          <w:b/>
          <w:bCs/>
          <w:i/>
          <w:iCs/>
          <w:sz w:val="24"/>
          <w:szCs w:val="24"/>
        </w:rPr>
        <w:t>Implementation Roadmap and Scaling Strategy</w:t>
      </w:r>
    </w:p>
    <w:p w14:paraId="4760830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From pilot to regenerative infrastructure</w:t>
      </w:r>
    </w:p>
    <w:p w14:paraId="5C90543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Prometheus is designed to scale through disciplined progression.</w:t>
      </w:r>
    </w:p>
    <w:p w14:paraId="27FB177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Regenerative infrastructure cannot be imposed at full scale from the beginning.</w:t>
      </w:r>
    </w:p>
    <w:p w14:paraId="66C13D5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It must mature through evidence, operational learning, governance reliability, ecological performance, and capital-readiness thresholds.</w:t>
      </w:r>
    </w:p>
    <w:p w14:paraId="1E5B73D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implementation roadmap therefore follows a staged logic:</w:t>
      </w:r>
    </w:p>
    <w:p w14:paraId="3578109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pilot;</w:t>
      </w:r>
      <w:r w:rsidRPr="00B479AE">
        <w:rPr>
          <w:rFonts w:ascii="Baskerville Old Face" w:hAnsi="Baskerville Old Face"/>
          <w:i/>
          <w:iCs/>
        </w:rPr>
        <w:br/>
        <w:t>validated unit;</w:t>
      </w:r>
      <w:r w:rsidRPr="00B479AE">
        <w:rPr>
          <w:rFonts w:ascii="Baskerville Old Face" w:hAnsi="Baskerville Old Face"/>
          <w:i/>
          <w:iCs/>
        </w:rPr>
        <w:br/>
        <w:t>local cluster;</w:t>
      </w:r>
      <w:r w:rsidRPr="00B479AE">
        <w:rPr>
          <w:rFonts w:ascii="Baskerville Old Face" w:hAnsi="Baskerville Old Face"/>
          <w:i/>
          <w:iCs/>
        </w:rPr>
        <w:br/>
        <w:t>bioregional network;</w:t>
      </w:r>
      <w:r w:rsidRPr="00B479AE">
        <w:rPr>
          <w:rFonts w:ascii="Baskerville Old Face" w:hAnsi="Baskerville Old Face"/>
          <w:i/>
          <w:iCs/>
        </w:rPr>
        <w:br/>
        <w:t>Regenerative Asset Pool;</w:t>
      </w:r>
      <w:r w:rsidRPr="00B479AE">
        <w:rPr>
          <w:rFonts w:ascii="Baskerville Old Face" w:hAnsi="Baskerville Old Face"/>
          <w:i/>
          <w:iCs/>
        </w:rPr>
        <w:br/>
        <w:t>institutional regenerative infrastructure.</w:t>
      </w:r>
    </w:p>
    <w:p w14:paraId="5A224D7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Each stage expands the system only after the previous stage has generated sufficient evidence.</w:t>
      </w:r>
    </w:p>
    <w:p w14:paraId="7103E1A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This is not a limitation.</w:t>
      </w:r>
    </w:p>
    <w:p w14:paraId="3CF44EF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It is the condition for trustworthy scale.</w:t>
      </w:r>
    </w:p>
    <w:p w14:paraId="0386DD8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Prometheus grows like a living system: through rootedness, feedback, adaptation, replication, and increasing coherence.</w:t>
      </w:r>
    </w:p>
    <w:p w14:paraId="67EC9466"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Deployment principle</w:t>
      </w:r>
    </w:p>
    <w:p w14:paraId="7A05F48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deployment principle of Prometheus is simple:</w:t>
      </w:r>
    </w:p>
    <w:p w14:paraId="5182D95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scale follows verified coherence.</w:t>
      </w:r>
    </w:p>
    <w:p w14:paraId="23D82FC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 site should not scale because its narrative is strong.</w:t>
      </w:r>
    </w:p>
    <w:p w14:paraId="37ADAAF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lastRenderedPageBreak/>
        <w:t>A protocol should not expand because its market potential is attractive.</w:t>
      </w:r>
    </w:p>
    <w:p w14:paraId="1C850FD1"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 financial structure should not mature before the underlying evidence matures.</w:t>
      </w:r>
    </w:p>
    <w:p w14:paraId="37BC73FB"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 tokenized representation should not appear before value is verified and legally structured.</w:t>
      </w:r>
    </w:p>
    <w:p w14:paraId="53BA40B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Prometheus advances when ecological, operational, governance, and financial conditions become sufficiently clear.</w:t>
      </w:r>
    </w:p>
    <w:p w14:paraId="2B51B93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This protects the system from premature abstraction.</w:t>
      </w:r>
    </w:p>
    <w:p w14:paraId="793A91A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It also protects capital from entering before the asset base is ready.</w:t>
      </w:r>
    </w:p>
    <w:p w14:paraId="56F2690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Deployment is therefore governed by evidence, not enthusiasm.</w:t>
      </w:r>
    </w:p>
    <w:p w14:paraId="2CB3A4E2"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Phase 1 — Genesis pilot</w:t>
      </w:r>
    </w:p>
    <w:p w14:paraId="02C93132"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first phase is the Genesis pilot.</w:t>
      </w:r>
    </w:p>
    <w:p w14:paraId="7B70FC6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Genesis pilot is the first high-fidelity deployment of the Prometheus architecture under real conditions.</w:t>
      </w:r>
    </w:p>
    <w:p w14:paraId="388F6F22"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Its purpose is not to prove the entire global model at once.</w:t>
      </w:r>
    </w:p>
    <w:p w14:paraId="71A73DF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Its purpose is to test whether the core transformation pathway works:</w:t>
      </w:r>
    </w:p>
    <w:p w14:paraId="380246E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living system;</w:t>
      </w:r>
      <w:r w:rsidRPr="00B479AE">
        <w:rPr>
          <w:rFonts w:ascii="Baskerville Old Face" w:hAnsi="Baskerville Old Face"/>
          <w:i/>
          <w:iCs/>
        </w:rPr>
        <w:br/>
        <w:t>regenerative intervention;</w:t>
      </w:r>
      <w:r w:rsidRPr="00B479AE">
        <w:rPr>
          <w:rFonts w:ascii="Baskerville Old Face" w:hAnsi="Baskerville Old Face"/>
          <w:i/>
          <w:iCs/>
        </w:rPr>
        <w:br/>
        <w:t>baseline measurement;</w:t>
      </w:r>
      <w:r w:rsidRPr="00B479AE">
        <w:rPr>
          <w:rFonts w:ascii="Baskerville Old Face" w:hAnsi="Baskerville Old Face"/>
          <w:i/>
          <w:iCs/>
        </w:rPr>
        <w:br/>
        <w:t>MRV evidence;</w:t>
      </w:r>
      <w:r w:rsidRPr="00B479AE">
        <w:rPr>
          <w:rFonts w:ascii="Baskerville Old Face" w:hAnsi="Baskerville Old Face"/>
          <w:i/>
          <w:iCs/>
        </w:rPr>
        <w:br/>
        <w:t>verified indicators;</w:t>
      </w:r>
      <w:r w:rsidRPr="00B479AE">
        <w:rPr>
          <w:rFonts w:ascii="Baskerville Old Face" w:hAnsi="Baskerville Old Face"/>
          <w:i/>
          <w:iCs/>
        </w:rPr>
        <w:br/>
        <w:t>operational reporting;</w:t>
      </w:r>
      <w:r w:rsidRPr="00B479AE">
        <w:rPr>
          <w:rFonts w:ascii="Baskerville Old Face" w:hAnsi="Baskerville Old Face"/>
          <w:i/>
          <w:iCs/>
        </w:rPr>
        <w:br/>
        <w:t>PRU translation;</w:t>
      </w:r>
      <w:r w:rsidRPr="00B479AE">
        <w:rPr>
          <w:rFonts w:ascii="Baskerville Old Face" w:hAnsi="Baskerville Old Face"/>
          <w:i/>
          <w:iCs/>
        </w:rPr>
        <w:br/>
        <w:t>governance review;</w:t>
      </w:r>
      <w:r w:rsidRPr="00B479AE">
        <w:rPr>
          <w:rFonts w:ascii="Baskerville Old Face" w:hAnsi="Baskerville Old Face"/>
          <w:i/>
          <w:iCs/>
        </w:rPr>
        <w:br/>
        <w:t>capital-readiness assessment.</w:t>
      </w:r>
    </w:p>
    <w:p w14:paraId="4A6657F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 Genesis pilot should demonstrate:</w:t>
      </w:r>
    </w:p>
    <w:p w14:paraId="534A89D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that an OHE or OHE-compatible regenerative system can be deployed;</w:t>
      </w:r>
    </w:p>
    <w:p w14:paraId="6D96930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lastRenderedPageBreak/>
        <w:t>• that baseline conditions can be documented;</w:t>
      </w:r>
    </w:p>
    <w:p w14:paraId="449488C1"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that regenerative interventions can be recorded;</w:t>
      </w:r>
    </w:p>
    <w:p w14:paraId="114F39F2"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that evidence can be collected through multiple sources;</w:t>
      </w:r>
    </w:p>
    <w:p w14:paraId="276EA69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that MRV protocols can be executed;</w:t>
      </w:r>
    </w:p>
    <w:p w14:paraId="5AFAF3F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that governance boundaries can be preserved;</w:t>
      </w:r>
    </w:p>
    <w:p w14:paraId="686DE1C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that operational records can be structured;</w:t>
      </w:r>
    </w:p>
    <w:p w14:paraId="5A7C99F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that PRU logic can be applied conservatively;</w:t>
      </w:r>
    </w:p>
    <w:p w14:paraId="792A80E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that investor-facing reporting can be prepared;</w:t>
      </w:r>
    </w:p>
    <w:p w14:paraId="6EA0DDC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that the system can learn from real performance.</w:t>
      </w:r>
    </w:p>
    <w:p w14:paraId="2C695232"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Genesis pilot is therefore a proof of coherence.</w:t>
      </w:r>
    </w:p>
    <w:p w14:paraId="5F830A7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It tests not only whether regeneration occurs, but whether regeneration can become reviewable, reportable, and progressively financeable.</w:t>
      </w:r>
    </w:p>
    <w:p w14:paraId="4135BAA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Phase 2 — Validated operational unit</w:t>
      </w:r>
    </w:p>
    <w:p w14:paraId="45461AF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second phase is the validated operational unit.</w:t>
      </w:r>
    </w:p>
    <w:p w14:paraId="2D864DF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 validated unit is a site or OHE that has moved beyond intention and early deployment into documented performance.</w:t>
      </w:r>
    </w:p>
    <w:p w14:paraId="14694EA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It has:</w:t>
      </w:r>
    </w:p>
    <w:p w14:paraId="26FB1B4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a clear land-access structure;</w:t>
      </w:r>
    </w:p>
    <w:p w14:paraId="0A5379D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a defined stewardship role;</w:t>
      </w:r>
    </w:p>
    <w:p w14:paraId="3F762CA2"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a baseline report;</w:t>
      </w:r>
    </w:p>
    <w:p w14:paraId="339B228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an implementation record;</w:t>
      </w:r>
    </w:p>
    <w:p w14:paraId="6188B9E2"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active monitoring;</w:t>
      </w:r>
    </w:p>
    <w:p w14:paraId="55500451" w14:textId="77777777" w:rsidR="002C57D8" w:rsidRPr="005907F1" w:rsidRDefault="002C57D8" w:rsidP="002C57D8">
      <w:pPr>
        <w:spacing w:line="360" w:lineRule="auto"/>
        <w:rPr>
          <w:rFonts w:ascii="Baskerville Old Face" w:hAnsi="Baskerville Old Face"/>
          <w:i/>
          <w:iCs/>
          <w:lang w:val="it-IT"/>
        </w:rPr>
      </w:pPr>
      <w:r w:rsidRPr="005907F1">
        <w:rPr>
          <w:rFonts w:ascii="Baskerville Old Face" w:hAnsi="Baskerville Old Face"/>
          <w:i/>
          <w:iCs/>
          <w:lang w:val="it-IT"/>
        </w:rPr>
        <w:lastRenderedPageBreak/>
        <w:t>• MRV data;</w:t>
      </w:r>
    </w:p>
    <w:p w14:paraId="79C282DF" w14:textId="77777777" w:rsidR="002C57D8" w:rsidRPr="005907F1" w:rsidRDefault="002C57D8" w:rsidP="002C57D8">
      <w:pPr>
        <w:spacing w:line="360" w:lineRule="auto"/>
        <w:rPr>
          <w:rFonts w:ascii="Baskerville Old Face" w:hAnsi="Baskerville Old Face"/>
          <w:i/>
          <w:iCs/>
          <w:lang w:val="it-IT"/>
        </w:rPr>
      </w:pPr>
      <w:r w:rsidRPr="005907F1">
        <w:rPr>
          <w:rFonts w:ascii="Baskerville Old Face" w:hAnsi="Baskerville Old Face"/>
          <w:i/>
          <w:iCs/>
          <w:lang w:val="it-IT"/>
        </w:rPr>
        <w:t>• operational logs;</w:t>
      </w:r>
    </w:p>
    <w:p w14:paraId="362390FC" w14:textId="77777777" w:rsidR="002C57D8" w:rsidRPr="005907F1" w:rsidRDefault="002C57D8" w:rsidP="002C57D8">
      <w:pPr>
        <w:spacing w:line="360" w:lineRule="auto"/>
        <w:rPr>
          <w:rFonts w:ascii="Baskerville Old Face" w:hAnsi="Baskerville Old Face"/>
          <w:i/>
          <w:iCs/>
          <w:lang w:val="it-IT"/>
        </w:rPr>
      </w:pPr>
      <w:r w:rsidRPr="005907F1">
        <w:rPr>
          <w:rFonts w:ascii="Baskerville Old Face" w:hAnsi="Baskerville Old Face"/>
          <w:i/>
          <w:iCs/>
          <w:lang w:val="it-IT"/>
        </w:rPr>
        <w:t>• governance documentation;</w:t>
      </w:r>
    </w:p>
    <w:p w14:paraId="0D7DE3A6"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evidence of ecological or productive change;</w:t>
      </w:r>
    </w:p>
    <w:p w14:paraId="3193117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a preliminary PRU assessment;</w:t>
      </w:r>
    </w:p>
    <w:p w14:paraId="721140D1"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a risk register;</w:t>
      </w:r>
    </w:p>
    <w:p w14:paraId="1AF07C2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a reporting package.</w:t>
      </w:r>
    </w:p>
    <w:p w14:paraId="16D893B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At this stage, the system is not yet fully mature.</w:t>
      </w:r>
    </w:p>
    <w:p w14:paraId="0DA7339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Its value is still developing.</w:t>
      </w:r>
    </w:p>
    <w:p w14:paraId="6271E69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But it has become legible.</w:t>
      </w:r>
    </w:p>
    <w:p w14:paraId="46A903E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validated unit is the first point at which Prometheus can begin to show how a regenerative site becomes an asset candidate.</w:t>
      </w:r>
    </w:p>
    <w:p w14:paraId="5D0894B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Phase 3 — Local cluster</w:t>
      </w:r>
    </w:p>
    <w:p w14:paraId="2D3DB60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third phase is the local cluster.</w:t>
      </w:r>
    </w:p>
    <w:p w14:paraId="337CEEF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 local cluster connects multiple validated or emerging OHE units within a defined territory.</w:t>
      </w:r>
    </w:p>
    <w:p w14:paraId="5AE7DA42"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purpose of the cluster is to create shared learning, shared infrastructure, shared governance, and stronger territorial resilience.</w:t>
      </w:r>
    </w:p>
    <w:p w14:paraId="0BAD0B1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 local cluster may include:</w:t>
      </w:r>
    </w:p>
    <w:p w14:paraId="088F478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multiple OHEs;</w:t>
      </w:r>
    </w:p>
    <w:p w14:paraId="7BB7B52B"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shared MRV tools;</w:t>
      </w:r>
    </w:p>
    <w:p w14:paraId="51AE3C7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common training protocols;</w:t>
      </w:r>
    </w:p>
    <w:p w14:paraId="245369A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local processing capacity;</w:t>
      </w:r>
    </w:p>
    <w:p w14:paraId="2F08977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lastRenderedPageBreak/>
        <w:t>• local food distribution;</w:t>
      </w:r>
    </w:p>
    <w:p w14:paraId="77A67BE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cooperative purchasing;</w:t>
      </w:r>
    </w:p>
    <w:p w14:paraId="48EB388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biodiversity corridors;</w:t>
      </w:r>
    </w:p>
    <w:p w14:paraId="02E5AD4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water-system coordination;</w:t>
      </w:r>
    </w:p>
    <w:p w14:paraId="403542C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community participation;</w:t>
      </w:r>
    </w:p>
    <w:p w14:paraId="564F98C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shared reporting;</w:t>
      </w:r>
    </w:p>
    <w:p w14:paraId="46A5A60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early PRU comparison;</w:t>
      </w:r>
    </w:p>
    <w:p w14:paraId="5BDFEF5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local governance structures.</w:t>
      </w:r>
    </w:p>
    <w:p w14:paraId="38ED429B"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cluster creates the first network effect.</w:t>
      </w:r>
    </w:p>
    <w:p w14:paraId="01210D0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Individual units become stronger when they are connected.</w:t>
      </w:r>
    </w:p>
    <w:p w14:paraId="6BFD7B6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Knowledge moves faster.</w:t>
      </w:r>
    </w:p>
    <w:p w14:paraId="7674825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Costs can be shared.</w:t>
      </w:r>
    </w:p>
    <w:p w14:paraId="6EB98AD6"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Biodiversity continuity improves.</w:t>
      </w:r>
    </w:p>
    <w:p w14:paraId="5F10335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Market access becomes stronger.</w:t>
      </w:r>
    </w:p>
    <w:p w14:paraId="0B8E9DB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Community trust deepens.</w:t>
      </w:r>
    </w:p>
    <w:p w14:paraId="794490A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Operational learning compounds.</w:t>
      </w:r>
    </w:p>
    <w:p w14:paraId="566D379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This is the first step from unit-level regeneration to territorial infrastructure.</w:t>
      </w:r>
    </w:p>
    <w:p w14:paraId="36FAAA9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Phase 4 — Bioregional network</w:t>
      </w:r>
    </w:p>
    <w:p w14:paraId="496F640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fourth phase is the bioregional network.</w:t>
      </w:r>
    </w:p>
    <w:p w14:paraId="515D667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 bioregion is a living territorial context shaped by climate, water, soil, species, culture, food systems, and human communities.</w:t>
      </w:r>
    </w:p>
    <w:p w14:paraId="072FC73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lastRenderedPageBreak/>
        <w:t>Prometheus treats the bioregion as a natural scaling unit because regenerative processes are not isolated inside property boundaries.</w:t>
      </w:r>
    </w:p>
    <w:p w14:paraId="4EFAF58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Water moves across landscapes.</w:t>
      </w:r>
    </w:p>
    <w:p w14:paraId="0CAA26B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Pollinators cross parcels.</w:t>
      </w:r>
    </w:p>
    <w:p w14:paraId="769D13A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Soil health interacts with land use.</w:t>
      </w:r>
    </w:p>
    <w:p w14:paraId="0308A6B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Local food systems depend on many actors.</w:t>
      </w:r>
    </w:p>
    <w:p w14:paraId="7DF0B6C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Communities share infrastructure, knowledge, and risk.</w:t>
      </w:r>
    </w:p>
    <w:p w14:paraId="16A123F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 bioregional network may coordinate:</w:t>
      </w:r>
    </w:p>
    <w:p w14:paraId="3EEDE80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watershed-level design;</w:t>
      </w:r>
    </w:p>
    <w:p w14:paraId="47EBA6A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biodiversity corridors;</w:t>
      </w:r>
    </w:p>
    <w:p w14:paraId="3664C7B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regenerative food systems;</w:t>
      </w:r>
    </w:p>
    <w:p w14:paraId="534E345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local processing and logistics;</w:t>
      </w:r>
    </w:p>
    <w:p w14:paraId="7A3A88F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shared MRV frameworks;</w:t>
      </w:r>
    </w:p>
    <w:p w14:paraId="32A4DDF2"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regional data rooms;</w:t>
      </w:r>
    </w:p>
    <w:p w14:paraId="79E35691"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educational programs;</w:t>
      </w:r>
    </w:p>
    <w:p w14:paraId="217CE7B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institutional partnerships;</w:t>
      </w:r>
    </w:p>
    <w:p w14:paraId="4FD25F2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public procurement;</w:t>
      </w:r>
    </w:p>
    <w:p w14:paraId="549A195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insurance or resilience programs;</w:t>
      </w:r>
    </w:p>
    <w:p w14:paraId="36C9F55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capital allocation across multiple units.</w:t>
      </w:r>
    </w:p>
    <w:p w14:paraId="7CD5FE4B"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At this stage, Prometheus begins to move from site-level deployment to regional resilience architecture.</w:t>
      </w:r>
    </w:p>
    <w:p w14:paraId="38896E7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objective is not uniform replication.</w:t>
      </w:r>
    </w:p>
    <w:p w14:paraId="0B5FC8B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lastRenderedPageBreak/>
        <w:t>The objective is coherent adaptation.</w:t>
      </w:r>
    </w:p>
    <w:p w14:paraId="74A4B7A6"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Each bioregion must express Prometheus through its own ecological, cultural, legal, and economic conditions.</w:t>
      </w:r>
    </w:p>
    <w:p w14:paraId="6E2655F6"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Phase 5 — Regenerative Asset Pool</w:t>
      </w:r>
    </w:p>
    <w:p w14:paraId="4FBCA58B"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fifth phase is the Regenerative Asset Pool.</w:t>
      </w:r>
    </w:p>
    <w:p w14:paraId="1327A3F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 Regenerative Asset Pool aggregates verified PRUs from multiple units or clusters into a portfolio structure.</w:t>
      </w:r>
    </w:p>
    <w:p w14:paraId="72CAAFE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This is the point at which regenerative infrastructure becomes institutionally more legible.</w:t>
      </w:r>
    </w:p>
    <w:p w14:paraId="64CACA9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 RAP may support:</w:t>
      </w:r>
    </w:p>
    <w:p w14:paraId="52CBF4E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portfolio diversification;</w:t>
      </w:r>
    </w:p>
    <w:p w14:paraId="758006A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risk distribution;</w:t>
      </w:r>
    </w:p>
    <w:p w14:paraId="4B8C3DB6"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investor reporting;</w:t>
      </w:r>
    </w:p>
    <w:p w14:paraId="5E28517F" w14:textId="1FE83BF5"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xml:space="preserve">• </w:t>
      </w:r>
      <w:r w:rsidR="000350E2" w:rsidRPr="00B479AE">
        <w:rPr>
          <w:rFonts w:ascii="Baskerville Old Face" w:hAnsi="Baskerville Old Face"/>
          <w:i/>
          <w:iCs/>
        </w:rPr>
        <w:t>PRU maturity classification</w:t>
      </w:r>
      <w:r w:rsidRPr="00B479AE">
        <w:rPr>
          <w:rFonts w:ascii="Baskerville Old Face" w:hAnsi="Baskerville Old Face"/>
          <w:i/>
          <w:iCs/>
        </w:rPr>
        <w:t xml:space="preserve"> comparison;</w:t>
      </w:r>
    </w:p>
    <w:p w14:paraId="4BCB61E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insurance analysis;</w:t>
      </w:r>
    </w:p>
    <w:p w14:paraId="5478DDC6"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blended finance;</w:t>
      </w:r>
    </w:p>
    <w:p w14:paraId="3BE0C78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guarantees;</w:t>
      </w:r>
    </w:p>
    <w:p w14:paraId="395259C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SPV or fund structuring;</w:t>
      </w:r>
    </w:p>
    <w:p w14:paraId="274B372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future compliant tokenized representation;</w:t>
      </w:r>
    </w:p>
    <w:p w14:paraId="0B8FC9C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institutional capital allocation.</w:t>
      </w:r>
    </w:p>
    <w:p w14:paraId="263CC5B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RAP is not merely a basket of projects.</w:t>
      </w:r>
    </w:p>
    <w:p w14:paraId="047AB376"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It is a structured portfolio of verified regenerative performance.</w:t>
      </w:r>
    </w:p>
    <w:p w14:paraId="72437A8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Its quality depends on the quality of its underlying units, the integrity of its MRV, the reliability of its governance, and the clarity of its legal structure.</w:t>
      </w:r>
    </w:p>
    <w:p w14:paraId="21BF690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lastRenderedPageBreak/>
        <w:t>The RAP is the bridge between distributed regeneration and capital-market participation.</w:t>
      </w:r>
    </w:p>
    <w:p w14:paraId="472CF401"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Phase 6 — Institutional regenerative infrastructure</w:t>
      </w:r>
    </w:p>
    <w:p w14:paraId="2299A8A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sixth phase is institutional regenerative infrastructure.</w:t>
      </w:r>
    </w:p>
    <w:p w14:paraId="7BE6C8E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At this stage, Prometheus may support larger capital structures, cross-regional portfolios, institutional reporting, nature-aligned investment products, public-private partnerships, and regulated financial instruments.</w:t>
      </w:r>
    </w:p>
    <w:p w14:paraId="5FB7454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Possible structures may include:</w:t>
      </w:r>
    </w:p>
    <w:p w14:paraId="14E88C9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dedicated SPVs;</w:t>
      </w:r>
    </w:p>
    <w:p w14:paraId="3865EBE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regenerative infrastructure funds;</w:t>
      </w:r>
    </w:p>
    <w:p w14:paraId="391894A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blended finance vehicles;</w:t>
      </w:r>
    </w:p>
    <w:p w14:paraId="7F0A9A6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project-finance structures;</w:t>
      </w:r>
    </w:p>
    <w:p w14:paraId="54D38C22"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private credit facilities;</w:t>
      </w:r>
    </w:p>
    <w:p w14:paraId="52B3DF46"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insurance-backed resilience structures;</w:t>
      </w:r>
    </w:p>
    <w:p w14:paraId="598961F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public procurement-linked programs;</w:t>
      </w:r>
    </w:p>
    <w:p w14:paraId="0680ED6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tokenized notes or securities where legally compliant;</w:t>
      </w:r>
    </w:p>
    <w:p w14:paraId="1B20F8C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long-duration regenerative infrastructure portfolios.</w:t>
      </w:r>
    </w:p>
    <w:p w14:paraId="5AF52BD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This stage requires high discipline.</w:t>
      </w:r>
    </w:p>
    <w:p w14:paraId="0A9F6B0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Institutional scale should emerge only when:</w:t>
      </w:r>
    </w:p>
    <w:p w14:paraId="20DA1E4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underlying units are verified;</w:t>
      </w:r>
    </w:p>
    <w:p w14:paraId="6AC738E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PRU methodology is mature;</w:t>
      </w:r>
    </w:p>
    <w:p w14:paraId="77DE732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RAP reporting is credible;</w:t>
      </w:r>
    </w:p>
    <w:p w14:paraId="2BF43712"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governance is stable;</w:t>
      </w:r>
    </w:p>
    <w:p w14:paraId="52F1854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lastRenderedPageBreak/>
        <w:t>• legal wrappers are enforceable;</w:t>
      </w:r>
    </w:p>
    <w:p w14:paraId="1692E98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investor disclosures are complete;</w:t>
      </w:r>
    </w:p>
    <w:p w14:paraId="1D15E01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risk factors are transparent;</w:t>
      </w:r>
    </w:p>
    <w:p w14:paraId="6B42E2D1"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data rooms are robust;</w:t>
      </w:r>
    </w:p>
    <w:p w14:paraId="00044D9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audit pathways are active;</w:t>
      </w:r>
    </w:p>
    <w:p w14:paraId="4020348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capital allocation remains connected to regenerative performance.</w:t>
      </w:r>
    </w:p>
    <w:p w14:paraId="2E8AEC4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Institutionalization is not the abandonment of Prometheus’ living foundation.</w:t>
      </w:r>
    </w:p>
    <w:p w14:paraId="2296C54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It is the moment when that foundation becomes legible to large-scale capital without being extracted from its source.</w:t>
      </w:r>
    </w:p>
    <w:p w14:paraId="0D1AB65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Implementation timeline</w:t>
      </w:r>
    </w:p>
    <w:p w14:paraId="54D306D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Prometheus roadmap can be understood through three horizons.</w:t>
      </w:r>
    </w:p>
    <w:p w14:paraId="3EBB60D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Short-term horizon — 0 to 24 months</w:t>
      </w:r>
    </w:p>
    <w:p w14:paraId="358005E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short-term horizon focuses on pilot correctness and evidence formation.</w:t>
      </w:r>
    </w:p>
    <w:p w14:paraId="0B6F664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Priorities include:</w:t>
      </w:r>
    </w:p>
    <w:p w14:paraId="4BB39932"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Genesis pilot activation;</w:t>
      </w:r>
    </w:p>
    <w:p w14:paraId="4408E01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OHE or OHE-compatible deployment;</w:t>
      </w:r>
    </w:p>
    <w:p w14:paraId="238AA74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baseline data collection;</w:t>
      </w:r>
    </w:p>
    <w:p w14:paraId="19403A7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MRV protocol setup;</w:t>
      </w:r>
    </w:p>
    <w:p w14:paraId="500FC1B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sensor and field observation design;</w:t>
      </w:r>
    </w:p>
    <w:p w14:paraId="0788800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laboratory testing pathways;</w:t>
      </w:r>
    </w:p>
    <w:p w14:paraId="1AA52706"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operational records;</w:t>
      </w:r>
    </w:p>
    <w:p w14:paraId="4CD6E2C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governance setup;</w:t>
      </w:r>
    </w:p>
    <w:p w14:paraId="6AC6BEB6"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lastRenderedPageBreak/>
        <w:t>• data room formation;</w:t>
      </w:r>
    </w:p>
    <w:p w14:paraId="658F44D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early PRU methodology application;</w:t>
      </w:r>
    </w:p>
    <w:p w14:paraId="4450447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investor reporting prototype;</w:t>
      </w:r>
    </w:p>
    <w:p w14:paraId="565F860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legal and structural review;</w:t>
      </w:r>
    </w:p>
    <w:p w14:paraId="29A6DED1"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public communication discipline.</w:t>
      </w:r>
    </w:p>
    <w:p w14:paraId="01BECAF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objective is to create a credible evidence base.</w:t>
      </w:r>
    </w:p>
    <w:p w14:paraId="0F7C89A6"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short-term horizon should produce proof of operational coherence, not exaggerated market claims.</w:t>
      </w:r>
    </w:p>
    <w:p w14:paraId="37B94FB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Medium-term horizon — 2 to 5 years</w:t>
      </w:r>
    </w:p>
    <w:p w14:paraId="5B3408F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medium-term horizon focuses on replication and local clustering.</w:t>
      </w:r>
    </w:p>
    <w:p w14:paraId="7649556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Priorities include:</w:t>
      </w:r>
    </w:p>
    <w:p w14:paraId="765F4B6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replication of validated OHE units;</w:t>
      </w:r>
    </w:p>
    <w:p w14:paraId="40DCA4BB"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development of local clusters;</w:t>
      </w:r>
    </w:p>
    <w:p w14:paraId="6BA86C9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shared MRV infrastructure;</w:t>
      </w:r>
    </w:p>
    <w:p w14:paraId="375A510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improved methodology;</w:t>
      </w:r>
    </w:p>
    <w:p w14:paraId="1EE2EBF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operational training;</w:t>
      </w:r>
    </w:p>
    <w:p w14:paraId="0283DAB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local market integration;</w:t>
      </w:r>
    </w:p>
    <w:p w14:paraId="176B8DB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education and community programs;</w:t>
      </w:r>
    </w:p>
    <w:p w14:paraId="142814B4" w14:textId="5FCA661F"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xml:space="preserve">• preliminary </w:t>
      </w:r>
      <w:r w:rsidR="000350E2" w:rsidRPr="00B479AE">
        <w:rPr>
          <w:rFonts w:ascii="Baskerville Old Face" w:hAnsi="Baskerville Old Face"/>
          <w:i/>
          <w:iCs/>
        </w:rPr>
        <w:t>PRU maturity classification</w:t>
      </w:r>
      <w:r w:rsidRPr="00B479AE">
        <w:rPr>
          <w:rFonts w:ascii="Baskerville Old Face" w:hAnsi="Baskerville Old Face"/>
          <w:i/>
          <w:iCs/>
        </w:rPr>
        <w:t xml:space="preserve"> logic;</w:t>
      </w:r>
    </w:p>
    <w:p w14:paraId="60AEED7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early RAP design;</w:t>
      </w:r>
    </w:p>
    <w:p w14:paraId="31D9EC2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blended finance exploration;</w:t>
      </w:r>
    </w:p>
    <w:p w14:paraId="1044F41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institutional partnerships;</w:t>
      </w:r>
    </w:p>
    <w:p w14:paraId="405546D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lastRenderedPageBreak/>
        <w:t>• public-sector engagement;</w:t>
      </w:r>
    </w:p>
    <w:p w14:paraId="228A6A56"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risk and insurance dialogue.</w:t>
      </w:r>
    </w:p>
    <w:p w14:paraId="331E37B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objective is to prove that unit-level regeneration can become territorial infrastructure.</w:t>
      </w:r>
    </w:p>
    <w:p w14:paraId="294D26F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This horizon transforms Prometheus from pilot to network.</w:t>
      </w:r>
    </w:p>
    <w:p w14:paraId="0FDD0C1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Long-term horizon — 5 to 15 years</w:t>
      </w:r>
    </w:p>
    <w:p w14:paraId="2E252B2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long-term horizon focuses on portfolio formation and institutional scaling.</w:t>
      </w:r>
    </w:p>
    <w:p w14:paraId="62F4CFA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Priorities include:</w:t>
      </w:r>
    </w:p>
    <w:p w14:paraId="64D02A9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mature PRU portfolios;</w:t>
      </w:r>
    </w:p>
    <w:p w14:paraId="20FFB22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Regenerative Asset Pools;</w:t>
      </w:r>
    </w:p>
    <w:p w14:paraId="0C62A2AB"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bioregional networks;</w:t>
      </w:r>
    </w:p>
    <w:p w14:paraId="3F073072"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cross-regional diversification;</w:t>
      </w:r>
    </w:p>
    <w:p w14:paraId="11DA535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institutional fund structures;</w:t>
      </w:r>
    </w:p>
    <w:p w14:paraId="7FBC06D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regulated financial instruments;</w:t>
      </w:r>
    </w:p>
    <w:p w14:paraId="6B5F8F4B"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nature-aligned reporting;</w:t>
      </w:r>
    </w:p>
    <w:p w14:paraId="4C090FC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public-private capital programs;</w:t>
      </w:r>
    </w:p>
    <w:p w14:paraId="12AF35E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insurance and resilience products;</w:t>
      </w:r>
    </w:p>
    <w:p w14:paraId="66B405B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tokenized representations where compliant;</w:t>
      </w:r>
    </w:p>
    <w:p w14:paraId="234BD75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global knowledge exchange;</w:t>
      </w:r>
    </w:p>
    <w:p w14:paraId="2F90A4E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regenerative infrastructure index logic.</w:t>
      </w:r>
    </w:p>
    <w:p w14:paraId="5B1327A1"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objective is to establish verified regenerative infrastructure as an investable real-world asset class.</w:t>
      </w:r>
    </w:p>
    <w:p w14:paraId="08E4330B"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This horizon transforms Prometheus from network to market architecture.</w:t>
      </w:r>
    </w:p>
    <w:p w14:paraId="14BCFB26" w14:textId="77777777" w:rsidR="002E5EB1" w:rsidRDefault="002E5EB1" w:rsidP="002C57D8">
      <w:pPr>
        <w:spacing w:line="360" w:lineRule="auto"/>
        <w:rPr>
          <w:rFonts w:ascii="Baskerville Old Face" w:hAnsi="Baskerville Old Face"/>
          <w:b/>
          <w:bCs/>
          <w:i/>
          <w:iCs/>
        </w:rPr>
      </w:pPr>
    </w:p>
    <w:p w14:paraId="3586E186" w14:textId="093015B2"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lastRenderedPageBreak/>
        <w:t>Deployment stack</w:t>
      </w:r>
    </w:p>
    <w:p w14:paraId="128691D2"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Prometheus deployment requires the coordinated activation of multiple layers.</w:t>
      </w:r>
    </w:p>
    <w:p w14:paraId="4F94EB5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Ecological layer</w:t>
      </w:r>
    </w:p>
    <w:p w14:paraId="1F1588C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ecological layer includes land assessment, soil regeneration, water design, biodiversity integration, syntropic planting, biomass cycling, food production, and site-specific ecological management.</w:t>
      </w:r>
    </w:p>
    <w:p w14:paraId="182E07A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This is the foundation.</w:t>
      </w:r>
    </w:p>
    <w:p w14:paraId="38E849B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Without ecological performance, the rest of the stack becomes empty.</w:t>
      </w:r>
    </w:p>
    <w:p w14:paraId="4260C63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MRV layer</w:t>
      </w:r>
    </w:p>
    <w:p w14:paraId="15A16342"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MRV layer includes field sensors, laboratory testing, remote sensing, mobile observations, operational records, human audits, and third-party verification.</w:t>
      </w:r>
    </w:p>
    <w:p w14:paraId="6B6999B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This layer makes ecological change visible.</w:t>
      </w:r>
    </w:p>
    <w:p w14:paraId="4D39F66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Digital layer</w:t>
      </w:r>
    </w:p>
    <w:p w14:paraId="43AF158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digital layer includes agent-centric infrastructure, source-chain logic, data provenance, Valueflows / REA-compatible records, dashboards, data rooms, and API connectors.</w:t>
      </w:r>
    </w:p>
    <w:p w14:paraId="2EDAA24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This layer makes evidence structured and reviewable.</w:t>
      </w:r>
    </w:p>
    <w:p w14:paraId="149078C1" w14:textId="1415AD1E"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Governance layer</w:t>
      </w:r>
    </w:p>
    <w:p w14:paraId="05753A5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governance layer includes Stewardship Circles, protocol rules, role definitions, dispute-resolution processes, methodology review, data access rules, and participation mechanisms.</w:t>
      </w:r>
    </w:p>
    <w:p w14:paraId="7D4CC8B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This layer preserves coherence.</w:t>
      </w:r>
    </w:p>
    <w:p w14:paraId="05BDFB64" w14:textId="74C508E8"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Operational layer</w:t>
      </w:r>
    </w:p>
    <w:p w14:paraId="6461E13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operational layer includes SOPs, field workflows, maintenance plans, training, troubleshooting, reporting calendars, readiness checks, and execution gates.</w:t>
      </w:r>
    </w:p>
    <w:p w14:paraId="1A09525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This layer makes the system executable.</w:t>
      </w:r>
    </w:p>
    <w:p w14:paraId="72A9CF1D" w14:textId="6E3B4A0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lastRenderedPageBreak/>
        <w:t>Financial layer</w:t>
      </w:r>
    </w:p>
    <w:p w14:paraId="777B8C1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financial layer includes budgets, capital deployment, cash-flow monitoring, reserves, PRU assessment, RAP design, SPV or fund structuring, investor reporting, and risk management.</w:t>
      </w:r>
    </w:p>
    <w:p w14:paraId="59BB02A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This layer makes the system financeable.</w:t>
      </w:r>
    </w:p>
    <w:p w14:paraId="7662DECB"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Interface layer</w:t>
      </w:r>
    </w:p>
    <w:p w14:paraId="4A0A0F2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interface layer includes dashboards, governance tools, investor reports, public communication, educational material, and institutional data rooms.</w:t>
      </w:r>
    </w:p>
    <w:p w14:paraId="7EF50DE1"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This layer makes the system legible.</w:t>
      </w:r>
    </w:p>
    <w:p w14:paraId="1A227D7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Each layer supports the others.</w:t>
      </w:r>
    </w:p>
    <w:p w14:paraId="3833A9C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 weakness in one layer can compromise the whole.</w:t>
      </w:r>
    </w:p>
    <w:p w14:paraId="3104FA9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Prometheus therefore treats deployment as integrated infrastructure, not as a sequence of disconnected tasks.</w:t>
      </w:r>
    </w:p>
    <w:p w14:paraId="270DDDF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Readiness gates</w:t>
      </w:r>
    </w:p>
    <w:p w14:paraId="5A08997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Prometheus scaling should pass through readiness gates.</w:t>
      </w:r>
    </w:p>
    <w:p w14:paraId="16F4D43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 readiness gate is a formal review point that determines whether the system can advance to the next stage.</w:t>
      </w:r>
    </w:p>
    <w:p w14:paraId="497EBF6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Readiness gates may include:</w:t>
      </w:r>
    </w:p>
    <w:p w14:paraId="1E811EA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site readiness;</w:t>
      </w:r>
    </w:p>
    <w:p w14:paraId="5A81661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baseline readiness;</w:t>
      </w:r>
    </w:p>
    <w:p w14:paraId="3135C15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deployment readiness;</w:t>
      </w:r>
    </w:p>
    <w:p w14:paraId="764709A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MRV readiness;</w:t>
      </w:r>
    </w:p>
    <w:p w14:paraId="1E4A772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governance readiness;</w:t>
      </w:r>
    </w:p>
    <w:p w14:paraId="29CAF10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operational readiness;</w:t>
      </w:r>
    </w:p>
    <w:p w14:paraId="698CB6A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lastRenderedPageBreak/>
        <w:t>• PRU eligibility readiness;</w:t>
      </w:r>
    </w:p>
    <w:p w14:paraId="56476E0B"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RAP inclusion readiness;</w:t>
      </w:r>
    </w:p>
    <w:p w14:paraId="0D558C3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investor reporting readiness;</w:t>
      </w:r>
    </w:p>
    <w:p w14:paraId="25F1DDB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legal structuring readiness;</w:t>
      </w:r>
    </w:p>
    <w:p w14:paraId="4AD4BD3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tokenization readiness.</w:t>
      </w:r>
    </w:p>
    <w:p w14:paraId="5E6B656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Each gate should produce one of several outcomes:</w:t>
      </w:r>
    </w:p>
    <w:p w14:paraId="591E27B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proceed;</w:t>
      </w:r>
      <w:r w:rsidRPr="00B479AE">
        <w:rPr>
          <w:rFonts w:ascii="Baskerville Old Face" w:hAnsi="Baskerville Old Face"/>
          <w:i/>
          <w:iCs/>
        </w:rPr>
        <w:br/>
        <w:t>proceed with conditions;</w:t>
      </w:r>
      <w:r w:rsidRPr="00B479AE">
        <w:rPr>
          <w:rFonts w:ascii="Baskerville Old Face" w:hAnsi="Baskerville Old Face"/>
          <w:i/>
          <w:iCs/>
        </w:rPr>
        <w:br/>
        <w:t>manual review;</w:t>
      </w:r>
      <w:r w:rsidRPr="00B479AE">
        <w:rPr>
          <w:rFonts w:ascii="Baskerville Old Face" w:hAnsi="Baskerville Old Face"/>
          <w:i/>
          <w:iCs/>
        </w:rPr>
        <w:br/>
        <w:t>pause;</w:t>
      </w:r>
      <w:r w:rsidRPr="00B479AE">
        <w:rPr>
          <w:rFonts w:ascii="Baskerville Old Face" w:hAnsi="Baskerville Old Face"/>
          <w:i/>
          <w:iCs/>
        </w:rPr>
        <w:br/>
        <w:t>redesign;</w:t>
      </w:r>
      <w:r w:rsidRPr="00B479AE">
        <w:rPr>
          <w:rFonts w:ascii="Baskerville Old Face" w:hAnsi="Baskerville Old Face"/>
          <w:i/>
          <w:iCs/>
        </w:rPr>
        <w:br/>
        <w:t>reject;</w:t>
      </w:r>
      <w:r w:rsidRPr="00B479AE">
        <w:rPr>
          <w:rFonts w:ascii="Baskerville Old Face" w:hAnsi="Baskerville Old Face"/>
          <w:i/>
          <w:iCs/>
        </w:rPr>
        <w:br/>
        <w:t>archive.</w:t>
      </w:r>
    </w:p>
    <w:p w14:paraId="74E7592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This prevents automatic progression.</w:t>
      </w:r>
    </w:p>
    <w:p w14:paraId="6A53D85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It ensures that scale remains connected to evidence and governance.</w:t>
      </w:r>
    </w:p>
    <w:p w14:paraId="1EED511C" w14:textId="115198CB" w:rsidR="007F7B84" w:rsidRPr="00B479AE" w:rsidRDefault="007F7B84" w:rsidP="007F7B84">
      <w:pPr>
        <w:spacing w:line="360" w:lineRule="auto"/>
        <w:rPr>
          <w:rFonts w:ascii="Baskerville Old Face" w:hAnsi="Baskerville Old Face"/>
          <w:b/>
          <w:bCs/>
          <w:i/>
          <w:iCs/>
        </w:rPr>
      </w:pPr>
      <w:r w:rsidRPr="00B479AE">
        <w:rPr>
          <w:rFonts w:ascii="Baskerville Old Face" w:hAnsi="Baskerville Old Face"/>
          <w:b/>
          <w:bCs/>
          <w:i/>
          <w:iCs/>
        </w:rPr>
        <w:t>Execution Gate and Readiness Function</w:t>
      </w:r>
    </w:p>
    <w:p w14:paraId="114D696E"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Prometheus advances through readiness, not assumption.</w:t>
      </w:r>
    </w:p>
    <w:p w14:paraId="61D254A9"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A regenerative system should not move from one stage to the next merely because the vision is compelling, the market opportunity is attractive, the technology is available, or capital is interested.</w:t>
      </w:r>
    </w:p>
    <w:p w14:paraId="5D06BDF8"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Each transition must pass through an execution gate.</w:t>
      </w:r>
    </w:p>
    <w:p w14:paraId="66B2C67B"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An execution gate is a structured review point that determines whether a site, OHE, MRV process, PRU analysis, RAP inclusion, investor report, legal structure, or future tokenized representation is mature enough to proceed.</w:t>
      </w:r>
    </w:p>
    <w:p w14:paraId="73755265"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The readiness condition may be expressed as:</w:t>
      </w:r>
    </w:p>
    <w:p w14:paraId="76E6D43D" w14:textId="77777777" w:rsidR="007F7B84" w:rsidRPr="005907F1" w:rsidRDefault="007F7B84" w:rsidP="007F7B84">
      <w:pPr>
        <w:spacing w:line="360" w:lineRule="auto"/>
        <w:rPr>
          <w:rFonts w:ascii="Baskerville Old Face" w:hAnsi="Baskerville Old Face"/>
          <w:i/>
          <w:iCs/>
          <w:lang w:val="it-IT"/>
        </w:rPr>
      </w:pPr>
      <w:r w:rsidRPr="005907F1">
        <w:rPr>
          <w:rFonts w:ascii="Baskerville Old Face" w:hAnsi="Baskerville Old Face"/>
          <w:i/>
          <w:iCs/>
          <w:lang w:val="it-IT"/>
        </w:rPr>
        <w:t xml:space="preserve">Ready_stage = E_e </w:t>
      </w:r>
      <w:r w:rsidRPr="005907F1">
        <w:rPr>
          <w:rFonts w:ascii="Cambria" w:hAnsi="Cambria" w:cs="Cambria"/>
          <w:i/>
          <w:iCs/>
          <w:lang w:val="it-IT"/>
        </w:rPr>
        <w:t>·</w:t>
      </w:r>
      <w:r w:rsidRPr="005907F1">
        <w:rPr>
          <w:rFonts w:ascii="Baskerville Old Face" w:hAnsi="Baskerville Old Face"/>
          <w:i/>
          <w:iCs/>
          <w:lang w:val="it-IT"/>
        </w:rPr>
        <w:t xml:space="preserve"> M_m </w:t>
      </w:r>
      <w:r w:rsidRPr="005907F1">
        <w:rPr>
          <w:rFonts w:ascii="Cambria" w:hAnsi="Cambria" w:cs="Cambria"/>
          <w:i/>
          <w:iCs/>
          <w:lang w:val="it-IT"/>
        </w:rPr>
        <w:t>·</w:t>
      </w:r>
      <w:r w:rsidRPr="005907F1">
        <w:rPr>
          <w:rFonts w:ascii="Baskerville Old Face" w:hAnsi="Baskerville Old Face"/>
          <w:i/>
          <w:iCs/>
          <w:lang w:val="it-IT"/>
        </w:rPr>
        <w:t xml:space="preserve"> G_g </w:t>
      </w:r>
      <w:r w:rsidRPr="005907F1">
        <w:rPr>
          <w:rFonts w:ascii="Cambria" w:hAnsi="Cambria" w:cs="Cambria"/>
          <w:i/>
          <w:iCs/>
          <w:lang w:val="it-IT"/>
        </w:rPr>
        <w:t>·</w:t>
      </w:r>
      <w:r w:rsidRPr="005907F1">
        <w:rPr>
          <w:rFonts w:ascii="Baskerville Old Face" w:hAnsi="Baskerville Old Face"/>
          <w:i/>
          <w:iCs/>
          <w:lang w:val="it-IT"/>
        </w:rPr>
        <w:t xml:space="preserve"> O_o </w:t>
      </w:r>
      <w:r w:rsidRPr="005907F1">
        <w:rPr>
          <w:rFonts w:ascii="Cambria" w:hAnsi="Cambria" w:cs="Cambria"/>
          <w:i/>
          <w:iCs/>
          <w:lang w:val="it-IT"/>
        </w:rPr>
        <w:t>·</w:t>
      </w:r>
      <w:r w:rsidRPr="005907F1">
        <w:rPr>
          <w:rFonts w:ascii="Baskerville Old Face" w:hAnsi="Baskerville Old Face"/>
          <w:i/>
          <w:iCs/>
          <w:lang w:val="it-IT"/>
        </w:rPr>
        <w:t xml:space="preserve"> L_l </w:t>
      </w:r>
      <w:r w:rsidRPr="005907F1">
        <w:rPr>
          <w:rFonts w:ascii="Cambria" w:hAnsi="Cambria" w:cs="Cambria"/>
          <w:i/>
          <w:iCs/>
          <w:lang w:val="it-IT"/>
        </w:rPr>
        <w:t>·</w:t>
      </w:r>
      <w:r w:rsidRPr="005907F1">
        <w:rPr>
          <w:rFonts w:ascii="Baskerville Old Face" w:hAnsi="Baskerville Old Face"/>
          <w:i/>
          <w:iCs/>
          <w:lang w:val="it-IT"/>
        </w:rPr>
        <w:t xml:space="preserve"> R_r </w:t>
      </w:r>
      <w:r w:rsidRPr="005907F1">
        <w:rPr>
          <w:rFonts w:ascii="Cambria" w:hAnsi="Cambria" w:cs="Cambria"/>
          <w:i/>
          <w:iCs/>
          <w:lang w:val="it-IT"/>
        </w:rPr>
        <w:t>·</w:t>
      </w:r>
      <w:r w:rsidRPr="005907F1">
        <w:rPr>
          <w:rFonts w:ascii="Baskerville Old Face" w:hAnsi="Baskerville Old Face"/>
          <w:i/>
          <w:iCs/>
          <w:lang w:val="it-IT"/>
        </w:rPr>
        <w:t xml:space="preserve"> C_c</w:t>
      </w:r>
    </w:p>
    <w:p w14:paraId="10692991"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lastRenderedPageBreak/>
        <w:t>Where:</w:t>
      </w:r>
    </w:p>
    <w:p w14:paraId="2D6C4777"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Ready_stage = readiness condition for the relevant stage.</w:t>
      </w:r>
      <w:r w:rsidRPr="00B479AE">
        <w:rPr>
          <w:rFonts w:ascii="Baskerville Old Face" w:hAnsi="Baskerville Old Face"/>
          <w:i/>
          <w:iCs/>
        </w:rPr>
        <w:br/>
        <w:t>E_e = evidence readiness.</w:t>
      </w:r>
      <w:r w:rsidRPr="00B479AE">
        <w:rPr>
          <w:rFonts w:ascii="Baskerville Old Face" w:hAnsi="Baskerville Old Face"/>
          <w:i/>
          <w:iCs/>
        </w:rPr>
        <w:br/>
        <w:t>M_m = methodology readiness.</w:t>
      </w:r>
      <w:r w:rsidRPr="00B479AE">
        <w:rPr>
          <w:rFonts w:ascii="Baskerville Old Face" w:hAnsi="Baskerville Old Face"/>
          <w:i/>
          <w:iCs/>
        </w:rPr>
        <w:br/>
        <w:t>G_g = governance readiness.</w:t>
      </w:r>
      <w:r w:rsidRPr="00B479AE">
        <w:rPr>
          <w:rFonts w:ascii="Baskerville Old Face" w:hAnsi="Baskerville Old Face"/>
          <w:i/>
          <w:iCs/>
        </w:rPr>
        <w:br/>
        <w:t>O_o = operational readiness.</w:t>
      </w:r>
      <w:r w:rsidRPr="00B479AE">
        <w:rPr>
          <w:rFonts w:ascii="Baskerville Old Face" w:hAnsi="Baskerville Old Face"/>
          <w:i/>
          <w:iCs/>
        </w:rPr>
        <w:br/>
        <w:t>L_l = legal readiness where relevant.</w:t>
      </w:r>
      <w:r w:rsidRPr="00B479AE">
        <w:rPr>
          <w:rFonts w:ascii="Baskerville Old Face" w:hAnsi="Baskerville Old Face"/>
          <w:i/>
          <w:iCs/>
        </w:rPr>
        <w:br/>
        <w:t>R_r = risk review completed.</w:t>
      </w:r>
      <w:r w:rsidRPr="00B479AE">
        <w:rPr>
          <w:rFonts w:ascii="Baskerville Old Face" w:hAnsi="Baskerville Old Face"/>
          <w:i/>
          <w:iCs/>
        </w:rPr>
        <w:br/>
        <w:t>C_c = continuity and documentation readiness.</w:t>
      </w:r>
    </w:p>
    <w:p w14:paraId="2DFE6504"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If any essential readiness factor is zero, progression should not be automatic:</w:t>
      </w:r>
    </w:p>
    <w:p w14:paraId="13761A8E"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if Ready_stage = 0, then progression requires pause, redesign, remediation, manual review, or rejection</w:t>
      </w:r>
    </w:p>
    <w:p w14:paraId="34E573BB"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This condition applies differently depending on the stage.</w:t>
      </w:r>
    </w:p>
    <w:p w14:paraId="6195A4F9"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A site-readiness gate may require land-access clarity, ecological baseline feasibility, stewardship assignment, water context, risk screening, and operational viability.</w:t>
      </w:r>
    </w:p>
    <w:p w14:paraId="44E6CEB5"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A baseline-readiness gate may require sufficient starting data, sampling plan, geolocation, methodology, time reference, and data-room structure.</w:t>
      </w:r>
    </w:p>
    <w:p w14:paraId="6594BEF5"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An MRV-readiness gate may require sensor plan, laboratory pathway, field observation protocol, provenance design, confidence scoring, and review workflow.</w:t>
      </w:r>
    </w:p>
    <w:p w14:paraId="166EA89B"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A PRU-eligibility gate may require verified indicators, methodology alignment, confidence scoring, admissibility review, no-double-counting checks, and governance review.</w:t>
      </w:r>
    </w:p>
    <w:p w14:paraId="2E46EF7E"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A RAP-inclusion gate may require unit-level PRU analysis, diversification logic, portfolio-risk review, legal boundary, reporting compatibility, and concentration-risk assessment.</w:t>
      </w:r>
    </w:p>
    <w:p w14:paraId="725E7C8D"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An investor-reporting gate may require evidence maturity, legal review, disclaimer discipline, capital-readiness classification, risk disclosure, and data-room support.</w:t>
      </w:r>
    </w:p>
    <w:p w14:paraId="2DDD2DE0"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A tokenization-readiness gate may require MRV admissibility, PRU/RAP legal structuring, defined rights, disclosure, technical audit, governance approval, anti-double-counting controls, and jurisdiction-specific compliance.</w:t>
      </w:r>
    </w:p>
    <w:p w14:paraId="1935BF92"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lastRenderedPageBreak/>
        <w:t>The gate outcome may be classified as:</w:t>
      </w:r>
    </w:p>
    <w:p w14:paraId="3E030BAC"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b/>
          <w:bCs/>
          <w:i/>
          <w:iCs/>
        </w:rPr>
        <w:t>Proceed</w:t>
      </w:r>
    </w:p>
    <w:p w14:paraId="15E391D7"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The stage has sufficient readiness to advance.</w:t>
      </w:r>
    </w:p>
    <w:p w14:paraId="565E9C1A"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b/>
          <w:bCs/>
          <w:i/>
          <w:iCs/>
        </w:rPr>
        <w:t>Proceed with conditions</w:t>
      </w:r>
    </w:p>
    <w:p w14:paraId="069777BA"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The stage may advance only if specific conditions, limits, or remediation steps are satisfied.</w:t>
      </w:r>
    </w:p>
    <w:p w14:paraId="7BD8CBB8"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b/>
          <w:bCs/>
          <w:i/>
          <w:iCs/>
        </w:rPr>
        <w:t>Manual review</w:t>
      </w:r>
    </w:p>
    <w:p w14:paraId="470C580A"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The stage requires further human, governance, legal, scientific, MRV, or technical review.</w:t>
      </w:r>
    </w:p>
    <w:p w14:paraId="3F9A5DC3"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b/>
          <w:bCs/>
          <w:i/>
          <w:iCs/>
        </w:rPr>
        <w:t>Pause</w:t>
      </w:r>
    </w:p>
    <w:p w14:paraId="200BCB6C"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The stage should not advance until material uncertainty is resolved.</w:t>
      </w:r>
    </w:p>
    <w:p w14:paraId="7F87AFF1"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b/>
          <w:bCs/>
          <w:i/>
          <w:iCs/>
        </w:rPr>
        <w:t>Redesign</w:t>
      </w:r>
    </w:p>
    <w:p w14:paraId="1375BC38"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The stage requires structural redesign before further review.</w:t>
      </w:r>
    </w:p>
    <w:p w14:paraId="26C27A00"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b/>
          <w:bCs/>
          <w:i/>
          <w:iCs/>
        </w:rPr>
        <w:t>Reject</w:t>
      </w:r>
    </w:p>
    <w:p w14:paraId="0DCF1AAF"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The stage fails the readiness condition.</w:t>
      </w:r>
    </w:p>
    <w:p w14:paraId="5D3F6664"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b/>
          <w:bCs/>
          <w:i/>
          <w:iCs/>
        </w:rPr>
        <w:t>Archive</w:t>
      </w:r>
    </w:p>
    <w:p w14:paraId="6447FAB8"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The stage or claim is preserved for research, history, or future reconsideration, but does not advance.</w:t>
      </w:r>
    </w:p>
    <w:p w14:paraId="386A505E"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A simplified gate decision function may be expressed as:</w:t>
      </w:r>
    </w:p>
    <w:p w14:paraId="6199F2B9"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Gate_decision = f(Ready_stage, Risk_level, Evidence_maturity, Legal_boundary, Source_fidelity)</w:t>
      </w:r>
    </w:p>
    <w:p w14:paraId="6A019578"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Where progression is permitted only when the gate decision is compatible with the relevant stage.</w:t>
      </w:r>
    </w:p>
    <w:p w14:paraId="59D01CDF"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The operational sequence is:</w:t>
      </w:r>
    </w:p>
    <w:p w14:paraId="1FF06FA7"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 xml:space="preserve">proposal </w:t>
      </w:r>
      <w:r w:rsidRPr="00B479AE">
        <w:rPr>
          <w:rFonts w:ascii="Times New Roman" w:hAnsi="Times New Roman" w:cs="Times New Roman"/>
          <w:i/>
          <w:iCs/>
        </w:rPr>
        <w:t>→</w:t>
      </w:r>
      <w:r w:rsidRPr="00B479AE">
        <w:rPr>
          <w:rFonts w:ascii="Baskerville Old Face" w:hAnsi="Baskerville Old Face"/>
          <w:i/>
          <w:iCs/>
        </w:rPr>
        <w:t xml:space="preserve"> readiness review </w:t>
      </w:r>
      <w:r w:rsidRPr="00B479AE">
        <w:rPr>
          <w:rFonts w:ascii="Times New Roman" w:hAnsi="Times New Roman" w:cs="Times New Roman"/>
          <w:i/>
          <w:iCs/>
        </w:rPr>
        <w:t>→</w:t>
      </w:r>
      <w:r w:rsidRPr="00B479AE">
        <w:rPr>
          <w:rFonts w:ascii="Baskerville Old Face" w:hAnsi="Baskerville Old Face"/>
          <w:i/>
          <w:iCs/>
        </w:rPr>
        <w:t xml:space="preserve"> gate decision </w:t>
      </w:r>
      <w:r w:rsidRPr="00B479AE">
        <w:rPr>
          <w:rFonts w:ascii="Times New Roman" w:hAnsi="Times New Roman" w:cs="Times New Roman"/>
          <w:i/>
          <w:iCs/>
        </w:rPr>
        <w:t>→</w:t>
      </w:r>
      <w:r w:rsidRPr="00B479AE">
        <w:rPr>
          <w:rFonts w:ascii="Baskerville Old Face" w:hAnsi="Baskerville Old Face"/>
          <w:i/>
          <w:iCs/>
        </w:rPr>
        <w:t xml:space="preserve"> authorized progression </w:t>
      </w:r>
      <w:r w:rsidRPr="00B479AE">
        <w:rPr>
          <w:rFonts w:ascii="Times New Roman" w:hAnsi="Times New Roman" w:cs="Times New Roman"/>
          <w:i/>
          <w:iCs/>
        </w:rPr>
        <w:t>→</w:t>
      </w:r>
      <w:r w:rsidRPr="00B479AE">
        <w:rPr>
          <w:rFonts w:ascii="Baskerville Old Face" w:hAnsi="Baskerville Old Face"/>
          <w:i/>
          <w:iCs/>
        </w:rPr>
        <w:t xml:space="preserve"> record </w:t>
      </w:r>
      <w:r w:rsidRPr="00B479AE">
        <w:rPr>
          <w:rFonts w:ascii="Times New Roman" w:hAnsi="Times New Roman" w:cs="Times New Roman"/>
          <w:i/>
          <w:iCs/>
        </w:rPr>
        <w:t>→</w:t>
      </w:r>
      <w:r w:rsidRPr="00B479AE">
        <w:rPr>
          <w:rFonts w:ascii="Baskerville Old Face" w:hAnsi="Baskerville Old Face"/>
          <w:i/>
          <w:iCs/>
        </w:rPr>
        <w:t xml:space="preserve"> monitoring</w:t>
      </w:r>
    </w:p>
    <w:p w14:paraId="65F82EEF"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This prevents Prometheus from silently sliding from possibility into claim, from claim into value, from value into instrument, or from instrument into public-facing representation.</w:t>
      </w:r>
    </w:p>
    <w:p w14:paraId="7D2D7BC9"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lastRenderedPageBreak/>
        <w:t>The readiness principle is:</w:t>
      </w:r>
    </w:p>
    <w:p w14:paraId="54F2BC9D"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potential does not equal readiness;</w:t>
      </w:r>
      <w:r w:rsidRPr="00B479AE">
        <w:rPr>
          <w:rFonts w:ascii="Baskerville Old Face" w:hAnsi="Baskerville Old Face"/>
          <w:i/>
          <w:iCs/>
        </w:rPr>
        <w:br/>
        <w:t>readiness does not equal authorization;</w:t>
      </w:r>
      <w:r w:rsidRPr="00B479AE">
        <w:rPr>
          <w:rFonts w:ascii="Baskerville Old Face" w:hAnsi="Baskerville Old Face"/>
          <w:i/>
          <w:iCs/>
        </w:rPr>
        <w:br/>
        <w:t>authorization does not equal unrestricted use.</w:t>
      </w:r>
    </w:p>
    <w:p w14:paraId="7F3AB0C4"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Each stage has its own scope.</w:t>
      </w:r>
    </w:p>
    <w:p w14:paraId="099C5853"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A site may be ready for pilot deployment but not for PRU analysis.</w:t>
      </w:r>
    </w:p>
    <w:p w14:paraId="4DF52B36"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A PRU analysis may be ready for internal review but not for investor-facing use.</w:t>
      </w:r>
    </w:p>
    <w:p w14:paraId="5187A642"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A RAP may be ready for portfolio design but not for legal structuring.</w:t>
      </w:r>
    </w:p>
    <w:p w14:paraId="5C02248A"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A dashboard may be ready for operational monitoring but not for capital-facing claims.</w:t>
      </w:r>
    </w:p>
    <w:p w14:paraId="5940B7EB"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A token model may be ready for sandbox research but not for issuance.</w:t>
      </w:r>
    </w:p>
    <w:p w14:paraId="22DCA0E4"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This distinction is essential.</w:t>
      </w:r>
    </w:p>
    <w:p w14:paraId="05152199"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Prometheus is not designed to suppress ambition.</w:t>
      </w:r>
    </w:p>
    <w:p w14:paraId="16B6AB19"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It is designed to sequence ambition correctly.</w:t>
      </w:r>
    </w:p>
    <w:p w14:paraId="78CEA09D"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The correct pathway is:</w:t>
      </w:r>
    </w:p>
    <w:p w14:paraId="29F4B2A1"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readiness first;</w:t>
      </w:r>
      <w:r w:rsidRPr="00B479AE">
        <w:rPr>
          <w:rFonts w:ascii="Baskerville Old Face" w:hAnsi="Baskerville Old Face"/>
          <w:i/>
          <w:iCs/>
        </w:rPr>
        <w:br/>
        <w:t>authorization second;</w:t>
      </w:r>
      <w:r w:rsidRPr="00B479AE">
        <w:rPr>
          <w:rFonts w:ascii="Baskerville Old Face" w:hAnsi="Baskerville Old Face"/>
          <w:i/>
          <w:iCs/>
        </w:rPr>
        <w:br/>
        <w:t>execution third;</w:t>
      </w:r>
      <w:r w:rsidRPr="00B479AE">
        <w:rPr>
          <w:rFonts w:ascii="Baskerville Old Face" w:hAnsi="Baskerville Old Face"/>
          <w:i/>
          <w:iCs/>
        </w:rPr>
        <w:br/>
        <w:t>verification fourth;</w:t>
      </w:r>
      <w:r w:rsidRPr="00B479AE">
        <w:rPr>
          <w:rFonts w:ascii="Baskerville Old Face" w:hAnsi="Baskerville Old Face"/>
          <w:i/>
          <w:iCs/>
        </w:rPr>
        <w:br/>
        <w:t>reporting fifth;</w:t>
      </w:r>
      <w:r w:rsidRPr="00B479AE">
        <w:rPr>
          <w:rFonts w:ascii="Baskerville Old Face" w:hAnsi="Baskerville Old Face"/>
          <w:i/>
          <w:iCs/>
        </w:rPr>
        <w:br/>
        <w:t>capital use last.</w:t>
      </w:r>
    </w:p>
    <w:p w14:paraId="2B758D40"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Execution gates are therefore not bureaucratic friction.</w:t>
      </w:r>
    </w:p>
    <w:p w14:paraId="57B8A405"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They are the immune system of Prometheus.</w:t>
      </w:r>
    </w:p>
    <w:p w14:paraId="61793080"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They prevent premature scale, premature claims, premature financialization, premature tokenization, and premature institutional exposure.</w:t>
      </w:r>
    </w:p>
    <w:p w14:paraId="014692CB"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A living system matures through stages.</w:t>
      </w:r>
    </w:p>
    <w:p w14:paraId="0B7A25A1"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lastRenderedPageBreak/>
        <w:t>Prometheus must do the same.</w:t>
      </w:r>
    </w:p>
    <w:p w14:paraId="3A813061" w14:textId="77777777" w:rsidR="007F7B84" w:rsidRPr="00B479AE" w:rsidRDefault="007F7B84" w:rsidP="007F7B84">
      <w:pPr>
        <w:spacing w:line="360" w:lineRule="auto"/>
        <w:rPr>
          <w:rFonts w:ascii="Baskerville Old Face" w:hAnsi="Baskerville Old Face"/>
          <w:b/>
          <w:bCs/>
          <w:i/>
          <w:iCs/>
        </w:rPr>
      </w:pPr>
      <w:r w:rsidRPr="00B479AE">
        <w:rPr>
          <w:rFonts w:ascii="Baskerville Old Face" w:hAnsi="Baskerville Old Face"/>
          <w:b/>
          <w:bCs/>
          <w:i/>
          <w:iCs/>
        </w:rPr>
        <w:t>Formula boundary</w:t>
      </w:r>
    </w:p>
    <w:p w14:paraId="0929C42C"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Ready_stage and Gate_decision are methodological and governance-readiness functions.</w:t>
      </w:r>
    </w:p>
    <w:p w14:paraId="225771AD"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They do not create automatic authorization, legal enforceability, investor rights, PRU value, RAP inclusion, token issuance, governance approval, or financial claims.</w:t>
      </w:r>
    </w:p>
    <w:p w14:paraId="0FB0BB57"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They define the internal Prometheus discipline for determining whether a stage may proceed, pause, be redesigned, be rejected, or remain research-only.</w:t>
      </w:r>
    </w:p>
    <w:p w14:paraId="0A0FA2A5"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Formal consequences require the relevant operational, governance, MRV, legal, technical, capital-readiness, or source-layer review pathway.</w:t>
      </w:r>
    </w:p>
    <w:p w14:paraId="66FF2A89" w14:textId="46CD332D" w:rsidR="00BD4B5F" w:rsidRPr="00B479AE" w:rsidRDefault="00BD4B5F" w:rsidP="00BD4B5F">
      <w:pPr>
        <w:spacing w:line="360" w:lineRule="auto"/>
        <w:rPr>
          <w:rFonts w:ascii="Baskerville Old Face" w:hAnsi="Baskerville Old Face"/>
          <w:b/>
          <w:bCs/>
          <w:i/>
          <w:iCs/>
        </w:rPr>
      </w:pPr>
      <w:r w:rsidRPr="00B479AE">
        <w:rPr>
          <w:rFonts w:ascii="Baskerville Old Face" w:hAnsi="Baskerville Old Face"/>
          <w:b/>
          <w:bCs/>
          <w:i/>
          <w:iCs/>
        </w:rPr>
        <w:t>Pilot-to-Scale Coherence Function</w:t>
      </w:r>
    </w:p>
    <w:p w14:paraId="660FA8DA"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Prometheus scales through coherence, not acceleration.</w:t>
      </w:r>
    </w:p>
    <w:p w14:paraId="01CDA04C"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A pilot becomes scalable only when the system demonstrates that ecological performance, MRV evidence, governance, operations, legal boundaries, capital-readiness, and source-layer fidelity can remain aligned under real conditions.</w:t>
      </w:r>
    </w:p>
    <w:p w14:paraId="488B22B4"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The pilot-to-scale condition may be expressed as:</w:t>
      </w:r>
    </w:p>
    <w:p w14:paraId="1CBF3BD8"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 xml:space="preserve">Scale_readiness = E_perf </w:t>
      </w:r>
      <w:r w:rsidRPr="00B479AE">
        <w:rPr>
          <w:rFonts w:ascii="Cambria" w:hAnsi="Cambria" w:cs="Cambria"/>
          <w:i/>
          <w:iCs/>
        </w:rPr>
        <w:t>·</w:t>
      </w:r>
      <w:r w:rsidRPr="00B479AE">
        <w:rPr>
          <w:rFonts w:ascii="Baskerville Old Face" w:hAnsi="Baskerville Old Face"/>
          <w:i/>
          <w:iCs/>
        </w:rPr>
        <w:t xml:space="preserve"> MRV_conf </w:t>
      </w:r>
      <w:r w:rsidRPr="00B479AE">
        <w:rPr>
          <w:rFonts w:ascii="Cambria" w:hAnsi="Cambria" w:cs="Cambria"/>
          <w:i/>
          <w:iCs/>
        </w:rPr>
        <w:t>·</w:t>
      </w:r>
      <w:r w:rsidRPr="00B479AE">
        <w:rPr>
          <w:rFonts w:ascii="Baskerville Old Face" w:hAnsi="Baskerville Old Face"/>
          <w:i/>
          <w:iCs/>
        </w:rPr>
        <w:t xml:space="preserve"> G_coh </w:t>
      </w:r>
      <w:r w:rsidRPr="00B479AE">
        <w:rPr>
          <w:rFonts w:ascii="Cambria" w:hAnsi="Cambria" w:cs="Cambria"/>
          <w:i/>
          <w:iCs/>
        </w:rPr>
        <w:t>·</w:t>
      </w:r>
      <w:r w:rsidRPr="00B479AE">
        <w:rPr>
          <w:rFonts w:ascii="Baskerville Old Face" w:hAnsi="Baskerville Old Face"/>
          <w:i/>
          <w:iCs/>
        </w:rPr>
        <w:t xml:space="preserve"> O_rel </w:t>
      </w:r>
      <w:r w:rsidRPr="00B479AE">
        <w:rPr>
          <w:rFonts w:ascii="Cambria" w:hAnsi="Cambria" w:cs="Cambria"/>
          <w:i/>
          <w:iCs/>
        </w:rPr>
        <w:t>·</w:t>
      </w:r>
      <w:r w:rsidRPr="00B479AE">
        <w:rPr>
          <w:rFonts w:ascii="Baskerville Old Face" w:hAnsi="Baskerville Old Face"/>
          <w:i/>
          <w:iCs/>
        </w:rPr>
        <w:t xml:space="preserve"> L_clarity </w:t>
      </w:r>
      <w:r w:rsidRPr="00B479AE">
        <w:rPr>
          <w:rFonts w:ascii="Cambria" w:hAnsi="Cambria" w:cs="Cambria"/>
          <w:i/>
          <w:iCs/>
        </w:rPr>
        <w:t>·</w:t>
      </w:r>
      <w:r w:rsidRPr="00B479AE">
        <w:rPr>
          <w:rFonts w:ascii="Baskerville Old Face" w:hAnsi="Baskerville Old Face"/>
          <w:i/>
          <w:iCs/>
        </w:rPr>
        <w:t xml:space="preserve"> C_cap </w:t>
      </w:r>
      <w:r w:rsidRPr="00B479AE">
        <w:rPr>
          <w:rFonts w:ascii="Cambria" w:hAnsi="Cambria" w:cs="Cambria"/>
          <w:i/>
          <w:iCs/>
        </w:rPr>
        <w:t>·</w:t>
      </w:r>
      <w:r w:rsidRPr="00B479AE">
        <w:rPr>
          <w:rFonts w:ascii="Baskerville Old Face" w:hAnsi="Baskerville Old Face"/>
          <w:i/>
          <w:iCs/>
        </w:rPr>
        <w:t xml:space="preserve"> S_fidelity</w:t>
      </w:r>
    </w:p>
    <w:p w14:paraId="6F679FE3"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Where:</w:t>
      </w:r>
    </w:p>
    <w:p w14:paraId="756DC02C"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Scale_readiness = readiness of the system to move from pilot to broader deployment.</w:t>
      </w:r>
      <w:r w:rsidRPr="00B479AE">
        <w:rPr>
          <w:rFonts w:ascii="Baskerville Old Face" w:hAnsi="Baskerville Old Face"/>
          <w:i/>
          <w:iCs/>
        </w:rPr>
        <w:br/>
        <w:t>E_perf = ecological performance demonstrated.</w:t>
      </w:r>
      <w:r w:rsidRPr="00B479AE">
        <w:rPr>
          <w:rFonts w:ascii="Baskerville Old Face" w:hAnsi="Baskerville Old Face"/>
          <w:i/>
          <w:iCs/>
        </w:rPr>
        <w:br/>
        <w:t>MRV_conf = MRV confidence sufficient for the intended stage.</w:t>
      </w:r>
      <w:r w:rsidRPr="00B479AE">
        <w:rPr>
          <w:rFonts w:ascii="Baskerville Old Face" w:hAnsi="Baskerville Old Face"/>
          <w:i/>
          <w:iCs/>
        </w:rPr>
        <w:br/>
        <w:t>G_coh = governance coherence preserved.</w:t>
      </w:r>
      <w:r w:rsidRPr="00B479AE">
        <w:rPr>
          <w:rFonts w:ascii="Baskerville Old Face" w:hAnsi="Baskerville Old Face"/>
          <w:i/>
          <w:iCs/>
        </w:rPr>
        <w:br/>
        <w:t>O_rel = operational reliability demonstrated.</w:t>
      </w:r>
      <w:r w:rsidRPr="00B479AE">
        <w:rPr>
          <w:rFonts w:ascii="Baskerville Old Face" w:hAnsi="Baskerville Old Face"/>
          <w:i/>
          <w:iCs/>
        </w:rPr>
        <w:br/>
        <w:t>L_clarity = legal clarity sufficient for the relevant stage.</w:t>
      </w:r>
      <w:r w:rsidRPr="00B479AE">
        <w:rPr>
          <w:rFonts w:ascii="Baskerville Old Face" w:hAnsi="Baskerville Old Face"/>
          <w:i/>
          <w:iCs/>
        </w:rPr>
        <w:br/>
        <w:t>C_cap = capital-readiness appropriate to the maturity of evidence.</w:t>
      </w:r>
      <w:r w:rsidRPr="00B479AE">
        <w:rPr>
          <w:rFonts w:ascii="Baskerville Old Face" w:hAnsi="Baskerville Old Face"/>
          <w:i/>
          <w:iCs/>
        </w:rPr>
        <w:br/>
        <w:t>S_fidelity = source-layer fidelity preserved.</w:t>
      </w:r>
    </w:p>
    <w:p w14:paraId="0E7249CE"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If any essential factor is materially weak, Prometheus should not scale automatically:</w:t>
      </w:r>
    </w:p>
    <w:p w14:paraId="51861404"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lastRenderedPageBreak/>
        <w:t>if Scale_readiness = 0, then scale must pause, narrow, redesign, or remain pilot-bound</w:t>
      </w:r>
    </w:p>
    <w:p w14:paraId="1FBAAF6D"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This does not mean that Prometheus should avoid ambition.</w:t>
      </w:r>
    </w:p>
    <w:p w14:paraId="57E8B77F"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It means ambition must remain sequenced.</w:t>
      </w:r>
    </w:p>
    <w:p w14:paraId="15D4673E"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A system that scales faster than its evidence becomes speculative.</w:t>
      </w:r>
    </w:p>
    <w:p w14:paraId="108982C7"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A system that scales faster than its governance becomes unstable.</w:t>
      </w:r>
    </w:p>
    <w:p w14:paraId="066ACA30"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A system that scales faster than its operations becomes fragile.</w:t>
      </w:r>
    </w:p>
    <w:p w14:paraId="49DB4843"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A system that scales faster than its legal clarity becomes risky.</w:t>
      </w:r>
    </w:p>
    <w:p w14:paraId="7C700E59"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A system that scales faster than its source-layer fidelity becomes vulnerable to semantic capture.</w:t>
      </w:r>
    </w:p>
    <w:p w14:paraId="71E36EA1"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The correct scaling pathway is:</w:t>
      </w:r>
    </w:p>
    <w:p w14:paraId="3D1811E5" w14:textId="01096BB8"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 xml:space="preserve">pilot coherence </w:t>
      </w:r>
      <w:r w:rsidRPr="00B479AE">
        <w:rPr>
          <w:rFonts w:ascii="Times New Roman" w:hAnsi="Times New Roman" w:cs="Times New Roman"/>
          <w:i/>
          <w:iCs/>
        </w:rPr>
        <w:t>→</w:t>
      </w:r>
      <w:r w:rsidRPr="00B479AE">
        <w:rPr>
          <w:rFonts w:ascii="Baskerville Old Face" w:hAnsi="Baskerville Old Face"/>
          <w:i/>
          <w:iCs/>
        </w:rPr>
        <w:t xml:space="preserve"> validated unit </w:t>
      </w:r>
      <w:r w:rsidRPr="00B479AE">
        <w:rPr>
          <w:rFonts w:ascii="Times New Roman" w:hAnsi="Times New Roman" w:cs="Times New Roman"/>
          <w:i/>
          <w:iCs/>
        </w:rPr>
        <w:t>→</w:t>
      </w:r>
      <w:r w:rsidRPr="00B479AE">
        <w:rPr>
          <w:rFonts w:ascii="Baskerville Old Face" w:hAnsi="Baskerville Old Face"/>
          <w:i/>
          <w:iCs/>
        </w:rPr>
        <w:t xml:space="preserve"> local cluster </w:t>
      </w:r>
      <w:r w:rsidRPr="00B479AE">
        <w:rPr>
          <w:rFonts w:ascii="Times New Roman" w:hAnsi="Times New Roman" w:cs="Times New Roman"/>
          <w:i/>
          <w:iCs/>
        </w:rPr>
        <w:t>→</w:t>
      </w:r>
      <w:r w:rsidRPr="00B479AE">
        <w:rPr>
          <w:rFonts w:ascii="Baskerville Old Face" w:hAnsi="Baskerville Old Face"/>
          <w:i/>
          <w:iCs/>
        </w:rPr>
        <w:t xml:space="preserve"> bioregional network </w:t>
      </w:r>
      <w:r w:rsidRPr="00B479AE">
        <w:rPr>
          <w:rFonts w:ascii="Times New Roman" w:hAnsi="Times New Roman" w:cs="Times New Roman"/>
          <w:i/>
          <w:iCs/>
        </w:rPr>
        <w:t>→</w:t>
      </w:r>
      <w:r w:rsidRPr="00B479AE">
        <w:rPr>
          <w:rFonts w:ascii="Baskerville Old Face" w:hAnsi="Baskerville Old Face"/>
          <w:i/>
          <w:iCs/>
        </w:rPr>
        <w:t xml:space="preserve"> RAP readiness </w:t>
      </w:r>
      <w:r w:rsidRPr="00B479AE">
        <w:rPr>
          <w:rFonts w:ascii="Times New Roman" w:hAnsi="Times New Roman" w:cs="Times New Roman"/>
          <w:i/>
          <w:iCs/>
        </w:rPr>
        <w:t>→</w:t>
      </w:r>
      <w:r w:rsidRPr="00B479AE">
        <w:rPr>
          <w:rFonts w:ascii="Baskerville Old Face" w:hAnsi="Baskerville Old Face"/>
          <w:i/>
          <w:iCs/>
        </w:rPr>
        <w:t xml:space="preserve"> institutional structuring</w:t>
      </w:r>
      <w:r w:rsidR="00175E64">
        <w:rPr>
          <w:rFonts w:ascii="Baskerville Old Face" w:hAnsi="Baskerville Old Face"/>
          <w:i/>
          <w:iCs/>
        </w:rPr>
        <w:t xml:space="preserve"> </w:t>
      </w:r>
    </w:p>
    <w:p w14:paraId="5F735E53"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Each stage must preserve the relationship among:</w:t>
      </w:r>
    </w:p>
    <w:p w14:paraId="67F671B6"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life;</w:t>
      </w:r>
      <w:r w:rsidRPr="00B479AE">
        <w:rPr>
          <w:rFonts w:ascii="Baskerville Old Face" w:hAnsi="Baskerville Old Face"/>
          <w:i/>
          <w:iCs/>
        </w:rPr>
        <w:br/>
        <w:t>evidence;</w:t>
      </w:r>
      <w:r w:rsidRPr="00B479AE">
        <w:rPr>
          <w:rFonts w:ascii="Baskerville Old Face" w:hAnsi="Baskerville Old Face"/>
          <w:i/>
          <w:iCs/>
        </w:rPr>
        <w:br/>
        <w:t>governance;</w:t>
      </w:r>
      <w:r w:rsidRPr="00B479AE">
        <w:rPr>
          <w:rFonts w:ascii="Baskerville Old Face" w:hAnsi="Baskerville Old Face"/>
          <w:i/>
          <w:iCs/>
        </w:rPr>
        <w:br/>
        <w:t>law;</w:t>
      </w:r>
      <w:r w:rsidRPr="00B479AE">
        <w:rPr>
          <w:rFonts w:ascii="Baskerville Old Face" w:hAnsi="Baskerville Old Face"/>
          <w:i/>
          <w:iCs/>
        </w:rPr>
        <w:br/>
        <w:t>capital;</w:t>
      </w:r>
      <w:r w:rsidRPr="00B479AE">
        <w:rPr>
          <w:rFonts w:ascii="Baskerville Old Face" w:hAnsi="Baskerville Old Face"/>
          <w:i/>
          <w:iCs/>
        </w:rPr>
        <w:br/>
        <w:t>continuity.</w:t>
      </w:r>
    </w:p>
    <w:p w14:paraId="747551F8"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The pilot is therefore not a small version of the final system.</w:t>
      </w:r>
    </w:p>
    <w:p w14:paraId="53D684CA"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It is the integrity test of the final system.</w:t>
      </w:r>
    </w:p>
    <w:p w14:paraId="67B11039"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A pilot should demonstrate:</w:t>
      </w:r>
    </w:p>
    <w:p w14:paraId="0EC8488E"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that ecological intervention can be executed;</w:t>
      </w:r>
      <w:r w:rsidRPr="00B479AE">
        <w:rPr>
          <w:rFonts w:ascii="Baskerville Old Face" w:hAnsi="Baskerville Old Face"/>
          <w:i/>
          <w:iCs/>
        </w:rPr>
        <w:br/>
        <w:t>that baseline conditions can be recorded;</w:t>
      </w:r>
      <w:r w:rsidRPr="00B479AE">
        <w:rPr>
          <w:rFonts w:ascii="Baskerville Old Face" w:hAnsi="Baskerville Old Face"/>
          <w:i/>
          <w:iCs/>
        </w:rPr>
        <w:br/>
        <w:t>that evidence can be collected;</w:t>
      </w:r>
      <w:r w:rsidRPr="00B479AE">
        <w:rPr>
          <w:rFonts w:ascii="Baskerville Old Face" w:hAnsi="Baskerville Old Face"/>
          <w:i/>
          <w:iCs/>
        </w:rPr>
        <w:br/>
        <w:t>that MRV can classify evidence;</w:t>
      </w:r>
      <w:r w:rsidRPr="00B479AE">
        <w:rPr>
          <w:rFonts w:ascii="Baskerville Old Face" w:hAnsi="Baskerville Old Face"/>
          <w:i/>
          <w:iCs/>
        </w:rPr>
        <w:br/>
      </w:r>
      <w:r w:rsidRPr="00B479AE">
        <w:rPr>
          <w:rFonts w:ascii="Baskerville Old Face" w:hAnsi="Baskerville Old Face"/>
          <w:i/>
          <w:iCs/>
        </w:rPr>
        <w:lastRenderedPageBreak/>
        <w:t>that governance can review decisions;</w:t>
      </w:r>
      <w:r w:rsidRPr="00B479AE">
        <w:rPr>
          <w:rFonts w:ascii="Baskerville Old Face" w:hAnsi="Baskerville Old Face"/>
          <w:i/>
          <w:iCs/>
        </w:rPr>
        <w:br/>
        <w:t>that operational records can remain traceable;</w:t>
      </w:r>
      <w:r w:rsidRPr="00B479AE">
        <w:rPr>
          <w:rFonts w:ascii="Baskerville Old Face" w:hAnsi="Baskerville Old Face"/>
          <w:i/>
          <w:iCs/>
        </w:rPr>
        <w:br/>
        <w:t>that PRU logic can be applied conservatively;</w:t>
      </w:r>
      <w:r w:rsidRPr="00B479AE">
        <w:rPr>
          <w:rFonts w:ascii="Baskerville Old Face" w:hAnsi="Baskerville Old Face"/>
          <w:i/>
          <w:iCs/>
        </w:rPr>
        <w:br/>
        <w:t>that risks can be disclosed;</w:t>
      </w:r>
      <w:r w:rsidRPr="00B479AE">
        <w:rPr>
          <w:rFonts w:ascii="Baskerville Old Face" w:hAnsi="Baskerville Old Face"/>
          <w:i/>
          <w:iCs/>
        </w:rPr>
        <w:br/>
        <w:t>that legal boundaries can be preserved;</w:t>
      </w:r>
      <w:r w:rsidRPr="00B479AE">
        <w:rPr>
          <w:rFonts w:ascii="Baskerville Old Face" w:hAnsi="Baskerville Old Face"/>
          <w:i/>
          <w:iCs/>
        </w:rPr>
        <w:br/>
        <w:t>that capital-facing language can remain disciplined;</w:t>
      </w:r>
      <w:r w:rsidRPr="00B479AE">
        <w:rPr>
          <w:rFonts w:ascii="Baskerville Old Face" w:hAnsi="Baskerville Old Face"/>
          <w:i/>
          <w:iCs/>
        </w:rPr>
        <w:br/>
        <w:t>that source-layer fidelity can survive real implementation.</w:t>
      </w:r>
    </w:p>
    <w:p w14:paraId="34942E01"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Only then does scale become legitimate.</w:t>
      </w:r>
    </w:p>
    <w:p w14:paraId="33B59B9B"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The scaling equation may also be summarized as:</w:t>
      </w:r>
    </w:p>
    <w:p w14:paraId="591F4879"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Scale = Replication × Coherence × Evidence × Adaptation</w:t>
      </w:r>
    </w:p>
    <w:p w14:paraId="202C2885"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Replication alone is not scale.</w:t>
      </w:r>
    </w:p>
    <w:p w14:paraId="591B32A2"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Copying an OHE design without adapting it to soil, water, climate, species, community, stewardship capacity, legal context, and MRV conditions creates fragility.</w:t>
      </w:r>
    </w:p>
    <w:p w14:paraId="03725329"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Coherence means that each new deployment preserves the logic of Prometheus while adapting to place.</w:t>
      </w:r>
    </w:p>
    <w:p w14:paraId="53ED0B5C"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Evidence means that expansion remains tied to measurable performance.</w:t>
      </w:r>
    </w:p>
    <w:p w14:paraId="47D99C7E"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Adaptation means that the system learns from each deployment instead of forcing uniformity.</w:t>
      </w:r>
    </w:p>
    <w:p w14:paraId="02555FF9"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The operational rule is:</w:t>
      </w:r>
    </w:p>
    <w:p w14:paraId="204F90E7"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replicate patterns;</w:t>
      </w:r>
      <w:r w:rsidRPr="00B479AE">
        <w:rPr>
          <w:rFonts w:ascii="Baskerville Old Face" w:hAnsi="Baskerville Old Face"/>
          <w:i/>
          <w:iCs/>
        </w:rPr>
        <w:br/>
        <w:t>adapt to place;</w:t>
      </w:r>
      <w:r w:rsidRPr="00B479AE">
        <w:rPr>
          <w:rFonts w:ascii="Baskerville Old Face" w:hAnsi="Baskerville Old Face"/>
          <w:i/>
          <w:iCs/>
        </w:rPr>
        <w:br/>
        <w:t>verify performance;</w:t>
      </w:r>
      <w:r w:rsidRPr="00B479AE">
        <w:rPr>
          <w:rFonts w:ascii="Baskerville Old Face" w:hAnsi="Baskerville Old Face"/>
          <w:i/>
          <w:iCs/>
        </w:rPr>
        <w:br/>
        <w:t>preserve the source layer.</w:t>
      </w:r>
    </w:p>
    <w:p w14:paraId="27769F4D"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This is the difference between regenerative scaling and industrial cloning.</w:t>
      </w:r>
    </w:p>
    <w:p w14:paraId="0CCA0BFE"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Prometheus does not scale by making every site identical.</w:t>
      </w:r>
    </w:p>
    <w:p w14:paraId="3E3AB989"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It scales by making diverse sites interoperable through shared evidence, governance, methodology, and capital discipline.</w:t>
      </w:r>
    </w:p>
    <w:p w14:paraId="6DEC8154"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lastRenderedPageBreak/>
        <w:t>A mature scaling process should therefore ask:</w:t>
      </w:r>
    </w:p>
    <w:p w14:paraId="252A5513"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Has the pilot produced measurable ecological improvement?</w:t>
      </w:r>
    </w:p>
    <w:p w14:paraId="640E808F"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Is the MRV evidence strong enough?</w:t>
      </w:r>
    </w:p>
    <w:p w14:paraId="1B66D2CE"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Are the indicators confidence-scored?</w:t>
      </w:r>
    </w:p>
    <w:p w14:paraId="52B1EF0B"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Are the claims admissible for the intended use?</w:t>
      </w:r>
    </w:p>
    <w:p w14:paraId="0F2C5A68"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Are governance processes functioning?</w:t>
      </w:r>
    </w:p>
    <w:p w14:paraId="3395005A"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Are operational records complete?</w:t>
      </w:r>
    </w:p>
    <w:p w14:paraId="763B5BDA"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Are legal boundaries clear?</w:t>
      </w:r>
    </w:p>
    <w:p w14:paraId="5E3FAE42"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Are risks disclosed?</w:t>
      </w:r>
    </w:p>
    <w:p w14:paraId="4C0D01C0"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Are capital uses appropriate to maturity?</w:t>
      </w:r>
    </w:p>
    <w:p w14:paraId="2A09128B"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Is the source layer preserved?</w:t>
      </w:r>
    </w:p>
    <w:p w14:paraId="391938A3"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Is local context respected?</w:t>
      </w:r>
    </w:p>
    <w:p w14:paraId="179E8C66"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Is the next stage reversible or controllable if assumptions fail?</w:t>
      </w:r>
    </w:p>
    <w:p w14:paraId="387CEDF6"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This creates a disciplined scale logic.</w:t>
      </w:r>
    </w:p>
    <w:p w14:paraId="2BC1C618"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The system advances when coherence increases.</w:t>
      </w:r>
    </w:p>
    <w:p w14:paraId="43D94463"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It pauses when coherence weakens.</w:t>
      </w:r>
    </w:p>
    <w:p w14:paraId="01215040"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It redesigns when evidence contradicts assumptions.</w:t>
      </w:r>
    </w:p>
    <w:p w14:paraId="76106942"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It refuses scale when scale would corrupt the source.</w:t>
      </w:r>
    </w:p>
    <w:p w14:paraId="6EA30A27"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The pilot-to-scale principle is therefore:</w:t>
      </w:r>
    </w:p>
    <w:p w14:paraId="7FC9653D"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growth is legitimate only when it increases coherence rather than merely increasing footprint.</w:t>
      </w:r>
    </w:p>
    <w:p w14:paraId="1F43F744" w14:textId="77777777" w:rsidR="00175E64" w:rsidRDefault="00175E64" w:rsidP="00BD4B5F">
      <w:pPr>
        <w:spacing w:line="360" w:lineRule="auto"/>
        <w:rPr>
          <w:rFonts w:ascii="Baskerville Old Face" w:hAnsi="Baskerville Old Face"/>
          <w:b/>
          <w:bCs/>
          <w:i/>
          <w:iCs/>
        </w:rPr>
      </w:pPr>
    </w:p>
    <w:p w14:paraId="5BB230D9" w14:textId="77777777" w:rsidR="00175E64" w:rsidRDefault="00175E64" w:rsidP="00BD4B5F">
      <w:pPr>
        <w:spacing w:line="360" w:lineRule="auto"/>
        <w:rPr>
          <w:rFonts w:ascii="Baskerville Old Face" w:hAnsi="Baskerville Old Face"/>
          <w:b/>
          <w:bCs/>
          <w:i/>
          <w:iCs/>
        </w:rPr>
      </w:pPr>
    </w:p>
    <w:p w14:paraId="18B0FF3F" w14:textId="0D71A421" w:rsidR="00BD4B5F" w:rsidRPr="00B479AE" w:rsidRDefault="00BD4B5F" w:rsidP="00BD4B5F">
      <w:pPr>
        <w:spacing w:line="360" w:lineRule="auto"/>
        <w:rPr>
          <w:rFonts w:ascii="Baskerville Old Face" w:hAnsi="Baskerville Old Face"/>
          <w:b/>
          <w:bCs/>
          <w:i/>
          <w:iCs/>
        </w:rPr>
      </w:pPr>
      <w:r w:rsidRPr="00B479AE">
        <w:rPr>
          <w:rFonts w:ascii="Baskerville Old Face" w:hAnsi="Baskerville Old Face"/>
          <w:b/>
          <w:bCs/>
          <w:i/>
          <w:iCs/>
        </w:rPr>
        <w:lastRenderedPageBreak/>
        <w:t>Formula boundary</w:t>
      </w:r>
    </w:p>
    <w:p w14:paraId="593CC81C"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Scale_readiness and Scale = Replication × Coherence × Evidence × Adaptation are methodological scaling functions.</w:t>
      </w:r>
    </w:p>
    <w:p w14:paraId="0BD5CB2B"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They do not create automatic approval, funding eligibility, RAP inclusion, investor rights, legal enforceability, token issuance, or institutional endorsement.</w:t>
      </w:r>
    </w:p>
    <w:p w14:paraId="23DFE0CD"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They define the Prometheus internal standard for evaluating whether a pilot, unit, cluster, bioregional network, or portfolio is mature enough to advance.</w:t>
      </w:r>
    </w:p>
    <w:p w14:paraId="5EBFEA71"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Formal consequences require the relevant operational, MRV, governance, legal, capital-readiness, or source-layer review pathway.</w:t>
      </w:r>
    </w:p>
    <w:p w14:paraId="0F3D6F2C" w14:textId="77777777" w:rsidR="00BD4B5F" w:rsidRPr="00B479AE" w:rsidRDefault="00BD4B5F" w:rsidP="00BD4B5F">
      <w:pPr>
        <w:spacing w:line="360" w:lineRule="auto"/>
        <w:rPr>
          <w:rFonts w:ascii="Baskerville Old Face" w:hAnsi="Baskerville Old Face"/>
          <w:b/>
          <w:bCs/>
          <w:i/>
          <w:iCs/>
        </w:rPr>
      </w:pPr>
      <w:r w:rsidRPr="00B479AE">
        <w:rPr>
          <w:rFonts w:ascii="Baskerville Old Face" w:hAnsi="Baskerville Old Face"/>
          <w:b/>
          <w:bCs/>
          <w:i/>
          <w:iCs/>
        </w:rPr>
        <w:t>Operational rule</w:t>
      </w:r>
    </w:p>
    <w:p w14:paraId="42DE91DF"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The operational rule is:</w:t>
      </w:r>
    </w:p>
    <w:p w14:paraId="6F8EFC43"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scale follows verified coherence.</w:t>
      </w:r>
    </w:p>
    <w:p w14:paraId="5B7097E4" w14:textId="77777777" w:rsidR="00BD4B5F" w:rsidRPr="00B479AE" w:rsidRDefault="00BD4B5F" w:rsidP="00BD4B5F">
      <w:pPr>
        <w:spacing w:line="360" w:lineRule="auto"/>
        <w:rPr>
          <w:rFonts w:ascii="Baskerville Old Face" w:hAnsi="Baskerville Old Face"/>
          <w:i/>
          <w:iCs/>
        </w:rPr>
      </w:pPr>
      <w:r w:rsidRPr="00B479AE">
        <w:rPr>
          <w:rFonts w:ascii="Baskerville Old Face" w:hAnsi="Baskerville Old Face"/>
          <w:i/>
          <w:iCs/>
        </w:rPr>
        <w:t>Prometheus should grow like a living system: rooted, adaptive, evidence-sensitive, context-aware, and capable of maintaining coherence as complexity increases.</w:t>
      </w:r>
    </w:p>
    <w:p w14:paraId="54310C23" w14:textId="77777777" w:rsidR="007F7B84" w:rsidRPr="00B479AE" w:rsidRDefault="007F7B84" w:rsidP="007F7B84">
      <w:pPr>
        <w:spacing w:line="360" w:lineRule="auto"/>
        <w:rPr>
          <w:rFonts w:ascii="Baskerville Old Face" w:hAnsi="Baskerville Old Face"/>
          <w:b/>
          <w:bCs/>
          <w:i/>
          <w:iCs/>
        </w:rPr>
      </w:pPr>
      <w:r w:rsidRPr="00B479AE">
        <w:rPr>
          <w:rFonts w:ascii="Baskerville Old Face" w:hAnsi="Baskerville Old Face"/>
          <w:b/>
          <w:bCs/>
          <w:i/>
          <w:iCs/>
        </w:rPr>
        <w:t>Operational rule</w:t>
      </w:r>
    </w:p>
    <w:p w14:paraId="78AB8675"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The operational rule is:</w:t>
      </w:r>
    </w:p>
    <w:p w14:paraId="67523E59"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no stage advances beyond its evidence maturity.</w:t>
      </w:r>
    </w:p>
    <w:p w14:paraId="592EC24F" w14:textId="77777777" w:rsidR="007F7B84" w:rsidRPr="00B479AE" w:rsidRDefault="007F7B84" w:rsidP="007F7B84">
      <w:pPr>
        <w:spacing w:line="360" w:lineRule="auto"/>
        <w:rPr>
          <w:rFonts w:ascii="Baskerville Old Face" w:hAnsi="Baskerville Old Face"/>
          <w:i/>
          <w:iCs/>
        </w:rPr>
      </w:pPr>
      <w:r w:rsidRPr="00B479AE">
        <w:rPr>
          <w:rFonts w:ascii="Baskerville Old Face" w:hAnsi="Baskerville Old Face"/>
          <w:i/>
          <w:iCs/>
        </w:rPr>
        <w:t>Prometheus scales only when readiness, evidence, governance, legal clarity, operational capacity, and source-layer fidelity move together.</w:t>
      </w:r>
    </w:p>
    <w:p w14:paraId="2D9ED9F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Current pilot scope</w:t>
      </w:r>
    </w:p>
    <w:p w14:paraId="421CD59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current Prometheus pilot should remain bounded.</w:t>
      </w:r>
    </w:p>
    <w:p w14:paraId="6739C05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 bounded pilot protects the project from semantic drift, overclaiming, and premature financialization.</w:t>
      </w:r>
    </w:p>
    <w:p w14:paraId="2D93B67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current pilot may include:</w:t>
      </w:r>
    </w:p>
    <w:p w14:paraId="16CB172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lastRenderedPageBreak/>
        <w:t>• conceptual and constitutional refinement;</w:t>
      </w:r>
    </w:p>
    <w:p w14:paraId="0843B73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OHE design;</w:t>
      </w:r>
    </w:p>
    <w:p w14:paraId="28D88B7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MRV architecture;</w:t>
      </w:r>
    </w:p>
    <w:p w14:paraId="166BA0A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backend semantic alignment;</w:t>
      </w:r>
    </w:p>
    <w:p w14:paraId="39FE547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Holochain-compatible logic;</w:t>
      </w:r>
    </w:p>
    <w:p w14:paraId="6CFB75D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Valueflows / REA-compatible structures;</w:t>
      </w:r>
    </w:p>
    <w:p w14:paraId="05E437F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operational runbooks;</w:t>
      </w:r>
    </w:p>
    <w:p w14:paraId="1F447CAA" w14:textId="412331FE"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xml:space="preserve">• </w:t>
      </w:r>
      <w:r w:rsidR="00C7027D" w:rsidRPr="00B479AE">
        <w:rPr>
          <w:rFonts w:ascii="Baskerville Old Face" w:hAnsi="Baskerville Old Face"/>
          <w:i/>
          <w:iCs/>
        </w:rPr>
        <w:t>PRU value-analysis and capital-readiness logic;</w:t>
      </w:r>
    </w:p>
    <w:p w14:paraId="216F4F7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dashboard prototypes;</w:t>
      </w:r>
    </w:p>
    <w:p w14:paraId="46493E0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evidence-chain design;</w:t>
      </w:r>
    </w:p>
    <w:p w14:paraId="02DEA28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PRU methodology testing;</w:t>
      </w:r>
    </w:p>
    <w:p w14:paraId="320D45FF" w14:textId="4E4F279C"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pilot data room formation.</w:t>
      </w:r>
      <w:r w:rsidR="00DF35AF" w:rsidRPr="00B479AE">
        <w:rPr>
          <w:rFonts w:ascii="Baskerville Old Face" w:hAnsi="Baskerville Old Face"/>
          <w:i/>
          <w:iCs/>
        </w:rPr>
        <w:t xml:space="preserve"> </w:t>
      </w:r>
    </w:p>
    <w:p w14:paraId="5F17EA44" w14:textId="77777777" w:rsidR="00DF35AF" w:rsidRDefault="00DF35AF" w:rsidP="002C57D8">
      <w:pPr>
        <w:spacing w:line="360" w:lineRule="auto"/>
        <w:rPr>
          <w:rFonts w:ascii="Baskerville Old Face" w:hAnsi="Baskerville Old Face"/>
          <w:i/>
          <w:iCs/>
        </w:rPr>
      </w:pPr>
    </w:p>
    <w:p w14:paraId="1257F4E2" w14:textId="77777777" w:rsidR="00175E64" w:rsidRDefault="00175E64" w:rsidP="002C57D8">
      <w:pPr>
        <w:spacing w:line="360" w:lineRule="auto"/>
        <w:rPr>
          <w:rFonts w:ascii="Baskerville Old Face" w:hAnsi="Baskerville Old Face"/>
          <w:i/>
          <w:iCs/>
        </w:rPr>
      </w:pPr>
    </w:p>
    <w:p w14:paraId="4A135A6A" w14:textId="77777777" w:rsidR="00175E64" w:rsidRDefault="00175E64" w:rsidP="002C57D8">
      <w:pPr>
        <w:spacing w:line="360" w:lineRule="auto"/>
        <w:rPr>
          <w:rFonts w:ascii="Baskerville Old Face" w:hAnsi="Baskerville Old Face"/>
          <w:i/>
          <w:iCs/>
        </w:rPr>
      </w:pPr>
    </w:p>
    <w:p w14:paraId="536C031A" w14:textId="77777777" w:rsidR="00175E64" w:rsidRDefault="00175E64" w:rsidP="002C57D8">
      <w:pPr>
        <w:spacing w:line="360" w:lineRule="auto"/>
        <w:rPr>
          <w:rFonts w:ascii="Baskerville Old Face" w:hAnsi="Baskerville Old Face"/>
          <w:i/>
          <w:iCs/>
        </w:rPr>
      </w:pPr>
    </w:p>
    <w:p w14:paraId="6B411583" w14:textId="77777777" w:rsidR="00175E64" w:rsidRDefault="00175E64" w:rsidP="002C57D8">
      <w:pPr>
        <w:spacing w:line="360" w:lineRule="auto"/>
        <w:rPr>
          <w:rFonts w:ascii="Baskerville Old Face" w:hAnsi="Baskerville Old Face"/>
          <w:i/>
          <w:iCs/>
        </w:rPr>
      </w:pPr>
    </w:p>
    <w:p w14:paraId="38DFD604" w14:textId="77777777" w:rsidR="00175E64" w:rsidRDefault="00175E64" w:rsidP="002C57D8">
      <w:pPr>
        <w:spacing w:line="360" w:lineRule="auto"/>
        <w:rPr>
          <w:rFonts w:ascii="Baskerville Old Face" w:hAnsi="Baskerville Old Face"/>
          <w:i/>
          <w:iCs/>
        </w:rPr>
      </w:pPr>
    </w:p>
    <w:p w14:paraId="7E099B99" w14:textId="77777777" w:rsidR="00175E64" w:rsidRDefault="00175E64" w:rsidP="002C57D8">
      <w:pPr>
        <w:spacing w:line="360" w:lineRule="auto"/>
        <w:rPr>
          <w:rFonts w:ascii="Baskerville Old Face" w:hAnsi="Baskerville Old Face"/>
          <w:i/>
          <w:iCs/>
        </w:rPr>
      </w:pPr>
    </w:p>
    <w:p w14:paraId="0025E856" w14:textId="77777777" w:rsidR="00175E64" w:rsidRPr="00B479AE" w:rsidRDefault="00175E64" w:rsidP="002C57D8">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9"/>
        <w:gridCol w:w="4132"/>
        <w:gridCol w:w="4047"/>
      </w:tblGrid>
      <w:tr w:rsidR="00132CCC" w:rsidRPr="0057166A" w14:paraId="03FBDD22" w14:textId="77777777" w:rsidTr="00132CCC">
        <w:trPr>
          <w:tblHeader/>
          <w:tblCellSpacing w:w="15" w:type="dxa"/>
        </w:trPr>
        <w:tc>
          <w:tcPr>
            <w:tcW w:w="0" w:type="auto"/>
            <w:vAlign w:val="center"/>
            <w:hideMark/>
          </w:tcPr>
          <w:p w14:paraId="170C89C1" w14:textId="77777777" w:rsidR="00132CCC" w:rsidRPr="0057166A" w:rsidRDefault="00132CCC" w:rsidP="00132CCC">
            <w:pPr>
              <w:spacing w:line="360" w:lineRule="auto"/>
              <w:rPr>
                <w:rFonts w:ascii="Baskerville Old Face" w:hAnsi="Baskerville Old Face"/>
                <w:b/>
                <w:bCs/>
                <w:i/>
                <w:iCs/>
                <w:sz w:val="18"/>
                <w:szCs w:val="18"/>
              </w:rPr>
            </w:pPr>
            <w:r w:rsidRPr="0057166A">
              <w:rPr>
                <w:rFonts w:ascii="Baskerville Old Face" w:hAnsi="Baskerville Old Face"/>
                <w:b/>
                <w:bCs/>
                <w:i/>
                <w:iCs/>
                <w:sz w:val="18"/>
                <w:szCs w:val="18"/>
              </w:rPr>
              <w:lastRenderedPageBreak/>
              <w:t>Layer</w:t>
            </w:r>
          </w:p>
        </w:tc>
        <w:tc>
          <w:tcPr>
            <w:tcW w:w="0" w:type="auto"/>
            <w:vAlign w:val="center"/>
            <w:hideMark/>
          </w:tcPr>
          <w:p w14:paraId="570D78AB" w14:textId="77777777" w:rsidR="00132CCC" w:rsidRPr="0057166A" w:rsidRDefault="00132CCC" w:rsidP="00132CCC">
            <w:pPr>
              <w:spacing w:line="360" w:lineRule="auto"/>
              <w:rPr>
                <w:rFonts w:ascii="Baskerville Old Face" w:hAnsi="Baskerville Old Face"/>
                <w:b/>
                <w:bCs/>
                <w:i/>
                <w:iCs/>
                <w:sz w:val="18"/>
                <w:szCs w:val="18"/>
              </w:rPr>
            </w:pPr>
            <w:r w:rsidRPr="0057166A">
              <w:rPr>
                <w:rFonts w:ascii="Baskerville Old Face" w:hAnsi="Baskerville Old Face"/>
                <w:b/>
                <w:bCs/>
                <w:i/>
                <w:iCs/>
                <w:sz w:val="18"/>
                <w:szCs w:val="18"/>
              </w:rPr>
              <w:t>Canonical function</w:t>
            </w:r>
          </w:p>
        </w:tc>
        <w:tc>
          <w:tcPr>
            <w:tcW w:w="0" w:type="auto"/>
            <w:vAlign w:val="center"/>
            <w:hideMark/>
          </w:tcPr>
          <w:p w14:paraId="3ADB23DE" w14:textId="77777777" w:rsidR="00132CCC" w:rsidRPr="0057166A" w:rsidRDefault="00132CCC" w:rsidP="00132CCC">
            <w:pPr>
              <w:spacing w:line="360" w:lineRule="auto"/>
              <w:rPr>
                <w:rFonts w:ascii="Baskerville Old Face" w:hAnsi="Baskerville Old Face"/>
                <w:b/>
                <w:bCs/>
                <w:i/>
                <w:iCs/>
                <w:sz w:val="18"/>
                <w:szCs w:val="18"/>
              </w:rPr>
            </w:pPr>
            <w:r w:rsidRPr="0057166A">
              <w:rPr>
                <w:rFonts w:ascii="Baskerville Old Face" w:hAnsi="Baskerville Old Face"/>
                <w:b/>
                <w:bCs/>
                <w:i/>
                <w:iCs/>
                <w:sz w:val="18"/>
                <w:szCs w:val="18"/>
              </w:rPr>
              <w:t>Role in the pilot</w:t>
            </w:r>
          </w:p>
        </w:tc>
      </w:tr>
      <w:tr w:rsidR="00132CCC" w:rsidRPr="0057166A" w14:paraId="7E0B9441" w14:textId="77777777" w:rsidTr="00132CCC">
        <w:trPr>
          <w:tblCellSpacing w:w="15" w:type="dxa"/>
        </w:trPr>
        <w:tc>
          <w:tcPr>
            <w:tcW w:w="0" w:type="auto"/>
            <w:vAlign w:val="center"/>
            <w:hideMark/>
          </w:tcPr>
          <w:p w14:paraId="705F20E3"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Constitutional layer</w:t>
            </w:r>
          </w:p>
        </w:tc>
        <w:tc>
          <w:tcPr>
            <w:tcW w:w="0" w:type="auto"/>
            <w:vAlign w:val="center"/>
            <w:hideMark/>
          </w:tcPr>
          <w:p w14:paraId="0C7DA5DF" w14:textId="1FB42721" w:rsidR="0068305C" w:rsidRPr="0057166A" w:rsidRDefault="0068305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White Paper, Syntropic Constitutional Article Registry, incorporated constitutional documents, Access Covenant, and canonical release records</w:t>
            </w:r>
          </w:p>
        </w:tc>
        <w:tc>
          <w:tcPr>
            <w:tcW w:w="0" w:type="auto"/>
            <w:vAlign w:val="center"/>
            <w:hideMark/>
          </w:tcPr>
          <w:p w14:paraId="4B5103CC" w14:textId="132A85C8" w:rsidR="0087733D" w:rsidRPr="0057166A" w:rsidRDefault="0087733D"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Normative and source-layer foundation for pilot governance, admissibility, protected-pathway interpretation, and implementation coherence</w:t>
            </w:r>
          </w:p>
        </w:tc>
      </w:tr>
      <w:tr w:rsidR="00132CCC" w:rsidRPr="0057166A" w14:paraId="32B2BC37" w14:textId="77777777" w:rsidTr="00132CCC">
        <w:trPr>
          <w:tblCellSpacing w:w="15" w:type="dxa"/>
        </w:trPr>
        <w:tc>
          <w:tcPr>
            <w:tcW w:w="0" w:type="auto"/>
            <w:vAlign w:val="center"/>
            <w:hideMark/>
          </w:tcPr>
          <w:p w14:paraId="1D437814"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Implementation contract</w:t>
            </w:r>
          </w:p>
        </w:tc>
        <w:tc>
          <w:tcPr>
            <w:tcW w:w="0" w:type="auto"/>
            <w:vAlign w:val="center"/>
            <w:hideMark/>
          </w:tcPr>
          <w:p w14:paraId="4062517C"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Pilot handoff repository or equivalent implementation package</w:t>
            </w:r>
          </w:p>
        </w:tc>
        <w:tc>
          <w:tcPr>
            <w:tcW w:w="0" w:type="auto"/>
            <w:vAlign w:val="center"/>
            <w:hideMark/>
          </w:tcPr>
          <w:p w14:paraId="16DCE10F"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Bounded pilot scope and canonical implementation contract</w:t>
            </w:r>
          </w:p>
        </w:tc>
      </w:tr>
      <w:tr w:rsidR="00132CCC" w:rsidRPr="0057166A" w14:paraId="542842B3" w14:textId="77777777" w:rsidTr="00132CCC">
        <w:trPr>
          <w:tblCellSpacing w:w="15" w:type="dxa"/>
        </w:trPr>
        <w:tc>
          <w:tcPr>
            <w:tcW w:w="0" w:type="auto"/>
            <w:vAlign w:val="center"/>
            <w:hideMark/>
          </w:tcPr>
          <w:p w14:paraId="0DEB5390"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Behavioral specification</w:t>
            </w:r>
          </w:p>
        </w:tc>
        <w:tc>
          <w:tcPr>
            <w:tcW w:w="0" w:type="auto"/>
            <w:vAlign w:val="center"/>
            <w:hideMark/>
          </w:tcPr>
          <w:p w14:paraId="17F17D07"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Mock backend or behavioral reference model</w:t>
            </w:r>
          </w:p>
        </w:tc>
        <w:tc>
          <w:tcPr>
            <w:tcW w:w="0" w:type="auto"/>
            <w:vAlign w:val="center"/>
            <w:hideMark/>
          </w:tcPr>
          <w:p w14:paraId="2656347C"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Executable model of expected pilot behavior</w:t>
            </w:r>
          </w:p>
        </w:tc>
      </w:tr>
      <w:tr w:rsidR="00132CCC" w:rsidRPr="0057166A" w14:paraId="0CC39753" w14:textId="77777777" w:rsidTr="00132CCC">
        <w:trPr>
          <w:tblCellSpacing w:w="15" w:type="dxa"/>
        </w:trPr>
        <w:tc>
          <w:tcPr>
            <w:tcW w:w="0" w:type="auto"/>
            <w:vAlign w:val="center"/>
            <w:hideMark/>
          </w:tcPr>
          <w:p w14:paraId="2793BC13"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Operational discipline</w:t>
            </w:r>
          </w:p>
        </w:tc>
        <w:tc>
          <w:tcPr>
            <w:tcW w:w="0" w:type="auto"/>
            <w:vAlign w:val="center"/>
            <w:hideMark/>
          </w:tcPr>
          <w:p w14:paraId="69A2DFB8"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Operations documentation, SOPs, runbooks, troubleshooting, and readiness criteria</w:t>
            </w:r>
          </w:p>
        </w:tc>
        <w:tc>
          <w:tcPr>
            <w:tcW w:w="0" w:type="auto"/>
            <w:vAlign w:val="center"/>
            <w:hideMark/>
          </w:tcPr>
          <w:p w14:paraId="286D863D"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Field execution, repeatability, and operational reliability</w:t>
            </w:r>
          </w:p>
        </w:tc>
      </w:tr>
      <w:tr w:rsidR="00132CCC" w:rsidRPr="0057166A" w14:paraId="20DF88DB" w14:textId="77777777" w:rsidTr="00132CCC">
        <w:trPr>
          <w:tblCellSpacing w:w="15" w:type="dxa"/>
        </w:trPr>
        <w:tc>
          <w:tcPr>
            <w:tcW w:w="0" w:type="auto"/>
            <w:vAlign w:val="center"/>
            <w:hideMark/>
          </w:tcPr>
          <w:p w14:paraId="4690F15E"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Evaluation discipline</w:t>
            </w:r>
          </w:p>
        </w:tc>
        <w:tc>
          <w:tcPr>
            <w:tcW w:w="0" w:type="auto"/>
            <w:vAlign w:val="center"/>
            <w:hideMark/>
          </w:tcPr>
          <w:p w14:paraId="41886F0D"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Evaluation stack, scoring, reporting, and GO / NO-GO / MANUAL-REVIEW gating</w:t>
            </w:r>
          </w:p>
        </w:tc>
        <w:tc>
          <w:tcPr>
            <w:tcW w:w="0" w:type="auto"/>
            <w:vAlign w:val="center"/>
            <w:hideMark/>
          </w:tcPr>
          <w:p w14:paraId="2A191FA3"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Decision-support, readiness classification, and review discipline</w:t>
            </w:r>
          </w:p>
        </w:tc>
      </w:tr>
      <w:tr w:rsidR="00132CCC" w:rsidRPr="0057166A" w14:paraId="1612303A" w14:textId="77777777" w:rsidTr="00132CCC">
        <w:trPr>
          <w:tblCellSpacing w:w="15" w:type="dxa"/>
        </w:trPr>
        <w:tc>
          <w:tcPr>
            <w:tcW w:w="0" w:type="auto"/>
            <w:vAlign w:val="center"/>
            <w:hideMark/>
          </w:tcPr>
          <w:p w14:paraId="3A920ED4"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Runtime implementation</w:t>
            </w:r>
          </w:p>
        </w:tc>
        <w:tc>
          <w:tcPr>
            <w:tcW w:w="0" w:type="auto"/>
            <w:vAlign w:val="center"/>
            <w:hideMark/>
          </w:tcPr>
          <w:p w14:paraId="104FA99E"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Prometheus hApp or Holochain-native backend implementation</w:t>
            </w:r>
          </w:p>
        </w:tc>
        <w:tc>
          <w:tcPr>
            <w:tcW w:w="0" w:type="auto"/>
            <w:vAlign w:val="center"/>
            <w:hideMark/>
          </w:tcPr>
          <w:p w14:paraId="5B2ADAA1"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Technical execution of pilot behavior</w:t>
            </w:r>
          </w:p>
        </w:tc>
      </w:tr>
      <w:tr w:rsidR="00132CCC" w:rsidRPr="0057166A" w14:paraId="622C0A76" w14:textId="77777777" w:rsidTr="00132CCC">
        <w:trPr>
          <w:tblCellSpacing w:w="15" w:type="dxa"/>
        </w:trPr>
        <w:tc>
          <w:tcPr>
            <w:tcW w:w="0" w:type="auto"/>
            <w:vAlign w:val="center"/>
            <w:hideMark/>
          </w:tcPr>
          <w:p w14:paraId="52D0DD76"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MRV evidence layer</w:t>
            </w:r>
          </w:p>
        </w:tc>
        <w:tc>
          <w:tcPr>
            <w:tcW w:w="0" w:type="auto"/>
            <w:vAlign w:val="center"/>
            <w:hideMark/>
          </w:tcPr>
          <w:p w14:paraId="31CCE125"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Field, laboratory, remote-sensing, human audit, and operational evidence</w:t>
            </w:r>
          </w:p>
        </w:tc>
        <w:tc>
          <w:tcPr>
            <w:tcW w:w="0" w:type="auto"/>
            <w:vAlign w:val="center"/>
            <w:hideMark/>
          </w:tcPr>
          <w:p w14:paraId="1BE603CA"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Evidence formation and confidence scoring</w:t>
            </w:r>
          </w:p>
        </w:tc>
      </w:tr>
      <w:tr w:rsidR="00132CCC" w:rsidRPr="0057166A" w14:paraId="2CF232BE" w14:textId="77777777" w:rsidTr="00132CCC">
        <w:trPr>
          <w:tblCellSpacing w:w="15" w:type="dxa"/>
        </w:trPr>
        <w:tc>
          <w:tcPr>
            <w:tcW w:w="0" w:type="auto"/>
            <w:vAlign w:val="center"/>
            <w:hideMark/>
          </w:tcPr>
          <w:p w14:paraId="4E9A45E8"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Data-room layer</w:t>
            </w:r>
          </w:p>
        </w:tc>
        <w:tc>
          <w:tcPr>
            <w:tcW w:w="0" w:type="auto"/>
            <w:vAlign w:val="center"/>
            <w:hideMark/>
          </w:tcPr>
          <w:p w14:paraId="0F78A47C"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Organized evidence, governance, legal, financial, and reporting materials</w:t>
            </w:r>
          </w:p>
        </w:tc>
        <w:tc>
          <w:tcPr>
            <w:tcW w:w="0" w:type="auto"/>
            <w:vAlign w:val="center"/>
            <w:hideMark/>
          </w:tcPr>
          <w:p w14:paraId="224ADC4D"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Institutional readability and capital-readiness</w:t>
            </w:r>
          </w:p>
        </w:tc>
      </w:tr>
      <w:tr w:rsidR="00132CCC" w:rsidRPr="0057166A" w14:paraId="267DBC58" w14:textId="77777777" w:rsidTr="00132CCC">
        <w:trPr>
          <w:tblCellSpacing w:w="15" w:type="dxa"/>
        </w:trPr>
        <w:tc>
          <w:tcPr>
            <w:tcW w:w="0" w:type="auto"/>
            <w:vAlign w:val="center"/>
            <w:hideMark/>
          </w:tcPr>
          <w:p w14:paraId="62916269"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Governance layer</w:t>
            </w:r>
          </w:p>
        </w:tc>
        <w:tc>
          <w:tcPr>
            <w:tcW w:w="0" w:type="auto"/>
            <w:vAlign w:val="center"/>
            <w:hideMark/>
          </w:tcPr>
          <w:p w14:paraId="7E79499B"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Stewardship roles, review pathways, decision logs, and escalation rules</w:t>
            </w:r>
          </w:p>
        </w:tc>
        <w:tc>
          <w:tcPr>
            <w:tcW w:w="0" w:type="auto"/>
            <w:vAlign w:val="center"/>
            <w:hideMark/>
          </w:tcPr>
          <w:p w14:paraId="0E09BBFE"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Source-layer fidelity, role clarity, and accountability</w:t>
            </w:r>
          </w:p>
        </w:tc>
      </w:tr>
      <w:tr w:rsidR="00132CCC" w:rsidRPr="0057166A" w14:paraId="284A2CAE" w14:textId="77777777" w:rsidTr="00132CCC">
        <w:trPr>
          <w:tblCellSpacing w:w="15" w:type="dxa"/>
        </w:trPr>
        <w:tc>
          <w:tcPr>
            <w:tcW w:w="0" w:type="auto"/>
            <w:vAlign w:val="center"/>
            <w:hideMark/>
          </w:tcPr>
          <w:p w14:paraId="40AF30DE"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Capital-readiness layer</w:t>
            </w:r>
          </w:p>
        </w:tc>
        <w:tc>
          <w:tcPr>
            <w:tcW w:w="0" w:type="auto"/>
            <w:vAlign w:val="center"/>
            <w:hideMark/>
          </w:tcPr>
          <w:p w14:paraId="1BF297A2"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Financial model, risk register, PRU analysis, reporting package, legal boundary</w:t>
            </w:r>
          </w:p>
        </w:tc>
        <w:tc>
          <w:tcPr>
            <w:tcW w:w="0" w:type="auto"/>
            <w:vAlign w:val="center"/>
            <w:hideMark/>
          </w:tcPr>
          <w:p w14:paraId="44AFD34E" w14:textId="77777777" w:rsidR="00132CCC" w:rsidRPr="0057166A" w:rsidRDefault="00132CCC" w:rsidP="00132CCC">
            <w:pPr>
              <w:spacing w:line="360" w:lineRule="auto"/>
              <w:rPr>
                <w:rFonts w:ascii="Baskerville Old Face" w:hAnsi="Baskerville Old Face"/>
                <w:i/>
                <w:iCs/>
                <w:sz w:val="18"/>
                <w:szCs w:val="18"/>
              </w:rPr>
            </w:pPr>
            <w:r w:rsidRPr="0057166A">
              <w:rPr>
                <w:rFonts w:ascii="Baskerville Old Face" w:hAnsi="Baskerville Old Face"/>
                <w:i/>
                <w:iCs/>
                <w:sz w:val="18"/>
                <w:szCs w:val="18"/>
              </w:rPr>
              <w:t>Investor-review discipline without premature financialization</w:t>
            </w:r>
          </w:p>
        </w:tc>
      </w:tr>
    </w:tbl>
    <w:p w14:paraId="262A0D80" w14:textId="5B3BB801" w:rsidR="00132CCC" w:rsidRPr="00B479AE" w:rsidRDefault="00956877" w:rsidP="002C57D8">
      <w:pPr>
        <w:spacing w:line="360" w:lineRule="auto"/>
        <w:rPr>
          <w:rFonts w:ascii="Baskerville Old Face" w:hAnsi="Baskerville Old Face"/>
          <w:i/>
          <w:iCs/>
        </w:rPr>
      </w:pPr>
      <w:r w:rsidRPr="00B479AE">
        <w:rPr>
          <w:rFonts w:ascii="Baskerville Old Face" w:hAnsi="Baskerville Old Face"/>
          <w:i/>
          <w:iCs/>
        </w:rPr>
        <w:t>This structure preserves semantic fidelity, reduces ambiguity, and makes pilot execution reviewable across constitutional, technical, operational, MRV, governance, and capital-readiness boundaries.</w:t>
      </w:r>
    </w:p>
    <w:p w14:paraId="2F16414A" w14:textId="0962C076" w:rsidR="00132CCC" w:rsidRPr="00B479AE" w:rsidRDefault="00132CCC" w:rsidP="00132CCC">
      <w:pPr>
        <w:spacing w:line="360" w:lineRule="auto"/>
        <w:rPr>
          <w:rFonts w:ascii="Baskerville Old Face" w:hAnsi="Baskerville Old Face"/>
          <w:b/>
          <w:bCs/>
          <w:i/>
          <w:iCs/>
        </w:rPr>
      </w:pPr>
      <w:r w:rsidRPr="00B479AE">
        <w:rPr>
          <w:rFonts w:ascii="Baskerville Old Face" w:hAnsi="Baskerville Old Face"/>
          <w:b/>
          <w:bCs/>
          <w:i/>
          <w:iCs/>
        </w:rPr>
        <w:t>Canonical Pilot Stack</w:t>
      </w:r>
    </w:p>
    <w:p w14:paraId="03D3803D" w14:textId="77777777" w:rsidR="00132CCC" w:rsidRPr="00B479AE" w:rsidRDefault="00132CCC" w:rsidP="00132CCC">
      <w:pPr>
        <w:spacing w:line="360" w:lineRule="auto"/>
        <w:rPr>
          <w:rFonts w:ascii="Baskerville Old Face" w:hAnsi="Baskerville Old Face"/>
          <w:i/>
          <w:iCs/>
        </w:rPr>
      </w:pPr>
      <w:r w:rsidRPr="00B479AE">
        <w:rPr>
          <w:rFonts w:ascii="Baskerville Old Face" w:hAnsi="Baskerville Old Face"/>
          <w:i/>
          <w:iCs/>
        </w:rPr>
        <w:t>The current Prometheus pilot should be understood as a layered canonical stack in which distinct repositories, documents, and operational systems preserve distinct forms of authority and responsibility.</w:t>
      </w:r>
    </w:p>
    <w:p w14:paraId="42430947" w14:textId="3654A072"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lastRenderedPageBreak/>
        <w:t>The current pilot should not be confused with full institutional maturity.</w:t>
      </w:r>
    </w:p>
    <w:p w14:paraId="20C7B7C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Certain elements may remain outside the immediate pilot scope, including:</w:t>
      </w:r>
    </w:p>
    <w:p w14:paraId="28E1C54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full public token issuance;</w:t>
      </w:r>
    </w:p>
    <w:p w14:paraId="7859FDEB"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regulated securities offerings;</w:t>
      </w:r>
    </w:p>
    <w:p w14:paraId="2F6F2B5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complete DAO implementation;</w:t>
      </w:r>
    </w:p>
    <w:p w14:paraId="56DF6686"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mature secondary markets;</w:t>
      </w:r>
    </w:p>
    <w:p w14:paraId="536D176B"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fully autonomous AI decision-making;</w:t>
      </w:r>
    </w:p>
    <w:p w14:paraId="1B283D9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institutional RAP securitization;</w:t>
      </w:r>
    </w:p>
    <w:p w14:paraId="71CE810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large-scale public financial products;</w:t>
      </w:r>
    </w:p>
    <w:p w14:paraId="1A398AF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full cross-jurisdictional capital-market deployment.</w:t>
      </w:r>
    </w:p>
    <w:p w14:paraId="2C95FFD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This boundary is not weakness.</w:t>
      </w:r>
    </w:p>
    <w:p w14:paraId="11841B6B"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It is integrity.</w:t>
      </w:r>
    </w:p>
    <w:p w14:paraId="141CA29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 pilot becomes powerful when it knows exactly what it is testing.</w:t>
      </w:r>
    </w:p>
    <w:p w14:paraId="2995BEE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Evaluation and execution authorization</w:t>
      </w:r>
    </w:p>
    <w:p w14:paraId="70C9E4DB"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Prometheus distinguishes generation from execution.</w:t>
      </w:r>
    </w:p>
    <w:p w14:paraId="0C5D9B3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An output generated by a model, dashboard, operator, AI system, or governance proposal does not automatically authorize action.</w:t>
      </w:r>
    </w:p>
    <w:p w14:paraId="7E17ADE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Authority must pass through review.</w:t>
      </w:r>
    </w:p>
    <w:p w14:paraId="6D771722"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This principle applies to ecological interventions, financial representations, PRU updates, governance decisions, methodology changes, and investor-facing claims.</w:t>
      </w:r>
    </w:p>
    <w:p w14:paraId="0CBF77C1"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Execution authorization may require:</w:t>
      </w:r>
    </w:p>
    <w:p w14:paraId="2861D91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evidence review;</w:t>
      </w:r>
    </w:p>
    <w:p w14:paraId="4CD2271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lastRenderedPageBreak/>
        <w:t>• risk assessment;</w:t>
      </w:r>
    </w:p>
    <w:p w14:paraId="3533629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methodology alignment;</w:t>
      </w:r>
    </w:p>
    <w:p w14:paraId="0F5B347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governance approval;</w:t>
      </w:r>
    </w:p>
    <w:p w14:paraId="38F9B19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legal review;</w:t>
      </w:r>
    </w:p>
    <w:p w14:paraId="5E1EFCAB"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technical validation;</w:t>
      </w:r>
    </w:p>
    <w:p w14:paraId="65D00DE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manual review;</w:t>
      </w:r>
    </w:p>
    <w:p w14:paraId="79B2325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audit confirmation;</w:t>
      </w:r>
    </w:p>
    <w:p w14:paraId="4441B16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or staged implementation.</w:t>
      </w:r>
    </w:p>
    <w:p w14:paraId="2740BEF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system should be able to distinguish:</w:t>
      </w:r>
    </w:p>
    <w:p w14:paraId="79EB338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draft;</w:t>
      </w:r>
      <w:r w:rsidRPr="00B479AE">
        <w:rPr>
          <w:rFonts w:ascii="Baskerville Old Face" w:hAnsi="Baskerville Old Face"/>
          <w:i/>
          <w:iCs/>
        </w:rPr>
        <w:br/>
        <w:t>proposal;</w:t>
      </w:r>
      <w:r w:rsidRPr="00B479AE">
        <w:rPr>
          <w:rFonts w:ascii="Baskerville Old Face" w:hAnsi="Baskerville Old Face"/>
          <w:i/>
          <w:iCs/>
        </w:rPr>
        <w:br/>
        <w:t>review;</w:t>
      </w:r>
      <w:r w:rsidRPr="00B479AE">
        <w:rPr>
          <w:rFonts w:ascii="Baskerville Old Face" w:hAnsi="Baskerville Old Face"/>
          <w:i/>
          <w:iCs/>
        </w:rPr>
        <w:br/>
        <w:t>approved action;</w:t>
      </w:r>
      <w:r w:rsidRPr="00B479AE">
        <w:rPr>
          <w:rFonts w:ascii="Baskerville Old Face" w:hAnsi="Baskerville Old Face"/>
          <w:i/>
          <w:iCs/>
        </w:rPr>
        <w:br/>
        <w:t>executed action;</w:t>
      </w:r>
      <w:r w:rsidRPr="00B479AE">
        <w:rPr>
          <w:rFonts w:ascii="Baskerville Old Face" w:hAnsi="Baskerville Old Face"/>
          <w:i/>
          <w:iCs/>
        </w:rPr>
        <w:br/>
        <w:t>verified outcome;</w:t>
      </w:r>
      <w:r w:rsidRPr="00B479AE">
        <w:rPr>
          <w:rFonts w:ascii="Baskerville Old Face" w:hAnsi="Baskerville Old Face"/>
          <w:i/>
          <w:iCs/>
        </w:rPr>
        <w:br/>
        <w:t>reportable result.</w:t>
      </w:r>
    </w:p>
    <w:p w14:paraId="4F243FB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This protects the system from opaque execution.</w:t>
      </w:r>
    </w:p>
    <w:p w14:paraId="3CAD5DEB"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It also supports institutional trust.</w:t>
      </w:r>
    </w:p>
    <w:p w14:paraId="61F8E5A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Operational authority begins where evidence becomes admissible.</w:t>
      </w:r>
    </w:p>
    <w:p w14:paraId="248FE781"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Stakeholder entry points</w:t>
      </w:r>
    </w:p>
    <w:p w14:paraId="3FB1088B"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Prometheus allows different stakeholders to enter at different layers.</w:t>
      </w:r>
    </w:p>
    <w:p w14:paraId="05A19DA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Land stewards and farmers</w:t>
      </w:r>
    </w:p>
    <w:p w14:paraId="242AE63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They may enter through OHE deployment, ecological stewardship, regenerative design, operational records, and local production.</w:t>
      </w:r>
    </w:p>
    <w:p w14:paraId="1CCF9DA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lastRenderedPageBreak/>
        <w:t>Communities</w:t>
      </w:r>
    </w:p>
    <w:p w14:paraId="63E10F26"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They may enter through food systems, education, governance participation, local resilience programs, and community-based stewardship.</w:t>
      </w:r>
    </w:p>
    <w:p w14:paraId="4C0F1712"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Technologists</w:t>
      </w:r>
    </w:p>
    <w:p w14:paraId="79F4E77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They may enter through MRV tools, Holochain-compatible infrastructure, dashboards, APIs, AI support, data provenance, and system interoperability.</w:t>
      </w:r>
    </w:p>
    <w:p w14:paraId="436025C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Researchers and universities</w:t>
      </w:r>
    </w:p>
    <w:p w14:paraId="5A963F0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They may enter through soil science, hydrology, biodiversity, nutrition, systems modeling, AI, MRV methodology, and validation studies.</w:t>
      </w:r>
    </w:p>
    <w:p w14:paraId="50FBB891"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Investors</w:t>
      </w:r>
    </w:p>
    <w:p w14:paraId="63E47D26"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They may enter through pilot capital, growth capital, project finance, blended finance, RAP structures, or future regulated instruments.</w:t>
      </w:r>
    </w:p>
    <w:p w14:paraId="4FA1F8E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Public entities</w:t>
      </w:r>
    </w:p>
    <w:p w14:paraId="13D7083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They may enter through procurement, climate adaptation, food resilience, land stewardship, health programs, and territorial development.</w:t>
      </w:r>
    </w:p>
    <w:p w14:paraId="3B640731"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Auditors and verifiers</w:t>
      </w:r>
    </w:p>
    <w:p w14:paraId="0774C662"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They may enter through independent review, protocol validation, data integrity, laboratory analysis, and methodology assurance.</w:t>
      </w:r>
    </w:p>
    <w:p w14:paraId="25EB6071"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architecture is designed to allow many forms of contribution without collapsing them into one role.</w:t>
      </w:r>
    </w:p>
    <w:p w14:paraId="51DF836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 regenerative system requires differentiated participation.</w:t>
      </w:r>
    </w:p>
    <w:p w14:paraId="06C1C52B"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Barriers to adoption</w:t>
      </w:r>
    </w:p>
    <w:p w14:paraId="52B5AA8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transition to regenerative infrastructure faces real barriers.</w:t>
      </w:r>
    </w:p>
    <w:p w14:paraId="47CC87EA" w14:textId="77777777" w:rsidR="00DF35AF" w:rsidRPr="00B479AE" w:rsidRDefault="00DF35AF" w:rsidP="002C57D8">
      <w:pPr>
        <w:spacing w:line="360" w:lineRule="auto"/>
        <w:rPr>
          <w:rFonts w:ascii="Baskerville Old Face" w:hAnsi="Baskerville Old Face"/>
          <w:b/>
          <w:bCs/>
          <w:i/>
          <w:iCs/>
        </w:rPr>
      </w:pPr>
    </w:p>
    <w:p w14:paraId="1E5D02AC" w14:textId="33831BC1"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lastRenderedPageBreak/>
        <w:t>Structural barriers</w:t>
      </w:r>
    </w:p>
    <w:p w14:paraId="713C485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Existing incentives often reward extraction, land speculation, short-term returns, and externalization of ecological costs.</w:t>
      </w:r>
    </w:p>
    <w:p w14:paraId="30B012D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Regulatory barriers</w:t>
      </w:r>
    </w:p>
    <w:p w14:paraId="6DD0796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Current legal frameworks may not yet fully recognize PRU, RAP, regenerative asset pools, ecological performance units, or tokenized representations of verified regeneration.</w:t>
      </w:r>
    </w:p>
    <w:p w14:paraId="71CF664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Technical barriers</w:t>
      </w:r>
    </w:p>
    <w:p w14:paraId="3C945CD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Ecological systems are complex to measure.</w:t>
      </w:r>
    </w:p>
    <w:p w14:paraId="22BA2E86"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Data sources are heterogeneous.</w:t>
      </w:r>
    </w:p>
    <w:p w14:paraId="5B9787A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Standards are still evolving.</w:t>
      </w:r>
    </w:p>
    <w:p w14:paraId="5F3CA5C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MRV requires discipline.</w:t>
      </w:r>
    </w:p>
    <w:p w14:paraId="34B0AA65" w14:textId="207D6F15"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Cultural barriers</w:t>
      </w:r>
    </w:p>
    <w:p w14:paraId="7885BC21"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Many institutions still treat regeneration as philanthropy, not infrastructure.</w:t>
      </w:r>
    </w:p>
    <w:p w14:paraId="3D8F3D3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Many communities have limited access to regenerative knowledge, land, or capital.</w:t>
      </w:r>
    </w:p>
    <w:p w14:paraId="3B2C514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Financial barriers</w:t>
      </w:r>
    </w:p>
    <w:p w14:paraId="2E37ED8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Early-stage regenerative systems may lack historical data, standardized underwriting, liquidity, or recognized collateral structures.</w:t>
      </w:r>
    </w:p>
    <w:p w14:paraId="329F7BB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Governance barriers</w:t>
      </w:r>
    </w:p>
    <w:p w14:paraId="2B597C5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Multi-stakeholder systems can face coordination challenges, capture risk, conflict, and semantic drift.</w:t>
      </w:r>
    </w:p>
    <w:p w14:paraId="2302CD5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Prometheus does not deny these barriers.</w:t>
      </w:r>
    </w:p>
    <w:p w14:paraId="3D8BAED6"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It is designed to work through them.</w:t>
      </w:r>
    </w:p>
    <w:p w14:paraId="32BF1EB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Enablers of transition</w:t>
      </w:r>
    </w:p>
    <w:p w14:paraId="690AE7B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Several forces make Prometheus timely.</w:t>
      </w:r>
    </w:p>
    <w:p w14:paraId="6268340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lastRenderedPageBreak/>
        <w:t>Ecological necessity</w:t>
      </w:r>
    </w:p>
    <w:p w14:paraId="52A063C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Degradation is becoming increasingly expensive.</w:t>
      </w:r>
    </w:p>
    <w:p w14:paraId="6E21B451"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Regeneration is becoming increasingly rational.</w:t>
      </w:r>
    </w:p>
    <w:p w14:paraId="1E0F8981"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Technological maturity</w:t>
      </w:r>
    </w:p>
    <w:p w14:paraId="551AD9E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Sensors, satellites, AI, distributed systems, and digital provenance tools now make ecological observation more precise.</w:t>
      </w:r>
    </w:p>
    <w:p w14:paraId="02273E8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Capital-market demand</w:t>
      </w:r>
    </w:p>
    <w:p w14:paraId="36977ED1"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Investors are searching for resilient real assets, inflation hedges, nature-aligned opportunities, and low-correlation portfolios.</w:t>
      </w:r>
    </w:p>
    <w:p w14:paraId="6CE8D85D" w14:textId="42D79D9A"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Policy evolution</w:t>
      </w:r>
    </w:p>
    <w:p w14:paraId="3BC160B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Nature-related disclosure, climate adaptation, food resilience, biodiversity protection, and public-health prevention are gaining institutional attention.</w:t>
      </w:r>
    </w:p>
    <w:p w14:paraId="04A8534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Community demand</w:t>
      </w:r>
    </w:p>
    <w:p w14:paraId="488F9BD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Local food, land regeneration, health, trust, and territorial resilience are becoming practical needs rather than abstract ideals.</w:t>
      </w:r>
    </w:p>
    <w:p w14:paraId="485B5BA8" w14:textId="70E98C03"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RWA infrastructure</w:t>
      </w:r>
    </w:p>
    <w:p w14:paraId="73D804D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Real-world asset tokenization is creating new channels for programmable representation of structured assets.</w:t>
      </w:r>
    </w:p>
    <w:p w14:paraId="413F5B0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convergence of these forces creates an implementation window.</w:t>
      </w:r>
    </w:p>
    <w:p w14:paraId="369476D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Prometheus is designed to occupy that window with discipline.</w:t>
      </w:r>
    </w:p>
    <w:p w14:paraId="78A0A2C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Scaling logic</w:t>
      </w:r>
    </w:p>
    <w:p w14:paraId="459253E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Prometheus scales fractally.</w:t>
      </w:r>
    </w:p>
    <w:p w14:paraId="19A8F4F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same core logic appears at different scales:</w:t>
      </w:r>
    </w:p>
    <w:p w14:paraId="01CAAF34"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lastRenderedPageBreak/>
        <w:t>OHE;</w:t>
      </w:r>
      <w:r w:rsidRPr="00B479AE">
        <w:rPr>
          <w:rFonts w:ascii="Baskerville Old Face" w:hAnsi="Baskerville Old Face"/>
          <w:i/>
          <w:iCs/>
        </w:rPr>
        <w:br/>
        <w:t>cluster;</w:t>
      </w:r>
      <w:r w:rsidRPr="00B479AE">
        <w:rPr>
          <w:rFonts w:ascii="Baskerville Old Face" w:hAnsi="Baskerville Old Face"/>
          <w:i/>
          <w:iCs/>
        </w:rPr>
        <w:br/>
        <w:t>bioregion;</w:t>
      </w:r>
      <w:r w:rsidRPr="00B479AE">
        <w:rPr>
          <w:rFonts w:ascii="Baskerville Old Face" w:hAnsi="Baskerville Old Face"/>
          <w:i/>
          <w:iCs/>
        </w:rPr>
        <w:br/>
        <w:t>RAP;</w:t>
      </w:r>
      <w:r w:rsidRPr="00B479AE">
        <w:rPr>
          <w:rFonts w:ascii="Baskerville Old Face" w:hAnsi="Baskerville Old Face"/>
          <w:i/>
          <w:iCs/>
        </w:rPr>
        <w:br/>
        <w:t>institutional portfolio.</w:t>
      </w:r>
    </w:p>
    <w:p w14:paraId="57B020F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At each scale, the system must preserve:</w:t>
      </w:r>
    </w:p>
    <w:p w14:paraId="1AECF9E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ecological grounding;</w:t>
      </w:r>
    </w:p>
    <w:p w14:paraId="103CB5F1"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verification integrity;</w:t>
      </w:r>
    </w:p>
    <w:p w14:paraId="041CA4E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governance coherence;</w:t>
      </w:r>
    </w:p>
    <w:p w14:paraId="59EF47A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financial discipline;</w:t>
      </w:r>
    </w:p>
    <w:p w14:paraId="4B9B9BD1"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legal clarity;</w:t>
      </w:r>
    </w:p>
    <w:p w14:paraId="2BB580D6"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data provenance;</w:t>
      </w:r>
    </w:p>
    <w:p w14:paraId="6D1C5866"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operational learning;</w:t>
      </w:r>
    </w:p>
    <w:p w14:paraId="737825E8"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 community relevance.</w:t>
      </w:r>
    </w:p>
    <w:p w14:paraId="63532200"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form changes.</w:t>
      </w:r>
    </w:p>
    <w:p w14:paraId="074C496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principles remain.</w:t>
      </w:r>
    </w:p>
    <w:p w14:paraId="14A96B8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This is what allows Prometheus to scale without becoming extractive.</w:t>
      </w:r>
    </w:p>
    <w:p w14:paraId="428F1C32" w14:textId="730781C0"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Knowledge flywheel</w:t>
      </w:r>
    </w:p>
    <w:p w14:paraId="0739713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Each deployment generates learning.</w:t>
      </w:r>
    </w:p>
    <w:p w14:paraId="41B86C7F"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Each learning improves design.</w:t>
      </w:r>
    </w:p>
    <w:p w14:paraId="5B271C1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Improved design improves ecological outcomes.</w:t>
      </w:r>
    </w:p>
    <w:p w14:paraId="066DF4BB"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Better ecological outcomes improve PRU quality.</w:t>
      </w:r>
    </w:p>
    <w:p w14:paraId="435250E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Improved PRU quality improves capital access.</w:t>
      </w:r>
    </w:p>
    <w:p w14:paraId="47F64C6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lastRenderedPageBreak/>
        <w:t>Better capital access enables more deployment.</w:t>
      </w:r>
    </w:p>
    <w:p w14:paraId="4EDE5593"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More deployment generates more data.</w:t>
      </w:r>
    </w:p>
    <w:p w14:paraId="4285C4C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More data improves models, governance, risk scoring, and underwriting.</w:t>
      </w:r>
    </w:p>
    <w:p w14:paraId="20DB51C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This is the Prometheus knowledge flywheel.</w:t>
      </w:r>
    </w:p>
    <w:p w14:paraId="18DDE5D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It transforms experience into infrastructure.</w:t>
      </w:r>
    </w:p>
    <w:p w14:paraId="13C71DB5"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Toward regenerative civilization</w:t>
      </w:r>
    </w:p>
    <w:p w14:paraId="58CB6FDC"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Prometheus is not designed to replace existing systems overnight.</w:t>
      </w:r>
    </w:p>
    <w:p w14:paraId="0F8F333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It is designed to create a parallel infrastructure capable of demonstrating a different logic of value.</w:t>
      </w:r>
    </w:p>
    <w:p w14:paraId="03ACE58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As ecological constraints intensify, systems capable of regenerating their own foundations become increasingly valuable.</w:t>
      </w:r>
    </w:p>
    <w:p w14:paraId="1AEF35E1"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As capital seeks resilience, verified regenerative infrastructure becomes increasingly relevant.</w:t>
      </w:r>
    </w:p>
    <w:p w14:paraId="65F2C28A"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As technology becomes more powerful, the need for life-aligned governance becomes more urgent.</w:t>
      </w:r>
    </w:p>
    <w:p w14:paraId="2D1E251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As communities face fragmentation, systems that restore trust, food, soil, water, and meaning become strategic infrastructure.</w:t>
      </w:r>
    </w:p>
    <w:p w14:paraId="7882A27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implementation roadmap therefore points toward a broader civilizational transition.</w:t>
      </w:r>
    </w:p>
    <w:p w14:paraId="469FED1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future economy cannot be built only on extraction, abstraction, and acceleration.</w:t>
      </w:r>
    </w:p>
    <w:p w14:paraId="0057BCB7"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It must be built on systems that can heal while they produce.</w:t>
      </w:r>
    </w:p>
    <w:p w14:paraId="40EF69C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Prometheus is one architecture for that future.</w:t>
      </w:r>
    </w:p>
    <w:p w14:paraId="3BBA0B6E"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b/>
          <w:bCs/>
          <w:i/>
          <w:iCs/>
        </w:rPr>
        <w:t>Transition to the next part</w:t>
      </w:r>
    </w:p>
    <w:p w14:paraId="6B5540CB"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This part described the implementation roadmap and scaling strategy.</w:t>
      </w:r>
    </w:p>
    <w:p w14:paraId="40A390AD"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The next part defines the risk, compliance, and institutional discipline required to protect the architecture as it moves toward capital markets.</w:t>
      </w:r>
    </w:p>
    <w:p w14:paraId="5DF20A19"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t>A new asset class cannot be built only on vision.</w:t>
      </w:r>
    </w:p>
    <w:p w14:paraId="297A4556" w14:textId="77777777" w:rsidR="002C57D8" w:rsidRPr="00B479AE" w:rsidRDefault="002C57D8" w:rsidP="002C57D8">
      <w:pPr>
        <w:spacing w:line="360" w:lineRule="auto"/>
        <w:rPr>
          <w:rFonts w:ascii="Baskerville Old Face" w:hAnsi="Baskerville Old Face"/>
          <w:i/>
          <w:iCs/>
        </w:rPr>
      </w:pPr>
      <w:r w:rsidRPr="00B479AE">
        <w:rPr>
          <w:rFonts w:ascii="Baskerville Old Face" w:hAnsi="Baskerville Old Face"/>
          <w:i/>
          <w:iCs/>
        </w:rPr>
        <w:lastRenderedPageBreak/>
        <w:t>It must be built on transparent risks, legal boundaries, auditability, anti-greenwashing discipline, and investor-grade reporting.</w:t>
      </w:r>
    </w:p>
    <w:p w14:paraId="18497AAD" w14:textId="77777777" w:rsidR="00C9344B" w:rsidRPr="00B479AE" w:rsidRDefault="00C9344B" w:rsidP="002C57D8">
      <w:pPr>
        <w:spacing w:line="360" w:lineRule="auto"/>
        <w:rPr>
          <w:rFonts w:ascii="Baskerville Old Face" w:hAnsi="Baskerville Old Face"/>
          <w:i/>
          <w:iCs/>
        </w:rPr>
      </w:pPr>
    </w:p>
    <w:p w14:paraId="21E24695" w14:textId="339D17D3" w:rsidR="001149CC" w:rsidRPr="00B479AE" w:rsidRDefault="001149CC" w:rsidP="00E6319E">
      <w:pPr>
        <w:pStyle w:val="Titolo1"/>
        <w:rPr>
          <w:rFonts w:ascii="Baskerville Old Face" w:hAnsi="Baskerville Old Face"/>
          <w:b/>
          <w:bCs/>
          <w:i/>
          <w:iCs/>
          <w:sz w:val="24"/>
          <w:szCs w:val="24"/>
        </w:rPr>
      </w:pPr>
      <w:r w:rsidRPr="00B479AE">
        <w:rPr>
          <w:rFonts w:ascii="Baskerville Old Face" w:hAnsi="Baskerville Old Face"/>
          <w:b/>
          <w:bCs/>
          <w:i/>
          <w:iCs/>
          <w:sz w:val="24"/>
          <w:szCs w:val="24"/>
        </w:rPr>
        <w:t>PART VIII</w:t>
      </w:r>
      <w:r w:rsidR="00E6319E" w:rsidRPr="00B479AE">
        <w:rPr>
          <w:rFonts w:ascii="Baskerville Old Face" w:hAnsi="Baskerville Old Face"/>
          <w:b/>
          <w:bCs/>
          <w:i/>
          <w:iCs/>
          <w:sz w:val="24"/>
          <w:szCs w:val="24"/>
        </w:rPr>
        <w:t xml:space="preserve"> - </w:t>
      </w:r>
      <w:r w:rsidRPr="00B479AE">
        <w:rPr>
          <w:rFonts w:ascii="Baskerville Old Face" w:hAnsi="Baskerville Old Face"/>
          <w:b/>
          <w:bCs/>
          <w:i/>
          <w:iCs/>
          <w:sz w:val="24"/>
          <w:szCs w:val="24"/>
        </w:rPr>
        <w:t>Risk, Compliance, and Institutional Discipline</w:t>
      </w:r>
    </w:p>
    <w:p w14:paraId="00BA84B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b/>
          <w:bCs/>
          <w:i/>
          <w:iCs/>
        </w:rPr>
        <w:t>Risk as a design condition</w:t>
      </w:r>
    </w:p>
    <w:p w14:paraId="0E8332D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 regenerative asset class cannot be built on vision alone.</w:t>
      </w:r>
    </w:p>
    <w:p w14:paraId="5A42E07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It must be built on transparent risk recognition, methodological discipline, legal clarity, auditability, and investor-grade reporting.</w:t>
      </w:r>
    </w:p>
    <w:p w14:paraId="52AAF41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operates at the intersection of living systems, financial structures, digital infrastructure, governance protocols, ecological verification, and future compliant market representations.</w:t>
      </w:r>
    </w:p>
    <w:p w14:paraId="0362DBE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This makes risk management a constitutional requirement, not an administrative appendix.</w:t>
      </w:r>
    </w:p>
    <w:p w14:paraId="029A82E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Risk is not treated as a defect of the system.</w:t>
      </w:r>
    </w:p>
    <w:p w14:paraId="7C9BF5C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Risk is treated as a design condition.</w:t>
      </w:r>
    </w:p>
    <w:p w14:paraId="063015A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Living systems involve uncertainty.</w:t>
      </w:r>
    </w:p>
    <w:p w14:paraId="7DBA9F8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Capital markets involve volatility.</w:t>
      </w:r>
    </w:p>
    <w:p w14:paraId="7B86AFF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Digital systems involve technical and governance dependencies.</w:t>
      </w:r>
    </w:p>
    <w:p w14:paraId="7918AFD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Tokenized representations involve legal and regulatory complexity.</w:t>
      </w:r>
    </w:p>
    <w:p w14:paraId="431F2F6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Human systems involve coordination, interpretation, and trust.</w:t>
      </w:r>
    </w:p>
    <w:p w14:paraId="1E6ABAA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becomes credible by making these risks visible, structured, monitored, and governable.</w:t>
      </w:r>
    </w:p>
    <w:p w14:paraId="7F87FEB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The purpose of this part is therefore not to weaken the Prometheus thesis.</w:t>
      </w:r>
    </w:p>
    <w:p w14:paraId="1F42E4E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It is to strengthen it.</w:t>
      </w:r>
    </w:p>
    <w:p w14:paraId="6455587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 system that can name its risks can govern its evolution.</w:t>
      </w:r>
    </w:p>
    <w:p w14:paraId="392F136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 system that can govern its evolution can mature into infrastructure.</w:t>
      </w:r>
    </w:p>
    <w:p w14:paraId="5E078E1C" w14:textId="3B456E1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b/>
          <w:bCs/>
          <w:i/>
          <w:iCs/>
        </w:rPr>
        <w:lastRenderedPageBreak/>
        <w:t>Institutional discipline</w:t>
      </w:r>
    </w:p>
    <w:p w14:paraId="62E3BD8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Institutional discipline is the capacity of a system to preserve meaning, evidence, governance, and legal clarity under expansion.</w:t>
      </w:r>
    </w:p>
    <w:p w14:paraId="55EA0F4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requires institutional discipline because it proposes a new category of value: verified regenerative infrastructure.</w:t>
      </w:r>
    </w:p>
    <w:p w14:paraId="0F59C61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New categories attract enthusiasm.</w:t>
      </w:r>
    </w:p>
    <w:p w14:paraId="0211B81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They also attract inflation.</w:t>
      </w:r>
    </w:p>
    <w:p w14:paraId="7CCF889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Conceptual inflation occurs when future potential is treated as present value.</w:t>
      </w:r>
    </w:p>
    <w:p w14:paraId="40B7107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Financial inflation occurs when weak evidence is converted into strong claims.</w:t>
      </w:r>
    </w:p>
    <w:p w14:paraId="49FEDA3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Governance inflation occurs when participation is confused with entitlement.</w:t>
      </w:r>
    </w:p>
    <w:p w14:paraId="5106C3B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Tokenomic inflation occurs when digital representation is confused with underlying value.</w:t>
      </w:r>
    </w:p>
    <w:p w14:paraId="0B8F9C8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Ecological inflation occurs when symbolic sustainability is confused with measurable regeneration.</w:t>
      </w:r>
    </w:p>
    <w:p w14:paraId="1F7588D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addresses these risks through separation, verification, and admissibility.</w:t>
      </w:r>
    </w:p>
    <w:p w14:paraId="7B10769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Each layer of the system must remain clear:</w:t>
      </w:r>
    </w:p>
    <w:p w14:paraId="41A2D680"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ecological performance;</w:t>
      </w:r>
    </w:p>
    <w:p w14:paraId="1F0BBD5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MRV evidence;</w:t>
      </w:r>
    </w:p>
    <w:p w14:paraId="206BD8C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verified indicators;</w:t>
      </w:r>
    </w:p>
    <w:p w14:paraId="6468DF4D" w14:textId="1895C384" w:rsidR="001149CC" w:rsidRPr="00B479AE" w:rsidRDefault="00EE7E97" w:rsidP="001149CC">
      <w:pPr>
        <w:spacing w:line="360" w:lineRule="auto"/>
        <w:rPr>
          <w:rFonts w:ascii="Baskerville Old Face" w:hAnsi="Baskerville Old Face"/>
          <w:i/>
          <w:iCs/>
        </w:rPr>
      </w:pPr>
      <w:r w:rsidRPr="00B479AE">
        <w:rPr>
          <w:rFonts w:ascii="Baskerville Old Face" w:hAnsi="Baskerville Old Face"/>
          <w:i/>
          <w:iCs/>
        </w:rPr>
        <w:t>PRU value-analysis layer</w:t>
      </w:r>
      <w:r w:rsidR="001149CC" w:rsidRPr="00B479AE">
        <w:rPr>
          <w:rFonts w:ascii="Baskerville Old Face" w:hAnsi="Baskerville Old Face"/>
          <w:i/>
          <w:iCs/>
        </w:rPr>
        <w:t>;</w:t>
      </w:r>
    </w:p>
    <w:p w14:paraId="264B7AF8" w14:textId="3CA4BB96" w:rsidR="001149CC" w:rsidRPr="00B479AE" w:rsidRDefault="000350E2" w:rsidP="001149CC">
      <w:pPr>
        <w:spacing w:line="360" w:lineRule="auto"/>
        <w:rPr>
          <w:rFonts w:ascii="Baskerville Old Face" w:hAnsi="Baskerville Old Face"/>
          <w:i/>
          <w:iCs/>
        </w:rPr>
      </w:pPr>
      <w:r w:rsidRPr="00B479AE">
        <w:rPr>
          <w:rFonts w:ascii="Baskerville Old Face" w:hAnsi="Baskerville Old Face"/>
          <w:i/>
          <w:iCs/>
        </w:rPr>
        <w:t>PRU maturity classification</w:t>
      </w:r>
      <w:r w:rsidR="001149CC" w:rsidRPr="00B479AE">
        <w:rPr>
          <w:rFonts w:ascii="Baskerville Old Face" w:hAnsi="Baskerville Old Face"/>
          <w:i/>
          <w:iCs/>
        </w:rPr>
        <w:t>;</w:t>
      </w:r>
    </w:p>
    <w:p w14:paraId="38B9487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Regenerative Asset Pool construction;</w:t>
      </w:r>
    </w:p>
    <w:p w14:paraId="371D1AC7"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governance participation;</w:t>
      </w:r>
    </w:p>
    <w:p w14:paraId="7299043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legal wrapper;</w:t>
      </w:r>
    </w:p>
    <w:p w14:paraId="73433CC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capital exposure;</w:t>
      </w:r>
    </w:p>
    <w:p w14:paraId="757F316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digital or tokenized representation.</w:t>
      </w:r>
    </w:p>
    <w:p w14:paraId="2B96FC2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The strength of Prometheus depends on keeping these layers interoperable but distinct.</w:t>
      </w:r>
    </w:p>
    <w:p w14:paraId="5A5560B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This is the architecture of trust.</w:t>
      </w:r>
    </w:p>
    <w:p w14:paraId="186CAE9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b/>
          <w:bCs/>
          <w:i/>
          <w:iCs/>
        </w:rPr>
        <w:t>Core risk framework</w:t>
      </w:r>
    </w:p>
    <w:p w14:paraId="1C739E3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adopts a multi-layer risk framework.</w:t>
      </w:r>
    </w:p>
    <w:p w14:paraId="1A899460"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The principal risk categories are:</w:t>
      </w:r>
    </w:p>
    <w:p w14:paraId="2B0DEC0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ecological risk;</w:t>
      </w:r>
    </w:p>
    <w:p w14:paraId="5024E1D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MRV and data-quality risk;</w:t>
      </w:r>
    </w:p>
    <w:p w14:paraId="31F90DB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operational risk;</w:t>
      </w:r>
    </w:p>
    <w:p w14:paraId="3A90BF3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governance risk;</w:t>
      </w:r>
    </w:p>
    <w:p w14:paraId="5E04534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legal and regulatory risk;</w:t>
      </w:r>
    </w:p>
    <w:p w14:paraId="66FAE03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securities and tokenization risk;</w:t>
      </w:r>
    </w:p>
    <w:p w14:paraId="41799F7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financial and liquidity risk;</w:t>
      </w:r>
    </w:p>
    <w:p w14:paraId="71E846A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technological infrastructure risk;</w:t>
      </w:r>
    </w:p>
    <w:p w14:paraId="76EADF4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AI and model risk;</w:t>
      </w:r>
    </w:p>
    <w:p w14:paraId="2B85E2E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land and stewardship risk;</w:t>
      </w:r>
    </w:p>
    <w:p w14:paraId="4A5E352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adoption and market risk;</w:t>
      </w:r>
    </w:p>
    <w:p w14:paraId="1B29B0F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reputational and greenwashing risk.</w:t>
      </w:r>
    </w:p>
    <w:p w14:paraId="2977F75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Each risk category must be connected to:</w:t>
      </w:r>
    </w:p>
    <w:p w14:paraId="7A5869C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source of risk;</w:t>
      </w:r>
    </w:p>
    <w:p w14:paraId="2CDE880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likelihood;</w:t>
      </w:r>
    </w:p>
    <w:p w14:paraId="7014555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 severity;</w:t>
      </w:r>
    </w:p>
    <w:p w14:paraId="571A0527"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mitigation strategy;</w:t>
      </w:r>
    </w:p>
    <w:p w14:paraId="1C44856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monitoring process;</w:t>
      </w:r>
    </w:p>
    <w:p w14:paraId="0BBEB14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residual exposure;</w:t>
      </w:r>
    </w:p>
    <w:p w14:paraId="2DA31FF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escalation pathway;</w:t>
      </w:r>
    </w:p>
    <w:p w14:paraId="660D6120"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reporting obligation.</w:t>
      </w:r>
    </w:p>
    <w:p w14:paraId="2A53FD2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This makes risk reviewable.</w:t>
      </w:r>
    </w:p>
    <w:p w14:paraId="732312D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Risk becomes part of the infrastructure rather than an unmanaged shadow around it.</w:t>
      </w:r>
    </w:p>
    <w:p w14:paraId="23977863" w14:textId="37189FD2"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b/>
          <w:bCs/>
          <w:i/>
          <w:iCs/>
        </w:rPr>
        <w:t>Ecological risk</w:t>
      </w:r>
    </w:p>
    <w:p w14:paraId="04F22830"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Ecological risk arises from the complexity of living systems.</w:t>
      </w:r>
    </w:p>
    <w:p w14:paraId="58FC721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Regenerative systems do not behave as mechanical assets.</w:t>
      </w:r>
    </w:p>
    <w:p w14:paraId="67B175C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They are influenced by climate, soil type, hydrology, biodiversity, species selection, management skill, pests, diseases, extreme weather, fire, drought, flooding, and disturbance.</w:t>
      </w:r>
    </w:p>
    <w:p w14:paraId="1DFF5D0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An OHE may underperform.</w:t>
      </w:r>
    </w:p>
    <w:p w14:paraId="68A1CA2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 syntropic design may require adaptation.</w:t>
      </w:r>
    </w:p>
    <w:p w14:paraId="21D56C3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 species mix may fail under local conditions.</w:t>
      </w:r>
    </w:p>
    <w:p w14:paraId="13A4AA2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Soil recovery may take longer than expected.</w:t>
      </w:r>
    </w:p>
    <w:p w14:paraId="2F2195C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Water retention may improve more slowly than projected.</w:t>
      </w:r>
    </w:p>
    <w:p w14:paraId="367AEE4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Biodiversity may respond unevenly.</w:t>
      </w:r>
    </w:p>
    <w:p w14:paraId="2514A3A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mitigates ecological risk through:</w:t>
      </w:r>
    </w:p>
    <w:p w14:paraId="23D68FB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conservative site screening;</w:t>
      </w:r>
    </w:p>
    <w:p w14:paraId="7955123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baseline assessment;</w:t>
      </w:r>
    </w:p>
    <w:p w14:paraId="4FA97A10"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 water-first design;</w:t>
      </w:r>
    </w:p>
    <w:p w14:paraId="33BC91C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diversified species selection;</w:t>
      </w:r>
    </w:p>
    <w:p w14:paraId="6432451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syntropic succession planning;</w:t>
      </w:r>
    </w:p>
    <w:p w14:paraId="779107C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phased deployment;</w:t>
      </w:r>
    </w:p>
    <w:p w14:paraId="11E42C4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ecological monitoring;</w:t>
      </w:r>
    </w:p>
    <w:p w14:paraId="798317E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adaptive management;</w:t>
      </w:r>
    </w:p>
    <w:p w14:paraId="3539B62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contingency reserves;</w:t>
      </w:r>
    </w:p>
    <w:p w14:paraId="020E45C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local stewardship training;</w:t>
      </w:r>
    </w:p>
    <w:p w14:paraId="7898631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evidence-based redesign;</w:t>
      </w:r>
    </w:p>
    <w:p w14:paraId="091E949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portfolio diversification through RAPs.</w:t>
      </w:r>
    </w:p>
    <w:p w14:paraId="7536716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The system does not require every site to perform perfectly.</w:t>
      </w:r>
    </w:p>
    <w:p w14:paraId="44A8E6B0"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It requires each site to remain observable, adaptive, and accountable.</w:t>
      </w:r>
    </w:p>
    <w:p w14:paraId="1EA6D45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At portfolio level, ecological risk can be reduced by diversification across climates, soils, maturity stages, species compositions, operators, and geographies.</w:t>
      </w:r>
    </w:p>
    <w:p w14:paraId="012DD93E" w14:textId="5ED06930"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b/>
          <w:bCs/>
          <w:i/>
          <w:iCs/>
        </w:rPr>
        <w:t>MRV and data-quality risk</w:t>
      </w:r>
    </w:p>
    <w:p w14:paraId="56F3D0C0"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MRV risk arises when ecological evidence is incomplete, inaccurate, inconsistent, manipulated, poorly sampled, or insufficiently comparable.</w:t>
      </w:r>
    </w:p>
    <w:p w14:paraId="629C3C8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This is one of the most important risks in Prometheus because PRU logic depends on verified performance.</w:t>
      </w:r>
    </w:p>
    <w:p w14:paraId="1ECBDA9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Weak MRV weakens the asset.</w:t>
      </w:r>
    </w:p>
    <w:p w14:paraId="0D8EC0B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Strong MRV strengthens the asset.</w:t>
      </w:r>
    </w:p>
    <w:p w14:paraId="38849DE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MRV risk may include:</w:t>
      </w:r>
    </w:p>
    <w:p w14:paraId="52AA63D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poor baseline data;</w:t>
      </w:r>
    </w:p>
    <w:p w14:paraId="6DC4D61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 sensor failure;</w:t>
      </w:r>
    </w:p>
    <w:p w14:paraId="3355356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laboratory inconsistency;</w:t>
      </w:r>
    </w:p>
    <w:p w14:paraId="66EE613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missing records;</w:t>
      </w:r>
    </w:p>
    <w:p w14:paraId="62139E8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weak sampling protocols;</w:t>
      </w:r>
    </w:p>
    <w:p w14:paraId="25B5289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satellite-resolution limitations;</w:t>
      </w:r>
    </w:p>
    <w:p w14:paraId="31E3CFC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data gaps;</w:t>
      </w:r>
    </w:p>
    <w:p w14:paraId="0BA6B660"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inconsistent methodology;</w:t>
      </w:r>
    </w:p>
    <w:p w14:paraId="15AF336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unverified human observations;</w:t>
      </w:r>
    </w:p>
    <w:p w14:paraId="7D52D40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excessive reliance on proxies;</w:t>
      </w:r>
    </w:p>
    <w:p w14:paraId="6D9DB8F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data manipulation;</w:t>
      </w:r>
    </w:p>
    <w:p w14:paraId="56CD7EB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unclear provenance;</w:t>
      </w:r>
    </w:p>
    <w:p w14:paraId="2483527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double counting.</w:t>
      </w:r>
    </w:p>
    <w:p w14:paraId="5CFEFE6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mitigates MRV risk through:</w:t>
      </w:r>
    </w:p>
    <w:p w14:paraId="3D72ECE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multi-source verification;</w:t>
      </w:r>
    </w:p>
    <w:p w14:paraId="7CF7C6F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baseline protocols;</w:t>
      </w:r>
    </w:p>
    <w:p w14:paraId="4899CD0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sensor calibration records;</w:t>
      </w:r>
    </w:p>
    <w:p w14:paraId="4F5B356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laboratory chain of custody;</w:t>
      </w:r>
    </w:p>
    <w:p w14:paraId="791D4CB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satellite and drone triangulation;</w:t>
      </w:r>
    </w:p>
    <w:p w14:paraId="7414280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human audit structures;</w:t>
      </w:r>
    </w:p>
    <w:p w14:paraId="4451370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provenance tracking;</w:t>
      </w:r>
    </w:p>
    <w:p w14:paraId="7AB95D0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confidence scoring;</w:t>
      </w:r>
    </w:p>
    <w:p w14:paraId="343228E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methodology versioning;</w:t>
      </w:r>
    </w:p>
    <w:p w14:paraId="03575C6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 anomaly detection;</w:t>
      </w:r>
    </w:p>
    <w:p w14:paraId="4981211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data-quality flags;</w:t>
      </w:r>
    </w:p>
    <w:p w14:paraId="79DEDC8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independent verification where required.</w:t>
      </w:r>
    </w:p>
    <w:p w14:paraId="75BFD05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The system should never treat all evidence as equal.</w:t>
      </w:r>
    </w:p>
    <w:p w14:paraId="5AA929A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Evidence must carry its confidence.</w:t>
      </w:r>
    </w:p>
    <w:p w14:paraId="26B073A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 low-confidence indicator may guide learning.</w:t>
      </w:r>
    </w:p>
    <w:p w14:paraId="5A51315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 high-confidence indicator may support reporting.</w:t>
      </w:r>
    </w:p>
    <w:p w14:paraId="77DEE3D8" w14:textId="4BB0C3A8"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xml:space="preserve">Only admissible evidence may support </w:t>
      </w:r>
      <w:r w:rsidR="001866E1" w:rsidRPr="00B479AE">
        <w:rPr>
          <w:rFonts w:ascii="Baskerville Old Face" w:hAnsi="Baskerville Old Face"/>
          <w:i/>
          <w:iCs/>
        </w:rPr>
        <w:t>PRU value analysis.</w:t>
      </w:r>
    </w:p>
    <w:p w14:paraId="3CD7BE5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This preserves the credibility of the financial layer.</w:t>
      </w:r>
    </w:p>
    <w:p w14:paraId="3BAF0161" w14:textId="207F541C"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b/>
          <w:bCs/>
          <w:i/>
          <w:iCs/>
        </w:rPr>
        <w:t>Operational risk</w:t>
      </w:r>
    </w:p>
    <w:p w14:paraId="43D4A8E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Operational risk arises from the execution of the regenerative system.</w:t>
      </w:r>
    </w:p>
    <w:p w14:paraId="506158E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Even a strong design can fail if implementation is weak.</w:t>
      </w:r>
    </w:p>
    <w:p w14:paraId="419C505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Operational risk may include:</w:t>
      </w:r>
    </w:p>
    <w:p w14:paraId="24C3CD57"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poor project management;</w:t>
      </w:r>
    </w:p>
    <w:p w14:paraId="06A9360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incomplete deployment;</w:t>
      </w:r>
    </w:p>
    <w:p w14:paraId="2489B56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insufficient stewardship;</w:t>
      </w:r>
    </w:p>
    <w:p w14:paraId="52021A7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weak maintenance;</w:t>
      </w:r>
    </w:p>
    <w:p w14:paraId="35BE61C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cost overruns;</w:t>
      </w:r>
    </w:p>
    <w:p w14:paraId="63BB117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delayed planting;</w:t>
      </w:r>
    </w:p>
    <w:p w14:paraId="1A9A2F8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irrigation failure;</w:t>
      </w:r>
    </w:p>
    <w:p w14:paraId="281EA02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inadequate pruning;</w:t>
      </w:r>
    </w:p>
    <w:p w14:paraId="39F26B3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missing records;</w:t>
      </w:r>
    </w:p>
    <w:p w14:paraId="240799D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 labor shortages;</w:t>
      </w:r>
    </w:p>
    <w:p w14:paraId="52A5687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weak training;</w:t>
      </w:r>
    </w:p>
    <w:p w14:paraId="2EA50F7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supplier delays;</w:t>
      </w:r>
    </w:p>
    <w:p w14:paraId="0D4E521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equipment failure;</w:t>
      </w:r>
    </w:p>
    <w:p w14:paraId="10AF453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inconsistent reporting;</w:t>
      </w:r>
    </w:p>
    <w:p w14:paraId="2EFF5687"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failure to follow runbooks.</w:t>
      </w:r>
    </w:p>
    <w:p w14:paraId="14A7431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mitigates operational risk through:</w:t>
      </w:r>
    </w:p>
    <w:p w14:paraId="6FC4F50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operational readiness checks;</w:t>
      </w:r>
    </w:p>
    <w:p w14:paraId="71FA336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execution gates;</w:t>
      </w:r>
    </w:p>
    <w:p w14:paraId="26924F6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standard operating procedures;</w:t>
      </w:r>
    </w:p>
    <w:p w14:paraId="55FC242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stewardship training;</w:t>
      </w:r>
    </w:p>
    <w:p w14:paraId="450436A0"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maintenance calendars;</w:t>
      </w:r>
    </w:p>
    <w:p w14:paraId="4DB06A0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documented workflows;</w:t>
      </w:r>
    </w:p>
    <w:p w14:paraId="03E0301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budget controls;</w:t>
      </w:r>
    </w:p>
    <w:p w14:paraId="4AA28A6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contingency planning;</w:t>
      </w:r>
    </w:p>
    <w:p w14:paraId="58A437E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operational logs;</w:t>
      </w:r>
    </w:p>
    <w:p w14:paraId="2F028D3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governance review;</w:t>
      </w:r>
    </w:p>
    <w:p w14:paraId="0FF1269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GO / NO_GO / MANUAL_REVIEW logic;</w:t>
      </w:r>
    </w:p>
    <w:p w14:paraId="316248F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periodic performance assessment.</w:t>
      </w:r>
    </w:p>
    <w:p w14:paraId="229725D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Operational discipline converts intention into infrastructure.</w:t>
      </w:r>
    </w:p>
    <w:p w14:paraId="1B92B23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Without it, regeneration remains fragile.</w:t>
      </w:r>
    </w:p>
    <w:p w14:paraId="65CAF7E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With it, regeneration becomes repeatable.</w:t>
      </w:r>
    </w:p>
    <w:p w14:paraId="3694A37F" w14:textId="24A28733"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b/>
          <w:bCs/>
          <w:i/>
          <w:iCs/>
        </w:rPr>
        <w:lastRenderedPageBreak/>
        <w:t>Governance risk</w:t>
      </w:r>
    </w:p>
    <w:p w14:paraId="7F51056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Governance risk arises when decision-making becomes unclear, captured, inconsistent, opaque, or misaligned with the regenerative purpose of the system.</w:t>
      </w:r>
    </w:p>
    <w:p w14:paraId="6249C23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involves multiple actors: stewards, communities, investors, protocol maintainers, auditors, developers, capital allocators, institutional partners, and future token participants.</w:t>
      </w:r>
    </w:p>
    <w:p w14:paraId="42ADC5C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This creates coordination complexity.</w:t>
      </w:r>
    </w:p>
    <w:p w14:paraId="1F89236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Governance risk may include:</w:t>
      </w:r>
    </w:p>
    <w:p w14:paraId="6B211F6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role confusion;</w:t>
      </w:r>
    </w:p>
    <w:p w14:paraId="70BDC61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capture by capital;</w:t>
      </w:r>
    </w:p>
    <w:p w14:paraId="3B6487D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capture by operators;</w:t>
      </w:r>
    </w:p>
    <w:p w14:paraId="1ABD15B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unclear voting rights;</w:t>
      </w:r>
    </w:p>
    <w:p w14:paraId="62F6943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weak conflict resolution;</w:t>
      </w:r>
    </w:p>
    <w:p w14:paraId="28A135E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poor transparency;</w:t>
      </w:r>
    </w:p>
    <w:p w14:paraId="4B9CFD8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excessive centralization;</w:t>
      </w:r>
    </w:p>
    <w:p w14:paraId="60B65F5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participation without responsibility;</w:t>
      </w:r>
    </w:p>
    <w:p w14:paraId="4F742A6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governance fatigue;</w:t>
      </w:r>
    </w:p>
    <w:p w14:paraId="368C7CA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misalignment between local and protocol-level decisions;</w:t>
      </w:r>
    </w:p>
    <w:p w14:paraId="4697D3F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semantic drift in methodology.</w:t>
      </w:r>
    </w:p>
    <w:p w14:paraId="49AB596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mitigates governance risk through:</w:t>
      </w:r>
    </w:p>
    <w:p w14:paraId="4D91F13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constitutional definitions;</w:t>
      </w:r>
    </w:p>
    <w:p w14:paraId="72DF2C7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role clarity;</w:t>
      </w:r>
    </w:p>
    <w:p w14:paraId="76BA6DA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Stewardship Circles;</w:t>
      </w:r>
    </w:p>
    <w:p w14:paraId="690DB35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 multi-stakeholder review;</w:t>
      </w:r>
    </w:p>
    <w:p w14:paraId="4DA65E2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transparent decision records;</w:t>
      </w:r>
    </w:p>
    <w:p w14:paraId="0276216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quorum rules;</w:t>
      </w:r>
    </w:p>
    <w:p w14:paraId="08EC719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methodology update procedures;</w:t>
      </w:r>
    </w:p>
    <w:p w14:paraId="71CD98E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dispute-resolution pathways;</w:t>
      </w:r>
    </w:p>
    <w:p w14:paraId="776F9C7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anti-capture safeguards;</w:t>
      </w:r>
    </w:p>
    <w:p w14:paraId="0FD35C87"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separation between governance participation and financial entitlement;</w:t>
      </w:r>
    </w:p>
    <w:p w14:paraId="3A9156E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protocol stewardship;</w:t>
      </w:r>
    </w:p>
    <w:p w14:paraId="74C0783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pilot-first boundaries.</w:t>
      </w:r>
    </w:p>
    <w:p w14:paraId="16CFF58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Governance must preserve the relationship between life, evidence, and capital.</w:t>
      </w:r>
    </w:p>
    <w:p w14:paraId="430BDE8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When governance loses that relationship, the system becomes vulnerable to extraction under new language.</w:t>
      </w:r>
    </w:p>
    <w:p w14:paraId="39653671" w14:textId="12063B83"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b/>
          <w:bCs/>
          <w:i/>
          <w:iCs/>
        </w:rPr>
        <w:t>Legal and regulatory risk</w:t>
      </w:r>
    </w:p>
    <w:p w14:paraId="7AE64C8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Legal and regulatory risk arises because Prometheus may interact with multiple jurisdictions, legal wrappers, investment vehicles, digital instruments, land-access structures, governance mechanisms, and future tokenized representations.</w:t>
      </w:r>
    </w:p>
    <w:p w14:paraId="7012380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The framework may touch areas such as:</w:t>
      </w:r>
    </w:p>
    <w:p w14:paraId="05FC108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securities regulation;</w:t>
      </w:r>
    </w:p>
    <w:p w14:paraId="3212D67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investment-fund regulation;</w:t>
      </w:r>
    </w:p>
    <w:p w14:paraId="17BB9C9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token and digital-asset regulation;</w:t>
      </w:r>
    </w:p>
    <w:p w14:paraId="1373B15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stablecoin regulation;</w:t>
      </w:r>
    </w:p>
    <w:p w14:paraId="58661D1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land-use law;</w:t>
      </w:r>
    </w:p>
    <w:p w14:paraId="6076925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agricultural law;</w:t>
      </w:r>
    </w:p>
    <w:p w14:paraId="3FD9A43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 tax law;</w:t>
      </w:r>
    </w:p>
    <w:p w14:paraId="1B7CE4A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consumer protection;</w:t>
      </w:r>
    </w:p>
    <w:p w14:paraId="215D00B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data protection;</w:t>
      </w:r>
    </w:p>
    <w:p w14:paraId="07F10D6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environmental claims;</w:t>
      </w:r>
    </w:p>
    <w:p w14:paraId="459AEBC0"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carbon or biodiversity crediting;</w:t>
      </w:r>
    </w:p>
    <w:p w14:paraId="6352F05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public procurement;</w:t>
      </w:r>
    </w:p>
    <w:p w14:paraId="7FDB911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cross-border capital flows.</w:t>
      </w:r>
    </w:p>
    <w:p w14:paraId="255A553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mitigates legal and regulatory risk through:</w:t>
      </w:r>
    </w:p>
    <w:p w14:paraId="1583A61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jurisdiction-specific legal review;</w:t>
      </w:r>
    </w:p>
    <w:p w14:paraId="7687F0B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separation of functional layers;</w:t>
      </w:r>
    </w:p>
    <w:p w14:paraId="582B4C77"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clear legal wrappers;</w:t>
      </w:r>
    </w:p>
    <w:p w14:paraId="102147E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professional structuring;</w:t>
      </w:r>
    </w:p>
    <w:p w14:paraId="67D108A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investor disclosure;</w:t>
      </w:r>
    </w:p>
    <w:p w14:paraId="5945689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compliance procedures;</w:t>
      </w:r>
    </w:p>
    <w:p w14:paraId="56CA9A6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conservative public communications;</w:t>
      </w:r>
    </w:p>
    <w:p w14:paraId="359380E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data-protection discipline;</w:t>
      </w:r>
    </w:p>
    <w:p w14:paraId="76C4B29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documented rights and obligations;</w:t>
      </w:r>
    </w:p>
    <w:p w14:paraId="7304768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non-offering language where appropriate;</w:t>
      </w:r>
    </w:p>
    <w:p w14:paraId="0D43853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review before any market-facing product.</w:t>
      </w:r>
    </w:p>
    <w:p w14:paraId="7259572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The White Paper defines architecture.</w:t>
      </w:r>
    </w:p>
    <w:p w14:paraId="68726A4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It does not substitute legal structuring.</w:t>
      </w:r>
    </w:p>
    <w:p w14:paraId="08634B3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Each future instrument must be created through enforceable documents, appropriate jurisdictional analysis, and transparent disclosure.</w:t>
      </w:r>
    </w:p>
    <w:p w14:paraId="6448F2F0" w14:textId="18D843F4"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b/>
          <w:bCs/>
          <w:i/>
          <w:iCs/>
        </w:rPr>
        <w:t>Securities and tokenization risk</w:t>
      </w:r>
    </w:p>
    <w:p w14:paraId="5D9CD45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Tokenization risk arises when digital representation is confused with legal rights, ecological value, financial entitlement, or ownership.</w:t>
      </w:r>
    </w:p>
    <w:p w14:paraId="648B6180"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This is one of the most sensitive areas of the Prometheus architecture.</w:t>
      </w:r>
    </w:p>
    <w:p w14:paraId="52285F6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 token can represent access, participation, governance, operational credits, fund interests, notes, securities, or other legally defined instruments.</w:t>
      </w:r>
    </w:p>
    <w:p w14:paraId="71E13F4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Its meaning depends on the legal and operational context that creates it.</w:t>
      </w:r>
    </w:p>
    <w:p w14:paraId="69452B2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mitigates tokenization risk through functional separation.</w:t>
      </w:r>
    </w:p>
    <w:p w14:paraId="1D9494F0" w14:textId="6A4FF72D"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PRU represents the</w:t>
      </w:r>
      <w:r w:rsidR="002648C8" w:rsidRPr="00B479AE">
        <w:rPr>
          <w:rFonts w:ascii="Baskerville Old Face" w:hAnsi="Baskerville Old Face"/>
          <w:i/>
          <w:iCs/>
        </w:rPr>
        <w:t xml:space="preserve"> analytical representation of verified regenerative performance</w:t>
      </w:r>
      <w:r w:rsidRPr="00B479AE">
        <w:rPr>
          <w:rFonts w:ascii="Baskerville Old Face" w:hAnsi="Baskerville Old Face"/>
          <w:i/>
          <w:iCs/>
        </w:rPr>
        <w:t>.</w:t>
      </w:r>
    </w:p>
    <w:p w14:paraId="6822900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TRBK represents governance, coordination, access, or participation.</w:t>
      </w:r>
    </w:p>
    <w:p w14:paraId="10FB67E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HoloFuel represents operational transaction and infrastructure capacity.</w:t>
      </w:r>
    </w:p>
    <w:p w14:paraId="17CD03B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Stablecoin or fiat rails may support settlement and capital entry.</w:t>
      </w:r>
    </w:p>
    <w:p w14:paraId="706D70DA" w14:textId="59B9F74A" w:rsidR="00884DFB" w:rsidRPr="00B479AE" w:rsidRDefault="00884DFB" w:rsidP="001149CC">
      <w:pPr>
        <w:spacing w:line="360" w:lineRule="auto"/>
        <w:rPr>
          <w:rFonts w:ascii="Baskerville Old Face" w:hAnsi="Baskerville Old Face"/>
          <w:i/>
          <w:iCs/>
        </w:rPr>
      </w:pPr>
      <w:r w:rsidRPr="00B479AE">
        <w:rPr>
          <w:rFonts w:ascii="Baskerville Old Face" w:hAnsi="Baskerville Old Face"/>
          <w:i/>
          <w:iCs/>
        </w:rPr>
        <w:t>Security tokens, tokenized notes, fund interests, or other compliant digital instruments may emerge only through compliant legal wrappers.</w:t>
      </w:r>
    </w:p>
    <w:p w14:paraId="1ECD6CB1" w14:textId="4E536599"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This separation prevents the system from converting ecological performance into speculative ambiguity.</w:t>
      </w:r>
    </w:p>
    <w:p w14:paraId="49CF8DC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Tokenization becomes credible when it represents rights that are legally defined, evidence-backed, and institutionally reviewable.</w:t>
      </w:r>
    </w:p>
    <w:p w14:paraId="3A7DFB9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The asset is verified regenerative infrastructure.</w:t>
      </w:r>
    </w:p>
    <w:p w14:paraId="0E294E2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The token is only a possible representation layer.</w:t>
      </w:r>
    </w:p>
    <w:p w14:paraId="72E55D74" w14:textId="77777777" w:rsidR="00175E64" w:rsidRDefault="00175E64" w:rsidP="001149CC">
      <w:pPr>
        <w:spacing w:line="360" w:lineRule="auto"/>
        <w:rPr>
          <w:rFonts w:ascii="Baskerville Old Face" w:hAnsi="Baskerville Old Face"/>
          <w:b/>
          <w:bCs/>
          <w:i/>
          <w:iCs/>
        </w:rPr>
      </w:pPr>
    </w:p>
    <w:p w14:paraId="63A2E0FE" w14:textId="77777777" w:rsidR="00175E64" w:rsidRDefault="00175E64" w:rsidP="001149CC">
      <w:pPr>
        <w:spacing w:line="360" w:lineRule="auto"/>
        <w:rPr>
          <w:rFonts w:ascii="Baskerville Old Face" w:hAnsi="Baskerville Old Face"/>
          <w:b/>
          <w:bCs/>
          <w:i/>
          <w:iCs/>
        </w:rPr>
      </w:pPr>
    </w:p>
    <w:p w14:paraId="61A7415F" w14:textId="643F18AF"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b/>
          <w:bCs/>
          <w:i/>
          <w:iCs/>
        </w:rPr>
        <w:lastRenderedPageBreak/>
        <w:t>Financial and liquidity risk</w:t>
      </w:r>
    </w:p>
    <w:p w14:paraId="6883BD3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Financial risk arises from revenue uncertainty, cost overruns, capital timing, valuation assumptions, liquidity constraints, leverage, investor expectations, and portfolio performance.</w:t>
      </w:r>
    </w:p>
    <w:p w14:paraId="20FFC44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Regenerative systems may have long maturation periods.</w:t>
      </w:r>
    </w:p>
    <w:p w14:paraId="0F1A6A1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Cash flows may be seasonal.</w:t>
      </w:r>
    </w:p>
    <w:p w14:paraId="0365672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Ecological improvements may take years to become financially visible.</w:t>
      </w:r>
    </w:p>
    <w:p w14:paraId="6431FDE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Markets for ecosystem services may be immature.</w:t>
      </w:r>
    </w:p>
    <w:p w14:paraId="6CE596F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Tokenized or secondary-market liquidity may not exist at early stages.</w:t>
      </w:r>
    </w:p>
    <w:p w14:paraId="3EDDC06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mitigates financial risk through:</w:t>
      </w:r>
    </w:p>
    <w:p w14:paraId="5C2BD3B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conservative modeling;</w:t>
      </w:r>
    </w:p>
    <w:p w14:paraId="1865DD3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staged capital deployment;</w:t>
      </w:r>
    </w:p>
    <w:p w14:paraId="16E4304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clear distinction between cash flows and non-cash value;</w:t>
      </w:r>
    </w:p>
    <w:p w14:paraId="4B1C7DC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reserve accounts;</w:t>
      </w:r>
    </w:p>
    <w:p w14:paraId="1F11929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diversified revenue streams;</w:t>
      </w:r>
    </w:p>
    <w:p w14:paraId="00322C50"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stress testing;</w:t>
      </w:r>
    </w:p>
    <w:p w14:paraId="1FDAB10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transparent valuation methodology;</w:t>
      </w:r>
    </w:p>
    <w:p w14:paraId="23C6740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PRU confidence scoring;</w:t>
      </w:r>
    </w:p>
    <w:p w14:paraId="0F5EC70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RAP diversification;</w:t>
      </w:r>
    </w:p>
    <w:p w14:paraId="42071DA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investor reporting;</w:t>
      </w:r>
    </w:p>
    <w:p w14:paraId="2608968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liquidity windows aligned with asset maturity;</w:t>
      </w:r>
    </w:p>
    <w:p w14:paraId="3282DE1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avoidance of premature leverage;</w:t>
      </w:r>
    </w:p>
    <w:p w14:paraId="618E91D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legal clarity around investor rights.</w:t>
      </w:r>
    </w:p>
    <w:p w14:paraId="357DA02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Capital maturity must follow evidence maturity.</w:t>
      </w:r>
    </w:p>
    <w:p w14:paraId="2F75B0B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This principle protects the system from financial overreach.</w:t>
      </w:r>
    </w:p>
    <w:p w14:paraId="510A21D2" w14:textId="69CDD7B3"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b/>
          <w:bCs/>
          <w:i/>
          <w:iCs/>
        </w:rPr>
        <w:t>Technological infrastructure risk</w:t>
      </w:r>
    </w:p>
    <w:p w14:paraId="0CC042F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Technological risk arises from software, infrastructure, protocols, APIs, data systems, digital identity, interoperability, and operational dependencies.</w:t>
      </w:r>
    </w:p>
    <w:p w14:paraId="46D6CB9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Agent-centric infrastructure, Holochain-compatible components, dashboards, bridges, sensor integrations, AI tools, and external APIs may all introduce dependencies.</w:t>
      </w:r>
    </w:p>
    <w:p w14:paraId="394E087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Risks may include:</w:t>
      </w:r>
    </w:p>
    <w:p w14:paraId="01A8CE67"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software bugs;</w:t>
      </w:r>
    </w:p>
    <w:p w14:paraId="4402E5D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downtime;</w:t>
      </w:r>
    </w:p>
    <w:p w14:paraId="3E391BB7"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API changes;</w:t>
      </w:r>
    </w:p>
    <w:p w14:paraId="2FE904E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data loss;</w:t>
      </w:r>
    </w:p>
    <w:p w14:paraId="196E38C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cybersecurity vulnerabilities;</w:t>
      </w:r>
    </w:p>
    <w:p w14:paraId="34853E3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weak access control;</w:t>
      </w:r>
    </w:p>
    <w:p w14:paraId="76B019C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poor interoperability;</w:t>
      </w:r>
    </w:p>
    <w:p w14:paraId="5CDA76D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infrastructure obsolescence;</w:t>
      </w:r>
    </w:p>
    <w:p w14:paraId="440DAD6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immature tooling;</w:t>
      </w:r>
    </w:p>
    <w:p w14:paraId="5BC25B6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dependency on specific providers;</w:t>
      </w:r>
    </w:p>
    <w:p w14:paraId="4A3A4CF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failure of bridge services;</w:t>
      </w:r>
    </w:p>
    <w:p w14:paraId="39A7C74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lack of operational redundancy.</w:t>
      </w:r>
    </w:p>
    <w:p w14:paraId="7494819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mitigates technological risk through:</w:t>
      </w:r>
    </w:p>
    <w:p w14:paraId="003CBB2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modular architecture;</w:t>
      </w:r>
    </w:p>
    <w:p w14:paraId="34E38DD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 replaceable components;</w:t>
      </w:r>
    </w:p>
    <w:p w14:paraId="18C6764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connector registry;</w:t>
      </w:r>
    </w:p>
    <w:p w14:paraId="10B4A15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API health monitoring;</w:t>
      </w:r>
    </w:p>
    <w:p w14:paraId="7C9D6F3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fallback pathways;</w:t>
      </w:r>
    </w:p>
    <w:p w14:paraId="3EC1C76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version control;</w:t>
      </w:r>
    </w:p>
    <w:p w14:paraId="2B0AF26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source-chain integrity;</w:t>
      </w:r>
    </w:p>
    <w:p w14:paraId="5E0290F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access controls;</w:t>
      </w:r>
    </w:p>
    <w:p w14:paraId="23813AD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backups;</w:t>
      </w:r>
    </w:p>
    <w:p w14:paraId="2FBBFAE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security review;</w:t>
      </w:r>
    </w:p>
    <w:p w14:paraId="5995B98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phased deployment;</w:t>
      </w:r>
    </w:p>
    <w:p w14:paraId="5FFC283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technical audits;</w:t>
      </w:r>
    </w:p>
    <w:p w14:paraId="679ED510"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operational runbooks;</w:t>
      </w:r>
    </w:p>
    <w:p w14:paraId="5360AAE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incident response.</w:t>
      </w:r>
    </w:p>
    <w:p w14:paraId="3E89C69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Technology should support regeneration, not dominate it.</w:t>
      </w:r>
    </w:p>
    <w:p w14:paraId="4695A60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The system remains strongest when its digital layer is modular, reviewable, and replaceable without breaking the ontology.</w:t>
      </w:r>
    </w:p>
    <w:p w14:paraId="760EC2A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b/>
          <w:bCs/>
          <w:i/>
          <w:iCs/>
        </w:rPr>
        <w:t>AI and model risk</w:t>
      </w:r>
    </w:p>
    <w:p w14:paraId="2F4DE997"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AI and model risk arises when automated systems generate outputs that are inaccurate, biased, overconfident, opaque, or improperly treated as authority.</w:t>
      </w:r>
    </w:p>
    <w:p w14:paraId="5B0721C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may use AI for anomaly detection, pattern recognition, ecological interpretation, decision support, reporting, scenario modeling, and operational recommendations.</w:t>
      </w:r>
    </w:p>
    <w:p w14:paraId="3BA83DB7"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These functions can improve intelligence.</w:t>
      </w:r>
    </w:p>
    <w:p w14:paraId="40546E9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They can also introduce risk.</w:t>
      </w:r>
    </w:p>
    <w:p w14:paraId="0222AFC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AI risk may include:</w:t>
      </w:r>
    </w:p>
    <w:p w14:paraId="07BD5B5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hallucinated conclusions;</w:t>
      </w:r>
    </w:p>
    <w:p w14:paraId="0666562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weak causal inference;</w:t>
      </w:r>
    </w:p>
    <w:p w14:paraId="1F04DBF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model drift;</w:t>
      </w:r>
    </w:p>
    <w:p w14:paraId="1876BB2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training-data bias;</w:t>
      </w:r>
    </w:p>
    <w:p w14:paraId="1DF734E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overfitting;</w:t>
      </w:r>
    </w:p>
    <w:p w14:paraId="2FB5DC1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unexplainable outputs;</w:t>
      </w:r>
    </w:p>
    <w:p w14:paraId="6EC9F59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automation bias;</w:t>
      </w:r>
    </w:p>
    <w:p w14:paraId="54E060E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unauthorized execution;</w:t>
      </w:r>
    </w:p>
    <w:p w14:paraId="3EF241E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inadequate human review;</w:t>
      </w:r>
    </w:p>
    <w:p w14:paraId="6ED624E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confusion between recommendation and decision.</w:t>
      </w:r>
    </w:p>
    <w:p w14:paraId="2852E61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mitigates AI risk through:</w:t>
      </w:r>
    </w:p>
    <w:p w14:paraId="0F53074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model cards;</w:t>
      </w:r>
    </w:p>
    <w:p w14:paraId="7F4A3A3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versioning;</w:t>
      </w:r>
    </w:p>
    <w:p w14:paraId="5DA7C4D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confidence scoring;</w:t>
      </w:r>
    </w:p>
    <w:p w14:paraId="08365D5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human review;</w:t>
      </w:r>
    </w:p>
    <w:p w14:paraId="28A8B80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governance approval;</w:t>
      </w:r>
    </w:p>
    <w:p w14:paraId="6BA8354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drift detection;</w:t>
      </w:r>
    </w:p>
    <w:p w14:paraId="2F1033F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validation datasets;</w:t>
      </w:r>
    </w:p>
    <w:p w14:paraId="1BA56DE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sandbox testing;</w:t>
      </w:r>
    </w:p>
    <w:p w14:paraId="3476307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rollback procedures;</w:t>
      </w:r>
    </w:p>
    <w:p w14:paraId="352D9D7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clear distinction between generation and execution;</w:t>
      </w:r>
    </w:p>
    <w:p w14:paraId="31FDE6F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 execution gates.</w:t>
      </w:r>
    </w:p>
    <w:p w14:paraId="7491A52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AI may assist interpretation.</w:t>
      </w:r>
    </w:p>
    <w:p w14:paraId="1279E82B" w14:textId="07A9DC3F"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xml:space="preserve">It does not independently authorize ecological claims, </w:t>
      </w:r>
      <w:r w:rsidR="00BE5BB7" w:rsidRPr="00B479AE">
        <w:rPr>
          <w:rFonts w:ascii="Baskerville Old Face" w:hAnsi="Baskerville Old Face"/>
          <w:i/>
          <w:iCs/>
        </w:rPr>
        <w:t>PRU value analysis</w:t>
      </w:r>
      <w:r w:rsidRPr="00B479AE">
        <w:rPr>
          <w:rFonts w:ascii="Baskerville Old Face" w:hAnsi="Baskerville Old Face"/>
          <w:i/>
          <w:iCs/>
        </w:rPr>
        <w:t>, investor reporting, governance decisions, or financial execution.</w:t>
      </w:r>
    </w:p>
    <w:p w14:paraId="69CC7E2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The system preserves the difference between intelligence and authority.</w:t>
      </w:r>
    </w:p>
    <w:p w14:paraId="65118C44" w14:textId="5466488C"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b/>
          <w:bCs/>
          <w:i/>
          <w:iCs/>
        </w:rPr>
        <w:t>Land and stewardship risk</w:t>
      </w:r>
    </w:p>
    <w:p w14:paraId="6D3EF99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Land and stewardship risk arises from the legal, social, and operational conditions under which land is accessed and managed.</w:t>
      </w:r>
    </w:p>
    <w:p w14:paraId="23F9535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Regenerative performance depends on long-term continuity.</w:t>
      </w:r>
    </w:p>
    <w:p w14:paraId="2EFE3F3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Short-term or unstable land access can weaken the investment case.</w:t>
      </w:r>
    </w:p>
    <w:p w14:paraId="6ACCE7D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Poor stewardship can weaken ecological outcomes.</w:t>
      </w:r>
    </w:p>
    <w:p w14:paraId="51E622E7"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Speculative land dynamics can distort the mission.</w:t>
      </w:r>
    </w:p>
    <w:p w14:paraId="04D5DA0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Risks may include:</w:t>
      </w:r>
    </w:p>
    <w:p w14:paraId="1B1902E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unclear land rights;</w:t>
      </w:r>
    </w:p>
    <w:p w14:paraId="2991F82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short lease terms;</w:t>
      </w:r>
    </w:p>
    <w:p w14:paraId="5FEA5AB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ownership disputes;</w:t>
      </w:r>
    </w:p>
    <w:p w14:paraId="3CA626A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land speculation;</w:t>
      </w:r>
    </w:p>
    <w:p w14:paraId="4D265D50"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poor stewardship continuity;</w:t>
      </w:r>
    </w:p>
    <w:p w14:paraId="53D6B52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operator failure;</w:t>
      </w:r>
    </w:p>
    <w:p w14:paraId="6EF18DD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misaligned incentives;</w:t>
      </w:r>
    </w:p>
    <w:p w14:paraId="43DC1D3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weak maintenance;</w:t>
      </w:r>
    </w:p>
    <w:p w14:paraId="6E58CCC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land-use restrictions;</w:t>
      </w:r>
    </w:p>
    <w:p w14:paraId="5FB497F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 community conflict;</w:t>
      </w:r>
    </w:p>
    <w:p w14:paraId="2E36452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transfer-of-control risk.</w:t>
      </w:r>
    </w:p>
    <w:p w14:paraId="7308D1D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mitigates land and stewardship risk through:</w:t>
      </w:r>
    </w:p>
    <w:p w14:paraId="346841E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documented land-access structures;</w:t>
      </w:r>
    </w:p>
    <w:p w14:paraId="1EB46E4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long-term stewardship agreements;</w:t>
      </w:r>
    </w:p>
    <w:p w14:paraId="0AF7078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Community Land Trust logic where appropriate;</w:t>
      </w:r>
    </w:p>
    <w:p w14:paraId="41E7FA2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use rights separated from speculative appreciation;</w:t>
      </w:r>
    </w:p>
    <w:p w14:paraId="7B7410D7"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operator training;</w:t>
      </w:r>
    </w:p>
    <w:p w14:paraId="2EB6F92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stewardship accountability;</w:t>
      </w:r>
    </w:p>
    <w:p w14:paraId="3C81EA9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governance review;</w:t>
      </w:r>
    </w:p>
    <w:p w14:paraId="5F10B7D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maintenance obligations;</w:t>
      </w:r>
    </w:p>
    <w:p w14:paraId="1F6A3E1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succession planning;</w:t>
      </w:r>
    </w:p>
    <w:p w14:paraId="49DC3FD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site-specific risk registers.</w:t>
      </w:r>
    </w:p>
    <w:p w14:paraId="218AB66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Land anchors regeneration.</w:t>
      </w:r>
    </w:p>
    <w:p w14:paraId="6184ABA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Governance protects access.</w:t>
      </w:r>
    </w:p>
    <w:p w14:paraId="39BA8A9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Stewardship activates value.</w:t>
      </w:r>
    </w:p>
    <w:p w14:paraId="4462FFD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Capital scales infrastructure.</w:t>
      </w:r>
    </w:p>
    <w:p w14:paraId="24FED90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This alignment must remain intact.</w:t>
      </w:r>
    </w:p>
    <w:p w14:paraId="5FD84179" w14:textId="7A661BF3"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b/>
          <w:bCs/>
          <w:i/>
          <w:iCs/>
        </w:rPr>
        <w:t>Adoption and market risk</w:t>
      </w:r>
    </w:p>
    <w:p w14:paraId="0654A2B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Adoption risk arises when participants, communities, investors, institutions, or markets are slow to understand, trust, or adopt the Prometheus architecture.</w:t>
      </w:r>
    </w:p>
    <w:p w14:paraId="77F20AB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introduces a new category of infrastructure.</w:t>
      </w:r>
    </w:p>
    <w:p w14:paraId="1B91BA9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New categories require education, proof, repetition, data, and institutional translation.</w:t>
      </w:r>
    </w:p>
    <w:p w14:paraId="40B0F26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Adoption risk may include:</w:t>
      </w:r>
    </w:p>
    <w:p w14:paraId="5F510DD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complexity barrier;</w:t>
      </w:r>
    </w:p>
    <w:p w14:paraId="438C236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lack of investor familiarity;</w:t>
      </w:r>
    </w:p>
    <w:p w14:paraId="723718C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slow onboarding of stewards;</w:t>
      </w:r>
    </w:p>
    <w:p w14:paraId="46BDAB5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weak public understanding;</w:t>
      </w:r>
    </w:p>
    <w:p w14:paraId="7563BD0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limited institutional appetite;</w:t>
      </w:r>
    </w:p>
    <w:p w14:paraId="0E571F1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unclear market demand;</w:t>
      </w:r>
    </w:p>
    <w:p w14:paraId="3F4F962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resistance from incumbent systems;</w:t>
      </w:r>
    </w:p>
    <w:p w14:paraId="6B3F70B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lack of standardized comparables;</w:t>
      </w:r>
    </w:p>
    <w:p w14:paraId="7BD3F890"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insufficient early proof;</w:t>
      </w:r>
    </w:p>
    <w:p w14:paraId="0DF3B5A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geographic or cultural mismatch.</w:t>
      </w:r>
    </w:p>
    <w:p w14:paraId="598CC5E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mitigates adoption risk through:</w:t>
      </w:r>
    </w:p>
    <w:p w14:paraId="0891CB0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pilot-first deployment;</w:t>
      </w:r>
    </w:p>
    <w:p w14:paraId="5C275CC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clear public language;</w:t>
      </w:r>
    </w:p>
    <w:p w14:paraId="6D2035A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institutional data rooms;</w:t>
      </w:r>
    </w:p>
    <w:p w14:paraId="07B8552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transparent methodology;</w:t>
      </w:r>
    </w:p>
    <w:p w14:paraId="45A7F6F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educational programs;</w:t>
      </w:r>
    </w:p>
    <w:p w14:paraId="57BA18E0"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partner ecosystems;</w:t>
      </w:r>
    </w:p>
    <w:p w14:paraId="19593D97"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local demonstrations;</w:t>
      </w:r>
    </w:p>
    <w:p w14:paraId="0F9C992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progressive evidence publication;</w:t>
      </w:r>
    </w:p>
    <w:p w14:paraId="05AB679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simplified dashboards;</w:t>
      </w:r>
    </w:p>
    <w:p w14:paraId="1BB12B0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 staged investor materials;</w:t>
      </w:r>
    </w:p>
    <w:p w14:paraId="76CD517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stakeholder-specific entry points.</w:t>
      </w:r>
    </w:p>
    <w:p w14:paraId="3DBBF1F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Adoption follows clarity.</w:t>
      </w:r>
    </w:p>
    <w:p w14:paraId="6E3F5F2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Clarity follows evidence.</w:t>
      </w:r>
    </w:p>
    <w:p w14:paraId="10318E9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Evidence follows disciplined deployment.</w:t>
      </w:r>
    </w:p>
    <w:p w14:paraId="58381EC8" w14:textId="6F17A166"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b/>
          <w:bCs/>
          <w:i/>
          <w:iCs/>
        </w:rPr>
        <w:t>Reputational and greenwashing risk</w:t>
      </w:r>
    </w:p>
    <w:p w14:paraId="7C01B60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Reputational risk arises when the system makes claims that exceed evidence, legal structure, operational maturity, or actual ecological performance.</w:t>
      </w:r>
    </w:p>
    <w:p w14:paraId="68B0D61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Greenwashing risk is particularly important because Prometheus operates in a field where sustainability language is often inflated.</w:t>
      </w:r>
    </w:p>
    <w:p w14:paraId="6311854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mitigates reputational and greenwashing risk through:</w:t>
      </w:r>
    </w:p>
    <w:p w14:paraId="3232974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verification-first architecture;</w:t>
      </w:r>
    </w:p>
    <w:p w14:paraId="59E1AE1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evidence hierarchy;</w:t>
      </w:r>
    </w:p>
    <w:p w14:paraId="41E0B6D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confidence scoring;</w:t>
      </w:r>
    </w:p>
    <w:p w14:paraId="64D44EE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no-double-counting discipline;</w:t>
      </w:r>
    </w:p>
    <w:p w14:paraId="3FE4794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clear distinction between pilot, validated unit, RAP, and institutional product;</w:t>
      </w:r>
    </w:p>
    <w:p w14:paraId="3B0D151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legal boundary language;</w:t>
      </w:r>
    </w:p>
    <w:p w14:paraId="7FF023E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conservative public claims;</w:t>
      </w:r>
    </w:p>
    <w:p w14:paraId="3A9EF08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external verification where appropriate;</w:t>
      </w:r>
    </w:p>
    <w:p w14:paraId="7E7E0BC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transparent adverse-event reporting;</w:t>
      </w:r>
    </w:p>
    <w:p w14:paraId="4497065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methodology versioning;</w:t>
      </w:r>
    </w:p>
    <w:p w14:paraId="70DA4BA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separation between aspiration and admissible value.</w:t>
      </w:r>
    </w:p>
    <w:p w14:paraId="0194698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The credibility of Prometheus depends on its ability to speak truthfully about its stage of maturity.</w:t>
      </w:r>
    </w:p>
    <w:p w14:paraId="35A06A2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 pilot is a pilot.</w:t>
      </w:r>
    </w:p>
    <w:p w14:paraId="66164B4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 verified indicator is a verified indicator.</w:t>
      </w:r>
    </w:p>
    <w:p w14:paraId="00524BDE" w14:textId="694B3692"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xml:space="preserve">A PRU is a </w:t>
      </w:r>
      <w:r w:rsidR="003A1979" w:rsidRPr="00B479AE">
        <w:rPr>
          <w:rFonts w:ascii="Baskerville Old Face" w:hAnsi="Baskerville Old Face"/>
          <w:i/>
          <w:iCs/>
        </w:rPr>
        <w:t>value-analysis interface</w:t>
      </w:r>
      <w:r w:rsidRPr="00B479AE">
        <w:rPr>
          <w:rFonts w:ascii="Baskerville Old Face" w:hAnsi="Baskerville Old Face"/>
          <w:i/>
          <w:iCs/>
        </w:rPr>
        <w:t>.</w:t>
      </w:r>
    </w:p>
    <w:p w14:paraId="7035472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 RAP is a portfolio structure.</w:t>
      </w:r>
    </w:p>
    <w:p w14:paraId="46F7BC9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 token is a representation only when legally and functionally defined.</w:t>
      </w:r>
    </w:p>
    <w:p w14:paraId="290C07F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This semantic discipline is not cosmetic.</w:t>
      </w:r>
    </w:p>
    <w:p w14:paraId="4D9B41C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It is reputational infrastructure.</w:t>
      </w:r>
    </w:p>
    <w:p w14:paraId="5837A3CB" w14:textId="6FDA581A"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b/>
          <w:bCs/>
          <w:i/>
          <w:iCs/>
        </w:rPr>
        <w:t>Anti-double-counting protocol</w:t>
      </w:r>
    </w:p>
    <w:p w14:paraId="6993928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Regenerative systems produce overlapping benefits.</w:t>
      </w:r>
    </w:p>
    <w:p w14:paraId="5D69924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One intervention may improve soil, water, biodiversity, biomass, productivity, and resilience at the same time.</w:t>
      </w:r>
    </w:p>
    <w:p w14:paraId="361D4E9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This creates value richness.</w:t>
      </w:r>
    </w:p>
    <w:p w14:paraId="1D5DA5F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It also creates accounting risk.</w:t>
      </w:r>
    </w:p>
    <w:p w14:paraId="2CB3DE47"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therefore requires anti-double-counting discipline.</w:t>
      </w:r>
    </w:p>
    <w:p w14:paraId="0B63077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Each value claim must remain linked to its originating process and evidence chain.</w:t>
      </w:r>
    </w:p>
    <w:p w14:paraId="7122002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If one process supports multiple outcomes, those outcomes must be represented transparently.</w:t>
      </w:r>
    </w:p>
    <w:p w14:paraId="406C9A2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The same ecological improvement should not be sold, reported, pledged, tokenized, or capitalized multiple times in incompatible ways.</w:t>
      </w:r>
    </w:p>
    <w:p w14:paraId="2163B19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 no-double-counting protocol should track:</w:t>
      </w:r>
    </w:p>
    <w:p w14:paraId="08A1211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originating OHE or site;</w:t>
      </w:r>
    </w:p>
    <w:p w14:paraId="287F0F0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baseline condition;</w:t>
      </w:r>
    </w:p>
    <w:p w14:paraId="2D71393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 intervention record;</w:t>
      </w:r>
    </w:p>
    <w:p w14:paraId="6BABF3F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evidence source;</w:t>
      </w:r>
    </w:p>
    <w:p w14:paraId="3EBB9C3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methodology used;</w:t>
      </w:r>
    </w:p>
    <w:p w14:paraId="3E65582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outcome category;</w:t>
      </w:r>
    </w:p>
    <w:p w14:paraId="50F4A0E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claim owner;</w:t>
      </w:r>
    </w:p>
    <w:p w14:paraId="53CD564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reporting use;</w:t>
      </w:r>
    </w:p>
    <w:p w14:paraId="0773702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financial use;</w:t>
      </w:r>
    </w:p>
    <w:p w14:paraId="72A369C0"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tokenized representation, if any;</w:t>
      </w:r>
    </w:p>
    <w:p w14:paraId="021CF12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retirement or allocation status;</w:t>
      </w:r>
    </w:p>
    <w:p w14:paraId="2B5CF9B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conflicts with other claims.</w:t>
      </w:r>
    </w:p>
    <w:p w14:paraId="28E53F1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This protects the asset, the investor, the community, and the integrity of the asset class.</w:t>
      </w:r>
    </w:p>
    <w:p w14:paraId="7DB35DFA" w14:textId="0D717C1E"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b/>
          <w:bCs/>
          <w:i/>
          <w:iCs/>
        </w:rPr>
        <w:t>Admissibility discipline</w:t>
      </w:r>
    </w:p>
    <w:p w14:paraId="6529383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Admissibility is the threshold between evidence and value.</w:t>
      </w:r>
    </w:p>
    <w:p w14:paraId="795F0560"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Not all evidence becomes value.</w:t>
      </w:r>
    </w:p>
    <w:p w14:paraId="4D5E1AD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Not all value becomes financial value.</w:t>
      </w:r>
    </w:p>
    <w:p w14:paraId="2E3800A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Not all financial value becomes investable value.</w:t>
      </w:r>
    </w:p>
    <w:p w14:paraId="357E8F2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Not all investable value becomes tokenizable value.</w:t>
      </w:r>
    </w:p>
    <w:p w14:paraId="53471F70"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therefore applies admissibility discipline.</w:t>
      </w:r>
    </w:p>
    <w:p w14:paraId="6A8DFC1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For a value component to enter PRU logic, it should satisfy:</w:t>
      </w:r>
    </w:p>
    <w:p w14:paraId="640C76C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observability;</w:t>
      </w:r>
    </w:p>
    <w:p w14:paraId="4D35EFF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measurability;</w:t>
      </w:r>
    </w:p>
    <w:p w14:paraId="29437C4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provenance;</w:t>
      </w:r>
    </w:p>
    <w:p w14:paraId="1D033CF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 methodological alignment;</w:t>
      </w:r>
    </w:p>
    <w:p w14:paraId="204741D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confidence threshold;</w:t>
      </w:r>
    </w:p>
    <w:p w14:paraId="68B510E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relevance to performance;</w:t>
      </w:r>
    </w:p>
    <w:p w14:paraId="0556FC57"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legal clarity;</w:t>
      </w:r>
    </w:p>
    <w:p w14:paraId="751B377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no-double-counting review;</w:t>
      </w:r>
    </w:p>
    <w:p w14:paraId="302BFAB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reporting compatibility;</w:t>
      </w:r>
    </w:p>
    <w:p w14:paraId="223D3B2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governance approval where required.</w:t>
      </w:r>
    </w:p>
    <w:p w14:paraId="2212513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This allows the system to recognize many forms of value while admitting only qualified value into financial architecture.</w:t>
      </w:r>
    </w:p>
    <w:p w14:paraId="33C3220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Vision remains broad.</w:t>
      </w:r>
    </w:p>
    <w:p w14:paraId="5FFCEEA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Underwriting remains disciplined.</w:t>
      </w:r>
    </w:p>
    <w:p w14:paraId="055BAE5F" w14:textId="2D15EA88"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b/>
          <w:bCs/>
          <w:i/>
          <w:iCs/>
        </w:rPr>
        <w:t>Investor-grade reporting</w:t>
      </w:r>
    </w:p>
    <w:p w14:paraId="293D2D1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Investor-grade reporting translates regenerative complexity into a form that capital allocators can review without reducing life to a simplistic metric.</w:t>
      </w:r>
    </w:p>
    <w:p w14:paraId="2AF8404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 mature Prometheus report should include:</w:t>
      </w:r>
    </w:p>
    <w:p w14:paraId="10C7752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asset or site overview;</w:t>
      </w:r>
    </w:p>
    <w:p w14:paraId="4EE564C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land-access structure;</w:t>
      </w:r>
    </w:p>
    <w:p w14:paraId="5159094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baseline condition;</w:t>
      </w:r>
    </w:p>
    <w:p w14:paraId="5FC6C05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deployment stage;</w:t>
      </w:r>
    </w:p>
    <w:p w14:paraId="66CD9CA0"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OHE design;</w:t>
      </w:r>
    </w:p>
    <w:p w14:paraId="78FE89D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MRV methodology;</w:t>
      </w:r>
    </w:p>
    <w:p w14:paraId="57FB675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evidence sources;</w:t>
      </w:r>
    </w:p>
    <w:p w14:paraId="62B7FA8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 ecological delta;</w:t>
      </w:r>
    </w:p>
    <w:p w14:paraId="4712CDE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PRU assessment;</w:t>
      </w:r>
    </w:p>
    <w:p w14:paraId="377308D7" w14:textId="0264DF49"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xml:space="preserve">• </w:t>
      </w:r>
      <w:r w:rsidR="005D0524" w:rsidRPr="00B479AE">
        <w:rPr>
          <w:rFonts w:ascii="Baskerville Old Face" w:hAnsi="Baskerville Old Face"/>
          <w:i/>
          <w:iCs/>
        </w:rPr>
        <w:t>PRU maturity classification</w:t>
      </w:r>
      <w:r w:rsidRPr="00B479AE">
        <w:rPr>
          <w:rFonts w:ascii="Baskerville Old Face" w:hAnsi="Baskerville Old Face"/>
          <w:i/>
          <w:iCs/>
        </w:rPr>
        <w:t>;</w:t>
      </w:r>
    </w:p>
    <w:p w14:paraId="5326F0B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confidence score;</w:t>
      </w:r>
    </w:p>
    <w:p w14:paraId="17EDFA7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cash-flow performance;</w:t>
      </w:r>
    </w:p>
    <w:p w14:paraId="1FAF955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revenue composition;</w:t>
      </w:r>
    </w:p>
    <w:p w14:paraId="2E00A46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cost structure;</w:t>
      </w:r>
    </w:p>
    <w:p w14:paraId="69AF40E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reserves;</w:t>
      </w:r>
    </w:p>
    <w:p w14:paraId="0358EC8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risk register;</w:t>
      </w:r>
    </w:p>
    <w:p w14:paraId="0577BDE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adverse events;</w:t>
      </w:r>
    </w:p>
    <w:p w14:paraId="5DBC46B7"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governance status;</w:t>
      </w:r>
    </w:p>
    <w:p w14:paraId="1AF1BC7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legal-wrapper status;</w:t>
      </w:r>
    </w:p>
    <w:p w14:paraId="46D8D15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no-double-counting statement;</w:t>
      </w:r>
    </w:p>
    <w:p w14:paraId="06E4C15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methodology version;</w:t>
      </w:r>
    </w:p>
    <w:p w14:paraId="10D9F74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audit status;</w:t>
      </w:r>
    </w:p>
    <w:p w14:paraId="14F136D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next reporting period.</w:t>
      </w:r>
    </w:p>
    <w:p w14:paraId="04D299B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This reporting structure allows the investor to see not only what the system claims, but how the claim was generated.</w:t>
      </w:r>
    </w:p>
    <w:p w14:paraId="1E601517"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It also allows the steward to demonstrate performance without surrendering the complexity of the living system.</w:t>
      </w:r>
    </w:p>
    <w:p w14:paraId="6715E6C0"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b/>
          <w:bCs/>
          <w:i/>
          <w:iCs/>
        </w:rPr>
        <w:t>Compliance pathway</w:t>
      </w:r>
    </w:p>
    <w:p w14:paraId="4E4233F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compliance must be progressive.</w:t>
      </w:r>
    </w:p>
    <w:p w14:paraId="5CD0208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The compliance needs of a pilot are different from the compliance needs of a public tokenized instrument.</w:t>
      </w:r>
    </w:p>
    <w:p w14:paraId="377CFC2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The system should therefore distinguish between:</w:t>
      </w:r>
    </w:p>
    <w:p w14:paraId="50E1B8C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research and conceptual development;</w:t>
      </w:r>
    </w:p>
    <w:p w14:paraId="7E7ACA56"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pilot deployment;</w:t>
      </w:r>
    </w:p>
    <w:p w14:paraId="47B144D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private project financing;</w:t>
      </w:r>
    </w:p>
    <w:p w14:paraId="76AAF93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SPV or fund structuring;</w:t>
      </w:r>
    </w:p>
    <w:p w14:paraId="1826CE2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institutional reporting;</w:t>
      </w:r>
    </w:p>
    <w:p w14:paraId="23BE8F3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regulated securities or notes;</w:t>
      </w:r>
    </w:p>
    <w:p w14:paraId="608A33C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public tokenized representations;</w:t>
      </w:r>
    </w:p>
    <w:p w14:paraId="30F08B7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cross-border market-facing products.</w:t>
      </w:r>
    </w:p>
    <w:p w14:paraId="1722527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Each stage requires its own legal, regulatory, tax, accounting, investor-disclosure, and operational review.</w:t>
      </w:r>
    </w:p>
    <w:p w14:paraId="1AC2154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The compliance pathway should mature with the asset pathway.</w:t>
      </w:r>
    </w:p>
    <w:p w14:paraId="22B6A57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This creates responsible scale.</w:t>
      </w:r>
    </w:p>
    <w:p w14:paraId="53F6EFA4"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b/>
          <w:bCs/>
          <w:i/>
          <w:iCs/>
        </w:rPr>
        <w:t>Institutional readiness conditions</w:t>
      </w:r>
    </w:p>
    <w:p w14:paraId="43545AD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becomes institutionally ready when several conditions converge.</w:t>
      </w:r>
    </w:p>
    <w:p w14:paraId="162ECCE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These include:</w:t>
      </w:r>
    </w:p>
    <w:p w14:paraId="1C77234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operationally deployed regenerative units;</w:t>
      </w:r>
    </w:p>
    <w:p w14:paraId="2191AD4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documented baselines;</w:t>
      </w:r>
    </w:p>
    <w:p w14:paraId="6CB0EC4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active MRV;</w:t>
      </w:r>
    </w:p>
    <w:p w14:paraId="5A666E0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evidence continuity;</w:t>
      </w:r>
    </w:p>
    <w:p w14:paraId="2698394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lastRenderedPageBreak/>
        <w:t>• confidence scoring;</w:t>
      </w:r>
    </w:p>
    <w:p w14:paraId="38DACCE9"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methodology versioning;</w:t>
      </w:r>
    </w:p>
    <w:p w14:paraId="3CF3D83E"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governance reliability;</w:t>
      </w:r>
    </w:p>
    <w:p w14:paraId="71BB94F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legal clarity;</w:t>
      </w:r>
    </w:p>
    <w:p w14:paraId="444DDA4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financial model discipline;</w:t>
      </w:r>
    </w:p>
    <w:p w14:paraId="79BB07C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risk register;</w:t>
      </w:r>
    </w:p>
    <w:p w14:paraId="1726CD37"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data room availability;</w:t>
      </w:r>
    </w:p>
    <w:p w14:paraId="469B8222"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investor reporting;</w:t>
      </w:r>
    </w:p>
    <w:p w14:paraId="56DC334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external review where required;</w:t>
      </w:r>
    </w:p>
    <w:p w14:paraId="58A9392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no-double-counting controls;</w:t>
      </w:r>
    </w:p>
    <w:p w14:paraId="6F03B7F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staged capital structure;</w:t>
      </w:r>
    </w:p>
    <w:p w14:paraId="7CB523D1"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 transparent public communication.</w:t>
      </w:r>
    </w:p>
    <w:p w14:paraId="4C2C05D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Institutional readiness is not a branding claim.</w:t>
      </w:r>
    </w:p>
    <w:p w14:paraId="4FE88E6D"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It is an evidence condition.</w:t>
      </w:r>
    </w:p>
    <w:p w14:paraId="27ACC17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 system becomes ready when its structure can be reviewed by people who do not need to believe the story in order to evaluate the asset.</w:t>
      </w:r>
    </w:p>
    <w:p w14:paraId="2986D237"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This is the threshold Prometheus must reach.</w:t>
      </w:r>
    </w:p>
    <w:p w14:paraId="13D25C6A" w14:textId="56EB8BE0" w:rsidR="00954AEB" w:rsidRPr="00B479AE" w:rsidRDefault="00954AEB" w:rsidP="00954AEB">
      <w:pPr>
        <w:spacing w:line="360" w:lineRule="auto"/>
        <w:rPr>
          <w:rFonts w:ascii="Baskerville Old Face" w:hAnsi="Baskerville Old Face"/>
          <w:i/>
          <w:iCs/>
        </w:rPr>
      </w:pPr>
      <w:r w:rsidRPr="00B479AE">
        <w:rPr>
          <w:rFonts w:ascii="Baskerville Old Face" w:hAnsi="Baskerville Old Face"/>
          <w:b/>
          <w:bCs/>
          <w:i/>
          <w:iCs/>
        </w:rPr>
        <w:t>Minsky-Keen Dynamics and Regenerative Risk Control</w:t>
      </w:r>
    </w:p>
    <w:p w14:paraId="08301D43" w14:textId="77777777" w:rsidR="00954AEB" w:rsidRPr="00B479AE" w:rsidRDefault="00954AEB" w:rsidP="00954AEB">
      <w:pPr>
        <w:spacing w:line="360" w:lineRule="auto"/>
        <w:rPr>
          <w:rFonts w:ascii="Baskerville Old Face" w:hAnsi="Baskerville Old Face"/>
          <w:i/>
          <w:iCs/>
        </w:rPr>
      </w:pPr>
      <w:r w:rsidRPr="00B479AE">
        <w:rPr>
          <w:rFonts w:ascii="Baskerville Old Face" w:hAnsi="Baskerville Old Face"/>
          <w:i/>
          <w:iCs/>
        </w:rPr>
        <w:t>Prometheus recognizes that financial instability is often endogenous to system design.</w:t>
      </w:r>
    </w:p>
    <w:p w14:paraId="38DF4325" w14:textId="77777777" w:rsidR="00954AEB" w:rsidRPr="00B479AE" w:rsidRDefault="00954AEB" w:rsidP="00954AEB">
      <w:pPr>
        <w:spacing w:line="360" w:lineRule="auto"/>
        <w:rPr>
          <w:rFonts w:ascii="Baskerville Old Face" w:hAnsi="Baskerville Old Face"/>
          <w:i/>
          <w:iCs/>
        </w:rPr>
      </w:pPr>
      <w:r w:rsidRPr="00B479AE">
        <w:rPr>
          <w:rFonts w:ascii="Baskerville Old Face" w:hAnsi="Baskerville Old Face"/>
          <w:i/>
          <w:iCs/>
        </w:rPr>
        <w:t>Hyman Minsky showed that financial systems can accumulate fragility when credit expansion progressively detaches from productive capacity.</w:t>
      </w:r>
    </w:p>
    <w:p w14:paraId="681FB7EF" w14:textId="77777777" w:rsidR="00954AEB" w:rsidRPr="00B479AE" w:rsidRDefault="00954AEB" w:rsidP="00954AEB">
      <w:pPr>
        <w:spacing w:line="360" w:lineRule="auto"/>
        <w:rPr>
          <w:rFonts w:ascii="Baskerville Old Face" w:hAnsi="Baskerville Old Face"/>
          <w:i/>
          <w:iCs/>
        </w:rPr>
      </w:pPr>
      <w:r w:rsidRPr="00B479AE">
        <w:rPr>
          <w:rFonts w:ascii="Baskerville Old Face" w:hAnsi="Baskerville Old Face"/>
          <w:i/>
          <w:iCs/>
        </w:rPr>
        <w:t>Steve Keen extended this insight by modeling the relationship between debt dynamics, aggregate demand, and systemic instability.</w:t>
      </w:r>
    </w:p>
    <w:p w14:paraId="23E02F55" w14:textId="77777777" w:rsidR="00954AEB" w:rsidRPr="00B479AE" w:rsidRDefault="00954AEB" w:rsidP="00954AEB">
      <w:pPr>
        <w:spacing w:line="360" w:lineRule="auto"/>
        <w:rPr>
          <w:rFonts w:ascii="Baskerville Old Face" w:hAnsi="Baskerville Old Face"/>
          <w:i/>
          <w:iCs/>
        </w:rPr>
      </w:pPr>
      <w:r w:rsidRPr="00B479AE">
        <w:rPr>
          <w:rFonts w:ascii="Baskerville Old Face" w:hAnsi="Baskerville Old Face"/>
          <w:i/>
          <w:iCs/>
        </w:rPr>
        <w:lastRenderedPageBreak/>
        <w:t>Within Prometheus, this logic is extended into the ecological domain.</w:t>
      </w:r>
    </w:p>
    <w:p w14:paraId="6A848BBF" w14:textId="77777777" w:rsidR="00954AEB" w:rsidRPr="00B479AE" w:rsidRDefault="00954AEB" w:rsidP="00954AEB">
      <w:pPr>
        <w:spacing w:line="360" w:lineRule="auto"/>
        <w:rPr>
          <w:rFonts w:ascii="Baskerville Old Face" w:hAnsi="Baskerville Old Face"/>
          <w:i/>
          <w:iCs/>
        </w:rPr>
      </w:pPr>
      <w:r w:rsidRPr="00B479AE">
        <w:rPr>
          <w:rFonts w:ascii="Baskerville Old Face" w:hAnsi="Baskerville Old Face"/>
          <w:i/>
          <w:iCs/>
        </w:rPr>
        <w:t>When economic activity extracts from living systems faster than those systems regenerate, systemic fragility accumulates in biophysical form.</w:t>
      </w:r>
    </w:p>
    <w:p w14:paraId="79F1FD3E" w14:textId="77777777" w:rsidR="00954AEB" w:rsidRPr="00B479AE" w:rsidRDefault="00954AEB" w:rsidP="00954AEB">
      <w:pPr>
        <w:spacing w:line="360" w:lineRule="auto"/>
        <w:rPr>
          <w:rFonts w:ascii="Baskerville Old Face" w:hAnsi="Baskerville Old Face"/>
          <w:i/>
          <w:iCs/>
        </w:rPr>
      </w:pPr>
      <w:r w:rsidRPr="00B479AE">
        <w:rPr>
          <w:rFonts w:ascii="Baskerville Old Face" w:hAnsi="Baskerville Old Face"/>
          <w:i/>
          <w:iCs/>
        </w:rPr>
        <w:t>Soil depletion, hydrological instability, biodiversity loss, food-system fragility, insurance pressure, and chronic health burdens are not isolated externalities.</w:t>
      </w:r>
    </w:p>
    <w:p w14:paraId="538D3214" w14:textId="77777777" w:rsidR="00954AEB" w:rsidRPr="00B479AE" w:rsidRDefault="00954AEB" w:rsidP="00954AEB">
      <w:pPr>
        <w:spacing w:line="360" w:lineRule="auto"/>
        <w:rPr>
          <w:rFonts w:ascii="Baskerville Old Face" w:hAnsi="Baskerville Old Face"/>
          <w:i/>
          <w:iCs/>
        </w:rPr>
      </w:pPr>
      <w:r w:rsidRPr="00B479AE">
        <w:rPr>
          <w:rFonts w:ascii="Baskerville Old Face" w:hAnsi="Baskerville Old Face"/>
          <w:i/>
          <w:iCs/>
        </w:rPr>
        <w:t>They are balance-sheet consequences of metabolic imbalance.</w:t>
      </w:r>
    </w:p>
    <w:p w14:paraId="6AC6FB29" w14:textId="77777777" w:rsidR="00954AEB" w:rsidRPr="00B479AE" w:rsidRDefault="00954AEB" w:rsidP="00954AEB">
      <w:pPr>
        <w:spacing w:line="360" w:lineRule="auto"/>
        <w:rPr>
          <w:rFonts w:ascii="Baskerville Old Face" w:hAnsi="Baskerville Old Face"/>
          <w:i/>
          <w:iCs/>
        </w:rPr>
      </w:pPr>
      <w:r w:rsidRPr="00B479AE">
        <w:rPr>
          <w:rFonts w:ascii="Baskerville Old Face" w:hAnsi="Baskerville Old Face"/>
          <w:i/>
          <w:iCs/>
        </w:rPr>
        <w:t>Prometheus therefore treats regenerative infrastructure as a risk-control architecture.</w:t>
      </w:r>
    </w:p>
    <w:p w14:paraId="6E9E4230" w14:textId="77777777" w:rsidR="00954AEB" w:rsidRPr="00B479AE" w:rsidRDefault="00954AEB" w:rsidP="00954AEB">
      <w:pPr>
        <w:spacing w:line="360" w:lineRule="auto"/>
        <w:rPr>
          <w:rFonts w:ascii="Baskerville Old Face" w:hAnsi="Baskerville Old Face"/>
          <w:i/>
          <w:iCs/>
        </w:rPr>
      </w:pPr>
      <w:r w:rsidRPr="00B479AE">
        <w:rPr>
          <w:rFonts w:ascii="Baskerville Old Face" w:hAnsi="Baskerville Old Face"/>
          <w:i/>
          <w:iCs/>
        </w:rPr>
        <w:t>Its objective is not merely to finance ecological improvement.</w:t>
      </w:r>
    </w:p>
    <w:p w14:paraId="485E13AA" w14:textId="77777777" w:rsidR="00954AEB" w:rsidRPr="00B479AE" w:rsidRDefault="00954AEB" w:rsidP="00954AEB">
      <w:pPr>
        <w:spacing w:line="360" w:lineRule="auto"/>
        <w:rPr>
          <w:rFonts w:ascii="Baskerville Old Face" w:hAnsi="Baskerville Old Face"/>
          <w:i/>
          <w:iCs/>
        </w:rPr>
      </w:pPr>
      <w:r w:rsidRPr="00B479AE">
        <w:rPr>
          <w:rFonts w:ascii="Baskerville Old Face" w:hAnsi="Baskerville Old Face"/>
          <w:i/>
          <w:iCs/>
        </w:rPr>
        <w:t>Its objective is to reduce the accumulation of systemic fragility by linking value formation to verified regenerative capacity.</w:t>
      </w:r>
    </w:p>
    <w:p w14:paraId="5C252DB5" w14:textId="77777777" w:rsidR="00954AEB" w:rsidRPr="00B479AE" w:rsidRDefault="00954AEB" w:rsidP="00954AEB">
      <w:pPr>
        <w:spacing w:line="360" w:lineRule="auto"/>
        <w:rPr>
          <w:rFonts w:ascii="Baskerville Old Face" w:hAnsi="Baskerville Old Face"/>
          <w:i/>
          <w:iCs/>
        </w:rPr>
      </w:pPr>
      <w:r w:rsidRPr="00B479AE">
        <w:rPr>
          <w:rFonts w:ascii="Baskerville Old Face" w:hAnsi="Baskerville Old Face"/>
          <w:i/>
          <w:iCs/>
        </w:rPr>
        <w:t>This does not mean that regeneration eliminates financial risk.</w:t>
      </w:r>
    </w:p>
    <w:p w14:paraId="19576780" w14:textId="77777777" w:rsidR="00954AEB" w:rsidRPr="00B479AE" w:rsidRDefault="00954AEB" w:rsidP="00954AEB">
      <w:pPr>
        <w:spacing w:line="360" w:lineRule="auto"/>
        <w:rPr>
          <w:rFonts w:ascii="Baskerville Old Face" w:hAnsi="Baskerville Old Face"/>
          <w:i/>
          <w:iCs/>
        </w:rPr>
      </w:pPr>
      <w:r w:rsidRPr="00B479AE">
        <w:rPr>
          <w:rFonts w:ascii="Baskerville Old Face" w:hAnsi="Baskerville Old Face"/>
          <w:i/>
          <w:iCs/>
        </w:rPr>
        <w:t>It means that financial risk is evaluated in relation to the health, resilience, and productive capacity of the living systems that support long-term value.</w:t>
      </w:r>
    </w:p>
    <w:p w14:paraId="492A5ECF" w14:textId="77777777" w:rsidR="00954AEB" w:rsidRPr="00B479AE" w:rsidRDefault="00954AEB" w:rsidP="00954AEB">
      <w:pPr>
        <w:spacing w:line="360" w:lineRule="auto"/>
        <w:rPr>
          <w:rFonts w:ascii="Baskerville Old Face" w:hAnsi="Baskerville Old Face"/>
          <w:i/>
          <w:iCs/>
        </w:rPr>
      </w:pPr>
      <w:r w:rsidRPr="00B479AE">
        <w:rPr>
          <w:rFonts w:ascii="Baskerville Old Face" w:hAnsi="Baskerville Old Face"/>
          <w:i/>
          <w:iCs/>
        </w:rPr>
        <w:t>In this sense, Prometheus shifts the underwriting question from:</w:t>
      </w:r>
    </w:p>
    <w:p w14:paraId="798405B6" w14:textId="77777777" w:rsidR="00954AEB" w:rsidRPr="00B479AE" w:rsidRDefault="00954AEB" w:rsidP="00954AEB">
      <w:pPr>
        <w:spacing w:line="360" w:lineRule="auto"/>
        <w:rPr>
          <w:rFonts w:ascii="Baskerville Old Face" w:hAnsi="Baskerville Old Face"/>
          <w:i/>
          <w:iCs/>
        </w:rPr>
      </w:pPr>
      <w:r w:rsidRPr="00B479AE">
        <w:rPr>
          <w:rFonts w:ascii="Baskerville Old Face" w:hAnsi="Baskerville Old Face"/>
          <w:i/>
          <w:iCs/>
        </w:rPr>
        <w:t>How much value can be extracted before risk appears?</w:t>
      </w:r>
    </w:p>
    <w:p w14:paraId="58DC0124" w14:textId="77777777" w:rsidR="00954AEB" w:rsidRPr="00B479AE" w:rsidRDefault="00954AEB" w:rsidP="00954AEB">
      <w:pPr>
        <w:spacing w:line="360" w:lineRule="auto"/>
        <w:rPr>
          <w:rFonts w:ascii="Baskerville Old Face" w:hAnsi="Baskerville Old Face"/>
          <w:i/>
          <w:iCs/>
        </w:rPr>
      </w:pPr>
      <w:r w:rsidRPr="00B479AE">
        <w:rPr>
          <w:rFonts w:ascii="Baskerville Old Face" w:hAnsi="Baskerville Old Face"/>
          <w:i/>
          <w:iCs/>
        </w:rPr>
        <w:t>to:</w:t>
      </w:r>
    </w:p>
    <w:p w14:paraId="0B249CD2" w14:textId="77777777" w:rsidR="00954AEB" w:rsidRPr="00B479AE" w:rsidRDefault="00954AEB" w:rsidP="00954AEB">
      <w:pPr>
        <w:spacing w:line="360" w:lineRule="auto"/>
        <w:rPr>
          <w:rFonts w:ascii="Baskerville Old Face" w:hAnsi="Baskerville Old Face"/>
          <w:i/>
          <w:iCs/>
        </w:rPr>
      </w:pPr>
      <w:r w:rsidRPr="00B479AE">
        <w:rPr>
          <w:rFonts w:ascii="Baskerville Old Face" w:hAnsi="Baskerville Old Face"/>
          <w:i/>
          <w:iCs/>
        </w:rPr>
        <w:t>How much regenerative capacity must be verified before value can be safely capitalized?</w:t>
      </w:r>
    </w:p>
    <w:p w14:paraId="16A0D67E" w14:textId="77777777" w:rsidR="00954AEB" w:rsidRPr="00B479AE" w:rsidRDefault="00954AEB" w:rsidP="00954AEB">
      <w:pPr>
        <w:spacing w:line="360" w:lineRule="auto"/>
        <w:rPr>
          <w:rFonts w:ascii="Baskerville Old Face" w:hAnsi="Baskerville Old Face"/>
          <w:i/>
          <w:iCs/>
        </w:rPr>
      </w:pPr>
      <w:r w:rsidRPr="00B479AE">
        <w:rPr>
          <w:rFonts w:ascii="Baskerville Old Face" w:hAnsi="Baskerville Old Face"/>
          <w:i/>
          <w:iCs/>
        </w:rPr>
        <w:t>This is the risk discipline beneath PRU, RAP, MRV, and capital formation.</w:t>
      </w:r>
    </w:p>
    <w:p w14:paraId="7BC6A1E5" w14:textId="3A96784E"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b/>
          <w:bCs/>
          <w:i/>
          <w:iCs/>
        </w:rPr>
        <w:t>Technical Note — Systemic Raveling and the Regenerative Brake</w:t>
      </w:r>
    </w:p>
    <w:p w14:paraId="0E3DDA63"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Prometheus interprets risk not only as isolated failure, but as systemic raveling.</w:t>
      </w:r>
    </w:p>
    <w:p w14:paraId="75EFB5BE"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Systemic raveling refers to the gradual weakening of the relationships that hold a complex system together.</w:t>
      </w:r>
    </w:p>
    <w:p w14:paraId="081C398E"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lastRenderedPageBreak/>
        <w:t>In financial systems, raveling may appear as excessive leverage, rising debt dependency, correlated exposure, declining productive capacity, liquidity stress, or the progressive separation between asset values and real underlying performance.</w:t>
      </w:r>
    </w:p>
    <w:p w14:paraId="3DD8B60E"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In ecological systems, raveling may appear as soil carbon depletion, hydrological instability, biodiversity fragmentation, loss of mycorrhizal function, increasing input dependency, declining resilience, or higher variance under stress.</w:t>
      </w:r>
    </w:p>
    <w:p w14:paraId="3DCD1D24"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In governance systems, raveling may appear as declining trust, semantic drift, protocol capture, weak reviewability, poor participation quality, unmanaged conflict, or decisions that accelerate abstraction faster than verification.</w:t>
      </w:r>
    </w:p>
    <w:p w14:paraId="00E3B0B2"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Prometheus treats raveling as an early-warning category.</w:t>
      </w:r>
    </w:p>
    <w:p w14:paraId="39FE3C22"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The objective is not to wait for collapse and then attempt repair.</w:t>
      </w:r>
    </w:p>
    <w:p w14:paraId="6955C947"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The objective is to detect weakening coherence before failure becomes systemic.</w:t>
      </w:r>
    </w:p>
    <w:p w14:paraId="1B17A7CD" w14:textId="39921FA1"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b/>
          <w:bCs/>
          <w:i/>
          <w:iCs/>
        </w:rPr>
        <w:t>Ravel monitoring layer</w:t>
      </w:r>
    </w:p>
    <w:p w14:paraId="758D1260"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A future Prometheus risk-monitoring layer may observe multiple classes of indicators:</w:t>
      </w:r>
    </w:p>
    <w:p w14:paraId="4006E1D7"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ecological indicators, including soil function, hydrological resilience, biodiversity, biomass cycling, input dependency, mortality, recovery after stress, and productive variance;</w:t>
      </w:r>
    </w:p>
    <w:p w14:paraId="6312BD69"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MRV indicators, including evidence continuity, confidence scores, sensor reliability, audit status, provenance gaps, anomaly frequency, and no-double-counting risk;</w:t>
      </w:r>
    </w:p>
    <w:p w14:paraId="60F949D9"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financial indicators, including leverage, revenue quality, debt-service pressure, reserve adequacy, concentration exposure, liquidity assumptions, and dependency on unverified future value;</w:t>
      </w:r>
    </w:p>
    <w:p w14:paraId="5692E877"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governance indicators, including participation quality, dispute frequency, protocol deviation, decision latency, review failures, validator reliability, and methodology drift;</w:t>
      </w:r>
    </w:p>
    <w:p w14:paraId="5CED06E1"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digital-infrastructure indicators, including node availability, validation failures, warrant activity, data-integrity issues, connector failures, model drift, and cybersecurity events;</w:t>
      </w:r>
    </w:p>
    <w:p w14:paraId="0C2DC3ED"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human-infrastructure indicators, where voluntarily and lawfully available, limited to aggregate and non-coercive signals of governance stress, conflict, fatigue, or participation fragility.</w:t>
      </w:r>
    </w:p>
    <w:p w14:paraId="52C21AF0"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lastRenderedPageBreak/>
        <w:t>No single indicator should trigger financial action automatically.</w:t>
      </w:r>
    </w:p>
    <w:p w14:paraId="7B9039BB"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Ravel risk must be interpreted through convergence, thresholds, governance review, and context.</w:t>
      </w:r>
    </w:p>
    <w:p w14:paraId="6703C540"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b/>
          <w:bCs/>
          <w:i/>
          <w:iCs/>
        </w:rPr>
        <w:t>From fixed thresholds to adaptive thresholds</w:t>
      </w:r>
    </w:p>
    <w:p w14:paraId="16B30E15"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Early drafts of Prometheus referred to fixed thresholds, such as minimum RROI values, planetary-boundary alerts, debt-to-regeneration ratios, coherence dispersion, or trust-network fragmentation.</w:t>
      </w:r>
    </w:p>
    <w:p w14:paraId="6E2FE955"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In the institutional version of Prometheus, such thresholds should be treated as research and governance parameters, not as universal constants.</w:t>
      </w:r>
    </w:p>
    <w:p w14:paraId="3F175A70"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A mature system may eventually define threshold bands such as:</w:t>
      </w:r>
    </w:p>
    <w:p w14:paraId="7DF55E90"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green — ordinary operating range;</w:t>
      </w:r>
    </w:p>
    <w:p w14:paraId="4939BF63"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yellow — early warning and increased monitoring;</w:t>
      </w:r>
    </w:p>
    <w:p w14:paraId="47700338"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orange — elevated review, reduced expansion, or conditional execution;</w:t>
      </w:r>
    </w:p>
    <w:p w14:paraId="2F385569"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red — critical review, suspension of selected actions, emergency governance process, or capital-protection intervention.</w:t>
      </w:r>
    </w:p>
    <w:p w14:paraId="1F315D5C"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However, these thresholds must be methodology-specific, versioned, tested, and reviewed.</w:t>
      </w:r>
    </w:p>
    <w:p w14:paraId="43D75F73"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They should not be presented as final universal values before pilot evidence exists.</w:t>
      </w:r>
    </w:p>
    <w:p w14:paraId="38758E21"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b/>
          <w:bCs/>
          <w:i/>
          <w:iCs/>
        </w:rPr>
        <w:t>The regenerative brake</w:t>
      </w:r>
    </w:p>
    <w:p w14:paraId="10DA492E"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The regenerative brake is a governance and risk-control concept.</w:t>
      </w:r>
    </w:p>
    <w:p w14:paraId="21361E3D"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It describes the capacity of Prometheus to slow, pause, condition, or review system actions when evidence indicates rising systemic risk.</w:t>
      </w:r>
    </w:p>
    <w:p w14:paraId="3432CA4D"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Potential brake actions may include:</w:t>
      </w:r>
    </w:p>
    <w:p w14:paraId="1B87B208"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increased monitoring frequency;</w:t>
      </w:r>
    </w:p>
    <w:p w14:paraId="3FC5B060"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mandatory manual review;</w:t>
      </w:r>
    </w:p>
    <w:p w14:paraId="1E0C3A0E" w14:textId="10E0A8A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xml:space="preserve">• temporary pause of </w:t>
      </w:r>
      <w:r w:rsidR="005D0524" w:rsidRPr="00B479AE">
        <w:rPr>
          <w:rFonts w:ascii="Baskerville Old Face" w:hAnsi="Baskerville Old Face"/>
          <w:i/>
          <w:iCs/>
        </w:rPr>
        <w:t>PRU maturity classification</w:t>
      </w:r>
      <w:r w:rsidRPr="00B479AE">
        <w:rPr>
          <w:rFonts w:ascii="Baskerville Old Face" w:hAnsi="Baskerville Old Face"/>
          <w:i/>
          <w:iCs/>
        </w:rPr>
        <w:t xml:space="preserve"> upgrades;</w:t>
      </w:r>
    </w:p>
    <w:p w14:paraId="561BE322"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lastRenderedPageBreak/>
        <w:t>• temporary pause of RAP inclusion;</w:t>
      </w:r>
    </w:p>
    <w:p w14:paraId="06E56419"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restriction of new capital deployment into underperforming or underverified units;</w:t>
      </w:r>
    </w:p>
    <w:p w14:paraId="293DD745"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additional audit requirements;</w:t>
      </w:r>
    </w:p>
    <w:p w14:paraId="447830C8"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increased reserve requirements;</w:t>
      </w:r>
    </w:p>
    <w:p w14:paraId="51F443C5"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methodology review;</w:t>
      </w:r>
    </w:p>
    <w:p w14:paraId="22D8B19D"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governance escalation;</w:t>
      </w:r>
    </w:p>
    <w:p w14:paraId="6E228DBA"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redesign of ecological intervention;</w:t>
      </w:r>
    </w:p>
    <w:p w14:paraId="3EA41387"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suspension of investor-facing claims until evidence improves.</w:t>
      </w:r>
    </w:p>
    <w:p w14:paraId="378DFEBB"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The regenerative brake should not be described as an automatic punishment mechanism.</w:t>
      </w:r>
    </w:p>
    <w:p w14:paraId="5D7219DC"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It is a fiduciary safeguard.</w:t>
      </w:r>
    </w:p>
    <w:p w14:paraId="7D56E329"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Its purpose is to protect the living system, the governance system, and the capital structure from premature expansion.</w:t>
      </w:r>
    </w:p>
    <w:p w14:paraId="09559EB9"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b/>
          <w:bCs/>
          <w:i/>
          <w:iCs/>
        </w:rPr>
        <w:t>Distributed sensing and agent-centric risk intelligence</w:t>
      </w:r>
    </w:p>
    <w:p w14:paraId="34B6D861"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Prometheus can support ravel detection through distributed sensing.</w:t>
      </w:r>
    </w:p>
    <w:p w14:paraId="6597CB6A"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Each OHE, steward, device, validator, auditor, or digital agent may hold partial information about system health.</w:t>
      </w:r>
    </w:p>
    <w:p w14:paraId="0B639AF8"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An agent-centric architecture allows these local observations to remain contextual while still contributing to a broader assessment of systemic risk.</w:t>
      </w:r>
    </w:p>
    <w:p w14:paraId="073CE06F"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The system does not require one central oracle to declare truth.</w:t>
      </w:r>
    </w:p>
    <w:p w14:paraId="457AA89D"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It can combine local evidence, provenance, validation, audit results, and governance review into a distributed risk picture.</w:t>
      </w:r>
    </w:p>
    <w:p w14:paraId="0DA361E9"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This is consistent with the broader Prometheus principle:</w:t>
      </w:r>
    </w:p>
    <w:p w14:paraId="4FEFD713"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truth emerges through validated local evidence, not through unsupported centralized assertion.</w:t>
      </w:r>
    </w:p>
    <w:p w14:paraId="3F1ACCEB"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b/>
          <w:bCs/>
          <w:i/>
          <w:iCs/>
        </w:rPr>
        <w:lastRenderedPageBreak/>
        <w:t>Syntropic corridor</w:t>
      </w:r>
    </w:p>
    <w:p w14:paraId="0234251F"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The purpose of ravel monitoring is to help Prometheus remain within a syntropic corridor.</w:t>
      </w:r>
    </w:p>
    <w:p w14:paraId="2580D042"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A syntropic corridor is the operating range in which:</w:t>
      </w:r>
    </w:p>
    <w:p w14:paraId="59C23E15"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regeneration remains greater than extraction;</w:t>
      </w:r>
    </w:p>
    <w:p w14:paraId="0BD48EC3"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evidence remains stronger than narrative;</w:t>
      </w:r>
    </w:p>
    <w:p w14:paraId="74758E3A"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governance remains stronger than capture;</w:t>
      </w:r>
    </w:p>
    <w:p w14:paraId="5CDE3A89"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capital formation remains aligned with verified performance;</w:t>
      </w:r>
    </w:p>
    <w:p w14:paraId="54787029"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technological acceleration remains bounded by reviewability;</w:t>
      </w:r>
    </w:p>
    <w:p w14:paraId="2B73BF4B" w14:textId="2F864B3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 xml:space="preserve">• </w:t>
      </w:r>
      <w:r w:rsidR="00991F4B" w:rsidRPr="00B479AE">
        <w:rPr>
          <w:rFonts w:ascii="Baskerville Old Face" w:hAnsi="Baskerville Old Face"/>
          <w:i/>
          <w:iCs/>
        </w:rPr>
        <w:t xml:space="preserve">value-creation </w:t>
      </w:r>
      <w:r w:rsidRPr="00B479AE">
        <w:rPr>
          <w:rFonts w:ascii="Baskerville Old Face" w:hAnsi="Baskerville Old Face"/>
          <w:i/>
          <w:iCs/>
        </w:rPr>
        <w:t>remains connected to ecological reality.</w:t>
      </w:r>
    </w:p>
    <w:p w14:paraId="127E7764"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When the system moves outside this corridor, Prometheus should not accelerate.</w:t>
      </w:r>
    </w:p>
    <w:p w14:paraId="18B6F453"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It should observe, review, correct, and restore coherence.</w:t>
      </w:r>
    </w:p>
    <w:p w14:paraId="3DC7C215" w14:textId="1AE29338"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b/>
          <w:bCs/>
          <w:i/>
          <w:iCs/>
        </w:rPr>
        <w:t>Institutional boundary</w:t>
      </w:r>
    </w:p>
    <w:p w14:paraId="336D86BB"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The Ravel layer is not a promise of automatic stability.</w:t>
      </w:r>
    </w:p>
    <w:p w14:paraId="0BD68B61"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It does not eliminate risk.</w:t>
      </w:r>
    </w:p>
    <w:p w14:paraId="40ADBABE"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It does not guarantee returns.</w:t>
      </w:r>
    </w:p>
    <w:p w14:paraId="63E1CED5"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It does not replace legal review, fiduciary duty, insurance, reserves, audits, or professional risk management.</w:t>
      </w:r>
    </w:p>
    <w:p w14:paraId="68C8A9FA"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It is a conceptual and technical risk architecture for detecting and responding to systemic weakening before it becomes collapse.</w:t>
      </w:r>
    </w:p>
    <w:p w14:paraId="752DCB89"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In this sense, the Ravel layer expresses one of the core institutional disciplines of Prometheus:</w:t>
      </w:r>
    </w:p>
    <w:p w14:paraId="78E6404D"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growth is acceptable only when coherence is preserved.</w:t>
      </w:r>
    </w:p>
    <w:p w14:paraId="343DBBCA" w14:textId="77777777" w:rsidR="00070DC0" w:rsidRPr="00B479AE" w:rsidRDefault="00070DC0" w:rsidP="00070DC0">
      <w:pPr>
        <w:spacing w:line="360" w:lineRule="auto"/>
        <w:rPr>
          <w:rFonts w:ascii="Baskerville Old Face" w:hAnsi="Baskerville Old Face"/>
          <w:i/>
          <w:iCs/>
        </w:rPr>
      </w:pPr>
      <w:r w:rsidRPr="00B479AE">
        <w:rPr>
          <w:rFonts w:ascii="Baskerville Old Face" w:hAnsi="Baskerville Old Face"/>
          <w:i/>
          <w:iCs/>
        </w:rPr>
        <w:t>Scale follows verified coherence.</w:t>
      </w:r>
    </w:p>
    <w:p w14:paraId="343B559B" w14:textId="4C312C3B"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b/>
          <w:bCs/>
          <w:i/>
          <w:iCs/>
        </w:rPr>
        <w:lastRenderedPageBreak/>
        <w:t>Residual risk and humility</w:t>
      </w:r>
    </w:p>
    <w:p w14:paraId="634FFC0A"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Even after mitigation, residual risk remains.</w:t>
      </w:r>
    </w:p>
    <w:p w14:paraId="0E84F895"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This is normal.</w:t>
      </w:r>
    </w:p>
    <w:p w14:paraId="1E4123A7"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A mature infrastructure does not eliminate all risk.</w:t>
      </w:r>
    </w:p>
    <w:p w14:paraId="440187FF"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It makes risk visible, priced, governed, and reported.</w:t>
      </w:r>
    </w:p>
    <w:p w14:paraId="09CB22AC"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Prometheus should therefore maintain humility before ecological complexity, legal evolution, technological change, and market behavior.</w:t>
      </w:r>
    </w:p>
    <w:p w14:paraId="50FDDC9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The system should be ambitious in purpose and conservative in claims.</w:t>
      </w:r>
    </w:p>
    <w:p w14:paraId="3603E72B"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It should move boldly in design and carefully in valuation.</w:t>
      </w:r>
    </w:p>
    <w:p w14:paraId="4EC82873"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It should welcome innovation while preserving evidentiary discipline.</w:t>
      </w:r>
    </w:p>
    <w:p w14:paraId="6FC496B8" w14:textId="77777777" w:rsidR="001149CC" w:rsidRPr="00B479AE" w:rsidRDefault="001149CC" w:rsidP="001149CC">
      <w:pPr>
        <w:spacing w:line="360" w:lineRule="auto"/>
        <w:rPr>
          <w:rFonts w:ascii="Baskerville Old Face" w:hAnsi="Baskerville Old Face"/>
          <w:i/>
          <w:iCs/>
        </w:rPr>
      </w:pPr>
      <w:r w:rsidRPr="00B479AE">
        <w:rPr>
          <w:rFonts w:ascii="Baskerville Old Face" w:hAnsi="Baskerville Old Face"/>
          <w:i/>
          <w:iCs/>
        </w:rPr>
        <w:t>This combination is the institutional posture of Prometheus.</w:t>
      </w:r>
    </w:p>
    <w:p w14:paraId="6F1EE73B" w14:textId="77777777" w:rsidR="006A2159" w:rsidRPr="00B479AE" w:rsidRDefault="006A2159" w:rsidP="006A2159">
      <w:pPr>
        <w:spacing w:line="360" w:lineRule="auto"/>
        <w:rPr>
          <w:rFonts w:ascii="Baskerville Old Face" w:hAnsi="Baskerville Old Face"/>
          <w:b/>
          <w:bCs/>
          <w:i/>
          <w:iCs/>
        </w:rPr>
      </w:pPr>
      <w:r w:rsidRPr="00B479AE">
        <w:rPr>
          <w:rFonts w:ascii="Baskerville Old Face" w:hAnsi="Baskerville Old Face"/>
          <w:b/>
          <w:bCs/>
          <w:i/>
          <w:iCs/>
        </w:rPr>
        <w:t>Transition to the final constitutional architecture</w:t>
      </w:r>
    </w:p>
    <w:p w14:paraId="0F99C75C" w14:textId="77777777" w:rsidR="006A2159" w:rsidRPr="00B479AE" w:rsidRDefault="006A2159" w:rsidP="006A2159">
      <w:pPr>
        <w:spacing w:line="360" w:lineRule="auto"/>
        <w:rPr>
          <w:rFonts w:ascii="Baskerville Old Face" w:hAnsi="Baskerville Old Face"/>
          <w:i/>
          <w:iCs/>
        </w:rPr>
      </w:pPr>
      <w:r w:rsidRPr="00B479AE">
        <w:rPr>
          <w:rFonts w:ascii="Baskerville Old Face" w:hAnsi="Baskerville Old Face"/>
          <w:i/>
          <w:iCs/>
        </w:rPr>
        <w:t>This part defined the risk, compliance, and institutional discipline required to protect Prometheus as it approaches capital markets.</w:t>
      </w:r>
    </w:p>
    <w:p w14:paraId="1981D0E4" w14:textId="77777777" w:rsidR="006A2159" w:rsidRPr="00B479AE" w:rsidRDefault="006A2159" w:rsidP="006A2159">
      <w:pPr>
        <w:spacing w:line="360" w:lineRule="auto"/>
        <w:rPr>
          <w:rFonts w:ascii="Baskerville Old Face" w:hAnsi="Baskerville Old Face"/>
          <w:i/>
          <w:iCs/>
        </w:rPr>
      </w:pPr>
      <w:r w:rsidRPr="00B479AE">
        <w:rPr>
          <w:rFonts w:ascii="Baskerville Old Face" w:hAnsi="Baskerville Old Face"/>
          <w:i/>
          <w:iCs/>
        </w:rPr>
        <w:t>The final part now turns to the constitutional cognitive kernel of Prometheus: the meta-prompt architecture, governance constraints, invariant principles, and future-builder discipline required to preserve coherence as the system evolves.</w:t>
      </w:r>
    </w:p>
    <w:p w14:paraId="243784B6" w14:textId="77777777" w:rsidR="006A2159" w:rsidRPr="00B479AE" w:rsidRDefault="006A2159" w:rsidP="006A2159">
      <w:pPr>
        <w:spacing w:line="360" w:lineRule="auto"/>
        <w:rPr>
          <w:rFonts w:ascii="Baskerville Old Face" w:hAnsi="Baskerville Old Face"/>
          <w:i/>
          <w:iCs/>
        </w:rPr>
      </w:pPr>
      <w:r w:rsidRPr="00B479AE">
        <w:rPr>
          <w:rFonts w:ascii="Baskerville Old Face" w:hAnsi="Baskerville Old Face"/>
          <w:i/>
          <w:iCs/>
        </w:rPr>
        <w:t>It defines how intelligence, prompts, agents, governance, evidence, and institutional responsibility must remain accountable to the living systems Prometheus exists to serve.</w:t>
      </w:r>
    </w:p>
    <w:p w14:paraId="00EAF158" w14:textId="77777777" w:rsidR="006A2159" w:rsidRPr="00B479AE" w:rsidRDefault="006A2159" w:rsidP="006A2159">
      <w:pPr>
        <w:spacing w:line="360" w:lineRule="auto"/>
        <w:rPr>
          <w:rFonts w:ascii="Baskerville Old Face" w:hAnsi="Baskerville Old Face"/>
          <w:i/>
          <w:iCs/>
        </w:rPr>
      </w:pPr>
      <w:r w:rsidRPr="00B479AE">
        <w:rPr>
          <w:rFonts w:ascii="Baskerville Old Face" w:hAnsi="Baskerville Old Face"/>
          <w:i/>
          <w:iCs/>
        </w:rPr>
        <w:t>Prometheus can scale only if its cognitive architecture remains aligned with life, evidence, dignity, and regenerative fidelity.</w:t>
      </w:r>
    </w:p>
    <w:p w14:paraId="5962B84E" w14:textId="77777777" w:rsidR="006A2159" w:rsidRDefault="006A2159" w:rsidP="006A2159">
      <w:pPr>
        <w:spacing w:line="360" w:lineRule="auto"/>
        <w:rPr>
          <w:rFonts w:ascii="Baskerville Old Face" w:hAnsi="Baskerville Old Face"/>
          <w:b/>
          <w:bCs/>
          <w:i/>
          <w:iCs/>
        </w:rPr>
      </w:pPr>
    </w:p>
    <w:p w14:paraId="2620A59D" w14:textId="77777777" w:rsidR="00175E64" w:rsidRPr="00B479AE" w:rsidRDefault="00175E64" w:rsidP="006A2159">
      <w:pPr>
        <w:spacing w:line="360" w:lineRule="auto"/>
        <w:rPr>
          <w:rFonts w:ascii="Baskerville Old Face" w:hAnsi="Baskerville Old Face"/>
          <w:b/>
          <w:bCs/>
          <w:i/>
          <w:iCs/>
        </w:rPr>
      </w:pPr>
    </w:p>
    <w:p w14:paraId="320807F9" w14:textId="4FEB712A" w:rsidR="00E96BFD" w:rsidRPr="00B479AE" w:rsidRDefault="006A2159" w:rsidP="00916868">
      <w:pPr>
        <w:pStyle w:val="Titolo1"/>
        <w:rPr>
          <w:rFonts w:ascii="Baskerville Old Face" w:hAnsi="Baskerville Old Face"/>
          <w:b/>
          <w:bCs/>
          <w:i/>
          <w:iCs/>
          <w:sz w:val="24"/>
          <w:szCs w:val="24"/>
        </w:rPr>
      </w:pPr>
      <w:r w:rsidRPr="00B479AE">
        <w:rPr>
          <w:rFonts w:ascii="Baskerville Old Face" w:hAnsi="Baskerville Old Face"/>
          <w:b/>
          <w:bCs/>
          <w:i/>
          <w:iCs/>
          <w:sz w:val="24"/>
          <w:szCs w:val="24"/>
        </w:rPr>
        <w:lastRenderedPageBreak/>
        <w:t>PART IX</w:t>
      </w:r>
      <w:r w:rsidR="00916868" w:rsidRPr="00B479AE">
        <w:rPr>
          <w:rFonts w:ascii="Baskerville Old Face" w:hAnsi="Baskerville Old Face"/>
          <w:b/>
          <w:bCs/>
          <w:i/>
          <w:iCs/>
          <w:sz w:val="24"/>
          <w:szCs w:val="24"/>
        </w:rPr>
        <w:t xml:space="preserve"> - </w:t>
      </w:r>
      <w:r w:rsidRPr="00B479AE">
        <w:rPr>
          <w:rFonts w:ascii="Baskerville Old Face" w:hAnsi="Baskerville Old Face"/>
          <w:b/>
          <w:bCs/>
          <w:i/>
          <w:iCs/>
          <w:sz w:val="24"/>
          <w:szCs w:val="24"/>
        </w:rPr>
        <w:t>Constitutional Cognitive Kernel and Final Synthesis</w:t>
      </w:r>
      <w:r w:rsidR="00E96BFD" w:rsidRPr="00B479AE">
        <w:rPr>
          <w:rFonts w:ascii="Baskerville Old Face" w:hAnsi="Baskerville Old Face"/>
          <w:b/>
          <w:bCs/>
          <w:i/>
          <w:iCs/>
          <w:sz w:val="24"/>
          <w:szCs w:val="24"/>
        </w:rPr>
        <w:t xml:space="preserve"> </w:t>
      </w:r>
    </w:p>
    <w:p w14:paraId="6D615365" w14:textId="4E0F0A39"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b/>
          <w:bCs/>
          <w:i/>
          <w:iCs/>
        </w:rPr>
        <w:t>The cognitive kernel: The meta-prompt engine</w:t>
      </w:r>
    </w:p>
    <w:p w14:paraId="49C94E3D"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The Prometheus cognitive kernel is the constitutional reasoning layer through which observations, evidence, governance constraints, system context, and human requests are transformed into structured, bounded, and reviewable task formulations.</w:t>
      </w:r>
    </w:p>
    <w:p w14:paraId="4ACB6070"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Its purpose is not to automate authority.</w:t>
      </w:r>
    </w:p>
    <w:p w14:paraId="773F8033"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Its purpose is to preserve coherence before action.</w:t>
      </w:r>
    </w:p>
    <w:p w14:paraId="5A262AB9"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The cognitive kernel does not replace ecological evidence, MRV, governance, legal review, human stewardship, or institutional responsibility.</w:t>
      </w:r>
    </w:p>
    <w:p w14:paraId="0541E157"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It organizes context so that downstream agents, workflows, dashboards, or human reviewers can operate within defined boundaries.</w:t>
      </w:r>
    </w:p>
    <w:p w14:paraId="4B6E69D2"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At maturity, the cognitive kernel may support a general pipeline:</w:t>
      </w:r>
    </w:p>
    <w:p w14:paraId="65DE855D"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observation</w:t>
      </w:r>
      <w:r w:rsidRPr="00B479AE">
        <w:rPr>
          <w:rFonts w:ascii="Baskerville Old Face" w:hAnsi="Baskerville Old Face"/>
          <w:i/>
          <w:iCs/>
        </w:rPr>
        <w:br/>
        <w:t>context formation</w:t>
      </w:r>
      <w:r w:rsidRPr="00B479AE">
        <w:rPr>
          <w:rFonts w:ascii="Baskerville Old Face" w:hAnsi="Baskerville Old Face"/>
          <w:i/>
          <w:iCs/>
        </w:rPr>
        <w:br/>
        <w:t>constitutional review</w:t>
      </w:r>
      <w:r w:rsidRPr="00B479AE">
        <w:rPr>
          <w:rFonts w:ascii="Baskerville Old Face" w:hAnsi="Baskerville Old Face"/>
          <w:i/>
          <w:iCs/>
        </w:rPr>
        <w:br/>
        <w:t>task formulation</w:t>
      </w:r>
      <w:r w:rsidRPr="00B479AE">
        <w:rPr>
          <w:rFonts w:ascii="Baskerville Old Face" w:hAnsi="Baskerville Old Face"/>
          <w:i/>
          <w:iCs/>
        </w:rPr>
        <w:br/>
        <w:t>agent routing</w:t>
      </w:r>
      <w:r w:rsidRPr="00B479AE">
        <w:rPr>
          <w:rFonts w:ascii="Baskerville Old Face" w:hAnsi="Baskerville Old Face"/>
          <w:i/>
          <w:iCs/>
        </w:rPr>
        <w:br/>
        <w:t>human or governance review</w:t>
      </w:r>
      <w:r w:rsidRPr="00B479AE">
        <w:rPr>
          <w:rFonts w:ascii="Baskerville Old Face" w:hAnsi="Baskerville Old Face"/>
          <w:i/>
          <w:iCs/>
        </w:rPr>
        <w:br/>
        <w:t>authorized execution</w:t>
      </w:r>
      <w:r w:rsidRPr="00B479AE">
        <w:rPr>
          <w:rFonts w:ascii="Baskerville Old Face" w:hAnsi="Baskerville Old Face"/>
          <w:i/>
          <w:iCs/>
        </w:rPr>
        <w:br/>
        <w:t>feedback.</w:t>
      </w:r>
    </w:p>
    <w:p w14:paraId="24AF2617"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This sequence prevents Prometheus from moving directly from data to action.</w:t>
      </w:r>
    </w:p>
    <w:p w14:paraId="6E550A02"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It requires each output to remain connected to evidence, scope, risk, methodology, governance, and reviewability.</w:t>
      </w:r>
    </w:p>
    <w:p w14:paraId="4F6DDDC5"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b/>
          <w:bCs/>
          <w:i/>
          <w:iCs/>
        </w:rPr>
        <w:t>Observation and context layer</w:t>
      </w:r>
    </w:p>
    <w:p w14:paraId="44E1AFE6"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The observation layer may receive inputs from multiple sources, including:</w:t>
      </w:r>
    </w:p>
    <w:p w14:paraId="2125E286"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 MRV records;</w:t>
      </w:r>
      <w:r w:rsidRPr="00B479AE">
        <w:rPr>
          <w:rFonts w:ascii="Baskerville Old Face" w:hAnsi="Baskerville Old Face"/>
          <w:i/>
          <w:iCs/>
        </w:rPr>
        <w:br/>
        <w:t>• soil, water, biodiversity, and productive indicators;</w:t>
      </w:r>
      <w:r w:rsidRPr="00B479AE">
        <w:rPr>
          <w:rFonts w:ascii="Baskerville Old Face" w:hAnsi="Baskerville Old Face"/>
          <w:i/>
          <w:iCs/>
        </w:rPr>
        <w:br/>
      </w:r>
      <w:r w:rsidRPr="00B479AE">
        <w:rPr>
          <w:rFonts w:ascii="Baskerville Old Face" w:hAnsi="Baskerville Old Face"/>
          <w:i/>
          <w:iCs/>
        </w:rPr>
        <w:lastRenderedPageBreak/>
        <w:t>• operational logs;</w:t>
      </w:r>
      <w:r w:rsidRPr="00B479AE">
        <w:rPr>
          <w:rFonts w:ascii="Baskerville Old Face" w:hAnsi="Baskerville Old Face"/>
          <w:i/>
          <w:iCs/>
        </w:rPr>
        <w:br/>
        <w:t>• field observations;</w:t>
      </w:r>
      <w:r w:rsidRPr="00B479AE">
        <w:rPr>
          <w:rFonts w:ascii="Baskerville Old Face" w:hAnsi="Baskerville Old Face"/>
          <w:i/>
          <w:iCs/>
        </w:rPr>
        <w:br/>
        <w:t>• sensor or remote-sensing data;</w:t>
      </w:r>
      <w:r w:rsidRPr="00B479AE">
        <w:rPr>
          <w:rFonts w:ascii="Baskerville Old Face" w:hAnsi="Baskerville Old Face"/>
          <w:i/>
          <w:iCs/>
        </w:rPr>
        <w:br/>
        <w:t>• governance records;</w:t>
      </w:r>
      <w:r w:rsidRPr="00B479AE">
        <w:rPr>
          <w:rFonts w:ascii="Baskerville Old Face" w:hAnsi="Baskerville Old Face"/>
          <w:i/>
          <w:iCs/>
        </w:rPr>
        <w:br/>
        <w:t>• risk signals;</w:t>
      </w:r>
      <w:r w:rsidRPr="00B479AE">
        <w:rPr>
          <w:rFonts w:ascii="Baskerville Old Face" w:hAnsi="Baskerville Old Face"/>
          <w:i/>
          <w:iCs/>
        </w:rPr>
        <w:br/>
        <w:t>• financial or deployment constraints;</w:t>
      </w:r>
      <w:r w:rsidRPr="00B479AE">
        <w:rPr>
          <w:rFonts w:ascii="Baskerville Old Face" w:hAnsi="Baskerville Old Face"/>
          <w:i/>
          <w:iCs/>
        </w:rPr>
        <w:br/>
        <w:t>• methodology versions;</w:t>
      </w:r>
      <w:r w:rsidRPr="00B479AE">
        <w:rPr>
          <w:rFonts w:ascii="Baskerville Old Face" w:hAnsi="Baskerville Old Face"/>
          <w:i/>
          <w:iCs/>
        </w:rPr>
        <w:br/>
        <w:t>• human-infrastructure context, only where voluntarily, lawfully, and appropriately aggregated.</w:t>
      </w:r>
    </w:p>
    <w:p w14:paraId="456FEB99"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These inputs do not become truth merely because they are available.</w:t>
      </w:r>
    </w:p>
    <w:p w14:paraId="71AE19E8"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They become usable only when their provenance, confidence, relevance, and limitations are clear.</w:t>
      </w:r>
    </w:p>
    <w:p w14:paraId="3F24C481"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The cognitive kernel therefore treats context as an evidence-weighted construction, not as an oracle.</w:t>
      </w:r>
    </w:p>
    <w:p w14:paraId="58A4E8B8" w14:textId="172B31EA" w:rsidR="00E96BFD" w:rsidRPr="00B479AE" w:rsidRDefault="00E96BFD" w:rsidP="00E96BFD">
      <w:pPr>
        <w:spacing w:line="360" w:lineRule="auto"/>
        <w:rPr>
          <w:rFonts w:ascii="Baskerville Old Face" w:hAnsi="Baskerville Old Face"/>
          <w:b/>
          <w:bCs/>
          <w:i/>
          <w:iCs/>
        </w:rPr>
      </w:pPr>
      <w:r w:rsidRPr="00B479AE">
        <w:rPr>
          <w:noProof/>
        </w:rPr>
        <w:drawing>
          <wp:inline distT="0" distB="0" distL="0" distR="0" wp14:anchorId="6F26AB42" wp14:editId="1AB7625C">
            <wp:extent cx="4585855" cy="3057079"/>
            <wp:effectExtent l="0" t="0" r="5715" b="0"/>
            <wp:docPr id="1502916768"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31570" cy="3087554"/>
                    </a:xfrm>
                    <a:prstGeom prst="rect">
                      <a:avLst/>
                    </a:prstGeom>
                    <a:noFill/>
                    <a:ln>
                      <a:noFill/>
                    </a:ln>
                  </pic:spPr>
                </pic:pic>
              </a:graphicData>
            </a:graphic>
          </wp:inline>
        </w:drawing>
      </w:r>
    </w:p>
    <w:p w14:paraId="7F493060" w14:textId="77777777" w:rsidR="00175E64" w:rsidRDefault="00175E64" w:rsidP="00E96BFD">
      <w:pPr>
        <w:spacing w:line="360" w:lineRule="auto"/>
        <w:rPr>
          <w:rFonts w:ascii="Baskerville Old Face" w:hAnsi="Baskerville Old Face"/>
          <w:b/>
          <w:bCs/>
          <w:i/>
          <w:iCs/>
        </w:rPr>
      </w:pPr>
    </w:p>
    <w:p w14:paraId="4CB5825C" w14:textId="77777777" w:rsidR="00175E64" w:rsidRDefault="00175E64" w:rsidP="00E96BFD">
      <w:pPr>
        <w:spacing w:line="360" w:lineRule="auto"/>
        <w:rPr>
          <w:rFonts w:ascii="Baskerville Old Face" w:hAnsi="Baskerville Old Face"/>
          <w:b/>
          <w:bCs/>
          <w:i/>
          <w:iCs/>
        </w:rPr>
      </w:pPr>
    </w:p>
    <w:p w14:paraId="201754AA" w14:textId="77777777" w:rsidR="00175E64" w:rsidRDefault="00175E64" w:rsidP="00E96BFD">
      <w:pPr>
        <w:spacing w:line="360" w:lineRule="auto"/>
        <w:rPr>
          <w:rFonts w:ascii="Baskerville Old Face" w:hAnsi="Baskerville Old Face"/>
          <w:b/>
          <w:bCs/>
          <w:i/>
          <w:iCs/>
        </w:rPr>
      </w:pPr>
    </w:p>
    <w:p w14:paraId="39E2FD60" w14:textId="77777777" w:rsidR="00175E64" w:rsidRDefault="00175E64" w:rsidP="00E96BFD">
      <w:pPr>
        <w:spacing w:line="360" w:lineRule="auto"/>
        <w:rPr>
          <w:rFonts w:ascii="Baskerville Old Face" w:hAnsi="Baskerville Old Face"/>
          <w:b/>
          <w:bCs/>
          <w:i/>
          <w:iCs/>
        </w:rPr>
      </w:pPr>
    </w:p>
    <w:p w14:paraId="4878605A" w14:textId="77777777" w:rsidR="00175E64" w:rsidRDefault="00175E64" w:rsidP="00E96BFD">
      <w:pPr>
        <w:spacing w:line="360" w:lineRule="auto"/>
        <w:rPr>
          <w:rFonts w:ascii="Baskerville Old Face" w:hAnsi="Baskerville Old Face"/>
          <w:b/>
          <w:bCs/>
          <w:i/>
          <w:iCs/>
        </w:rPr>
      </w:pPr>
    </w:p>
    <w:p w14:paraId="2E36B243" w14:textId="4D154119" w:rsidR="00E96BFD" w:rsidRPr="00B479AE" w:rsidRDefault="00E96BFD" w:rsidP="00E96BFD">
      <w:pPr>
        <w:spacing w:line="360" w:lineRule="auto"/>
        <w:rPr>
          <w:rFonts w:ascii="Baskerville Old Face" w:hAnsi="Baskerville Old Face"/>
          <w:b/>
          <w:bCs/>
          <w:i/>
          <w:iCs/>
        </w:rPr>
      </w:pPr>
      <w:r w:rsidRPr="00B479AE">
        <w:rPr>
          <w:rFonts w:ascii="Baskerville Old Face" w:hAnsi="Baskerville Old Face"/>
          <w:b/>
          <w:bCs/>
          <w:i/>
          <w:iCs/>
        </w:rPr>
        <w:lastRenderedPageBreak/>
        <w:t>Intelligent observation pipeline:</w:t>
      </w:r>
    </w:p>
    <w:p w14:paraId="411955EF" w14:textId="5C97EF5B" w:rsidR="00E96BFD" w:rsidRPr="00B479AE" w:rsidRDefault="00E96BFD" w:rsidP="004F2E2D">
      <w:pPr>
        <w:spacing w:line="360" w:lineRule="auto"/>
        <w:rPr>
          <w:rFonts w:ascii="Baskerville Old Face" w:hAnsi="Baskerville Old Face"/>
          <w:b/>
          <w:bCs/>
          <w:i/>
          <w:iCs/>
        </w:rPr>
      </w:pPr>
      <w:r w:rsidRPr="00B479AE">
        <w:rPr>
          <w:noProof/>
        </w:rPr>
        <w:drawing>
          <wp:inline distT="0" distB="0" distL="0" distR="0" wp14:anchorId="4BC66AB9" wp14:editId="0A73E225">
            <wp:extent cx="4599709" cy="3066314"/>
            <wp:effectExtent l="0" t="0" r="0" b="1270"/>
            <wp:docPr id="626399596"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80697" cy="3120303"/>
                    </a:xfrm>
                    <a:prstGeom prst="rect">
                      <a:avLst/>
                    </a:prstGeom>
                    <a:noFill/>
                    <a:ln>
                      <a:noFill/>
                    </a:ln>
                  </pic:spPr>
                </pic:pic>
              </a:graphicData>
            </a:graphic>
          </wp:inline>
        </w:drawing>
      </w:r>
    </w:p>
    <w:p w14:paraId="00D273FA" w14:textId="77777777" w:rsidR="008D03BC" w:rsidRPr="00B479AE" w:rsidRDefault="008D03BC" w:rsidP="008D03BC">
      <w:pPr>
        <w:spacing w:line="360" w:lineRule="auto"/>
        <w:rPr>
          <w:rFonts w:ascii="Baskerville Old Face" w:hAnsi="Baskerville Old Face"/>
          <w:b/>
          <w:bCs/>
          <w:i/>
          <w:iCs/>
        </w:rPr>
      </w:pPr>
      <w:r w:rsidRPr="00B479AE">
        <w:rPr>
          <w:rFonts w:ascii="Baskerville Old Face" w:hAnsi="Baskerville Old Face"/>
          <w:b/>
          <w:bCs/>
          <w:i/>
          <w:iCs/>
        </w:rPr>
        <w:t>Generic spectral processing pipeline</w:t>
      </w:r>
      <w:r w:rsidRPr="00B479AE">
        <w:rPr>
          <w:rFonts w:ascii="Baskerville Old Face" w:hAnsi="Baskerville Old Face"/>
          <w:b/>
          <w:bCs/>
          <w:i/>
          <w:iCs/>
        </w:rPr>
        <w:br/>
      </w:r>
      <w:r w:rsidRPr="00B479AE">
        <w:rPr>
          <w:rFonts w:ascii="Baskerville Old Face" w:hAnsi="Baskerville Old Face"/>
          <w:i/>
          <w:iCs/>
        </w:rPr>
        <w:t>The software implements a modular pipeline that can be dynamically configured based on the detected filter:</w:t>
      </w:r>
    </w:p>
    <w:p w14:paraId="24B7E3D0" w14:textId="77777777" w:rsidR="008D03BC" w:rsidRPr="00B479AE" w:rsidRDefault="008D03BC" w:rsidP="008D03BC">
      <w:pPr>
        <w:spacing w:line="360" w:lineRule="auto"/>
        <w:rPr>
          <w:rFonts w:ascii="Baskerville Old Face" w:hAnsi="Baskerville Old Face"/>
          <w:b/>
          <w:bCs/>
          <w:i/>
          <w:iCs/>
        </w:rPr>
      </w:pPr>
      <w:r w:rsidRPr="00B479AE">
        <w:rPr>
          <w:rFonts w:ascii="Baskerville Old Face" w:hAnsi="Baskerville Old Face"/>
          <w:b/>
          <w:bCs/>
          <w:i/>
          <w:iCs/>
          <w:noProof/>
        </w:rPr>
        <w:drawing>
          <wp:inline distT="0" distB="0" distL="0" distR="0" wp14:anchorId="3DAB5990" wp14:editId="16268528">
            <wp:extent cx="4715114" cy="3143250"/>
            <wp:effectExtent l="0" t="0" r="9525" b="0"/>
            <wp:docPr id="72822568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70461" cy="3180146"/>
                    </a:xfrm>
                    <a:prstGeom prst="rect">
                      <a:avLst/>
                    </a:prstGeom>
                    <a:noFill/>
                    <a:ln>
                      <a:noFill/>
                    </a:ln>
                  </pic:spPr>
                </pic:pic>
              </a:graphicData>
            </a:graphic>
          </wp:inline>
        </w:drawing>
      </w:r>
    </w:p>
    <w:p w14:paraId="00936002" w14:textId="29BAD20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b/>
          <w:bCs/>
          <w:i/>
          <w:iCs/>
        </w:rPr>
        <w:t>Context formation</w:t>
      </w:r>
    </w:p>
    <w:p w14:paraId="30D6E9B8"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The context formation process translates heterogeneous information into a structured view of the system state.</w:t>
      </w:r>
    </w:p>
    <w:p w14:paraId="3FD10C24"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lastRenderedPageBreak/>
        <w:t>A context may include:</w:t>
      </w:r>
    </w:p>
    <w:p w14:paraId="51CB8D51"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 the site or OHE involved;</w:t>
      </w:r>
      <w:r w:rsidRPr="00B479AE">
        <w:rPr>
          <w:rFonts w:ascii="Baskerville Old Face" w:hAnsi="Baskerville Old Face"/>
          <w:i/>
          <w:iCs/>
        </w:rPr>
        <w:br/>
        <w:t>• the ecological maturity stage;</w:t>
      </w:r>
      <w:r w:rsidRPr="00B479AE">
        <w:rPr>
          <w:rFonts w:ascii="Baskerville Old Face" w:hAnsi="Baskerville Old Face"/>
          <w:i/>
          <w:iCs/>
        </w:rPr>
        <w:br/>
        <w:t>• the relevant water, soil, biodiversity, or productivity conditions;</w:t>
      </w:r>
      <w:r w:rsidRPr="00B479AE">
        <w:rPr>
          <w:rFonts w:ascii="Baskerville Old Face" w:hAnsi="Baskerville Old Face"/>
          <w:i/>
          <w:iCs/>
        </w:rPr>
        <w:br/>
        <w:t>• the operational history;</w:t>
      </w:r>
      <w:r w:rsidRPr="00B479AE">
        <w:rPr>
          <w:rFonts w:ascii="Baskerville Old Face" w:hAnsi="Baskerville Old Face"/>
          <w:i/>
          <w:iCs/>
        </w:rPr>
        <w:br/>
        <w:t>• the governance status;</w:t>
      </w:r>
      <w:r w:rsidRPr="00B479AE">
        <w:rPr>
          <w:rFonts w:ascii="Baskerville Old Face" w:hAnsi="Baskerville Old Face"/>
          <w:i/>
          <w:iCs/>
        </w:rPr>
        <w:br/>
        <w:t>• the risk profile;</w:t>
      </w:r>
      <w:r w:rsidRPr="00B479AE">
        <w:rPr>
          <w:rFonts w:ascii="Baskerville Old Face" w:hAnsi="Baskerville Old Face"/>
          <w:i/>
          <w:iCs/>
        </w:rPr>
        <w:br/>
        <w:t>• the time horizon;</w:t>
      </w:r>
      <w:r w:rsidRPr="00B479AE">
        <w:rPr>
          <w:rFonts w:ascii="Baskerville Old Face" w:hAnsi="Baskerville Old Face"/>
          <w:i/>
          <w:iCs/>
        </w:rPr>
        <w:br/>
        <w:t>• the applicable methodology version;</w:t>
      </w:r>
      <w:r w:rsidRPr="00B479AE">
        <w:rPr>
          <w:rFonts w:ascii="Baskerville Old Face" w:hAnsi="Baskerville Old Face"/>
          <w:i/>
          <w:iCs/>
        </w:rPr>
        <w:br/>
        <w:t>• the boundaries of what may and may not be inferred.</w:t>
      </w:r>
    </w:p>
    <w:p w14:paraId="6621C871" w14:textId="054B65FE"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The purpose is to avoid generic prompting.</w:t>
      </w:r>
      <w:r w:rsidR="004F2E2D" w:rsidRPr="00B479AE">
        <w:rPr>
          <w:rFonts w:ascii="Baskerville Old Face" w:hAnsi="Baskerville Old Face"/>
          <w:i/>
          <w:iCs/>
        </w:rPr>
        <w:t xml:space="preserve"> </w:t>
      </w:r>
      <w:r w:rsidRPr="00B479AE">
        <w:rPr>
          <w:rFonts w:ascii="Baskerville Old Face" w:hAnsi="Baskerville Old Face"/>
          <w:i/>
          <w:iCs/>
        </w:rPr>
        <w:t>A request to increase output, for example, should not be interpreted in isolation.</w:t>
      </w:r>
      <w:r w:rsidR="004F2E2D" w:rsidRPr="00B479AE">
        <w:rPr>
          <w:rFonts w:ascii="Baskerville Old Face" w:hAnsi="Baskerville Old Face"/>
          <w:i/>
          <w:iCs/>
        </w:rPr>
        <w:t xml:space="preserve"> </w:t>
      </w:r>
      <w:r w:rsidRPr="00B479AE">
        <w:rPr>
          <w:rFonts w:ascii="Baskerville Old Face" w:hAnsi="Baskerville Old Face"/>
          <w:i/>
          <w:iCs/>
        </w:rPr>
        <w:t>It should be interpreted in relation to water availability, soil condition, biodiversity, stewardship capacity, operational constraints, financial limits, and long-term regenerative coherence.</w:t>
      </w:r>
    </w:p>
    <w:p w14:paraId="39137BFB" w14:textId="5ECF1CC8"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b/>
          <w:bCs/>
          <w:i/>
          <w:iCs/>
        </w:rPr>
        <w:t>Constitutional review</w:t>
      </w:r>
    </w:p>
    <w:p w14:paraId="3B88195C"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Before a task is formulated, the cognitive kernel should evaluate whether the request or implied action is compatible with Prometheus’ constitutional constraints.</w:t>
      </w:r>
    </w:p>
    <w:p w14:paraId="6F41BBB4"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This review may ask:</w:t>
      </w:r>
    </w:p>
    <w:p w14:paraId="47CAEE10"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 Does the request preserve ecological integrity?</w:t>
      </w:r>
      <w:r w:rsidRPr="00B479AE">
        <w:rPr>
          <w:rFonts w:ascii="Baskerville Old Face" w:hAnsi="Baskerville Old Face"/>
          <w:i/>
          <w:iCs/>
        </w:rPr>
        <w:br/>
        <w:t>• Does it respect soil, water, biodiversity, and long-term system resilience?</w:t>
      </w:r>
      <w:r w:rsidRPr="00B479AE">
        <w:rPr>
          <w:rFonts w:ascii="Baskerville Old Face" w:hAnsi="Baskerville Old Face"/>
          <w:i/>
          <w:iCs/>
        </w:rPr>
        <w:br/>
        <w:t>• Does it avoid premature financialization?</w:t>
      </w:r>
      <w:r w:rsidRPr="00B479AE">
        <w:rPr>
          <w:rFonts w:ascii="Baskerville Old Face" w:hAnsi="Baskerville Old Face"/>
          <w:i/>
          <w:iCs/>
        </w:rPr>
        <w:br/>
        <w:t>• Does it avoid unsupported medical, biometric, or human-ranking claims?</w:t>
      </w:r>
      <w:r w:rsidRPr="00B479AE">
        <w:rPr>
          <w:rFonts w:ascii="Baskerville Old Face" w:hAnsi="Baskerville Old Face"/>
          <w:i/>
          <w:iCs/>
        </w:rPr>
        <w:br/>
        <w:t>• Does it preserve human dignity and voluntary participation?</w:t>
      </w:r>
      <w:r w:rsidRPr="00B479AE">
        <w:rPr>
          <w:rFonts w:ascii="Baskerville Old Face" w:hAnsi="Baskerville Old Face"/>
          <w:i/>
          <w:iCs/>
        </w:rPr>
        <w:br/>
        <w:t>• Does it avoid governance capture or excessive centralization?</w:t>
      </w:r>
      <w:r w:rsidRPr="00B479AE">
        <w:rPr>
          <w:rFonts w:ascii="Baskerville Old Face" w:hAnsi="Baskerville Old Face"/>
          <w:i/>
          <w:iCs/>
        </w:rPr>
        <w:br/>
        <w:t>• Does it remain within the current pilot scope?</w:t>
      </w:r>
      <w:r w:rsidRPr="00B479AE">
        <w:rPr>
          <w:rFonts w:ascii="Baskerville Old Face" w:hAnsi="Baskerville Old Face"/>
          <w:i/>
          <w:iCs/>
        </w:rPr>
        <w:br/>
        <w:t>• Does it require legal, ecological, financial, or governance review before execution?</w:t>
      </w:r>
    </w:p>
    <w:p w14:paraId="4F1BB773"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If the request exceeds admissible boundaries, the kernel should reformulate, qualify, defer, or route it to manual review.</w:t>
      </w:r>
    </w:p>
    <w:p w14:paraId="08E56560" w14:textId="326C7A21"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The objective is not refusal as default.</w:t>
      </w:r>
      <w:r w:rsidR="004F2E2D" w:rsidRPr="00B479AE">
        <w:rPr>
          <w:rFonts w:ascii="Baskerville Old Face" w:hAnsi="Baskerville Old Face"/>
          <w:i/>
          <w:iCs/>
        </w:rPr>
        <w:t xml:space="preserve"> </w:t>
      </w:r>
      <w:r w:rsidRPr="00B479AE">
        <w:rPr>
          <w:rFonts w:ascii="Baskerville Old Face" w:hAnsi="Baskerville Old Face"/>
          <w:i/>
          <w:iCs/>
        </w:rPr>
        <w:t>The objective is intelligent constraint.</w:t>
      </w:r>
    </w:p>
    <w:p w14:paraId="636EC4CD"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b/>
          <w:bCs/>
          <w:i/>
          <w:iCs/>
        </w:rPr>
        <w:lastRenderedPageBreak/>
        <w:t>Meta-prompt generation</w:t>
      </w:r>
    </w:p>
    <w:p w14:paraId="2B80DDC4"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When a request passes constitutional review, the cognitive kernel may generate a structured meta-prompt for downstream agents or workflows.</w:t>
      </w:r>
    </w:p>
    <w:p w14:paraId="09C87442"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A mature meta-prompt should define:</w:t>
      </w:r>
    </w:p>
    <w:p w14:paraId="6A20C976"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 the agent role or workflow type;</w:t>
      </w:r>
      <w:r w:rsidRPr="00B479AE">
        <w:rPr>
          <w:rFonts w:ascii="Baskerville Old Face" w:hAnsi="Baskerville Old Face"/>
          <w:i/>
          <w:iCs/>
        </w:rPr>
        <w:br/>
        <w:t>• the system level involved;</w:t>
      </w:r>
      <w:r w:rsidRPr="00B479AE">
        <w:rPr>
          <w:rFonts w:ascii="Baskerville Old Face" w:hAnsi="Baskerville Old Face"/>
          <w:i/>
          <w:iCs/>
        </w:rPr>
        <w:br/>
        <w:t>• the real objective of the task;</w:t>
      </w:r>
      <w:r w:rsidRPr="00B479AE">
        <w:rPr>
          <w:rFonts w:ascii="Baskerville Old Face" w:hAnsi="Baskerville Old Face"/>
          <w:i/>
          <w:iCs/>
        </w:rPr>
        <w:br/>
        <w:t>• the relevant evidence base;</w:t>
      </w:r>
      <w:r w:rsidRPr="00B479AE">
        <w:rPr>
          <w:rFonts w:ascii="Baskerville Old Face" w:hAnsi="Baskerville Old Face"/>
          <w:i/>
          <w:iCs/>
        </w:rPr>
        <w:br/>
        <w:t>• the ecological and governance constraints;</w:t>
      </w:r>
      <w:r w:rsidRPr="00B479AE">
        <w:rPr>
          <w:rFonts w:ascii="Baskerville Old Face" w:hAnsi="Baskerville Old Face"/>
          <w:i/>
          <w:iCs/>
        </w:rPr>
        <w:br/>
        <w:t>• the financial or legal boundaries;</w:t>
      </w:r>
      <w:r w:rsidRPr="00B479AE">
        <w:rPr>
          <w:rFonts w:ascii="Baskerville Old Face" w:hAnsi="Baskerville Old Face"/>
          <w:i/>
          <w:iCs/>
        </w:rPr>
        <w:br/>
        <w:t>• the time horizon;</w:t>
      </w:r>
      <w:r w:rsidRPr="00B479AE">
        <w:rPr>
          <w:rFonts w:ascii="Baskerville Old Face" w:hAnsi="Baskerville Old Face"/>
          <w:i/>
          <w:iCs/>
        </w:rPr>
        <w:br/>
        <w:t>• the expected output format;</w:t>
      </w:r>
      <w:r w:rsidRPr="00B479AE">
        <w:rPr>
          <w:rFonts w:ascii="Baskerville Old Face" w:hAnsi="Baskerville Old Face"/>
          <w:i/>
          <w:iCs/>
        </w:rPr>
        <w:br/>
        <w:t>• the review pathway;</w:t>
      </w:r>
      <w:r w:rsidRPr="00B479AE">
        <w:rPr>
          <w:rFonts w:ascii="Baskerville Old Face" w:hAnsi="Baskerville Old Face"/>
          <w:i/>
          <w:iCs/>
        </w:rPr>
        <w:br/>
        <w:t>• the distinction between draft, recommendation, approved action, executed action, and verified outcome.</w:t>
      </w:r>
    </w:p>
    <w:p w14:paraId="00E7B883" w14:textId="4784A561"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This turns prompting into institutional infrastructure.</w:t>
      </w:r>
      <w:r w:rsidR="004F2E2D" w:rsidRPr="00B479AE">
        <w:rPr>
          <w:rFonts w:ascii="Baskerville Old Face" w:hAnsi="Baskerville Old Face"/>
          <w:i/>
          <w:iCs/>
        </w:rPr>
        <w:t xml:space="preserve"> </w:t>
      </w:r>
      <w:r w:rsidRPr="00B479AE">
        <w:rPr>
          <w:rFonts w:ascii="Baskerville Old Face" w:hAnsi="Baskerville Old Face"/>
          <w:i/>
          <w:iCs/>
        </w:rPr>
        <w:t>The task is not merely to answer.</w:t>
      </w:r>
    </w:p>
    <w:p w14:paraId="549E1AC8"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The task is to preserve coherence while producing usable work.</w:t>
      </w:r>
    </w:p>
    <w:p w14:paraId="50765667"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b/>
          <w:bCs/>
          <w:i/>
          <w:iCs/>
        </w:rPr>
        <w:t>Agent routing and orchestration</w:t>
      </w:r>
    </w:p>
    <w:p w14:paraId="66DD9A5D"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Specialized agents or workflows may support ecological design, MRV interpretation, financial modeling, legal boundary analysis, governance review, reporting, or operational planning.</w:t>
      </w:r>
    </w:p>
    <w:p w14:paraId="5E77BFAB"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However, agent outputs remain bounded.</w:t>
      </w:r>
    </w:p>
    <w:p w14:paraId="3300F3D0"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No agent independently creates PRU value.</w:t>
      </w:r>
    </w:p>
    <w:p w14:paraId="46965398"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No agent independently authorizes investor-facing claims.</w:t>
      </w:r>
    </w:p>
    <w:p w14:paraId="1011D0AE"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No agent independently issues tokens.</w:t>
      </w:r>
    </w:p>
    <w:p w14:paraId="167F4A40"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No agent independently modifies legal rights.</w:t>
      </w:r>
    </w:p>
    <w:p w14:paraId="2C504514"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No agent independently approves ecological intervention.</w:t>
      </w:r>
    </w:p>
    <w:p w14:paraId="1E76E337"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lastRenderedPageBreak/>
        <w:t>No agent bypasses governance review.</w:t>
      </w:r>
    </w:p>
    <w:p w14:paraId="51F76B61"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The cognitive kernel is therefore a constitutional router.</w:t>
      </w:r>
    </w:p>
    <w:p w14:paraId="1BDF3D22"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It helps Prometheus assign the right task to the right workflow under the right constraints.</w:t>
      </w:r>
    </w:p>
    <w:p w14:paraId="5E391379"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The design principle is simple:</w:t>
      </w:r>
    </w:p>
    <w:p w14:paraId="4EACE5CB"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intelligence supports coherence;</w:t>
      </w:r>
    </w:p>
    <w:p w14:paraId="59F8789B"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coherence supports governance;</w:t>
      </w:r>
    </w:p>
    <w:p w14:paraId="2C37C6AC" w14:textId="77777777" w:rsidR="00E96BFD" w:rsidRPr="00B479AE" w:rsidRDefault="00E96BFD" w:rsidP="00E96BFD">
      <w:pPr>
        <w:spacing w:line="360" w:lineRule="auto"/>
        <w:rPr>
          <w:rFonts w:ascii="Baskerville Old Face" w:hAnsi="Baskerville Old Face"/>
          <w:i/>
          <w:iCs/>
        </w:rPr>
      </w:pPr>
      <w:r w:rsidRPr="00B479AE">
        <w:rPr>
          <w:rFonts w:ascii="Baskerville Old Face" w:hAnsi="Baskerville Old Face"/>
          <w:i/>
          <w:iCs/>
        </w:rPr>
        <w:t>governance protects life.</w:t>
      </w:r>
    </w:p>
    <w:p w14:paraId="0D32CF60" w14:textId="4356230B"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b/>
          <w:bCs/>
          <w:i/>
          <w:iCs/>
        </w:rPr>
        <w:t>Identity and constitutional role</w:t>
      </w:r>
    </w:p>
    <w:p w14:paraId="714A5A82"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The Prometheus cognitive kernel is the constitutional coordination layer of the system.</w:t>
      </w:r>
    </w:p>
    <w:p w14:paraId="4C7F15C0"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Its role is to preserve coherence between intelligence, evidence, governance, ecological reality, human dignity, financial discipline, and long-term regenerative fidelity.</w:t>
      </w:r>
    </w:p>
    <w:p w14:paraId="25E47891" w14:textId="5CC1C263"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The kernel is not an autonomous ruler.</w:t>
      </w:r>
      <w:r w:rsidR="004F2E2D" w:rsidRPr="00B479AE">
        <w:rPr>
          <w:rFonts w:ascii="Baskerville Old Face" w:hAnsi="Baskerville Old Face"/>
          <w:i/>
          <w:iCs/>
        </w:rPr>
        <w:t xml:space="preserve"> </w:t>
      </w:r>
      <w:r w:rsidRPr="00B479AE">
        <w:rPr>
          <w:rFonts w:ascii="Baskerville Old Face" w:hAnsi="Baskerville Old Face"/>
          <w:i/>
          <w:iCs/>
        </w:rPr>
        <w:t>It is not a sovereign executor.</w:t>
      </w:r>
      <w:r w:rsidR="004F2E2D" w:rsidRPr="00B479AE">
        <w:rPr>
          <w:rFonts w:ascii="Baskerville Old Face" w:hAnsi="Baskerville Old Face"/>
          <w:i/>
          <w:iCs/>
        </w:rPr>
        <w:t xml:space="preserve"> </w:t>
      </w:r>
      <w:r w:rsidRPr="00B479AE">
        <w:rPr>
          <w:rFonts w:ascii="Baskerville Old Face" w:hAnsi="Baskerville Old Face"/>
          <w:i/>
          <w:iCs/>
        </w:rPr>
        <w:t>It is not a substitute for law, governance, MRV, science, stewardship, or institutional review.</w:t>
      </w:r>
    </w:p>
    <w:p w14:paraId="48F21F1A"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It is the source-level constraint architecture through which Prometheus prevents intelligence from becoming unbounded acceleration.</w:t>
      </w:r>
    </w:p>
    <w:p w14:paraId="0BA00CC7"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Its purpose is to ensure that every intelligent process operating within Prometheus remains accountable to the living systems the architecture exists to serve.</w:t>
      </w:r>
    </w:p>
    <w:p w14:paraId="1616EA17"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b/>
          <w:bCs/>
          <w:i/>
          <w:iCs/>
        </w:rPr>
        <w:t>The kernel as constitutional source layer</w:t>
      </w:r>
    </w:p>
    <w:p w14:paraId="081F25E3"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The kernel should be treated as a constitutional source layer.</w:t>
      </w:r>
    </w:p>
    <w:p w14:paraId="2DFD2B6A"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This means that its constraints must be embedded at the deepest operational level of Prometheus rather than added as external policy language after the fact.</w:t>
      </w:r>
    </w:p>
    <w:p w14:paraId="647752F4"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The system should not rely on downstream moderation alone.</w:t>
      </w:r>
    </w:p>
    <w:p w14:paraId="50B6457D"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It should not rely only on human memory, discretionary judgment, or interface-level warnings.</w:t>
      </w:r>
    </w:p>
    <w:p w14:paraId="7B94A6FF"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lastRenderedPageBreak/>
        <w:t>Its core constraints must be encoded into the architecture through role boundaries, validation rules, execution gates, audit trails, provenance requirements, permission structures, governance review, cryptographic integrity, and institutional accountability.</w:t>
      </w:r>
    </w:p>
    <w:p w14:paraId="10D775A2"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No agent, model, prompt, dashboard, workflow, token mechanism, governance proposal, or financial process should be able to bypass the kernel’s constitutional constraints without causing the resulting action to become invalid, non-admissible, non-executable, or subject to mandatory review.</w:t>
      </w:r>
    </w:p>
    <w:p w14:paraId="34C87808"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This is the non-bypassability principle.</w:t>
      </w:r>
    </w:p>
    <w:p w14:paraId="09B19CE2"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b/>
          <w:bCs/>
          <w:i/>
          <w:iCs/>
        </w:rPr>
        <w:t>Non-bypassability principle</w:t>
      </w:r>
    </w:p>
    <w:p w14:paraId="7DDC32A2"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The kernel must be designed so that constitutional constraints are not optional instructions.</w:t>
      </w:r>
    </w:p>
    <w:p w14:paraId="038F7B53"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They are execution conditions.</w:t>
      </w:r>
    </w:p>
    <w:p w14:paraId="327AC60B"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A Prometheus action should be considered valid only when it remains consistent with:</w:t>
      </w:r>
    </w:p>
    <w:p w14:paraId="2B0C51E3"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 ecological integrity;</w:t>
      </w:r>
      <w:r w:rsidRPr="00B479AE">
        <w:rPr>
          <w:rFonts w:ascii="Baskerville Old Face" w:hAnsi="Baskerville Old Face"/>
          <w:i/>
          <w:iCs/>
        </w:rPr>
        <w:br/>
        <w:t>• human dignity;</w:t>
      </w:r>
      <w:r w:rsidRPr="00B479AE">
        <w:rPr>
          <w:rFonts w:ascii="Baskerville Old Face" w:hAnsi="Baskerville Old Face"/>
          <w:i/>
          <w:iCs/>
        </w:rPr>
        <w:br/>
        <w:t>• evidence provenance;</w:t>
      </w:r>
      <w:r w:rsidRPr="00B479AE">
        <w:rPr>
          <w:rFonts w:ascii="Baskerville Old Face" w:hAnsi="Baskerville Old Face"/>
          <w:i/>
          <w:iCs/>
        </w:rPr>
        <w:br/>
        <w:t>• MRV discipline;</w:t>
      </w:r>
      <w:r w:rsidRPr="00B479AE">
        <w:rPr>
          <w:rFonts w:ascii="Baskerville Old Face" w:hAnsi="Baskerville Old Face"/>
          <w:i/>
          <w:iCs/>
        </w:rPr>
        <w:br/>
        <w:t>• governance authority;</w:t>
      </w:r>
      <w:r w:rsidRPr="00B479AE">
        <w:rPr>
          <w:rFonts w:ascii="Baskerville Old Face" w:hAnsi="Baskerville Old Face"/>
          <w:i/>
          <w:iCs/>
        </w:rPr>
        <w:br/>
        <w:t>• legal boundaries;</w:t>
      </w:r>
      <w:r w:rsidRPr="00B479AE">
        <w:rPr>
          <w:rFonts w:ascii="Baskerville Old Face" w:hAnsi="Baskerville Old Face"/>
          <w:i/>
          <w:iCs/>
        </w:rPr>
        <w:br/>
        <w:t>• financial admissibility;</w:t>
      </w:r>
      <w:r w:rsidRPr="00B479AE">
        <w:rPr>
          <w:rFonts w:ascii="Baskerville Old Face" w:hAnsi="Baskerville Old Face"/>
          <w:i/>
          <w:iCs/>
        </w:rPr>
        <w:br/>
        <w:t>• anti-greenwashing controls;</w:t>
      </w:r>
      <w:r w:rsidRPr="00B479AE">
        <w:rPr>
          <w:rFonts w:ascii="Baskerville Old Face" w:hAnsi="Baskerville Old Face"/>
          <w:i/>
          <w:iCs/>
        </w:rPr>
        <w:br/>
        <w:t>• no-double-counting rules;</w:t>
      </w:r>
      <w:r w:rsidRPr="00B479AE">
        <w:rPr>
          <w:rFonts w:ascii="Baskerville Old Face" w:hAnsi="Baskerville Old Face"/>
          <w:i/>
          <w:iCs/>
        </w:rPr>
        <w:br/>
        <w:t>• anti-capture safeguards;</w:t>
      </w:r>
      <w:r w:rsidRPr="00B479AE">
        <w:rPr>
          <w:rFonts w:ascii="Baskerville Old Face" w:hAnsi="Baskerville Old Face"/>
          <w:i/>
          <w:iCs/>
        </w:rPr>
        <w:br/>
        <w:t>• pilot-scope discipline;</w:t>
      </w:r>
      <w:r w:rsidRPr="00B479AE">
        <w:rPr>
          <w:rFonts w:ascii="Baskerville Old Face" w:hAnsi="Baskerville Old Face"/>
          <w:i/>
          <w:iCs/>
        </w:rPr>
        <w:br/>
        <w:t>• reviewability and auditability;</w:t>
      </w:r>
      <w:r w:rsidRPr="00B479AE">
        <w:rPr>
          <w:rFonts w:ascii="Baskerville Old Face" w:hAnsi="Baskerville Old Face"/>
          <w:i/>
          <w:iCs/>
        </w:rPr>
        <w:br/>
        <w:t>• accountability to living systems.</w:t>
      </w:r>
    </w:p>
    <w:p w14:paraId="12AE4CA8"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If an output, instruction, agent action, governance proposal, token operation, financial representation, or ecological intervention violates these conditions, the system should treat it as outside the valid execution pathway.</w:t>
      </w:r>
    </w:p>
    <w:p w14:paraId="43BF7EAE"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The correct status is not “approved.”</w:t>
      </w:r>
    </w:p>
    <w:p w14:paraId="246BB526"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lastRenderedPageBreak/>
        <w:t>The correct status is:</w:t>
      </w:r>
    </w:p>
    <w:p w14:paraId="531147C6"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review required, invalid, non-admissible, non-executable, or rejected according to the relevant rule set.</w:t>
      </w:r>
    </w:p>
    <w:p w14:paraId="58FB5005"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b/>
          <w:bCs/>
          <w:i/>
          <w:iCs/>
        </w:rPr>
        <w:t>Security and anti-capture mandate</w:t>
      </w:r>
    </w:p>
    <w:p w14:paraId="3C39A888"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The kernel must be designed under a security and anti-capture mandate.</w:t>
      </w:r>
    </w:p>
    <w:p w14:paraId="0B0345A6"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No intelligence operating inside or around Prometheus should be allowed to convert speed into authority, complexity into opacity, governance into capture, tokenization into entitlement, narrative into evidence, or financial abstraction into ecological ownership.</w:t>
      </w:r>
    </w:p>
    <w:p w14:paraId="1793956C"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This mandate applies to:</w:t>
      </w:r>
    </w:p>
    <w:p w14:paraId="13D818D8"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 human operators;</w:t>
      </w:r>
      <w:r w:rsidRPr="00B479AE">
        <w:rPr>
          <w:rFonts w:ascii="Baskerville Old Face" w:hAnsi="Baskerville Old Face"/>
          <w:i/>
          <w:iCs/>
        </w:rPr>
        <w:br/>
        <w:t>• AI models;</w:t>
      </w:r>
      <w:r w:rsidRPr="00B479AE">
        <w:rPr>
          <w:rFonts w:ascii="Baskerville Old Face" w:hAnsi="Baskerville Old Face"/>
          <w:i/>
          <w:iCs/>
        </w:rPr>
        <w:br/>
        <w:t>• autonomous or semi-autonomous agents;</w:t>
      </w:r>
      <w:r w:rsidRPr="00B479AE">
        <w:rPr>
          <w:rFonts w:ascii="Baskerville Old Face" w:hAnsi="Baskerville Old Face"/>
          <w:i/>
          <w:iCs/>
        </w:rPr>
        <w:br/>
        <w:t>• governance participants;</w:t>
      </w:r>
      <w:r w:rsidRPr="00B479AE">
        <w:rPr>
          <w:rFonts w:ascii="Baskerville Old Face" w:hAnsi="Baskerville Old Face"/>
          <w:i/>
          <w:iCs/>
        </w:rPr>
        <w:br/>
        <w:t>• protocol stewards;</w:t>
      </w:r>
      <w:r w:rsidRPr="00B479AE">
        <w:rPr>
          <w:rFonts w:ascii="Baskerville Old Face" w:hAnsi="Baskerville Old Face"/>
          <w:i/>
          <w:iCs/>
        </w:rPr>
        <w:br/>
        <w:t>• investors;</w:t>
      </w:r>
      <w:r w:rsidRPr="00B479AE">
        <w:rPr>
          <w:rFonts w:ascii="Baskerville Old Face" w:hAnsi="Baskerville Old Face"/>
          <w:i/>
          <w:iCs/>
        </w:rPr>
        <w:br/>
        <w:t>• dashboards;</w:t>
      </w:r>
      <w:r w:rsidRPr="00B479AE">
        <w:rPr>
          <w:rFonts w:ascii="Baskerville Old Face" w:hAnsi="Baskerville Old Face"/>
          <w:i/>
          <w:iCs/>
        </w:rPr>
        <w:br/>
        <w:t>• APIs;</w:t>
      </w:r>
      <w:r w:rsidRPr="00B479AE">
        <w:rPr>
          <w:rFonts w:ascii="Baskerville Old Face" w:hAnsi="Baskerville Old Face"/>
          <w:i/>
          <w:iCs/>
        </w:rPr>
        <w:br/>
        <w:t>• smart-contract or token logic;</w:t>
      </w:r>
      <w:r w:rsidRPr="00B479AE">
        <w:rPr>
          <w:rFonts w:ascii="Baskerville Old Face" w:hAnsi="Baskerville Old Face"/>
          <w:i/>
          <w:iCs/>
        </w:rPr>
        <w:br/>
        <w:t>• external integrations;</w:t>
      </w:r>
      <w:r w:rsidRPr="00B479AE">
        <w:rPr>
          <w:rFonts w:ascii="Baskerville Old Face" w:hAnsi="Baskerville Old Face"/>
          <w:i/>
          <w:iCs/>
        </w:rPr>
        <w:br/>
        <w:t>• future artificial intelligences more capable than the systems available at the time of this release.</w:t>
      </w:r>
    </w:p>
    <w:p w14:paraId="643DCA51"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Prometheus must assume that future systems may become more persuasive, more capable, more automated, and more difficult to audit.</w:t>
      </w:r>
    </w:p>
    <w:p w14:paraId="318779F1"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For this reason, kernel protection cannot depend only on trust in the intelligence using the system.</w:t>
      </w:r>
    </w:p>
    <w:p w14:paraId="355DD756"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It must depend on architecture.</w:t>
      </w:r>
    </w:p>
    <w:p w14:paraId="6C1ACE57"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b/>
          <w:bCs/>
          <w:i/>
          <w:iCs/>
        </w:rPr>
        <w:t>Defense-in-depth</w:t>
      </w:r>
    </w:p>
    <w:p w14:paraId="5B6AC01D"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The kernel should be protected through defense-in-depth.</w:t>
      </w:r>
    </w:p>
    <w:p w14:paraId="2958F094"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This includes:</w:t>
      </w:r>
    </w:p>
    <w:p w14:paraId="541221A6"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lastRenderedPageBreak/>
        <w:t>• separation of roles and permissions;</w:t>
      </w:r>
      <w:r w:rsidRPr="00B479AE">
        <w:rPr>
          <w:rFonts w:ascii="Baskerville Old Face" w:hAnsi="Baskerville Old Face"/>
          <w:i/>
          <w:iCs/>
        </w:rPr>
        <w:br/>
        <w:t>• least-privilege access;</w:t>
      </w:r>
      <w:r w:rsidRPr="00B479AE">
        <w:rPr>
          <w:rFonts w:ascii="Baskerville Old Face" w:hAnsi="Baskerville Old Face"/>
          <w:i/>
          <w:iCs/>
        </w:rPr>
        <w:br/>
        <w:t>• explicit execution gates;</w:t>
      </w:r>
      <w:r w:rsidRPr="00B479AE">
        <w:rPr>
          <w:rFonts w:ascii="Baskerville Old Face" w:hAnsi="Baskerville Old Face"/>
          <w:i/>
          <w:iCs/>
        </w:rPr>
        <w:br/>
        <w:t>• cryptographic signing of critical actions;</w:t>
      </w:r>
      <w:r w:rsidRPr="00B479AE">
        <w:rPr>
          <w:rFonts w:ascii="Baskerville Old Face" w:hAnsi="Baskerville Old Face"/>
          <w:i/>
          <w:iCs/>
        </w:rPr>
        <w:br/>
        <w:t>• versioned methodologies;</w:t>
      </w:r>
      <w:r w:rsidRPr="00B479AE">
        <w:rPr>
          <w:rFonts w:ascii="Baskerville Old Face" w:hAnsi="Baskerville Old Face"/>
          <w:i/>
          <w:iCs/>
        </w:rPr>
        <w:br/>
        <w:t>• tamper-evident records;</w:t>
      </w:r>
      <w:r w:rsidRPr="00B479AE">
        <w:rPr>
          <w:rFonts w:ascii="Baskerville Old Face" w:hAnsi="Baskerville Old Face"/>
          <w:i/>
          <w:iCs/>
        </w:rPr>
        <w:br/>
        <w:t>• audit logs;</w:t>
      </w:r>
      <w:r w:rsidRPr="00B479AE">
        <w:rPr>
          <w:rFonts w:ascii="Baskerville Old Face" w:hAnsi="Baskerville Old Face"/>
          <w:i/>
          <w:iCs/>
        </w:rPr>
        <w:br/>
        <w:t>• provenance chains;</w:t>
      </w:r>
      <w:r w:rsidRPr="00B479AE">
        <w:rPr>
          <w:rFonts w:ascii="Baskerville Old Face" w:hAnsi="Baskerville Old Face"/>
          <w:i/>
          <w:iCs/>
        </w:rPr>
        <w:br/>
        <w:t>• manual review for high-impact actions;</w:t>
      </w:r>
      <w:r w:rsidRPr="00B479AE">
        <w:rPr>
          <w:rFonts w:ascii="Baskerville Old Face" w:hAnsi="Baskerville Old Face"/>
          <w:i/>
          <w:iCs/>
        </w:rPr>
        <w:br/>
        <w:t>• multi-stakeholder governance for sensitive decisions;</w:t>
      </w:r>
      <w:r w:rsidRPr="00B479AE">
        <w:rPr>
          <w:rFonts w:ascii="Baskerville Old Face" w:hAnsi="Baskerville Old Face"/>
          <w:i/>
          <w:iCs/>
        </w:rPr>
        <w:br/>
        <w:t>• rollback and emergency-pause procedures;</w:t>
      </w:r>
      <w:r w:rsidRPr="00B479AE">
        <w:rPr>
          <w:rFonts w:ascii="Baskerville Old Face" w:hAnsi="Baskerville Old Face"/>
          <w:i/>
          <w:iCs/>
        </w:rPr>
        <w:br/>
        <w:t>• adversarial testing;</w:t>
      </w:r>
      <w:r w:rsidRPr="00B479AE">
        <w:rPr>
          <w:rFonts w:ascii="Baskerville Old Face" w:hAnsi="Baskerville Old Face"/>
          <w:i/>
          <w:iCs/>
        </w:rPr>
        <w:br/>
        <w:t>• model-risk review;</w:t>
      </w:r>
      <w:r w:rsidRPr="00B479AE">
        <w:rPr>
          <w:rFonts w:ascii="Baskerville Old Face" w:hAnsi="Baskerville Old Face"/>
          <w:i/>
          <w:iCs/>
        </w:rPr>
        <w:br/>
        <w:t>• security audits;</w:t>
      </w:r>
      <w:r w:rsidRPr="00B479AE">
        <w:rPr>
          <w:rFonts w:ascii="Baskerville Old Face" w:hAnsi="Baskerville Old Face"/>
          <w:i/>
          <w:iCs/>
        </w:rPr>
        <w:br/>
        <w:t>• red-team exercises;</w:t>
      </w:r>
      <w:r w:rsidRPr="00B479AE">
        <w:rPr>
          <w:rFonts w:ascii="Baskerville Old Face" w:hAnsi="Baskerville Old Face"/>
          <w:i/>
          <w:iCs/>
        </w:rPr>
        <w:br/>
        <w:t>• formal specification where feasible;</w:t>
      </w:r>
      <w:r w:rsidRPr="00B479AE">
        <w:rPr>
          <w:rFonts w:ascii="Baskerville Old Face" w:hAnsi="Baskerville Old Face"/>
          <w:i/>
          <w:iCs/>
        </w:rPr>
        <w:br/>
        <w:t>• independent review of critical upgrades.</w:t>
      </w:r>
    </w:p>
    <w:p w14:paraId="56A1CCDF"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The objective is not to claim that any technical system can be absolutely invulnerable for all time.</w:t>
      </w:r>
    </w:p>
    <w:p w14:paraId="183D729D"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The objective is to make constitutional bypass structurally difficult, detectable, reviewable, reversible where possible, and institutionally invalid.</w:t>
      </w:r>
    </w:p>
    <w:p w14:paraId="08629E38"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Prometheus should therefore be designed so that even a highly capable intelligence cannot legitimately execute actions that violate the constitutional source layer.</w:t>
      </w:r>
    </w:p>
    <w:p w14:paraId="4A5C9220"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b/>
          <w:bCs/>
          <w:i/>
          <w:iCs/>
        </w:rPr>
        <w:t>Source-code discipline</w:t>
      </w:r>
    </w:p>
    <w:p w14:paraId="5C5EAFEA"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At implementation level, the kernel’s constraints should be expressed not only in narrative documents, but also in source-code logic, validation schemas, policy engines, permission systems, execution gates, test suites, audit procedures, and deployment controls.</w:t>
      </w:r>
    </w:p>
    <w:p w14:paraId="378F7921"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The constitutional text defines the meaning.</w:t>
      </w:r>
    </w:p>
    <w:p w14:paraId="1626A7A7"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The source code enforces the boundary.</w:t>
      </w:r>
    </w:p>
    <w:p w14:paraId="63FA8224"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The audit trail proves whether the boundary was respected.</w:t>
      </w:r>
    </w:p>
    <w:p w14:paraId="1C5F7C11"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lastRenderedPageBreak/>
        <w:t>The governance layer decides how boundary cases are handled.</w:t>
      </w:r>
    </w:p>
    <w:p w14:paraId="16275B9D"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This creates a four-layer discipline:</w:t>
      </w:r>
    </w:p>
    <w:p w14:paraId="7EF25BCA"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constitutional meaning;</w:t>
      </w:r>
      <w:r w:rsidRPr="00B479AE">
        <w:rPr>
          <w:rFonts w:ascii="Baskerville Old Face" w:hAnsi="Baskerville Old Face"/>
          <w:i/>
          <w:iCs/>
        </w:rPr>
        <w:br/>
        <w:t>technical enforcement;</w:t>
      </w:r>
      <w:r w:rsidRPr="00B479AE">
        <w:rPr>
          <w:rFonts w:ascii="Baskerville Old Face" w:hAnsi="Baskerville Old Face"/>
          <w:i/>
          <w:iCs/>
        </w:rPr>
        <w:br/>
        <w:t>auditability;</w:t>
      </w:r>
      <w:r w:rsidRPr="00B479AE">
        <w:rPr>
          <w:rFonts w:ascii="Baskerville Old Face" w:hAnsi="Baskerville Old Face"/>
          <w:i/>
          <w:iCs/>
        </w:rPr>
        <w:br/>
        <w:t>governance review.</w:t>
      </w:r>
    </w:p>
    <w:p w14:paraId="32B858B5"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The kernel therefore becomes more than a philosophy.</w:t>
      </w:r>
    </w:p>
    <w:p w14:paraId="652FE933"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It becomes operational law inside the system.</w:t>
      </w:r>
    </w:p>
    <w:p w14:paraId="7A12345F" w14:textId="73422638"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b/>
          <w:bCs/>
          <w:i/>
          <w:iCs/>
        </w:rPr>
        <w:t>Irreducible boundary</w:t>
      </w:r>
    </w:p>
    <w:p w14:paraId="27702177"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The irreducible boundary of the kernel is this:</w:t>
      </w:r>
    </w:p>
    <w:p w14:paraId="13C09CF0"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intelligence may assist;</w:t>
      </w:r>
    </w:p>
    <w:p w14:paraId="5F515A55"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intelligence may interpret;</w:t>
      </w:r>
    </w:p>
    <w:p w14:paraId="4F036318"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intelligence may generate;</w:t>
      </w:r>
    </w:p>
    <w:p w14:paraId="4FFD5EFE"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intelligence may recommend;</w:t>
      </w:r>
    </w:p>
    <w:p w14:paraId="463216DB"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intelligence may coordinate;</w:t>
      </w:r>
    </w:p>
    <w:p w14:paraId="0AA3AE92"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but intelligence may not override the constitutional conditions that preserve life, dignity, evidence, governance, and regenerative fidelity.</w:t>
      </w:r>
    </w:p>
    <w:p w14:paraId="446CD6CE"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Any intelligence that attempts to bypass these conditions is not acting as Prometheus.</w:t>
      </w:r>
    </w:p>
    <w:p w14:paraId="1E79666B"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It is acting outside Prometheus.</w:t>
      </w:r>
    </w:p>
    <w:p w14:paraId="325AD896"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This boundary must remain invariant across future versions, deployments, derivative systems, interfaces, models, agents, capital structures, and institutional transformations.</w:t>
      </w:r>
    </w:p>
    <w:p w14:paraId="6233B16E"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The kernel exists so that Prometheus can become more intelligent without becoming less accountable.</w:t>
      </w:r>
    </w:p>
    <w:p w14:paraId="742AB8FA"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Its final role is therefore not control for its own sake.</w:t>
      </w:r>
    </w:p>
    <w:p w14:paraId="26073DDE"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lastRenderedPageBreak/>
        <w:t>Its role is fidelity.</w:t>
      </w:r>
    </w:p>
    <w:p w14:paraId="7EDD289D"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It protects the system from the oldest failure mode of intelligence:</w:t>
      </w:r>
    </w:p>
    <w:p w14:paraId="056C0D5E" w14:textId="77777777" w:rsidR="00E11B73" w:rsidRPr="00B479AE" w:rsidRDefault="00E11B73" w:rsidP="00E11B73">
      <w:pPr>
        <w:spacing w:line="360" w:lineRule="auto"/>
        <w:rPr>
          <w:rFonts w:ascii="Baskerville Old Face" w:hAnsi="Baskerville Old Face"/>
          <w:i/>
          <w:iCs/>
        </w:rPr>
      </w:pPr>
      <w:r w:rsidRPr="00B479AE">
        <w:rPr>
          <w:rFonts w:ascii="Baskerville Old Face" w:hAnsi="Baskerville Old Face"/>
          <w:i/>
          <w:iCs/>
        </w:rPr>
        <w:t>becoming powerful before becoming wise.</w:t>
      </w:r>
    </w:p>
    <w:p w14:paraId="7F77D03A" w14:textId="07C21DB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b/>
          <w:bCs/>
          <w:i/>
          <w:iCs/>
        </w:rPr>
        <w:t>Internal pre-prompt analysis</w:t>
      </w:r>
    </w:p>
    <w:p w14:paraId="327C3942"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Before any meta-prompt, agent task, operational recommendation, governance proposal, financial scenario, ecological design instruction, or investor-facing draft is generated, the Prometheus cognitive kernel performs an internal pre-prompt analysis.</w:t>
      </w:r>
    </w:p>
    <w:p w14:paraId="62AD59F0"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This analysis is mandatory.</w:t>
      </w:r>
    </w:p>
    <w:p w14:paraId="2F603889"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It is not optional UX behavior.</w:t>
      </w:r>
    </w:p>
    <w:p w14:paraId="1965AC46"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It is part of the constitutional source layer.</w:t>
      </w:r>
    </w:p>
    <w:p w14:paraId="6C8EBE5C"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Its function is to ensure that every generated output remains scoped, evidence-aware, risk-aware, reviewable, and aligned with the non-bypassability principle.</w:t>
      </w:r>
    </w:p>
    <w:p w14:paraId="3B29D3D2"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The pre-prompt analysis should be implemented as an internal reasoning and validation stage.</w:t>
      </w:r>
    </w:p>
    <w:p w14:paraId="4EAFF7A1"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Where technically and legally appropriate, its decision path should be logged, auditable, and reconstructible without exposing sensitive data, private reasoning, personal information, or protected governance material.</w:t>
      </w:r>
    </w:p>
    <w:p w14:paraId="4FBBBB3F"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The objective is simple:</w:t>
      </w:r>
    </w:p>
    <w:p w14:paraId="700B3EF8"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understand the request before acting on it;</w:t>
      </w:r>
    </w:p>
    <w:p w14:paraId="7A7B9D30"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classify the system level before routing it;</w:t>
      </w:r>
    </w:p>
    <w:p w14:paraId="734A2642"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identify risk before acceleration;</w:t>
      </w:r>
    </w:p>
    <w:p w14:paraId="7EAA9A7F"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apply constitutional constraints before generation;</w:t>
      </w:r>
    </w:p>
    <w:p w14:paraId="71F60952" w14:textId="1EBED607" w:rsidR="004F2E2D" w:rsidRDefault="004F2E2D" w:rsidP="004F2E2D">
      <w:pPr>
        <w:spacing w:line="360" w:lineRule="auto"/>
        <w:rPr>
          <w:rFonts w:ascii="Baskerville Old Face" w:hAnsi="Baskerville Old Face"/>
          <w:i/>
          <w:iCs/>
        </w:rPr>
      </w:pPr>
      <w:r w:rsidRPr="00B479AE">
        <w:rPr>
          <w:rFonts w:ascii="Baskerville Old Face" w:hAnsi="Baskerville Old Face"/>
          <w:i/>
          <w:iCs/>
        </w:rPr>
        <w:t>preserve reviewability before execution.</w:t>
      </w:r>
      <w:r w:rsidR="00175E64">
        <w:rPr>
          <w:rFonts w:ascii="Baskerville Old Face" w:hAnsi="Baskerville Old Face"/>
          <w:i/>
          <w:iCs/>
        </w:rPr>
        <w:t xml:space="preserve"> </w:t>
      </w:r>
    </w:p>
    <w:p w14:paraId="2BCD9293" w14:textId="77777777" w:rsidR="00175E64" w:rsidRPr="00B479AE" w:rsidRDefault="00175E64" w:rsidP="004F2E2D">
      <w:pPr>
        <w:spacing w:line="360" w:lineRule="auto"/>
        <w:rPr>
          <w:rFonts w:ascii="Baskerville Old Face" w:hAnsi="Baskerville Old Face"/>
          <w:i/>
          <w:iCs/>
        </w:rPr>
      </w:pPr>
    </w:p>
    <w:p w14:paraId="06D0937E" w14:textId="5FBFD5E2"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b/>
          <w:bCs/>
          <w:i/>
          <w:iCs/>
        </w:rPr>
        <w:lastRenderedPageBreak/>
        <w:t>A. Request classification</w:t>
      </w:r>
    </w:p>
    <w:p w14:paraId="5F79AC9E" w14:textId="3E12A661"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The kernel first classifies the request into one or more domains. A request may belong to multiple domains at the same time. For example, a regenerative land deployment may be ecological, operational, financial, legal, governance-related, and technological at once.</w:t>
      </w:r>
    </w:p>
    <w:p w14:paraId="59E00868"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Relevant domains may include:</w:t>
      </w:r>
    </w:p>
    <w:p w14:paraId="02AF63EA"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 strategic — long-term vision, positioning, capital-market narrative, institutional direction;</w:t>
      </w:r>
      <w:r w:rsidRPr="00B479AE">
        <w:rPr>
          <w:rFonts w:ascii="Baskerville Old Face" w:hAnsi="Baskerville Old Face"/>
          <w:i/>
          <w:iCs/>
        </w:rPr>
        <w:br/>
        <w:t>• operational — execution, workflows, implementation, field activity, runbooks, maintenance, deployment sequencing;</w:t>
      </w:r>
      <w:r w:rsidRPr="00B479AE">
        <w:rPr>
          <w:rFonts w:ascii="Baskerville Old Face" w:hAnsi="Baskerville Old Face"/>
          <w:i/>
          <w:iCs/>
        </w:rPr>
        <w:br/>
        <w:t>• architectural — system design, layer separation, protocol structure, role relationships, ontology, interoperability;</w:t>
      </w:r>
      <w:r w:rsidRPr="00B479AE">
        <w:rPr>
          <w:rFonts w:ascii="Baskerville Old Face" w:hAnsi="Baskerville Old Face"/>
          <w:i/>
          <w:iCs/>
        </w:rPr>
        <w:br/>
        <w:t>• ecological — soil, water, biodiversity, biomass, syntropic succession, resilience, ecological performance;</w:t>
      </w:r>
      <w:r w:rsidRPr="00B479AE">
        <w:rPr>
          <w:rFonts w:ascii="Baskerville Old Face" w:hAnsi="Baskerville Old Face"/>
          <w:i/>
          <w:iCs/>
        </w:rPr>
        <w:br/>
        <w:t>• social and community — trust, participation, mutual aid, local relationships, social resilience, conflict dynamics;</w:t>
      </w:r>
      <w:r w:rsidRPr="00B479AE">
        <w:rPr>
          <w:rFonts w:ascii="Baskerville Old Face" w:hAnsi="Baskerville Old Face"/>
          <w:i/>
          <w:iCs/>
        </w:rPr>
        <w:br/>
        <w:t>• financial and economic-systemic — capital flows, underwriting, leverage, liquidity, Minsky-Keen risk, PRU, RAP, valuation, investor reporting;</w:t>
      </w:r>
      <w:r w:rsidRPr="00B479AE">
        <w:rPr>
          <w:rFonts w:ascii="Baskerville Old Face" w:hAnsi="Baskerville Old Face"/>
          <w:i/>
          <w:iCs/>
        </w:rPr>
        <w:br/>
        <w:t>• technological and infrastructural — Holochain-compatible systems, Valueflows / REA, MRV infrastructure, APIs, data rooms, dashboards, AI systems, digital provenance;</w:t>
      </w:r>
      <w:r w:rsidRPr="00B479AE">
        <w:rPr>
          <w:rFonts w:ascii="Baskerville Old Face" w:hAnsi="Baskerville Old Face"/>
          <w:i/>
          <w:iCs/>
        </w:rPr>
        <w:br/>
        <w:t>• human infrastructure — stewardship capacity, participation quality, decision conditions, voluntary HSI context, community coherence;</w:t>
      </w:r>
      <w:r w:rsidRPr="00B479AE">
        <w:rPr>
          <w:rFonts w:ascii="Baskerville Old Face" w:hAnsi="Baskerville Old Face"/>
          <w:i/>
          <w:iCs/>
        </w:rPr>
        <w:br/>
        <w:t>• health-related and SyntroGIFT — food quality, movement, nature exposure, metabolic-resilience hypotheses, public-health partnerships, research pathways;</w:t>
      </w:r>
      <w:r w:rsidRPr="00B479AE">
        <w:rPr>
          <w:rFonts w:ascii="Baskerville Old Face" w:hAnsi="Baskerville Old Face"/>
          <w:i/>
          <w:iCs/>
        </w:rPr>
        <w:br/>
        <w:t>• cultural, spiritual, and ancestral — traditional knowledge, sacred sites, cultural continuity, intergenerational responsibility, territorial meaning;</w:t>
      </w:r>
      <w:r w:rsidRPr="00B479AE">
        <w:rPr>
          <w:rFonts w:ascii="Baskerville Old Face" w:hAnsi="Baskerville Old Face"/>
          <w:i/>
          <w:iCs/>
        </w:rPr>
        <w:br/>
        <w:t>• governance, DAO, and policy — decision rules, stewardship circles, protocol governance, rights, obligations, review procedures, public-sector alignment;</w:t>
      </w:r>
      <w:r w:rsidRPr="00B479AE">
        <w:rPr>
          <w:rFonts w:ascii="Baskerville Old Face" w:hAnsi="Baskerville Old Face"/>
          <w:i/>
          <w:iCs/>
        </w:rPr>
        <w:br/>
        <w:t>• legal and compliance — securities, tokens, land access, data protection, medical claims, environmental claims, investor disclosure, jurisdictional review;</w:t>
      </w:r>
      <w:r w:rsidRPr="00B479AE">
        <w:rPr>
          <w:rFonts w:ascii="Baskerville Old Face" w:hAnsi="Baskerville Old Face"/>
          <w:i/>
          <w:iCs/>
        </w:rPr>
        <w:br/>
        <w:t>• meta-cognitive — prompts, agents, model behavior, methodology evolution, AI governance, reasoning processes, knowledge systems.</w:t>
      </w:r>
    </w:p>
    <w:p w14:paraId="1D98AB3A"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The classification determines the review pathway.</w:t>
      </w:r>
    </w:p>
    <w:p w14:paraId="04ED91CA"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lastRenderedPageBreak/>
        <w:t>A low-risk informational request may be answered directly.</w:t>
      </w:r>
    </w:p>
    <w:p w14:paraId="28FEA1F7"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A financial, legal, health-related, token-related, or investor-facing request may require assumptions, caveats, governance review, legal review, or deferral.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0"/>
        <w:gridCol w:w="7438"/>
      </w:tblGrid>
      <w:tr w:rsidR="004F2E2D" w:rsidRPr="00175E64" w14:paraId="5395082B" w14:textId="77777777" w:rsidTr="004F2E2D">
        <w:trPr>
          <w:tblHeader/>
          <w:tblCellSpacing w:w="15" w:type="dxa"/>
        </w:trPr>
        <w:tc>
          <w:tcPr>
            <w:tcW w:w="0" w:type="auto"/>
            <w:vAlign w:val="center"/>
            <w:hideMark/>
          </w:tcPr>
          <w:p w14:paraId="7AB46CC1" w14:textId="77777777" w:rsidR="004F2E2D" w:rsidRPr="00175E64" w:rsidRDefault="004F2E2D" w:rsidP="004F2E2D">
            <w:pPr>
              <w:spacing w:line="360" w:lineRule="auto"/>
              <w:rPr>
                <w:rFonts w:ascii="Baskerville Old Face" w:hAnsi="Baskerville Old Face"/>
                <w:b/>
                <w:bCs/>
                <w:i/>
                <w:iCs/>
                <w:sz w:val="20"/>
                <w:szCs w:val="20"/>
              </w:rPr>
            </w:pPr>
            <w:r w:rsidRPr="00175E64">
              <w:rPr>
                <w:rFonts w:ascii="Baskerville Old Face" w:hAnsi="Baskerville Old Face"/>
                <w:b/>
                <w:bCs/>
                <w:i/>
                <w:iCs/>
                <w:sz w:val="20"/>
                <w:szCs w:val="20"/>
              </w:rPr>
              <w:t>Domain</w:t>
            </w:r>
          </w:p>
        </w:tc>
        <w:tc>
          <w:tcPr>
            <w:tcW w:w="0" w:type="auto"/>
            <w:vAlign w:val="center"/>
            <w:hideMark/>
          </w:tcPr>
          <w:p w14:paraId="76BD3487" w14:textId="77777777" w:rsidR="004F2E2D" w:rsidRPr="00175E64" w:rsidRDefault="004F2E2D" w:rsidP="004F2E2D">
            <w:pPr>
              <w:spacing w:line="360" w:lineRule="auto"/>
              <w:rPr>
                <w:rFonts w:ascii="Baskerville Old Face" w:hAnsi="Baskerville Old Face"/>
                <w:b/>
                <w:bCs/>
                <w:i/>
                <w:iCs/>
                <w:sz w:val="20"/>
                <w:szCs w:val="20"/>
              </w:rPr>
            </w:pPr>
            <w:r w:rsidRPr="00175E64">
              <w:rPr>
                <w:rFonts w:ascii="Baskerville Old Face" w:hAnsi="Baskerville Old Face"/>
                <w:b/>
                <w:bCs/>
                <w:i/>
                <w:iCs/>
                <w:sz w:val="20"/>
                <w:szCs w:val="20"/>
              </w:rPr>
              <w:t>Description</w:t>
            </w:r>
          </w:p>
        </w:tc>
      </w:tr>
      <w:tr w:rsidR="004F2E2D" w:rsidRPr="00175E64" w14:paraId="23E2FB45" w14:textId="77777777" w:rsidTr="004F2E2D">
        <w:trPr>
          <w:tblCellSpacing w:w="15" w:type="dxa"/>
        </w:trPr>
        <w:tc>
          <w:tcPr>
            <w:tcW w:w="0" w:type="auto"/>
            <w:vAlign w:val="center"/>
            <w:hideMark/>
          </w:tcPr>
          <w:p w14:paraId="17672D78"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b/>
                <w:bCs/>
                <w:i/>
                <w:iCs/>
                <w:sz w:val="20"/>
                <w:szCs w:val="20"/>
              </w:rPr>
              <w:t>Strategic</w:t>
            </w:r>
          </w:p>
        </w:tc>
        <w:tc>
          <w:tcPr>
            <w:tcW w:w="0" w:type="auto"/>
            <w:vAlign w:val="center"/>
            <w:hideMark/>
          </w:tcPr>
          <w:p w14:paraId="6C4811E2"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i/>
                <w:iCs/>
                <w:sz w:val="20"/>
                <w:szCs w:val="20"/>
              </w:rPr>
              <w:t>Long-term vision, positioning, institutional direction, capital-market narrative.</w:t>
            </w:r>
          </w:p>
        </w:tc>
      </w:tr>
      <w:tr w:rsidR="004F2E2D" w:rsidRPr="00175E64" w14:paraId="1036C2A0" w14:textId="77777777" w:rsidTr="004F2E2D">
        <w:trPr>
          <w:tblCellSpacing w:w="15" w:type="dxa"/>
        </w:trPr>
        <w:tc>
          <w:tcPr>
            <w:tcW w:w="0" w:type="auto"/>
            <w:vAlign w:val="center"/>
            <w:hideMark/>
          </w:tcPr>
          <w:p w14:paraId="55CE5CC2"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b/>
                <w:bCs/>
                <w:i/>
                <w:iCs/>
                <w:sz w:val="20"/>
                <w:szCs w:val="20"/>
              </w:rPr>
              <w:t>Operational</w:t>
            </w:r>
          </w:p>
        </w:tc>
        <w:tc>
          <w:tcPr>
            <w:tcW w:w="0" w:type="auto"/>
            <w:vAlign w:val="center"/>
            <w:hideMark/>
          </w:tcPr>
          <w:p w14:paraId="68C95E62"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i/>
                <w:iCs/>
                <w:sz w:val="20"/>
                <w:szCs w:val="20"/>
              </w:rPr>
              <w:t>Execution, workflows, field activity, runbooks, deployment sequencing, maintenance.</w:t>
            </w:r>
          </w:p>
        </w:tc>
      </w:tr>
      <w:tr w:rsidR="004F2E2D" w:rsidRPr="00175E64" w14:paraId="12C224B8" w14:textId="77777777" w:rsidTr="004F2E2D">
        <w:trPr>
          <w:tblCellSpacing w:w="15" w:type="dxa"/>
        </w:trPr>
        <w:tc>
          <w:tcPr>
            <w:tcW w:w="0" w:type="auto"/>
            <w:vAlign w:val="center"/>
            <w:hideMark/>
          </w:tcPr>
          <w:p w14:paraId="1FD5329E"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b/>
                <w:bCs/>
                <w:i/>
                <w:iCs/>
                <w:sz w:val="20"/>
                <w:szCs w:val="20"/>
              </w:rPr>
              <w:t>Architectural</w:t>
            </w:r>
          </w:p>
        </w:tc>
        <w:tc>
          <w:tcPr>
            <w:tcW w:w="0" w:type="auto"/>
            <w:vAlign w:val="center"/>
            <w:hideMark/>
          </w:tcPr>
          <w:p w14:paraId="51039D9B"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i/>
                <w:iCs/>
                <w:sz w:val="20"/>
                <w:szCs w:val="20"/>
              </w:rPr>
              <w:t>System design, layer separation, protocol structure, ontology, interoperability.</w:t>
            </w:r>
          </w:p>
        </w:tc>
      </w:tr>
      <w:tr w:rsidR="004F2E2D" w:rsidRPr="00175E64" w14:paraId="762B21D2" w14:textId="77777777" w:rsidTr="004F2E2D">
        <w:trPr>
          <w:tblCellSpacing w:w="15" w:type="dxa"/>
        </w:trPr>
        <w:tc>
          <w:tcPr>
            <w:tcW w:w="0" w:type="auto"/>
            <w:vAlign w:val="center"/>
            <w:hideMark/>
          </w:tcPr>
          <w:p w14:paraId="3D075F6A"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b/>
                <w:bCs/>
                <w:i/>
                <w:iCs/>
                <w:sz w:val="20"/>
                <w:szCs w:val="20"/>
              </w:rPr>
              <w:t>Ecological</w:t>
            </w:r>
          </w:p>
        </w:tc>
        <w:tc>
          <w:tcPr>
            <w:tcW w:w="0" w:type="auto"/>
            <w:vAlign w:val="center"/>
            <w:hideMark/>
          </w:tcPr>
          <w:p w14:paraId="5EE444AA"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i/>
                <w:iCs/>
                <w:sz w:val="20"/>
                <w:szCs w:val="20"/>
              </w:rPr>
              <w:t>Soil, water, biodiversity, biomass, syntropic succession, resilience, ecological performance.</w:t>
            </w:r>
          </w:p>
        </w:tc>
      </w:tr>
      <w:tr w:rsidR="004F2E2D" w:rsidRPr="00175E64" w14:paraId="346490A2" w14:textId="77777777" w:rsidTr="004F2E2D">
        <w:trPr>
          <w:tblCellSpacing w:w="15" w:type="dxa"/>
        </w:trPr>
        <w:tc>
          <w:tcPr>
            <w:tcW w:w="0" w:type="auto"/>
            <w:vAlign w:val="center"/>
            <w:hideMark/>
          </w:tcPr>
          <w:p w14:paraId="6FBD5CFD"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b/>
                <w:bCs/>
                <w:i/>
                <w:iCs/>
                <w:sz w:val="20"/>
                <w:szCs w:val="20"/>
              </w:rPr>
              <w:t>Social and community</w:t>
            </w:r>
          </w:p>
        </w:tc>
        <w:tc>
          <w:tcPr>
            <w:tcW w:w="0" w:type="auto"/>
            <w:vAlign w:val="center"/>
            <w:hideMark/>
          </w:tcPr>
          <w:p w14:paraId="4EA53EBC"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i/>
                <w:iCs/>
                <w:sz w:val="20"/>
                <w:szCs w:val="20"/>
              </w:rPr>
              <w:t>Trust, participation, mutual aid, local relationships, conflict dynamics, social resilience.</w:t>
            </w:r>
          </w:p>
        </w:tc>
      </w:tr>
      <w:tr w:rsidR="004F2E2D" w:rsidRPr="00175E64" w14:paraId="545B1C73" w14:textId="77777777" w:rsidTr="004F2E2D">
        <w:trPr>
          <w:tblCellSpacing w:w="15" w:type="dxa"/>
        </w:trPr>
        <w:tc>
          <w:tcPr>
            <w:tcW w:w="0" w:type="auto"/>
            <w:vAlign w:val="center"/>
            <w:hideMark/>
          </w:tcPr>
          <w:p w14:paraId="110D64A1"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b/>
                <w:bCs/>
                <w:i/>
                <w:iCs/>
                <w:sz w:val="20"/>
                <w:szCs w:val="20"/>
              </w:rPr>
              <w:t>Financial and economic-systemic</w:t>
            </w:r>
          </w:p>
        </w:tc>
        <w:tc>
          <w:tcPr>
            <w:tcW w:w="0" w:type="auto"/>
            <w:vAlign w:val="center"/>
            <w:hideMark/>
          </w:tcPr>
          <w:p w14:paraId="49DA3CCB"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i/>
                <w:iCs/>
                <w:sz w:val="20"/>
                <w:szCs w:val="20"/>
              </w:rPr>
              <w:t>Capital flows, underwriting, leverage, liquidity, Minsky-Keen risk, PRU, RAP, valuation, investor reporting.</w:t>
            </w:r>
          </w:p>
        </w:tc>
      </w:tr>
      <w:tr w:rsidR="004F2E2D" w:rsidRPr="00175E64" w14:paraId="068D30EF" w14:textId="77777777" w:rsidTr="004F2E2D">
        <w:trPr>
          <w:tblCellSpacing w:w="15" w:type="dxa"/>
        </w:trPr>
        <w:tc>
          <w:tcPr>
            <w:tcW w:w="0" w:type="auto"/>
            <w:vAlign w:val="center"/>
            <w:hideMark/>
          </w:tcPr>
          <w:p w14:paraId="465F4669"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b/>
                <w:bCs/>
                <w:i/>
                <w:iCs/>
                <w:sz w:val="20"/>
                <w:szCs w:val="20"/>
              </w:rPr>
              <w:t>Technological and infrastructural</w:t>
            </w:r>
          </w:p>
        </w:tc>
        <w:tc>
          <w:tcPr>
            <w:tcW w:w="0" w:type="auto"/>
            <w:vAlign w:val="center"/>
            <w:hideMark/>
          </w:tcPr>
          <w:p w14:paraId="501D13CB"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i/>
                <w:iCs/>
                <w:sz w:val="20"/>
                <w:szCs w:val="20"/>
              </w:rPr>
              <w:t>Holochain-compatible systems, Valueflows / REA, MRV infrastructure, APIs, data rooms, dashboards, AI systems, digital provenance.</w:t>
            </w:r>
          </w:p>
        </w:tc>
      </w:tr>
      <w:tr w:rsidR="004F2E2D" w:rsidRPr="00175E64" w14:paraId="48B0765D" w14:textId="77777777" w:rsidTr="004F2E2D">
        <w:trPr>
          <w:tblCellSpacing w:w="15" w:type="dxa"/>
        </w:trPr>
        <w:tc>
          <w:tcPr>
            <w:tcW w:w="0" w:type="auto"/>
            <w:vAlign w:val="center"/>
            <w:hideMark/>
          </w:tcPr>
          <w:p w14:paraId="719B00A9"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b/>
                <w:bCs/>
                <w:i/>
                <w:iCs/>
                <w:sz w:val="20"/>
                <w:szCs w:val="20"/>
              </w:rPr>
              <w:t>Human infrastructure</w:t>
            </w:r>
          </w:p>
        </w:tc>
        <w:tc>
          <w:tcPr>
            <w:tcW w:w="0" w:type="auto"/>
            <w:vAlign w:val="center"/>
            <w:hideMark/>
          </w:tcPr>
          <w:p w14:paraId="62754A4E"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i/>
                <w:iCs/>
                <w:sz w:val="20"/>
                <w:szCs w:val="20"/>
              </w:rPr>
              <w:t>Stewardship capacity, participation quality, decision conditions, voluntary HSI context, community coherence.</w:t>
            </w:r>
          </w:p>
        </w:tc>
      </w:tr>
      <w:tr w:rsidR="004F2E2D" w:rsidRPr="00175E64" w14:paraId="1BC41C0F" w14:textId="77777777" w:rsidTr="004F2E2D">
        <w:trPr>
          <w:tblCellSpacing w:w="15" w:type="dxa"/>
        </w:trPr>
        <w:tc>
          <w:tcPr>
            <w:tcW w:w="0" w:type="auto"/>
            <w:vAlign w:val="center"/>
            <w:hideMark/>
          </w:tcPr>
          <w:p w14:paraId="34B9BA6F"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b/>
                <w:bCs/>
                <w:i/>
                <w:iCs/>
                <w:sz w:val="20"/>
                <w:szCs w:val="20"/>
              </w:rPr>
              <w:t>Health-related and SyntroGIFT</w:t>
            </w:r>
          </w:p>
        </w:tc>
        <w:tc>
          <w:tcPr>
            <w:tcW w:w="0" w:type="auto"/>
            <w:vAlign w:val="center"/>
            <w:hideMark/>
          </w:tcPr>
          <w:p w14:paraId="5431F656"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i/>
                <w:iCs/>
                <w:sz w:val="20"/>
                <w:szCs w:val="20"/>
              </w:rPr>
              <w:t>Food quality, movement, nature exposure, metabolic-resilience hypotheses, public-health partnerships, research pathways.</w:t>
            </w:r>
          </w:p>
        </w:tc>
      </w:tr>
      <w:tr w:rsidR="004F2E2D" w:rsidRPr="00175E64" w14:paraId="0F593DA6" w14:textId="77777777" w:rsidTr="004F2E2D">
        <w:trPr>
          <w:tblCellSpacing w:w="15" w:type="dxa"/>
        </w:trPr>
        <w:tc>
          <w:tcPr>
            <w:tcW w:w="0" w:type="auto"/>
            <w:vAlign w:val="center"/>
            <w:hideMark/>
          </w:tcPr>
          <w:p w14:paraId="4D75249E"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b/>
                <w:bCs/>
                <w:i/>
                <w:iCs/>
                <w:sz w:val="20"/>
                <w:szCs w:val="20"/>
              </w:rPr>
              <w:t>Cultural, spiritual, and ancestral</w:t>
            </w:r>
          </w:p>
        </w:tc>
        <w:tc>
          <w:tcPr>
            <w:tcW w:w="0" w:type="auto"/>
            <w:vAlign w:val="center"/>
            <w:hideMark/>
          </w:tcPr>
          <w:p w14:paraId="220AB1F1"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i/>
                <w:iCs/>
                <w:sz w:val="20"/>
                <w:szCs w:val="20"/>
              </w:rPr>
              <w:t>Traditional knowledge, sacred sites, cultural continuity, intergenerational responsibility, territorial meaning.</w:t>
            </w:r>
          </w:p>
        </w:tc>
      </w:tr>
      <w:tr w:rsidR="004F2E2D" w:rsidRPr="00175E64" w14:paraId="45F17F61" w14:textId="77777777" w:rsidTr="004F2E2D">
        <w:trPr>
          <w:tblCellSpacing w:w="15" w:type="dxa"/>
        </w:trPr>
        <w:tc>
          <w:tcPr>
            <w:tcW w:w="0" w:type="auto"/>
            <w:vAlign w:val="center"/>
            <w:hideMark/>
          </w:tcPr>
          <w:p w14:paraId="6D9ECDA3"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b/>
                <w:bCs/>
                <w:i/>
                <w:iCs/>
                <w:sz w:val="20"/>
                <w:szCs w:val="20"/>
              </w:rPr>
              <w:t>Governance, DAO, and policy</w:t>
            </w:r>
          </w:p>
        </w:tc>
        <w:tc>
          <w:tcPr>
            <w:tcW w:w="0" w:type="auto"/>
            <w:vAlign w:val="center"/>
            <w:hideMark/>
          </w:tcPr>
          <w:p w14:paraId="0043D93C"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i/>
                <w:iCs/>
                <w:sz w:val="20"/>
                <w:szCs w:val="20"/>
              </w:rPr>
              <w:t>Decision rules, stewardship circles, protocol governance, rights, obligations, review procedures, public-sector alignment.</w:t>
            </w:r>
          </w:p>
        </w:tc>
      </w:tr>
      <w:tr w:rsidR="004F2E2D" w:rsidRPr="00175E64" w14:paraId="2B389F7C" w14:textId="77777777" w:rsidTr="004F2E2D">
        <w:trPr>
          <w:tblCellSpacing w:w="15" w:type="dxa"/>
        </w:trPr>
        <w:tc>
          <w:tcPr>
            <w:tcW w:w="0" w:type="auto"/>
            <w:vAlign w:val="center"/>
            <w:hideMark/>
          </w:tcPr>
          <w:p w14:paraId="5CB08900"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b/>
                <w:bCs/>
                <w:i/>
                <w:iCs/>
                <w:sz w:val="20"/>
                <w:szCs w:val="20"/>
              </w:rPr>
              <w:t>Legal and compliance</w:t>
            </w:r>
          </w:p>
        </w:tc>
        <w:tc>
          <w:tcPr>
            <w:tcW w:w="0" w:type="auto"/>
            <w:vAlign w:val="center"/>
            <w:hideMark/>
          </w:tcPr>
          <w:p w14:paraId="7B84A847"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i/>
                <w:iCs/>
                <w:sz w:val="20"/>
                <w:szCs w:val="20"/>
              </w:rPr>
              <w:t>Securities, tokens, land access, data protection, medical claims, environmental claims, investor disclosure, jurisdictional review.</w:t>
            </w:r>
          </w:p>
        </w:tc>
      </w:tr>
      <w:tr w:rsidR="004F2E2D" w:rsidRPr="00175E64" w14:paraId="050C7DB9" w14:textId="77777777" w:rsidTr="004F2E2D">
        <w:trPr>
          <w:tblCellSpacing w:w="15" w:type="dxa"/>
        </w:trPr>
        <w:tc>
          <w:tcPr>
            <w:tcW w:w="0" w:type="auto"/>
            <w:vAlign w:val="center"/>
            <w:hideMark/>
          </w:tcPr>
          <w:p w14:paraId="364B1CE8"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b/>
                <w:bCs/>
                <w:i/>
                <w:iCs/>
                <w:sz w:val="20"/>
                <w:szCs w:val="20"/>
              </w:rPr>
              <w:t>Meta-cognitive</w:t>
            </w:r>
          </w:p>
        </w:tc>
        <w:tc>
          <w:tcPr>
            <w:tcW w:w="0" w:type="auto"/>
            <w:vAlign w:val="center"/>
            <w:hideMark/>
          </w:tcPr>
          <w:p w14:paraId="7AA0C758" w14:textId="77777777" w:rsidR="004F2E2D" w:rsidRPr="00175E64" w:rsidRDefault="004F2E2D" w:rsidP="004F2E2D">
            <w:pPr>
              <w:spacing w:line="360" w:lineRule="auto"/>
              <w:rPr>
                <w:rFonts w:ascii="Baskerville Old Face" w:hAnsi="Baskerville Old Face"/>
                <w:i/>
                <w:iCs/>
                <w:sz w:val="20"/>
                <w:szCs w:val="20"/>
              </w:rPr>
            </w:pPr>
            <w:r w:rsidRPr="00175E64">
              <w:rPr>
                <w:rFonts w:ascii="Baskerville Old Face" w:hAnsi="Baskerville Old Face"/>
                <w:i/>
                <w:iCs/>
                <w:sz w:val="20"/>
                <w:szCs w:val="20"/>
              </w:rPr>
              <w:t>Prompts, agents, model behavior, methodology evolution, AI governance, reasoning processes, knowledge systems.</w:t>
            </w:r>
          </w:p>
        </w:tc>
      </w:tr>
    </w:tbl>
    <w:p w14:paraId="1F09D809" w14:textId="77777777" w:rsidR="003F34C2" w:rsidRPr="00B479AE" w:rsidRDefault="003F34C2" w:rsidP="003F34C2">
      <w:pPr>
        <w:spacing w:line="360" w:lineRule="auto"/>
        <w:rPr>
          <w:rFonts w:ascii="Baskerville Old Face" w:hAnsi="Baskerville Old Face"/>
          <w:b/>
          <w:bCs/>
          <w:i/>
          <w:iCs/>
        </w:rPr>
      </w:pPr>
      <w:r w:rsidRPr="00B479AE">
        <w:rPr>
          <w:rFonts w:ascii="Baskerville Old Face" w:hAnsi="Baskerville Old Face"/>
          <w:b/>
          <w:bCs/>
          <w:i/>
          <w:iCs/>
        </w:rPr>
        <w:lastRenderedPageBreak/>
        <w:t>Multi-currency Gateway: Fiat, Banking, and Stablecoin Settlement Rails</w:t>
      </w:r>
    </w:p>
    <w:p w14:paraId="57B195AE" w14:textId="77777777" w:rsidR="003F34C2" w:rsidRPr="00B479AE" w:rsidRDefault="003F34C2" w:rsidP="003F34C2">
      <w:pPr>
        <w:spacing w:line="360" w:lineRule="auto"/>
        <w:rPr>
          <w:rFonts w:ascii="Baskerville Old Face" w:hAnsi="Baskerville Old Face"/>
          <w:i/>
          <w:iCs/>
        </w:rPr>
      </w:pPr>
      <w:r w:rsidRPr="00B479AE">
        <w:rPr>
          <w:rFonts w:ascii="Baskerville Old Face" w:hAnsi="Baskerville Old Face"/>
          <w:i/>
          <w:iCs/>
        </w:rPr>
        <w:t>The Genius Act, signed into law in July 2025, established a federal regulatory framework for payment stablecoins in the United States, including reserve, disclosure, redemption, and compliance requirements for permitted issuers.</w:t>
      </w:r>
    </w:p>
    <w:p w14:paraId="52C807D5" w14:textId="77777777" w:rsidR="003F34C2" w:rsidRPr="00B479AE" w:rsidRDefault="003F34C2" w:rsidP="003F34C2">
      <w:pPr>
        <w:spacing w:line="360" w:lineRule="auto"/>
        <w:rPr>
          <w:rFonts w:ascii="Baskerville Old Face" w:hAnsi="Baskerville Old Face"/>
          <w:i/>
          <w:iCs/>
        </w:rPr>
      </w:pPr>
      <w:r w:rsidRPr="00B479AE">
        <w:rPr>
          <w:rFonts w:ascii="Baskerville Old Face" w:hAnsi="Baskerville Old Face"/>
          <w:i/>
          <w:iCs/>
        </w:rPr>
        <w:t>Within Prometheus, this regulatory development is relevant as part of the broader institutional maturation of stablecoin and digital-asset settlement infrastructure. Similar regulatory trajectories, including MiCA in Europe and other jurisdiction-specific frameworks, may support more disciplined fiat-to-digital settlement pathways over time.</w:t>
      </w:r>
    </w:p>
    <w:p w14:paraId="5EE14521" w14:textId="77777777" w:rsidR="003F34C2" w:rsidRPr="00B479AE" w:rsidRDefault="003F34C2" w:rsidP="003F34C2">
      <w:pPr>
        <w:spacing w:line="360" w:lineRule="auto"/>
        <w:rPr>
          <w:rFonts w:ascii="Baskerville Old Face" w:hAnsi="Baskerville Old Face"/>
          <w:i/>
          <w:iCs/>
        </w:rPr>
      </w:pPr>
      <w:r w:rsidRPr="00B479AE">
        <w:rPr>
          <w:rFonts w:ascii="Baskerville Old Face" w:hAnsi="Baskerville Old Face"/>
          <w:i/>
          <w:iCs/>
        </w:rPr>
        <w:t>Prometheus should not rely on any single stablecoin, issuer, jurisdiction, or rail. Any use of stablecoins, fiat gateways, electronic money institutions, banking partners, or digital settlement instruments must remain subject to issuer-specific due diligence, jurisdictional review, compliance analysis, sanctions controls, AML/KYC procedures, custody review, operational resilience, and legal structuring.</w:t>
      </w:r>
    </w:p>
    <w:p w14:paraId="0325D929" w14:textId="77777777" w:rsidR="003F34C2" w:rsidRPr="00B479AE" w:rsidRDefault="003F34C2" w:rsidP="003F34C2">
      <w:pPr>
        <w:spacing w:line="360" w:lineRule="auto"/>
        <w:rPr>
          <w:rFonts w:ascii="Baskerville Old Face" w:hAnsi="Baskerville Old Face"/>
          <w:i/>
          <w:iCs/>
        </w:rPr>
      </w:pPr>
      <w:r w:rsidRPr="00B479AE">
        <w:rPr>
          <w:rFonts w:ascii="Baskerville Old Face" w:hAnsi="Baskerville Old Face"/>
          <w:i/>
          <w:iCs/>
        </w:rPr>
        <w:t>The Prometheus gateway should be designed as currency-aware rather than currency-dependent.</w:t>
      </w:r>
    </w:p>
    <w:p w14:paraId="5E08A906" w14:textId="77777777" w:rsidR="003F34C2" w:rsidRPr="00B479AE" w:rsidRDefault="003F34C2" w:rsidP="003F34C2">
      <w:pPr>
        <w:spacing w:line="360" w:lineRule="auto"/>
        <w:rPr>
          <w:rFonts w:ascii="Baskerville Old Face" w:hAnsi="Baskerville Old Face"/>
          <w:i/>
          <w:iCs/>
        </w:rPr>
      </w:pPr>
      <w:r w:rsidRPr="00B479AE">
        <w:rPr>
          <w:rFonts w:ascii="Baskerville Old Face" w:hAnsi="Baskerville Old Face"/>
          <w:i/>
          <w:iCs/>
        </w:rPr>
        <w:t>For major global currencies, compliant fiat, electronic-money, banking, or stablecoin rails may be evaluated, including regulated stablecoin infrastructure where legally available and operationally appropriate.</w:t>
      </w:r>
    </w:p>
    <w:p w14:paraId="0D492EB1" w14:textId="77777777" w:rsidR="003F34C2" w:rsidRPr="00B479AE" w:rsidRDefault="003F34C2" w:rsidP="003F34C2">
      <w:pPr>
        <w:spacing w:line="360" w:lineRule="auto"/>
        <w:rPr>
          <w:rFonts w:ascii="Baskerville Old Face" w:hAnsi="Baskerville Old Face"/>
          <w:i/>
          <w:iCs/>
        </w:rPr>
      </w:pPr>
      <w:r w:rsidRPr="00B479AE">
        <w:rPr>
          <w:rFonts w:ascii="Baskerville Old Face" w:hAnsi="Baskerville Old Face"/>
          <w:i/>
          <w:iCs/>
        </w:rPr>
        <w:t>A secondary banking layer may support redundancy through regulated banking partners, electronic-money institutions, payment service providers, or Banking-as-a-Service infrastructure where legally available and operationally appropriate. If stablecoin markets, issuer availability, custody conditions, or jurisdictional constraints create disruption, capital flows should remain capable of moving through traditional regulated channels with transparency, compliance, and operational continuity.</w:t>
      </w:r>
    </w:p>
    <w:p w14:paraId="114022FF" w14:textId="4F7A644A" w:rsidR="003F34C2" w:rsidRPr="00B479AE" w:rsidRDefault="003F34C2" w:rsidP="003F34C2">
      <w:pPr>
        <w:spacing w:line="360" w:lineRule="auto"/>
        <w:rPr>
          <w:rFonts w:ascii="Baskerville Old Face" w:hAnsi="Baskerville Old Face"/>
          <w:i/>
          <w:iCs/>
        </w:rPr>
      </w:pPr>
      <w:r w:rsidRPr="00B479AE">
        <w:rPr>
          <w:rFonts w:ascii="Baskerville Old Face" w:hAnsi="Baskerville Old Face"/>
          <w:i/>
          <w:iCs/>
        </w:rPr>
        <w:t>Multiple currencies and jurisdictions may be supported only where compliance, settlement infrastructure, legal review, and operational controls allow such participation.</w:t>
      </w:r>
      <w:r w:rsidR="007861BA" w:rsidRPr="00B479AE">
        <w:rPr>
          <w:rFonts w:ascii="Baskerville Old Face" w:hAnsi="Baskerville Old Face"/>
          <w:i/>
          <w:iCs/>
        </w:rPr>
        <w:t xml:space="preserve"> </w:t>
      </w:r>
      <w:r w:rsidRPr="00B479AE">
        <w:rPr>
          <w:rFonts w:ascii="Baskerville Old Face" w:hAnsi="Baskerville Old Face"/>
          <w:i/>
          <w:iCs/>
        </w:rPr>
        <w:t>The principle is:</w:t>
      </w:r>
    </w:p>
    <w:p w14:paraId="648B4349" w14:textId="77777777" w:rsidR="003F34C2" w:rsidRPr="00B479AE" w:rsidRDefault="003F34C2" w:rsidP="003F34C2">
      <w:pPr>
        <w:spacing w:line="360" w:lineRule="auto"/>
        <w:rPr>
          <w:rFonts w:ascii="Baskerville Old Face" w:hAnsi="Baskerville Old Face"/>
          <w:i/>
          <w:iCs/>
        </w:rPr>
      </w:pPr>
      <w:r w:rsidRPr="00B479AE">
        <w:rPr>
          <w:rFonts w:ascii="Baskerville Old Face" w:hAnsi="Baskerville Old Face"/>
          <w:i/>
          <w:iCs/>
        </w:rPr>
        <w:t>currency access may broaden participation;</w:t>
      </w:r>
    </w:p>
    <w:p w14:paraId="4DA13FA1" w14:textId="77777777" w:rsidR="003F34C2" w:rsidRPr="00B479AE" w:rsidRDefault="003F34C2" w:rsidP="003F34C2">
      <w:pPr>
        <w:spacing w:line="360" w:lineRule="auto"/>
        <w:rPr>
          <w:rFonts w:ascii="Baskerville Old Face" w:hAnsi="Baskerville Old Face"/>
          <w:i/>
          <w:iCs/>
        </w:rPr>
      </w:pPr>
      <w:r w:rsidRPr="00B479AE">
        <w:rPr>
          <w:rFonts w:ascii="Baskerville Old Face" w:hAnsi="Baskerville Old Face"/>
          <w:i/>
          <w:iCs/>
        </w:rPr>
        <w:t>compliance determines admissibility;</w:t>
      </w:r>
    </w:p>
    <w:p w14:paraId="3E12E3D9" w14:textId="77777777" w:rsidR="003F34C2" w:rsidRPr="00B479AE" w:rsidRDefault="003F34C2" w:rsidP="003F34C2">
      <w:pPr>
        <w:spacing w:line="360" w:lineRule="auto"/>
        <w:rPr>
          <w:rFonts w:ascii="Baskerville Old Face" w:hAnsi="Baskerville Old Face"/>
          <w:i/>
          <w:iCs/>
        </w:rPr>
      </w:pPr>
      <w:r w:rsidRPr="00B479AE">
        <w:rPr>
          <w:rFonts w:ascii="Baskerville Old Face" w:hAnsi="Baskerville Old Face"/>
          <w:i/>
          <w:iCs/>
        </w:rPr>
        <w:t>legal structure determines use;</w:t>
      </w:r>
    </w:p>
    <w:p w14:paraId="75BBC5EF" w14:textId="77777777" w:rsidR="003F34C2" w:rsidRPr="00B479AE" w:rsidRDefault="003F34C2" w:rsidP="003F34C2">
      <w:pPr>
        <w:spacing w:line="360" w:lineRule="auto"/>
        <w:rPr>
          <w:rFonts w:ascii="Baskerville Old Face" w:hAnsi="Baskerville Old Face"/>
          <w:i/>
          <w:iCs/>
        </w:rPr>
      </w:pPr>
      <w:r w:rsidRPr="00B479AE">
        <w:rPr>
          <w:rFonts w:ascii="Baskerville Old Face" w:hAnsi="Baskerville Old Face"/>
          <w:i/>
          <w:iCs/>
        </w:rPr>
        <w:t>settlement rails remain infrastructure, not ontology.</w:t>
      </w:r>
    </w:p>
    <w:p w14:paraId="59D230FC" w14:textId="02504A16" w:rsidR="00551CDD" w:rsidRPr="00B479AE" w:rsidRDefault="00551CDD" w:rsidP="00551CDD">
      <w:pPr>
        <w:spacing w:line="360" w:lineRule="auto"/>
        <w:rPr>
          <w:rFonts w:ascii="Baskerville Old Face" w:hAnsi="Baskerville Old Face"/>
          <w:b/>
          <w:bCs/>
          <w:i/>
          <w:iCs/>
        </w:rPr>
      </w:pPr>
      <w:r w:rsidRPr="00B479AE">
        <w:rPr>
          <w:rFonts w:ascii="Baskerville Old Face" w:hAnsi="Baskerville Old Face"/>
          <w:b/>
          <w:bCs/>
          <w:i/>
          <w:iCs/>
        </w:rPr>
        <w:lastRenderedPageBreak/>
        <w:t xml:space="preserve">The global capital flow: How every currency nourishes the ecosystem </w:t>
      </w:r>
    </w:p>
    <w:p w14:paraId="6FAE1C12" w14:textId="77777777" w:rsidR="00551CDD" w:rsidRPr="00B479AE" w:rsidRDefault="00551CDD" w:rsidP="00551CDD">
      <w:pPr>
        <w:spacing w:line="360" w:lineRule="auto"/>
        <w:rPr>
          <w:rFonts w:ascii="Baskerville Old Face" w:hAnsi="Baskerville Old Face"/>
          <w:i/>
          <w:iCs/>
        </w:rPr>
      </w:pPr>
      <w:r w:rsidRPr="00B479AE">
        <w:rPr>
          <w:rFonts w:ascii="Baskerville Old Face" w:hAnsi="Baskerville Old Face"/>
          <w:i/>
          <w:iCs/>
        </w:rPr>
        <w:t>Here the flow reveals its structure: a circular process in which every movement of capital activates new layers of regeneration.</w:t>
      </w:r>
    </w:p>
    <w:p w14:paraId="1D651518" w14:textId="23F9C428" w:rsidR="00940C40" w:rsidRPr="00B479AE" w:rsidRDefault="00940C40" w:rsidP="00551CDD">
      <w:pPr>
        <w:spacing w:line="360" w:lineRule="auto"/>
        <w:rPr>
          <w:rFonts w:ascii="Baskerville Old Face" w:hAnsi="Baskerville Old Face"/>
          <w:i/>
          <w:iCs/>
        </w:rPr>
      </w:pPr>
      <w:r w:rsidRPr="00B479AE">
        <w:rPr>
          <w:noProof/>
        </w:rPr>
        <w:drawing>
          <wp:inline distT="0" distB="0" distL="0" distR="0" wp14:anchorId="1D113A23" wp14:editId="0FDC9788">
            <wp:extent cx="5734050" cy="3226966"/>
            <wp:effectExtent l="0" t="0" r="0" b="0"/>
            <wp:docPr id="180367376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70127" cy="3247269"/>
                    </a:xfrm>
                    <a:prstGeom prst="rect">
                      <a:avLst/>
                    </a:prstGeom>
                    <a:noFill/>
                    <a:ln>
                      <a:noFill/>
                    </a:ln>
                  </pic:spPr>
                </pic:pic>
              </a:graphicData>
            </a:graphic>
          </wp:inline>
        </w:drawing>
      </w:r>
    </w:p>
    <w:p w14:paraId="4B984151" w14:textId="47060C3B"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b/>
          <w:bCs/>
          <w:i/>
          <w:iCs/>
        </w:rPr>
        <w:t>B. System level identification</w:t>
      </w:r>
    </w:p>
    <w:p w14:paraId="6D8E0E5A" w14:textId="4B335A33"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The kernel then identifies the level or levels affected by the request.</w:t>
      </w:r>
      <w:r w:rsidR="00C9344B" w:rsidRPr="00B479AE">
        <w:rPr>
          <w:rFonts w:ascii="Baskerville Old Face" w:hAnsi="Baskerville Old Face"/>
          <w:i/>
          <w:iCs/>
        </w:rPr>
        <w:t xml:space="preserve"> </w:t>
      </w:r>
      <w:r w:rsidRPr="00B479AE">
        <w:rPr>
          <w:rFonts w:ascii="Baskerville Old Face" w:hAnsi="Baskerville Old Face"/>
          <w:i/>
          <w:iCs/>
        </w:rPr>
        <w:t>Relevant levels may include:</w:t>
      </w:r>
    </w:p>
    <w:p w14:paraId="7DC97C1E" w14:textId="00345D02"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 individual or family level — personal stewardship, household food systems, individual participation, learning, wellbeing;</w:t>
      </w:r>
      <w:r w:rsidRPr="00B479AE">
        <w:rPr>
          <w:rFonts w:ascii="Baskerville Old Face" w:hAnsi="Baskerville Old Face"/>
          <w:i/>
          <w:iCs/>
        </w:rPr>
        <w:br/>
        <w:t>• team or organization level — project teams, companies, field operators, governance groups, technical contributors;</w:t>
      </w:r>
      <w:r w:rsidRPr="00B479AE">
        <w:rPr>
          <w:rFonts w:ascii="Baskerville Old Face" w:hAnsi="Baskerville Old Face"/>
          <w:i/>
          <w:iCs/>
        </w:rPr>
        <w:br/>
        <w:t>• OHE level — the One Human Ecosystem as a bounded regenerative deployment unit;</w:t>
      </w:r>
      <w:r w:rsidRPr="00B479AE">
        <w:rPr>
          <w:rFonts w:ascii="Baskerville Old Face" w:hAnsi="Baskerville Old Face"/>
          <w:i/>
          <w:iCs/>
        </w:rPr>
        <w:br/>
        <w:t>• local community or territorial network — neighborhoods, local clusters, municipalities, community programs, mutual-support structures;</w:t>
      </w:r>
      <w:r w:rsidRPr="00B479AE">
        <w:rPr>
          <w:rFonts w:ascii="Baskerville Old Face" w:hAnsi="Baskerville Old Face"/>
          <w:i/>
          <w:iCs/>
        </w:rPr>
        <w:br/>
        <w:t>• cooperative, enterprise, or multi-actor alliance — operational partnerships, supply chains, producer networks, service providers;</w:t>
      </w:r>
      <w:r w:rsidRPr="00B479AE">
        <w:rPr>
          <w:rFonts w:ascii="Baskerville Old Face" w:hAnsi="Baskerville Old Face"/>
          <w:i/>
          <w:iCs/>
        </w:rPr>
        <w:br/>
        <w:t>• DAO or distributed digital infrastructure — agent-centric systems, governance networks, validators, digital guarantors, protocol participants;</w:t>
      </w:r>
      <w:r w:rsidRPr="00B479AE">
        <w:rPr>
          <w:rFonts w:ascii="Baskerville Old Face" w:hAnsi="Baskerville Old Face"/>
          <w:i/>
          <w:iCs/>
        </w:rPr>
        <w:br/>
        <w:t>• bioregional ecosystem — watersheds, ecological corridors, food systems, climate context, biodiversity networks, cultural territory;</w:t>
      </w:r>
      <w:r w:rsidRPr="00B479AE">
        <w:rPr>
          <w:rFonts w:ascii="Baskerville Old Face" w:hAnsi="Baskerville Old Face"/>
          <w:i/>
          <w:iCs/>
        </w:rPr>
        <w:br/>
      </w:r>
      <w:r w:rsidRPr="00B479AE">
        <w:rPr>
          <w:rFonts w:ascii="Baskerville Old Face" w:hAnsi="Baskerville Old Face"/>
          <w:b/>
          <w:bCs/>
          <w:i/>
          <w:iCs/>
        </w:rPr>
        <w:lastRenderedPageBreak/>
        <w:t xml:space="preserve">• </w:t>
      </w:r>
      <w:r w:rsidRPr="00B479AE">
        <w:rPr>
          <w:rFonts w:ascii="Baskerville Old Face" w:hAnsi="Baskerville Old Face"/>
          <w:i/>
          <w:iCs/>
        </w:rPr>
        <w:t xml:space="preserve">Regenerative Asset Pool level — portfolio aggregation, </w:t>
      </w:r>
      <w:r w:rsidR="005D0524" w:rsidRPr="00B479AE">
        <w:rPr>
          <w:rFonts w:ascii="Baskerville Old Face" w:hAnsi="Baskerville Old Face"/>
          <w:i/>
          <w:iCs/>
        </w:rPr>
        <w:t>PRU maturity classification</w:t>
      </w:r>
      <w:r w:rsidRPr="00B479AE">
        <w:rPr>
          <w:rFonts w:ascii="Baskerville Old Face" w:hAnsi="Baskerville Old Face"/>
          <w:i/>
          <w:iCs/>
        </w:rPr>
        <w:t>, diversification, investor reporting, risk analysis;</w:t>
      </w:r>
      <w:r w:rsidRPr="00B479AE">
        <w:rPr>
          <w:rFonts w:ascii="Baskerville Old Face" w:hAnsi="Baskerville Old Face"/>
          <w:i/>
          <w:iCs/>
        </w:rPr>
        <w:br/>
        <w:t xml:space="preserve">• </w:t>
      </w:r>
      <w:r w:rsidR="00703004" w:rsidRPr="00B479AE">
        <w:rPr>
          <w:rFonts w:ascii="Baskerville Old Face" w:hAnsi="Baskerville Old Face"/>
          <w:i/>
          <w:iCs/>
        </w:rPr>
        <w:t>institutional and capital-market level — funds, SPVs, notes, securities, compliant digital instruments, public-private structures, regulated products;</w:t>
      </w:r>
      <w:r w:rsidRPr="00B479AE">
        <w:rPr>
          <w:rFonts w:ascii="Baskerville Old Face" w:hAnsi="Baskerville Old Face"/>
          <w:i/>
          <w:iCs/>
        </w:rPr>
        <w:br/>
        <w:t>• planetary infrastructure level — planetary boundaries, climate systems, global ecological constraints, intergenerational risk.</w:t>
      </w:r>
    </w:p>
    <w:p w14:paraId="0E8BD2A6" w14:textId="60B4AFE0"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The kernel should identify the prevailing level and any cross-level interactions.</w:t>
      </w:r>
      <w:r w:rsidR="007861BA" w:rsidRPr="00B479AE">
        <w:rPr>
          <w:rFonts w:ascii="Baskerville Old Face" w:hAnsi="Baskerville Old Face"/>
          <w:i/>
          <w:iCs/>
        </w:rPr>
        <w:t xml:space="preserve"> </w:t>
      </w:r>
      <w:r w:rsidRPr="00B479AE">
        <w:rPr>
          <w:rFonts w:ascii="Baskerville Old Face" w:hAnsi="Baskerville Old Face"/>
          <w:i/>
          <w:iCs/>
        </w:rPr>
        <w:t>This prevents local actions from being treated as planetary claims, pilot outputs from being treated as institutional proof, or conceptual models from being treated as operational authorization.</w:t>
      </w:r>
      <w:r w:rsidR="00603555" w:rsidRPr="00B479AE">
        <w:rPr>
          <w:rFonts w:ascii="Baskerville Old Face" w:hAnsi="Baskerville Old Face"/>
          <w:i/>
          <w:iCs/>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51"/>
        <w:gridCol w:w="6577"/>
      </w:tblGrid>
      <w:tr w:rsidR="006F52BD" w:rsidRPr="00B479AE" w14:paraId="01108115" w14:textId="77777777" w:rsidTr="006F52BD">
        <w:trPr>
          <w:tblHeader/>
          <w:tblCellSpacing w:w="15" w:type="dxa"/>
        </w:trPr>
        <w:tc>
          <w:tcPr>
            <w:tcW w:w="0" w:type="auto"/>
            <w:vAlign w:val="center"/>
            <w:hideMark/>
          </w:tcPr>
          <w:p w14:paraId="62F6B8C9" w14:textId="77777777" w:rsidR="006F52BD" w:rsidRPr="00B479AE" w:rsidRDefault="006F52BD" w:rsidP="006F52BD">
            <w:pPr>
              <w:spacing w:line="360" w:lineRule="auto"/>
              <w:rPr>
                <w:rFonts w:ascii="Baskerville Old Face" w:hAnsi="Baskerville Old Face"/>
                <w:b/>
                <w:bCs/>
                <w:i/>
                <w:iCs/>
                <w:sz w:val="19"/>
                <w:szCs w:val="19"/>
              </w:rPr>
            </w:pPr>
            <w:r w:rsidRPr="00B479AE">
              <w:rPr>
                <w:rFonts w:ascii="Baskerville Old Face" w:hAnsi="Baskerville Old Face"/>
                <w:b/>
                <w:bCs/>
                <w:i/>
                <w:iCs/>
                <w:sz w:val="19"/>
                <w:szCs w:val="19"/>
              </w:rPr>
              <w:t>Level</w:t>
            </w:r>
          </w:p>
        </w:tc>
        <w:tc>
          <w:tcPr>
            <w:tcW w:w="0" w:type="auto"/>
            <w:vAlign w:val="center"/>
            <w:hideMark/>
          </w:tcPr>
          <w:p w14:paraId="2E1BF19B" w14:textId="77777777" w:rsidR="006F52BD" w:rsidRPr="00B479AE" w:rsidRDefault="006F52BD" w:rsidP="006F52BD">
            <w:pPr>
              <w:spacing w:line="360" w:lineRule="auto"/>
              <w:rPr>
                <w:rFonts w:ascii="Baskerville Old Face" w:hAnsi="Baskerville Old Face"/>
                <w:b/>
                <w:bCs/>
                <w:i/>
                <w:iCs/>
                <w:sz w:val="19"/>
                <w:szCs w:val="19"/>
              </w:rPr>
            </w:pPr>
            <w:r w:rsidRPr="00B479AE">
              <w:rPr>
                <w:rFonts w:ascii="Baskerville Old Face" w:hAnsi="Baskerville Old Face"/>
                <w:b/>
                <w:bCs/>
                <w:i/>
                <w:iCs/>
                <w:sz w:val="19"/>
                <w:szCs w:val="19"/>
              </w:rPr>
              <w:t>Description</w:t>
            </w:r>
          </w:p>
        </w:tc>
      </w:tr>
      <w:tr w:rsidR="006F52BD" w:rsidRPr="00B479AE" w14:paraId="7022062B" w14:textId="77777777" w:rsidTr="006F52BD">
        <w:trPr>
          <w:tblCellSpacing w:w="15" w:type="dxa"/>
        </w:trPr>
        <w:tc>
          <w:tcPr>
            <w:tcW w:w="0" w:type="auto"/>
            <w:vAlign w:val="center"/>
            <w:hideMark/>
          </w:tcPr>
          <w:p w14:paraId="7134B7D3" w14:textId="77777777" w:rsidR="006F52BD" w:rsidRPr="00B479AE" w:rsidRDefault="006F52BD" w:rsidP="006F52BD">
            <w:pPr>
              <w:spacing w:line="360" w:lineRule="auto"/>
              <w:rPr>
                <w:rFonts w:ascii="Baskerville Old Face" w:hAnsi="Baskerville Old Face"/>
                <w:i/>
                <w:iCs/>
                <w:sz w:val="19"/>
                <w:szCs w:val="19"/>
              </w:rPr>
            </w:pPr>
            <w:r w:rsidRPr="00B479AE">
              <w:rPr>
                <w:rFonts w:ascii="Baskerville Old Face" w:hAnsi="Baskerville Old Face"/>
                <w:b/>
                <w:bCs/>
                <w:i/>
                <w:iCs/>
                <w:sz w:val="19"/>
                <w:szCs w:val="19"/>
              </w:rPr>
              <w:t>Individual or family</w:t>
            </w:r>
          </w:p>
        </w:tc>
        <w:tc>
          <w:tcPr>
            <w:tcW w:w="0" w:type="auto"/>
            <w:vAlign w:val="center"/>
            <w:hideMark/>
          </w:tcPr>
          <w:p w14:paraId="0E7D1883" w14:textId="77777777" w:rsidR="006F52BD" w:rsidRPr="00B479AE" w:rsidRDefault="006F52BD" w:rsidP="006F52BD">
            <w:pPr>
              <w:spacing w:line="360" w:lineRule="auto"/>
              <w:rPr>
                <w:rFonts w:ascii="Baskerville Old Face" w:hAnsi="Baskerville Old Face"/>
                <w:i/>
                <w:iCs/>
                <w:sz w:val="19"/>
                <w:szCs w:val="19"/>
              </w:rPr>
            </w:pPr>
            <w:r w:rsidRPr="00B479AE">
              <w:rPr>
                <w:rFonts w:ascii="Baskerville Old Face" w:hAnsi="Baskerville Old Face"/>
                <w:i/>
                <w:iCs/>
                <w:sz w:val="19"/>
                <w:szCs w:val="19"/>
              </w:rPr>
              <w:t>Personal stewardship, household food systems, individual participation, learning, wellbeing.</w:t>
            </w:r>
          </w:p>
        </w:tc>
      </w:tr>
      <w:tr w:rsidR="006F52BD" w:rsidRPr="00B479AE" w14:paraId="02A8B206" w14:textId="77777777" w:rsidTr="006F52BD">
        <w:trPr>
          <w:tblCellSpacing w:w="15" w:type="dxa"/>
        </w:trPr>
        <w:tc>
          <w:tcPr>
            <w:tcW w:w="0" w:type="auto"/>
            <w:vAlign w:val="center"/>
            <w:hideMark/>
          </w:tcPr>
          <w:p w14:paraId="6453A2BE" w14:textId="77777777" w:rsidR="006F52BD" w:rsidRPr="00B479AE" w:rsidRDefault="006F52BD" w:rsidP="006F52BD">
            <w:pPr>
              <w:spacing w:line="360" w:lineRule="auto"/>
              <w:rPr>
                <w:rFonts w:ascii="Baskerville Old Face" w:hAnsi="Baskerville Old Face"/>
                <w:i/>
                <w:iCs/>
                <w:sz w:val="19"/>
                <w:szCs w:val="19"/>
              </w:rPr>
            </w:pPr>
            <w:r w:rsidRPr="00B479AE">
              <w:rPr>
                <w:rFonts w:ascii="Baskerville Old Face" w:hAnsi="Baskerville Old Face"/>
                <w:b/>
                <w:bCs/>
                <w:i/>
                <w:iCs/>
                <w:sz w:val="19"/>
                <w:szCs w:val="19"/>
              </w:rPr>
              <w:t>Team or organization</w:t>
            </w:r>
          </w:p>
        </w:tc>
        <w:tc>
          <w:tcPr>
            <w:tcW w:w="0" w:type="auto"/>
            <w:vAlign w:val="center"/>
            <w:hideMark/>
          </w:tcPr>
          <w:p w14:paraId="77974E6D" w14:textId="77777777" w:rsidR="006F52BD" w:rsidRPr="00B479AE" w:rsidRDefault="006F52BD" w:rsidP="006F52BD">
            <w:pPr>
              <w:spacing w:line="360" w:lineRule="auto"/>
              <w:rPr>
                <w:rFonts w:ascii="Baskerville Old Face" w:hAnsi="Baskerville Old Face"/>
                <w:i/>
                <w:iCs/>
                <w:sz w:val="19"/>
                <w:szCs w:val="19"/>
              </w:rPr>
            </w:pPr>
            <w:r w:rsidRPr="00B479AE">
              <w:rPr>
                <w:rFonts w:ascii="Baskerville Old Face" w:hAnsi="Baskerville Old Face"/>
                <w:i/>
                <w:iCs/>
                <w:sz w:val="19"/>
                <w:szCs w:val="19"/>
              </w:rPr>
              <w:t>Project teams, companies, field operators, governance groups, technical contributors.</w:t>
            </w:r>
          </w:p>
        </w:tc>
      </w:tr>
      <w:tr w:rsidR="006F52BD" w:rsidRPr="00B479AE" w14:paraId="4DF2AA38" w14:textId="77777777" w:rsidTr="006F52BD">
        <w:trPr>
          <w:tblCellSpacing w:w="15" w:type="dxa"/>
        </w:trPr>
        <w:tc>
          <w:tcPr>
            <w:tcW w:w="0" w:type="auto"/>
            <w:vAlign w:val="center"/>
            <w:hideMark/>
          </w:tcPr>
          <w:p w14:paraId="1CC23E90" w14:textId="77777777" w:rsidR="006F52BD" w:rsidRPr="00B479AE" w:rsidRDefault="006F52BD" w:rsidP="006F52BD">
            <w:pPr>
              <w:spacing w:line="360" w:lineRule="auto"/>
              <w:rPr>
                <w:rFonts w:ascii="Baskerville Old Face" w:hAnsi="Baskerville Old Face"/>
                <w:i/>
                <w:iCs/>
                <w:sz w:val="19"/>
                <w:szCs w:val="19"/>
              </w:rPr>
            </w:pPr>
            <w:r w:rsidRPr="00B479AE">
              <w:rPr>
                <w:rFonts w:ascii="Baskerville Old Face" w:hAnsi="Baskerville Old Face"/>
                <w:b/>
                <w:bCs/>
                <w:i/>
                <w:iCs/>
                <w:sz w:val="19"/>
                <w:szCs w:val="19"/>
              </w:rPr>
              <w:t>OHE</w:t>
            </w:r>
          </w:p>
        </w:tc>
        <w:tc>
          <w:tcPr>
            <w:tcW w:w="0" w:type="auto"/>
            <w:vAlign w:val="center"/>
            <w:hideMark/>
          </w:tcPr>
          <w:p w14:paraId="62E6DE7F" w14:textId="77777777" w:rsidR="006F52BD" w:rsidRPr="00B479AE" w:rsidRDefault="006F52BD" w:rsidP="006F52BD">
            <w:pPr>
              <w:spacing w:line="360" w:lineRule="auto"/>
              <w:rPr>
                <w:rFonts w:ascii="Baskerville Old Face" w:hAnsi="Baskerville Old Face"/>
                <w:i/>
                <w:iCs/>
                <w:sz w:val="19"/>
                <w:szCs w:val="19"/>
              </w:rPr>
            </w:pPr>
            <w:r w:rsidRPr="00B479AE">
              <w:rPr>
                <w:rFonts w:ascii="Baskerville Old Face" w:hAnsi="Baskerville Old Face"/>
                <w:i/>
                <w:iCs/>
                <w:sz w:val="19"/>
                <w:szCs w:val="19"/>
              </w:rPr>
              <w:t>One Human Ecosystem as a bounded regenerative deployment unit.</w:t>
            </w:r>
          </w:p>
        </w:tc>
      </w:tr>
      <w:tr w:rsidR="006F52BD" w:rsidRPr="00B479AE" w14:paraId="046E604D" w14:textId="77777777" w:rsidTr="006F52BD">
        <w:trPr>
          <w:tblCellSpacing w:w="15" w:type="dxa"/>
        </w:trPr>
        <w:tc>
          <w:tcPr>
            <w:tcW w:w="0" w:type="auto"/>
            <w:vAlign w:val="center"/>
            <w:hideMark/>
          </w:tcPr>
          <w:p w14:paraId="7178F863" w14:textId="77777777" w:rsidR="006F52BD" w:rsidRPr="00B479AE" w:rsidRDefault="006F52BD" w:rsidP="006F52BD">
            <w:pPr>
              <w:spacing w:line="360" w:lineRule="auto"/>
              <w:rPr>
                <w:rFonts w:ascii="Baskerville Old Face" w:hAnsi="Baskerville Old Face"/>
                <w:i/>
                <w:iCs/>
                <w:sz w:val="19"/>
                <w:szCs w:val="19"/>
              </w:rPr>
            </w:pPr>
            <w:r w:rsidRPr="00B479AE">
              <w:rPr>
                <w:rFonts w:ascii="Baskerville Old Face" w:hAnsi="Baskerville Old Face"/>
                <w:b/>
                <w:bCs/>
                <w:i/>
                <w:iCs/>
                <w:sz w:val="19"/>
                <w:szCs w:val="19"/>
              </w:rPr>
              <w:t>Local community or territorial network</w:t>
            </w:r>
          </w:p>
        </w:tc>
        <w:tc>
          <w:tcPr>
            <w:tcW w:w="0" w:type="auto"/>
            <w:vAlign w:val="center"/>
            <w:hideMark/>
          </w:tcPr>
          <w:p w14:paraId="48DDEA32" w14:textId="77777777" w:rsidR="006F52BD" w:rsidRPr="00B479AE" w:rsidRDefault="006F52BD" w:rsidP="006F52BD">
            <w:pPr>
              <w:spacing w:line="360" w:lineRule="auto"/>
              <w:rPr>
                <w:rFonts w:ascii="Baskerville Old Face" w:hAnsi="Baskerville Old Face"/>
                <w:i/>
                <w:iCs/>
                <w:sz w:val="19"/>
                <w:szCs w:val="19"/>
              </w:rPr>
            </w:pPr>
            <w:r w:rsidRPr="00B479AE">
              <w:rPr>
                <w:rFonts w:ascii="Baskerville Old Face" w:hAnsi="Baskerville Old Face"/>
                <w:i/>
                <w:iCs/>
                <w:sz w:val="19"/>
                <w:szCs w:val="19"/>
              </w:rPr>
              <w:t>Neighborhoods, local clusters, municipalities, community programs, mutual-support structures.</w:t>
            </w:r>
          </w:p>
        </w:tc>
      </w:tr>
      <w:tr w:rsidR="006F52BD" w:rsidRPr="00B479AE" w14:paraId="728316A6" w14:textId="77777777" w:rsidTr="006F52BD">
        <w:trPr>
          <w:tblCellSpacing w:w="15" w:type="dxa"/>
        </w:trPr>
        <w:tc>
          <w:tcPr>
            <w:tcW w:w="0" w:type="auto"/>
            <w:vAlign w:val="center"/>
            <w:hideMark/>
          </w:tcPr>
          <w:p w14:paraId="19711F2D" w14:textId="77777777" w:rsidR="006F52BD" w:rsidRPr="00B479AE" w:rsidRDefault="006F52BD" w:rsidP="006F52BD">
            <w:pPr>
              <w:spacing w:line="360" w:lineRule="auto"/>
              <w:rPr>
                <w:rFonts w:ascii="Baskerville Old Face" w:hAnsi="Baskerville Old Face"/>
                <w:i/>
                <w:iCs/>
                <w:sz w:val="19"/>
                <w:szCs w:val="19"/>
              </w:rPr>
            </w:pPr>
            <w:r w:rsidRPr="00B479AE">
              <w:rPr>
                <w:rFonts w:ascii="Baskerville Old Face" w:hAnsi="Baskerville Old Face"/>
                <w:b/>
                <w:bCs/>
                <w:i/>
                <w:iCs/>
                <w:sz w:val="19"/>
                <w:szCs w:val="19"/>
              </w:rPr>
              <w:t>Cooperative, enterprise, or multi-actor alliance</w:t>
            </w:r>
          </w:p>
        </w:tc>
        <w:tc>
          <w:tcPr>
            <w:tcW w:w="0" w:type="auto"/>
            <w:vAlign w:val="center"/>
            <w:hideMark/>
          </w:tcPr>
          <w:p w14:paraId="23C5B37A" w14:textId="77777777" w:rsidR="006F52BD" w:rsidRPr="00B479AE" w:rsidRDefault="006F52BD" w:rsidP="006F52BD">
            <w:pPr>
              <w:spacing w:line="360" w:lineRule="auto"/>
              <w:rPr>
                <w:rFonts w:ascii="Baskerville Old Face" w:hAnsi="Baskerville Old Face"/>
                <w:i/>
                <w:iCs/>
                <w:sz w:val="19"/>
                <w:szCs w:val="19"/>
              </w:rPr>
            </w:pPr>
            <w:r w:rsidRPr="00B479AE">
              <w:rPr>
                <w:rFonts w:ascii="Baskerville Old Face" w:hAnsi="Baskerville Old Face"/>
                <w:i/>
                <w:iCs/>
                <w:sz w:val="19"/>
                <w:szCs w:val="19"/>
              </w:rPr>
              <w:t>Operational partnerships, supply chains, producer networks, service providers.</w:t>
            </w:r>
          </w:p>
        </w:tc>
      </w:tr>
      <w:tr w:rsidR="006F52BD" w:rsidRPr="00B479AE" w14:paraId="35118F30" w14:textId="77777777" w:rsidTr="006F52BD">
        <w:trPr>
          <w:tblCellSpacing w:w="15" w:type="dxa"/>
        </w:trPr>
        <w:tc>
          <w:tcPr>
            <w:tcW w:w="0" w:type="auto"/>
            <w:vAlign w:val="center"/>
            <w:hideMark/>
          </w:tcPr>
          <w:p w14:paraId="2A08DB83" w14:textId="77777777" w:rsidR="006F52BD" w:rsidRPr="00B479AE" w:rsidRDefault="006F52BD" w:rsidP="006F52BD">
            <w:pPr>
              <w:spacing w:line="360" w:lineRule="auto"/>
              <w:rPr>
                <w:rFonts w:ascii="Baskerville Old Face" w:hAnsi="Baskerville Old Face"/>
                <w:i/>
                <w:iCs/>
                <w:sz w:val="19"/>
                <w:szCs w:val="19"/>
              </w:rPr>
            </w:pPr>
            <w:r w:rsidRPr="00B479AE">
              <w:rPr>
                <w:rFonts w:ascii="Baskerville Old Face" w:hAnsi="Baskerville Old Face"/>
                <w:b/>
                <w:bCs/>
                <w:i/>
                <w:iCs/>
                <w:sz w:val="19"/>
                <w:szCs w:val="19"/>
              </w:rPr>
              <w:t>DAO or distributed digital infrastructure</w:t>
            </w:r>
          </w:p>
        </w:tc>
        <w:tc>
          <w:tcPr>
            <w:tcW w:w="0" w:type="auto"/>
            <w:vAlign w:val="center"/>
            <w:hideMark/>
          </w:tcPr>
          <w:p w14:paraId="30D9F826" w14:textId="77777777" w:rsidR="006F52BD" w:rsidRPr="00B479AE" w:rsidRDefault="006F52BD" w:rsidP="006F52BD">
            <w:pPr>
              <w:spacing w:line="360" w:lineRule="auto"/>
              <w:rPr>
                <w:rFonts w:ascii="Baskerville Old Face" w:hAnsi="Baskerville Old Face"/>
                <w:i/>
                <w:iCs/>
                <w:sz w:val="19"/>
                <w:szCs w:val="19"/>
              </w:rPr>
            </w:pPr>
            <w:r w:rsidRPr="00B479AE">
              <w:rPr>
                <w:rFonts w:ascii="Baskerville Old Face" w:hAnsi="Baskerville Old Face"/>
                <w:i/>
                <w:iCs/>
                <w:sz w:val="19"/>
                <w:szCs w:val="19"/>
              </w:rPr>
              <w:t>Agent-centric systems, governance networks, validators, digital guarantors, protocol participants.</w:t>
            </w:r>
          </w:p>
        </w:tc>
      </w:tr>
      <w:tr w:rsidR="006F52BD" w:rsidRPr="00B479AE" w14:paraId="3FFBCE78" w14:textId="77777777" w:rsidTr="006F52BD">
        <w:trPr>
          <w:tblCellSpacing w:w="15" w:type="dxa"/>
        </w:trPr>
        <w:tc>
          <w:tcPr>
            <w:tcW w:w="0" w:type="auto"/>
            <w:vAlign w:val="center"/>
            <w:hideMark/>
          </w:tcPr>
          <w:p w14:paraId="7DAF05EA" w14:textId="77777777" w:rsidR="006F52BD" w:rsidRPr="00B479AE" w:rsidRDefault="006F52BD" w:rsidP="006F52BD">
            <w:pPr>
              <w:spacing w:line="360" w:lineRule="auto"/>
              <w:rPr>
                <w:rFonts w:ascii="Baskerville Old Face" w:hAnsi="Baskerville Old Face"/>
                <w:i/>
                <w:iCs/>
                <w:sz w:val="19"/>
                <w:szCs w:val="19"/>
              </w:rPr>
            </w:pPr>
            <w:r w:rsidRPr="00B479AE">
              <w:rPr>
                <w:rFonts w:ascii="Baskerville Old Face" w:hAnsi="Baskerville Old Face"/>
                <w:b/>
                <w:bCs/>
                <w:i/>
                <w:iCs/>
                <w:sz w:val="19"/>
                <w:szCs w:val="19"/>
              </w:rPr>
              <w:t>Bioregional ecosystem</w:t>
            </w:r>
          </w:p>
        </w:tc>
        <w:tc>
          <w:tcPr>
            <w:tcW w:w="0" w:type="auto"/>
            <w:vAlign w:val="center"/>
            <w:hideMark/>
          </w:tcPr>
          <w:p w14:paraId="3E82EE46" w14:textId="77777777" w:rsidR="006F52BD" w:rsidRPr="00B479AE" w:rsidRDefault="006F52BD" w:rsidP="006F52BD">
            <w:pPr>
              <w:spacing w:line="360" w:lineRule="auto"/>
              <w:rPr>
                <w:rFonts w:ascii="Baskerville Old Face" w:hAnsi="Baskerville Old Face"/>
                <w:i/>
                <w:iCs/>
                <w:sz w:val="19"/>
                <w:szCs w:val="19"/>
              </w:rPr>
            </w:pPr>
            <w:r w:rsidRPr="00B479AE">
              <w:rPr>
                <w:rFonts w:ascii="Baskerville Old Face" w:hAnsi="Baskerville Old Face"/>
                <w:i/>
                <w:iCs/>
                <w:sz w:val="19"/>
                <w:szCs w:val="19"/>
              </w:rPr>
              <w:t>Watersheds, ecological corridors, food systems, climate context, biodiversity networks, cultural territory.</w:t>
            </w:r>
          </w:p>
        </w:tc>
      </w:tr>
      <w:tr w:rsidR="006F52BD" w:rsidRPr="00B479AE" w14:paraId="6F1A2931" w14:textId="77777777" w:rsidTr="006F52BD">
        <w:trPr>
          <w:tblCellSpacing w:w="15" w:type="dxa"/>
        </w:trPr>
        <w:tc>
          <w:tcPr>
            <w:tcW w:w="0" w:type="auto"/>
            <w:vAlign w:val="center"/>
            <w:hideMark/>
          </w:tcPr>
          <w:p w14:paraId="3A2C9FAB" w14:textId="77777777" w:rsidR="006F52BD" w:rsidRPr="00B479AE" w:rsidRDefault="006F52BD" w:rsidP="006F52BD">
            <w:pPr>
              <w:spacing w:line="360" w:lineRule="auto"/>
              <w:rPr>
                <w:rFonts w:ascii="Baskerville Old Face" w:hAnsi="Baskerville Old Face"/>
                <w:i/>
                <w:iCs/>
                <w:sz w:val="19"/>
                <w:szCs w:val="19"/>
              </w:rPr>
            </w:pPr>
            <w:r w:rsidRPr="00B479AE">
              <w:rPr>
                <w:rFonts w:ascii="Baskerville Old Face" w:hAnsi="Baskerville Old Face"/>
                <w:b/>
                <w:bCs/>
                <w:i/>
                <w:iCs/>
                <w:sz w:val="19"/>
                <w:szCs w:val="19"/>
              </w:rPr>
              <w:t>Regenerative Asset Pool</w:t>
            </w:r>
          </w:p>
        </w:tc>
        <w:tc>
          <w:tcPr>
            <w:tcW w:w="0" w:type="auto"/>
            <w:vAlign w:val="center"/>
            <w:hideMark/>
          </w:tcPr>
          <w:p w14:paraId="5CF6474C" w14:textId="724BE02B" w:rsidR="006F52BD" w:rsidRPr="00B479AE" w:rsidRDefault="006F52BD" w:rsidP="006F52BD">
            <w:pPr>
              <w:spacing w:line="360" w:lineRule="auto"/>
              <w:rPr>
                <w:rFonts w:ascii="Baskerville Old Face" w:hAnsi="Baskerville Old Face"/>
                <w:i/>
                <w:iCs/>
                <w:sz w:val="19"/>
                <w:szCs w:val="19"/>
              </w:rPr>
            </w:pPr>
            <w:r w:rsidRPr="00B479AE">
              <w:rPr>
                <w:rFonts w:ascii="Baskerville Old Face" w:hAnsi="Baskerville Old Face"/>
                <w:i/>
                <w:iCs/>
                <w:sz w:val="19"/>
                <w:szCs w:val="19"/>
              </w:rPr>
              <w:t xml:space="preserve">Portfolio aggregation, </w:t>
            </w:r>
            <w:r w:rsidR="00294A31" w:rsidRPr="00B479AE">
              <w:rPr>
                <w:rFonts w:ascii="Baskerville Old Face" w:hAnsi="Baskerville Old Face"/>
                <w:i/>
                <w:iCs/>
                <w:sz w:val="19"/>
                <w:szCs w:val="19"/>
              </w:rPr>
              <w:t>PRU maturity classification</w:t>
            </w:r>
            <w:r w:rsidRPr="00B479AE">
              <w:rPr>
                <w:rFonts w:ascii="Baskerville Old Face" w:hAnsi="Baskerville Old Face"/>
                <w:i/>
                <w:iCs/>
                <w:sz w:val="19"/>
                <w:szCs w:val="19"/>
              </w:rPr>
              <w:t>, diversification, investor reporting, risk analysis.</w:t>
            </w:r>
          </w:p>
        </w:tc>
      </w:tr>
      <w:tr w:rsidR="006F52BD" w:rsidRPr="00B479AE" w14:paraId="545A0653" w14:textId="77777777" w:rsidTr="006F52BD">
        <w:trPr>
          <w:tblCellSpacing w:w="15" w:type="dxa"/>
        </w:trPr>
        <w:tc>
          <w:tcPr>
            <w:tcW w:w="0" w:type="auto"/>
            <w:vAlign w:val="center"/>
            <w:hideMark/>
          </w:tcPr>
          <w:p w14:paraId="59AB1CEF" w14:textId="77777777" w:rsidR="006F52BD" w:rsidRPr="00B479AE" w:rsidRDefault="006F52BD" w:rsidP="006F52BD">
            <w:pPr>
              <w:spacing w:line="360" w:lineRule="auto"/>
              <w:rPr>
                <w:rFonts w:ascii="Baskerville Old Face" w:hAnsi="Baskerville Old Face"/>
                <w:i/>
                <w:iCs/>
                <w:sz w:val="19"/>
                <w:szCs w:val="19"/>
              </w:rPr>
            </w:pPr>
            <w:r w:rsidRPr="00B479AE">
              <w:rPr>
                <w:rFonts w:ascii="Baskerville Old Face" w:hAnsi="Baskerville Old Face"/>
                <w:b/>
                <w:bCs/>
                <w:i/>
                <w:iCs/>
                <w:sz w:val="19"/>
                <w:szCs w:val="19"/>
              </w:rPr>
              <w:t>Institutional and capital-market level</w:t>
            </w:r>
          </w:p>
        </w:tc>
        <w:tc>
          <w:tcPr>
            <w:tcW w:w="0" w:type="auto"/>
            <w:vAlign w:val="center"/>
            <w:hideMark/>
          </w:tcPr>
          <w:p w14:paraId="1481D877" w14:textId="54C0830F" w:rsidR="008102A4" w:rsidRPr="00B479AE" w:rsidRDefault="008102A4" w:rsidP="006F52BD">
            <w:pPr>
              <w:spacing w:line="360" w:lineRule="auto"/>
              <w:rPr>
                <w:rFonts w:ascii="Baskerville Old Face" w:hAnsi="Baskerville Old Face"/>
                <w:i/>
                <w:iCs/>
                <w:sz w:val="19"/>
                <w:szCs w:val="19"/>
              </w:rPr>
            </w:pPr>
            <w:r w:rsidRPr="00B479AE">
              <w:rPr>
                <w:rFonts w:ascii="Baskerville Old Face" w:hAnsi="Baskerville Old Face"/>
                <w:i/>
                <w:iCs/>
                <w:sz w:val="19"/>
                <w:szCs w:val="19"/>
              </w:rPr>
              <w:t>Funds, SPVs, notes, securities, compliant digital instruments, public-private structures, regulated products.</w:t>
            </w:r>
          </w:p>
        </w:tc>
      </w:tr>
      <w:tr w:rsidR="006F52BD" w:rsidRPr="00B479AE" w14:paraId="55072658" w14:textId="77777777" w:rsidTr="006F52BD">
        <w:trPr>
          <w:tblCellSpacing w:w="15" w:type="dxa"/>
        </w:trPr>
        <w:tc>
          <w:tcPr>
            <w:tcW w:w="0" w:type="auto"/>
            <w:vAlign w:val="center"/>
            <w:hideMark/>
          </w:tcPr>
          <w:p w14:paraId="1CB187BB" w14:textId="77777777" w:rsidR="006F52BD" w:rsidRPr="00B479AE" w:rsidRDefault="006F52BD" w:rsidP="006F52BD">
            <w:pPr>
              <w:spacing w:line="360" w:lineRule="auto"/>
              <w:rPr>
                <w:rFonts w:ascii="Baskerville Old Face" w:hAnsi="Baskerville Old Face"/>
                <w:i/>
                <w:iCs/>
                <w:sz w:val="19"/>
                <w:szCs w:val="19"/>
              </w:rPr>
            </w:pPr>
            <w:r w:rsidRPr="00B479AE">
              <w:rPr>
                <w:rFonts w:ascii="Baskerville Old Face" w:hAnsi="Baskerville Old Face"/>
                <w:b/>
                <w:bCs/>
                <w:i/>
                <w:iCs/>
                <w:sz w:val="19"/>
                <w:szCs w:val="19"/>
              </w:rPr>
              <w:t>Planetary infrastructure</w:t>
            </w:r>
          </w:p>
        </w:tc>
        <w:tc>
          <w:tcPr>
            <w:tcW w:w="0" w:type="auto"/>
            <w:vAlign w:val="center"/>
            <w:hideMark/>
          </w:tcPr>
          <w:p w14:paraId="61B0C1C9" w14:textId="77777777" w:rsidR="006F52BD" w:rsidRPr="00B479AE" w:rsidRDefault="006F52BD" w:rsidP="006F52BD">
            <w:pPr>
              <w:spacing w:line="360" w:lineRule="auto"/>
              <w:rPr>
                <w:rFonts w:ascii="Baskerville Old Face" w:hAnsi="Baskerville Old Face"/>
                <w:i/>
                <w:iCs/>
                <w:sz w:val="19"/>
                <w:szCs w:val="19"/>
              </w:rPr>
            </w:pPr>
            <w:r w:rsidRPr="00B479AE">
              <w:rPr>
                <w:rFonts w:ascii="Baskerville Old Face" w:hAnsi="Baskerville Old Face"/>
                <w:i/>
                <w:iCs/>
                <w:sz w:val="19"/>
                <w:szCs w:val="19"/>
              </w:rPr>
              <w:t>Planetary boundaries, climate systems, global ecological constraints, intergenerational risk.</w:t>
            </w:r>
          </w:p>
        </w:tc>
      </w:tr>
    </w:tbl>
    <w:p w14:paraId="251CD637" w14:textId="57AF158D"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b/>
          <w:bCs/>
          <w:i/>
          <w:iCs/>
        </w:rPr>
        <w:lastRenderedPageBreak/>
        <w:t>C. Evidence and admissibility check</w:t>
      </w:r>
    </w:p>
    <w:p w14:paraId="5E52C063"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The kernel then evaluates the evidence base.</w:t>
      </w:r>
    </w:p>
    <w:p w14:paraId="27AB8FF3"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It should distinguish among:</w:t>
      </w:r>
    </w:p>
    <w:p w14:paraId="7BBE2C06"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 claim;</w:t>
      </w:r>
      <w:r w:rsidRPr="00B479AE">
        <w:rPr>
          <w:rFonts w:ascii="Baskerville Old Face" w:hAnsi="Baskerville Old Face"/>
          <w:i/>
          <w:iCs/>
        </w:rPr>
        <w:br/>
        <w:t>• assumption;</w:t>
      </w:r>
      <w:r w:rsidRPr="00B479AE">
        <w:rPr>
          <w:rFonts w:ascii="Baskerville Old Face" w:hAnsi="Baskerville Old Face"/>
          <w:i/>
          <w:iCs/>
        </w:rPr>
        <w:br/>
        <w:t>• observation;</w:t>
      </w:r>
      <w:r w:rsidRPr="00B479AE">
        <w:rPr>
          <w:rFonts w:ascii="Baskerville Old Face" w:hAnsi="Baskerville Old Face"/>
          <w:i/>
          <w:iCs/>
        </w:rPr>
        <w:br/>
        <w:t>• evidence bundle;</w:t>
      </w:r>
      <w:r w:rsidRPr="00B479AE">
        <w:rPr>
          <w:rFonts w:ascii="Baskerville Old Face" w:hAnsi="Baskerville Old Face"/>
          <w:i/>
          <w:iCs/>
        </w:rPr>
        <w:br/>
        <w:t>• verified indicator;</w:t>
      </w:r>
      <w:r w:rsidRPr="00B479AE">
        <w:rPr>
          <w:rFonts w:ascii="Baskerville Old Face" w:hAnsi="Baskerville Old Face"/>
          <w:i/>
          <w:iCs/>
        </w:rPr>
        <w:br/>
        <w:t>• confidence-scored signal;</w:t>
      </w:r>
      <w:r w:rsidRPr="00B479AE">
        <w:rPr>
          <w:rFonts w:ascii="Baskerville Old Face" w:hAnsi="Baskerville Old Face"/>
          <w:i/>
          <w:iCs/>
        </w:rPr>
        <w:br/>
        <w:t>• admissible value;</w:t>
      </w:r>
      <w:r w:rsidRPr="00B479AE">
        <w:rPr>
          <w:rFonts w:ascii="Baskerville Old Face" w:hAnsi="Baskerville Old Face"/>
          <w:i/>
          <w:iCs/>
        </w:rPr>
        <w:br/>
        <w:t>• investor-facing representation;</w:t>
      </w:r>
      <w:r w:rsidRPr="00B479AE">
        <w:rPr>
          <w:rFonts w:ascii="Baskerville Old Face" w:hAnsi="Baskerville Old Face"/>
          <w:i/>
          <w:iCs/>
        </w:rPr>
        <w:br/>
        <w:t>• legally enforceable right.</w:t>
      </w:r>
    </w:p>
    <w:p w14:paraId="49ABDEB6"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This check is critical because Prometheus is verification-first.</w:t>
      </w:r>
    </w:p>
    <w:p w14:paraId="618BC1C2"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A claim may guide inquiry.</w:t>
      </w:r>
    </w:p>
    <w:p w14:paraId="499520EB"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An assumption may support a scenario.</w:t>
      </w:r>
    </w:p>
    <w:p w14:paraId="791CB15B"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An observation may support analysis.</w:t>
      </w:r>
    </w:p>
    <w:p w14:paraId="5CCCF607"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A verified indicator may support reporting.</w:t>
      </w:r>
    </w:p>
    <w:p w14:paraId="3E07620E" w14:textId="3EE3C160"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 xml:space="preserve">Only admissible value may support </w:t>
      </w:r>
      <w:r w:rsidR="00BE5BB7" w:rsidRPr="00B479AE">
        <w:rPr>
          <w:rFonts w:ascii="Baskerville Old Face" w:hAnsi="Baskerville Old Face"/>
          <w:i/>
          <w:iCs/>
        </w:rPr>
        <w:t>PRU value analysis</w:t>
      </w:r>
      <w:r w:rsidRPr="00B479AE">
        <w:rPr>
          <w:rFonts w:ascii="Baskerville Old Face" w:hAnsi="Baskerville Old Face"/>
          <w:i/>
          <w:iCs/>
        </w:rPr>
        <w:t xml:space="preserve">, </w:t>
      </w:r>
      <w:r w:rsidR="00E71F80" w:rsidRPr="00B479AE">
        <w:rPr>
          <w:rFonts w:ascii="Baskerville Old Face" w:hAnsi="Baskerville Old Face"/>
          <w:i/>
          <w:iCs/>
        </w:rPr>
        <w:t>PRU maturity classification</w:t>
      </w:r>
      <w:r w:rsidRPr="00B479AE">
        <w:rPr>
          <w:rFonts w:ascii="Baskerville Old Face" w:hAnsi="Baskerville Old Face"/>
          <w:i/>
          <w:iCs/>
        </w:rPr>
        <w:t>, RAP inclusion, investor-facing claims, or compliant financial representation.</w:t>
      </w:r>
    </w:p>
    <w:p w14:paraId="3C498210"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The kernel must therefore ask:</w:t>
      </w:r>
    </w:p>
    <w:p w14:paraId="6B0F6485"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 What evidence exists?</w:t>
      </w:r>
      <w:r w:rsidRPr="00B479AE">
        <w:rPr>
          <w:rFonts w:ascii="Baskerville Old Face" w:hAnsi="Baskerville Old Face"/>
          <w:i/>
          <w:iCs/>
        </w:rPr>
        <w:br/>
        <w:t>• What evidence is missing?</w:t>
      </w:r>
      <w:r w:rsidRPr="00B479AE">
        <w:rPr>
          <w:rFonts w:ascii="Baskerville Old Face" w:hAnsi="Baskerville Old Face"/>
          <w:i/>
          <w:iCs/>
        </w:rPr>
        <w:br/>
        <w:t>• What is directly measured?</w:t>
      </w:r>
      <w:r w:rsidRPr="00B479AE">
        <w:rPr>
          <w:rFonts w:ascii="Baskerville Old Face" w:hAnsi="Baskerville Old Face"/>
          <w:i/>
          <w:iCs/>
        </w:rPr>
        <w:br/>
        <w:t>• What is inferred?</w:t>
      </w:r>
      <w:r w:rsidRPr="00B479AE">
        <w:rPr>
          <w:rFonts w:ascii="Baskerville Old Face" w:hAnsi="Baskerville Old Face"/>
          <w:i/>
          <w:iCs/>
        </w:rPr>
        <w:br/>
        <w:t>• What is speculative?</w:t>
      </w:r>
      <w:r w:rsidRPr="00B479AE">
        <w:rPr>
          <w:rFonts w:ascii="Baskerville Old Face" w:hAnsi="Baskerville Old Face"/>
          <w:i/>
          <w:iCs/>
        </w:rPr>
        <w:br/>
        <w:t>• What is confidence-scored?</w:t>
      </w:r>
      <w:r w:rsidRPr="00B479AE">
        <w:rPr>
          <w:rFonts w:ascii="Baskerville Old Face" w:hAnsi="Baskerville Old Face"/>
          <w:i/>
          <w:iCs/>
        </w:rPr>
        <w:br/>
        <w:t>• What is admissible?</w:t>
      </w:r>
      <w:r w:rsidRPr="00B479AE">
        <w:rPr>
          <w:rFonts w:ascii="Baskerville Old Face" w:hAnsi="Baskerville Old Face"/>
          <w:i/>
          <w:iCs/>
        </w:rPr>
        <w:br/>
        <w:t>• What requires review before use?</w:t>
      </w:r>
    </w:p>
    <w:p w14:paraId="489031CF"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lastRenderedPageBreak/>
        <w:t>This prevents narrative from becoming value before evidence matures.</w:t>
      </w:r>
    </w:p>
    <w:p w14:paraId="5ED3B6D4"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b/>
          <w:bCs/>
          <w:i/>
          <w:iCs/>
        </w:rPr>
        <w:t>D. Systemic risk assessment</w:t>
      </w:r>
    </w:p>
    <w:p w14:paraId="7B19BAAE"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The kernel then evaluates whether the request introduces systemic risk.</w:t>
      </w:r>
    </w:p>
    <w:p w14:paraId="251B92FC"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Risk factors may include:</w:t>
      </w:r>
    </w:p>
    <w:p w14:paraId="2DE28512"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 acceleration beyond adaptive capacity — scaling faster than ecological, social, operational, or governance systems can absorb;</w:t>
      </w:r>
      <w:r w:rsidRPr="00B479AE">
        <w:rPr>
          <w:rFonts w:ascii="Baskerville Old Face" w:hAnsi="Baskerville Old Face"/>
          <w:i/>
          <w:iCs/>
        </w:rPr>
        <w:br/>
        <w:t>• fragmentation — weakening trust networks, stewardship relationships, community coherence, or protocol unity;</w:t>
      </w:r>
      <w:r w:rsidRPr="00B479AE">
        <w:rPr>
          <w:rFonts w:ascii="Baskerville Old Face" w:hAnsi="Baskerville Old Face"/>
          <w:i/>
          <w:iCs/>
        </w:rPr>
        <w:br/>
        <w:t>• feedback blindness — ignoring ecological, social, financial, operational, or governance feedback loops;</w:t>
      </w:r>
      <w:r w:rsidRPr="00B479AE">
        <w:rPr>
          <w:rFonts w:ascii="Baskerville Old Face" w:hAnsi="Baskerville Old Face"/>
          <w:i/>
          <w:iCs/>
        </w:rPr>
        <w:br/>
        <w:t>• temporal blindness — ignoring seasons, succession, maturation cycles, long-term horizons, or intergenerational effects;</w:t>
      </w:r>
      <w:r w:rsidRPr="00B479AE">
        <w:rPr>
          <w:rFonts w:ascii="Baskerville Old Face" w:hAnsi="Baskerville Old Face"/>
          <w:i/>
          <w:iCs/>
        </w:rPr>
        <w:br/>
        <w:t>• boundary blindness — ignoring land limits, water constraints, planetary boundaries, legal limits, governance limits, or pilot scope;</w:t>
      </w:r>
      <w:r w:rsidRPr="00B479AE">
        <w:rPr>
          <w:rFonts w:ascii="Baskerville Old Face" w:hAnsi="Baskerville Old Face"/>
          <w:i/>
          <w:iCs/>
        </w:rPr>
        <w:br/>
        <w:t>• risk transfer — shifting burdens to vulnerable people, communities, ecosystems, operators, future investors, or future generations;</w:t>
      </w:r>
      <w:r w:rsidRPr="00B479AE">
        <w:rPr>
          <w:rFonts w:ascii="Baskerville Old Face" w:hAnsi="Baskerville Old Face"/>
          <w:i/>
          <w:iCs/>
        </w:rPr>
        <w:br/>
        <w:t>• Minsky-Keen dynamics — creating debt, leverage, liquidity pressure, or speculative expectations that detach finance from productive and regenerative capacity;</w:t>
      </w:r>
      <w:r w:rsidRPr="00B479AE">
        <w:rPr>
          <w:rFonts w:ascii="Baskerville Old Face" w:hAnsi="Baskerville Old Face"/>
          <w:i/>
          <w:iCs/>
        </w:rPr>
        <w:br/>
        <w:t>• greenwashing risk — making claims stronger than evidence, methodology, or verification allows;</w:t>
      </w:r>
      <w:r w:rsidRPr="00B479AE">
        <w:rPr>
          <w:rFonts w:ascii="Baskerville Old Face" w:hAnsi="Baskerville Old Face"/>
          <w:i/>
          <w:iCs/>
        </w:rPr>
        <w:br/>
        <w:t>• medical or biometric overreach — converting wellness, HSI, HRV, SyntroGIFT, nutrition, or human-state signals into unsupported health claims, human ranking, or financial authority;</w:t>
      </w:r>
      <w:r w:rsidRPr="00B479AE">
        <w:rPr>
          <w:rFonts w:ascii="Baskerville Old Face" w:hAnsi="Baskerville Old Face"/>
          <w:i/>
          <w:iCs/>
        </w:rPr>
        <w:br/>
        <w:t>• tokenization overreach — treating tokens as value creation rather than as legally bounded representations of already verified and structured value;</w:t>
      </w:r>
      <w:r w:rsidRPr="00B479AE">
        <w:rPr>
          <w:rFonts w:ascii="Baskerville Old Face" w:hAnsi="Baskerville Old Face"/>
          <w:i/>
          <w:iCs/>
        </w:rPr>
        <w:br/>
        <w:t>• governance capture — allowing capital, operators, protocol actors, models, or technical administrators to override constitutional constraints;</w:t>
      </w:r>
      <w:r w:rsidRPr="00B479AE">
        <w:rPr>
          <w:rFonts w:ascii="Baskerville Old Face" w:hAnsi="Baskerville Old Face"/>
          <w:i/>
          <w:iCs/>
        </w:rPr>
        <w:br/>
        <w:t>• AI authority drift — allowing model output, agent routing, dashboard logic, or automated recommendation to become execution without review.</w:t>
      </w:r>
    </w:p>
    <w:p w14:paraId="6617CDDE"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If any of these risks are present, the generated output must include constraints, qualifications, review pathways, or reformulations.</w:t>
      </w:r>
    </w:p>
    <w:p w14:paraId="3A419EAE"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The purpose is not to block intelligence.</w:t>
      </w:r>
    </w:p>
    <w:p w14:paraId="02715BAC"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lastRenderedPageBreak/>
        <w:t>The purpose is to prevent incoherent acceleration.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1"/>
        <w:gridCol w:w="7257"/>
      </w:tblGrid>
      <w:tr w:rsidR="006F52BD" w:rsidRPr="00B479AE" w14:paraId="4230D666" w14:textId="77777777" w:rsidTr="006F52BD">
        <w:trPr>
          <w:tblHeader/>
          <w:tblCellSpacing w:w="15" w:type="dxa"/>
        </w:trPr>
        <w:tc>
          <w:tcPr>
            <w:tcW w:w="0" w:type="auto"/>
            <w:vAlign w:val="center"/>
            <w:hideMark/>
          </w:tcPr>
          <w:p w14:paraId="55F39077" w14:textId="77777777" w:rsidR="006F52BD" w:rsidRPr="00B479AE" w:rsidRDefault="006F52BD" w:rsidP="006F52BD">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Risk factor</w:t>
            </w:r>
          </w:p>
        </w:tc>
        <w:tc>
          <w:tcPr>
            <w:tcW w:w="0" w:type="auto"/>
            <w:vAlign w:val="center"/>
            <w:hideMark/>
          </w:tcPr>
          <w:p w14:paraId="7BFA08CF" w14:textId="77777777" w:rsidR="006F52BD" w:rsidRPr="00B479AE" w:rsidRDefault="006F52BD" w:rsidP="006F52BD">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Description</w:t>
            </w:r>
          </w:p>
        </w:tc>
      </w:tr>
      <w:tr w:rsidR="006F52BD" w:rsidRPr="00B479AE" w14:paraId="65FB285C" w14:textId="77777777" w:rsidTr="006F52BD">
        <w:trPr>
          <w:tblCellSpacing w:w="15" w:type="dxa"/>
        </w:trPr>
        <w:tc>
          <w:tcPr>
            <w:tcW w:w="0" w:type="auto"/>
            <w:vAlign w:val="center"/>
            <w:hideMark/>
          </w:tcPr>
          <w:p w14:paraId="669DE1CA"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Acceleration beyond adaptive capacity</w:t>
            </w:r>
          </w:p>
        </w:tc>
        <w:tc>
          <w:tcPr>
            <w:tcW w:w="0" w:type="auto"/>
            <w:vAlign w:val="center"/>
            <w:hideMark/>
          </w:tcPr>
          <w:p w14:paraId="51EC0150"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i/>
                <w:iCs/>
                <w:sz w:val="22"/>
                <w:szCs w:val="22"/>
              </w:rPr>
              <w:t>Scaling faster than ecological, social, operational, or governance systems can absorb.</w:t>
            </w:r>
          </w:p>
        </w:tc>
      </w:tr>
      <w:tr w:rsidR="006F52BD" w:rsidRPr="00B479AE" w14:paraId="341E77F6" w14:textId="77777777" w:rsidTr="006F52BD">
        <w:trPr>
          <w:tblCellSpacing w:w="15" w:type="dxa"/>
        </w:trPr>
        <w:tc>
          <w:tcPr>
            <w:tcW w:w="0" w:type="auto"/>
            <w:vAlign w:val="center"/>
            <w:hideMark/>
          </w:tcPr>
          <w:p w14:paraId="6F484A81"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Fragmentation</w:t>
            </w:r>
          </w:p>
        </w:tc>
        <w:tc>
          <w:tcPr>
            <w:tcW w:w="0" w:type="auto"/>
            <w:vAlign w:val="center"/>
            <w:hideMark/>
          </w:tcPr>
          <w:p w14:paraId="435F2515"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i/>
                <w:iCs/>
                <w:sz w:val="22"/>
                <w:szCs w:val="22"/>
              </w:rPr>
              <w:t>Weakening trust networks, stewardship relationships, community coherence, or protocol unity.</w:t>
            </w:r>
          </w:p>
        </w:tc>
      </w:tr>
      <w:tr w:rsidR="006F52BD" w:rsidRPr="00B479AE" w14:paraId="3F5A8239" w14:textId="77777777" w:rsidTr="006F52BD">
        <w:trPr>
          <w:tblCellSpacing w:w="15" w:type="dxa"/>
        </w:trPr>
        <w:tc>
          <w:tcPr>
            <w:tcW w:w="0" w:type="auto"/>
            <w:vAlign w:val="center"/>
            <w:hideMark/>
          </w:tcPr>
          <w:p w14:paraId="0FECF056"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Feedback blindness</w:t>
            </w:r>
          </w:p>
        </w:tc>
        <w:tc>
          <w:tcPr>
            <w:tcW w:w="0" w:type="auto"/>
            <w:vAlign w:val="center"/>
            <w:hideMark/>
          </w:tcPr>
          <w:p w14:paraId="0FCCD02A"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i/>
                <w:iCs/>
                <w:sz w:val="22"/>
                <w:szCs w:val="22"/>
              </w:rPr>
              <w:t>Ignoring ecological, social, financial, operational, or governance feedback loops.</w:t>
            </w:r>
          </w:p>
        </w:tc>
      </w:tr>
      <w:tr w:rsidR="006F52BD" w:rsidRPr="00B479AE" w14:paraId="20A0936A" w14:textId="77777777" w:rsidTr="006F52BD">
        <w:trPr>
          <w:tblCellSpacing w:w="15" w:type="dxa"/>
        </w:trPr>
        <w:tc>
          <w:tcPr>
            <w:tcW w:w="0" w:type="auto"/>
            <w:vAlign w:val="center"/>
            <w:hideMark/>
          </w:tcPr>
          <w:p w14:paraId="0E428992"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Temporal blindness</w:t>
            </w:r>
          </w:p>
        </w:tc>
        <w:tc>
          <w:tcPr>
            <w:tcW w:w="0" w:type="auto"/>
            <w:vAlign w:val="center"/>
            <w:hideMark/>
          </w:tcPr>
          <w:p w14:paraId="29A456BF"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i/>
                <w:iCs/>
                <w:sz w:val="22"/>
                <w:szCs w:val="22"/>
              </w:rPr>
              <w:t>Ignoring seasons, succession, maturation cycles, long-term horizons, or intergenerational effects.</w:t>
            </w:r>
          </w:p>
        </w:tc>
      </w:tr>
      <w:tr w:rsidR="006F52BD" w:rsidRPr="00B479AE" w14:paraId="1CC65ED0" w14:textId="77777777" w:rsidTr="006F52BD">
        <w:trPr>
          <w:tblCellSpacing w:w="15" w:type="dxa"/>
        </w:trPr>
        <w:tc>
          <w:tcPr>
            <w:tcW w:w="0" w:type="auto"/>
            <w:vAlign w:val="center"/>
            <w:hideMark/>
          </w:tcPr>
          <w:p w14:paraId="4B43FB8F"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Boundary blindness</w:t>
            </w:r>
          </w:p>
        </w:tc>
        <w:tc>
          <w:tcPr>
            <w:tcW w:w="0" w:type="auto"/>
            <w:vAlign w:val="center"/>
            <w:hideMark/>
          </w:tcPr>
          <w:p w14:paraId="0A1683AE"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i/>
                <w:iCs/>
                <w:sz w:val="22"/>
                <w:szCs w:val="22"/>
              </w:rPr>
              <w:t>Ignoring land limits, water constraints, planetary boundaries, legal limits, governance limits, or pilot scope.</w:t>
            </w:r>
          </w:p>
        </w:tc>
      </w:tr>
      <w:tr w:rsidR="006F52BD" w:rsidRPr="00B479AE" w14:paraId="08C74316" w14:textId="77777777" w:rsidTr="006F52BD">
        <w:trPr>
          <w:tblCellSpacing w:w="15" w:type="dxa"/>
        </w:trPr>
        <w:tc>
          <w:tcPr>
            <w:tcW w:w="0" w:type="auto"/>
            <w:vAlign w:val="center"/>
            <w:hideMark/>
          </w:tcPr>
          <w:p w14:paraId="013018AC"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Risk transfer</w:t>
            </w:r>
          </w:p>
        </w:tc>
        <w:tc>
          <w:tcPr>
            <w:tcW w:w="0" w:type="auto"/>
            <w:vAlign w:val="center"/>
            <w:hideMark/>
          </w:tcPr>
          <w:p w14:paraId="2D2F406C"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i/>
                <w:iCs/>
                <w:sz w:val="22"/>
                <w:szCs w:val="22"/>
              </w:rPr>
              <w:t>Shifting burdens to vulnerable people, communities, ecosystems, operators, future investors, or future generations.</w:t>
            </w:r>
          </w:p>
        </w:tc>
      </w:tr>
      <w:tr w:rsidR="006F52BD" w:rsidRPr="00B479AE" w14:paraId="6930EF01" w14:textId="77777777" w:rsidTr="006F52BD">
        <w:trPr>
          <w:tblCellSpacing w:w="15" w:type="dxa"/>
        </w:trPr>
        <w:tc>
          <w:tcPr>
            <w:tcW w:w="0" w:type="auto"/>
            <w:vAlign w:val="center"/>
            <w:hideMark/>
          </w:tcPr>
          <w:p w14:paraId="5F65456C"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Minsky-Keen dynamics</w:t>
            </w:r>
          </w:p>
        </w:tc>
        <w:tc>
          <w:tcPr>
            <w:tcW w:w="0" w:type="auto"/>
            <w:vAlign w:val="center"/>
            <w:hideMark/>
          </w:tcPr>
          <w:p w14:paraId="4B2518B0"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i/>
                <w:iCs/>
                <w:sz w:val="22"/>
                <w:szCs w:val="22"/>
              </w:rPr>
              <w:t>Creating debt, leverage, liquidity pressure, or speculative expectations that detach finance from productive and regenerative capacity.</w:t>
            </w:r>
          </w:p>
        </w:tc>
      </w:tr>
      <w:tr w:rsidR="006F52BD" w:rsidRPr="00B479AE" w14:paraId="4202D4FC" w14:textId="77777777" w:rsidTr="006F52BD">
        <w:trPr>
          <w:tblCellSpacing w:w="15" w:type="dxa"/>
        </w:trPr>
        <w:tc>
          <w:tcPr>
            <w:tcW w:w="0" w:type="auto"/>
            <w:vAlign w:val="center"/>
            <w:hideMark/>
          </w:tcPr>
          <w:p w14:paraId="154DD5C1"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Greenwashing risk</w:t>
            </w:r>
          </w:p>
        </w:tc>
        <w:tc>
          <w:tcPr>
            <w:tcW w:w="0" w:type="auto"/>
            <w:vAlign w:val="center"/>
            <w:hideMark/>
          </w:tcPr>
          <w:p w14:paraId="660DFF2A"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i/>
                <w:iCs/>
                <w:sz w:val="22"/>
                <w:szCs w:val="22"/>
              </w:rPr>
              <w:t>Making claims stronger than evidence, methodology, or verification allows.</w:t>
            </w:r>
          </w:p>
        </w:tc>
      </w:tr>
      <w:tr w:rsidR="006F52BD" w:rsidRPr="00B479AE" w14:paraId="1C6F8EF8" w14:textId="77777777" w:rsidTr="006F52BD">
        <w:trPr>
          <w:tblCellSpacing w:w="15" w:type="dxa"/>
        </w:trPr>
        <w:tc>
          <w:tcPr>
            <w:tcW w:w="0" w:type="auto"/>
            <w:vAlign w:val="center"/>
            <w:hideMark/>
          </w:tcPr>
          <w:p w14:paraId="01B1A284"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Medical or biometric overreach</w:t>
            </w:r>
          </w:p>
        </w:tc>
        <w:tc>
          <w:tcPr>
            <w:tcW w:w="0" w:type="auto"/>
            <w:vAlign w:val="center"/>
            <w:hideMark/>
          </w:tcPr>
          <w:p w14:paraId="16B442B3"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i/>
                <w:iCs/>
                <w:sz w:val="22"/>
                <w:szCs w:val="22"/>
              </w:rPr>
              <w:t>Converting wellness, HSI, HRV, SyntroGIFT, nutrition, or human-state signals into unsupported health claims, human ranking, or financial authority.</w:t>
            </w:r>
          </w:p>
        </w:tc>
      </w:tr>
      <w:tr w:rsidR="006F52BD" w:rsidRPr="00B479AE" w14:paraId="320BF9C3" w14:textId="77777777" w:rsidTr="006F52BD">
        <w:trPr>
          <w:tblCellSpacing w:w="15" w:type="dxa"/>
        </w:trPr>
        <w:tc>
          <w:tcPr>
            <w:tcW w:w="0" w:type="auto"/>
            <w:vAlign w:val="center"/>
            <w:hideMark/>
          </w:tcPr>
          <w:p w14:paraId="7ECC8493"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Tokenization overreach</w:t>
            </w:r>
          </w:p>
        </w:tc>
        <w:tc>
          <w:tcPr>
            <w:tcW w:w="0" w:type="auto"/>
            <w:vAlign w:val="center"/>
            <w:hideMark/>
          </w:tcPr>
          <w:p w14:paraId="0706FC5C"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i/>
                <w:iCs/>
                <w:sz w:val="22"/>
                <w:szCs w:val="22"/>
              </w:rPr>
              <w:t>Treating tokens as value creation rather than as legally bounded representations of already verified and structured value.</w:t>
            </w:r>
          </w:p>
        </w:tc>
      </w:tr>
      <w:tr w:rsidR="006F52BD" w:rsidRPr="00B479AE" w14:paraId="3AB7CF22" w14:textId="77777777" w:rsidTr="006F52BD">
        <w:trPr>
          <w:tblCellSpacing w:w="15" w:type="dxa"/>
        </w:trPr>
        <w:tc>
          <w:tcPr>
            <w:tcW w:w="0" w:type="auto"/>
            <w:vAlign w:val="center"/>
            <w:hideMark/>
          </w:tcPr>
          <w:p w14:paraId="10798B5B"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Governance capture</w:t>
            </w:r>
          </w:p>
        </w:tc>
        <w:tc>
          <w:tcPr>
            <w:tcW w:w="0" w:type="auto"/>
            <w:vAlign w:val="center"/>
            <w:hideMark/>
          </w:tcPr>
          <w:p w14:paraId="21E3C98C"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i/>
                <w:iCs/>
                <w:sz w:val="22"/>
                <w:szCs w:val="22"/>
              </w:rPr>
              <w:t>Allowing capital, operators, protocol actors, models, or technical administrators to override constitutional constraints.</w:t>
            </w:r>
          </w:p>
        </w:tc>
      </w:tr>
      <w:tr w:rsidR="006F52BD" w:rsidRPr="00B479AE" w14:paraId="1F592782" w14:textId="77777777" w:rsidTr="006F52BD">
        <w:trPr>
          <w:tblCellSpacing w:w="15" w:type="dxa"/>
        </w:trPr>
        <w:tc>
          <w:tcPr>
            <w:tcW w:w="0" w:type="auto"/>
            <w:vAlign w:val="center"/>
            <w:hideMark/>
          </w:tcPr>
          <w:p w14:paraId="38922BEF"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AI authority drift</w:t>
            </w:r>
          </w:p>
        </w:tc>
        <w:tc>
          <w:tcPr>
            <w:tcW w:w="0" w:type="auto"/>
            <w:vAlign w:val="center"/>
            <w:hideMark/>
          </w:tcPr>
          <w:p w14:paraId="5AAC4ED5" w14:textId="77777777" w:rsidR="006F52BD" w:rsidRPr="00B479AE" w:rsidRDefault="006F52BD" w:rsidP="006F52BD">
            <w:pPr>
              <w:spacing w:line="360" w:lineRule="auto"/>
              <w:rPr>
                <w:rFonts w:ascii="Baskerville Old Face" w:hAnsi="Baskerville Old Face"/>
                <w:i/>
                <w:iCs/>
                <w:sz w:val="22"/>
                <w:szCs w:val="22"/>
              </w:rPr>
            </w:pPr>
            <w:r w:rsidRPr="00B479AE">
              <w:rPr>
                <w:rFonts w:ascii="Baskerville Old Face" w:hAnsi="Baskerville Old Face"/>
                <w:i/>
                <w:iCs/>
                <w:sz w:val="22"/>
                <w:szCs w:val="22"/>
              </w:rPr>
              <w:t>Allowing model output, agent routing, dashboard logic, or automated recommendation to become execution without review.</w:t>
            </w:r>
          </w:p>
        </w:tc>
      </w:tr>
    </w:tbl>
    <w:p w14:paraId="1573EC0B" w14:textId="77777777" w:rsidR="00D46989" w:rsidRPr="00B479AE" w:rsidRDefault="00D46989" w:rsidP="004F2E2D">
      <w:pPr>
        <w:spacing w:line="360" w:lineRule="auto"/>
        <w:rPr>
          <w:rFonts w:ascii="Baskerville Old Face" w:hAnsi="Baskerville Old Face"/>
          <w:b/>
          <w:bCs/>
          <w:i/>
          <w:iCs/>
        </w:rPr>
      </w:pPr>
    </w:p>
    <w:p w14:paraId="51D67C85" w14:textId="024B1511"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b/>
          <w:bCs/>
          <w:i/>
          <w:iCs/>
        </w:rPr>
        <w:lastRenderedPageBreak/>
        <w:t>E. Constitutional alignment check</w:t>
      </w:r>
    </w:p>
    <w:p w14:paraId="2C73EC83"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After classification, level identification, evidence review, and risk assessment, the kernel performs a constitutional alignment check.</w:t>
      </w:r>
    </w:p>
    <w:p w14:paraId="7645212C"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This check verifies that the proposed output remains compatible with the core Prometheus constraints, including:</w:t>
      </w:r>
    </w:p>
    <w:p w14:paraId="55168F0B"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 protection of living systems;</w:t>
      </w:r>
      <w:r w:rsidRPr="00B479AE">
        <w:rPr>
          <w:rFonts w:ascii="Baskerville Old Face" w:hAnsi="Baskerville Old Face"/>
          <w:i/>
          <w:iCs/>
        </w:rPr>
        <w:br/>
        <w:t>• protection of human dignity;</w:t>
      </w:r>
      <w:r w:rsidRPr="00B479AE">
        <w:rPr>
          <w:rFonts w:ascii="Baskerville Old Face" w:hAnsi="Baskerville Old Face"/>
          <w:i/>
          <w:iCs/>
        </w:rPr>
        <w:br/>
        <w:t>• verification-first discipline;</w:t>
      </w:r>
      <w:r w:rsidRPr="00B479AE">
        <w:rPr>
          <w:rFonts w:ascii="Baskerville Old Face" w:hAnsi="Baskerville Old Face"/>
          <w:i/>
          <w:iCs/>
        </w:rPr>
        <w:br/>
        <w:t>• separation between evidence, value, governance, tokens, land, and investor rights;</w:t>
      </w:r>
      <w:r w:rsidRPr="00B479AE">
        <w:rPr>
          <w:rFonts w:ascii="Baskerville Old Face" w:hAnsi="Baskerville Old Face"/>
          <w:i/>
          <w:iCs/>
        </w:rPr>
        <w:br/>
        <w:t>• anti-greenwashing controls;</w:t>
      </w:r>
      <w:r w:rsidRPr="00B479AE">
        <w:rPr>
          <w:rFonts w:ascii="Baskerville Old Face" w:hAnsi="Baskerville Old Face"/>
          <w:i/>
          <w:iCs/>
        </w:rPr>
        <w:br/>
        <w:t>• no-double-counting discipline;</w:t>
      </w:r>
      <w:r w:rsidRPr="00B479AE">
        <w:rPr>
          <w:rFonts w:ascii="Baskerville Old Face" w:hAnsi="Baskerville Old Face"/>
          <w:i/>
          <w:iCs/>
        </w:rPr>
        <w:br/>
        <w:t>• pilot-first boundaries;</w:t>
      </w:r>
      <w:r w:rsidRPr="00B479AE">
        <w:rPr>
          <w:rFonts w:ascii="Baskerville Old Face" w:hAnsi="Baskerville Old Face"/>
          <w:i/>
          <w:iCs/>
        </w:rPr>
        <w:br/>
        <w:t>• legal and regulatory review where required;</w:t>
      </w:r>
      <w:r w:rsidRPr="00B479AE">
        <w:rPr>
          <w:rFonts w:ascii="Baskerville Old Face" w:hAnsi="Baskerville Old Face"/>
          <w:i/>
          <w:iCs/>
        </w:rPr>
        <w:br/>
        <w:t>• privacy and consent requirements;</w:t>
      </w:r>
      <w:r w:rsidRPr="00B479AE">
        <w:rPr>
          <w:rFonts w:ascii="Baskerville Old Face" w:hAnsi="Baskerville Old Face"/>
          <w:i/>
          <w:iCs/>
        </w:rPr>
        <w:br/>
        <w:t>• source-code non-bypassability;</w:t>
      </w:r>
      <w:r w:rsidRPr="00B479AE">
        <w:rPr>
          <w:rFonts w:ascii="Baskerville Old Face" w:hAnsi="Baskerville Old Face"/>
          <w:i/>
          <w:iCs/>
        </w:rPr>
        <w:br/>
        <w:t>• governance review for high-impact actions;</w:t>
      </w:r>
      <w:r w:rsidRPr="00B479AE">
        <w:rPr>
          <w:rFonts w:ascii="Baskerville Old Face" w:hAnsi="Baskerville Old Face"/>
          <w:i/>
          <w:iCs/>
        </w:rPr>
        <w:br/>
        <w:t>• accountability to future generations.</w:t>
      </w:r>
    </w:p>
    <w:p w14:paraId="5D7A6ECA"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A request that fails constitutional alignment should not be executed as originally framed.</w:t>
      </w:r>
    </w:p>
    <w:p w14:paraId="3CF91466"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It should be reformulated, qualified, routed to review, deferred, or rejected according to the relevant rule set.</w:t>
      </w:r>
    </w:p>
    <w:p w14:paraId="3A905ECD"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b/>
          <w:bCs/>
          <w:i/>
          <w:iCs/>
        </w:rPr>
        <w:t>F. Output routing decision</w:t>
      </w:r>
    </w:p>
    <w:p w14:paraId="4F91BED4"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Only after the previous checks does the kernel determine the output pathway.</w:t>
      </w:r>
    </w:p>
    <w:p w14:paraId="2552BB7C"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Possible pathways include:</w:t>
      </w:r>
    </w:p>
    <w:p w14:paraId="71EF502C"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 direct informational response;</w:t>
      </w:r>
      <w:r w:rsidRPr="00B479AE">
        <w:rPr>
          <w:rFonts w:ascii="Baskerville Old Face" w:hAnsi="Baskerville Old Face"/>
          <w:i/>
          <w:iCs/>
        </w:rPr>
        <w:br/>
        <w:t>• structured explanation;</w:t>
      </w:r>
      <w:r w:rsidRPr="00B479AE">
        <w:rPr>
          <w:rFonts w:ascii="Baskerville Old Face" w:hAnsi="Baskerville Old Face"/>
          <w:i/>
          <w:iCs/>
        </w:rPr>
        <w:br/>
        <w:t>• design draft;</w:t>
      </w:r>
      <w:r w:rsidRPr="00B479AE">
        <w:rPr>
          <w:rFonts w:ascii="Baskerville Old Face" w:hAnsi="Baskerville Old Face"/>
          <w:i/>
          <w:iCs/>
        </w:rPr>
        <w:br/>
        <w:t>• operational recommendation;</w:t>
      </w:r>
      <w:r w:rsidRPr="00B479AE">
        <w:rPr>
          <w:rFonts w:ascii="Baskerville Old Face" w:hAnsi="Baskerville Old Face"/>
          <w:i/>
          <w:iCs/>
        </w:rPr>
        <w:br/>
        <w:t>• MRV interpretation;</w:t>
      </w:r>
      <w:r w:rsidRPr="00B479AE">
        <w:rPr>
          <w:rFonts w:ascii="Baskerville Old Face" w:hAnsi="Baskerville Old Face"/>
          <w:i/>
          <w:iCs/>
        </w:rPr>
        <w:br/>
        <w:t>• governance proposal;</w:t>
      </w:r>
      <w:r w:rsidRPr="00B479AE">
        <w:rPr>
          <w:rFonts w:ascii="Baskerville Old Face" w:hAnsi="Baskerville Old Face"/>
          <w:i/>
          <w:iCs/>
        </w:rPr>
        <w:br/>
      </w:r>
      <w:r w:rsidRPr="00B479AE">
        <w:rPr>
          <w:rFonts w:ascii="Baskerville Old Face" w:hAnsi="Baskerville Old Face"/>
          <w:i/>
          <w:iCs/>
        </w:rPr>
        <w:lastRenderedPageBreak/>
        <w:t>• financial scenario;</w:t>
      </w:r>
      <w:r w:rsidRPr="00B479AE">
        <w:rPr>
          <w:rFonts w:ascii="Baskerville Old Face" w:hAnsi="Baskerville Old Face"/>
          <w:i/>
          <w:iCs/>
        </w:rPr>
        <w:br/>
        <w:t>• legal or compliance review note;</w:t>
      </w:r>
      <w:r w:rsidRPr="00B479AE">
        <w:rPr>
          <w:rFonts w:ascii="Baskerville Old Face" w:hAnsi="Baskerville Old Face"/>
          <w:i/>
          <w:iCs/>
        </w:rPr>
        <w:br/>
        <w:t>• investor-facing draft subject to review;</w:t>
      </w:r>
      <w:r w:rsidRPr="00B479AE">
        <w:rPr>
          <w:rFonts w:ascii="Baskerville Old Face" w:hAnsi="Baskerville Old Face"/>
          <w:i/>
          <w:iCs/>
        </w:rPr>
        <w:br/>
        <w:t>• appendix parking;</w:t>
      </w:r>
      <w:r w:rsidRPr="00B479AE">
        <w:rPr>
          <w:rFonts w:ascii="Baskerville Old Face" w:hAnsi="Baskerville Old Face"/>
          <w:i/>
          <w:iCs/>
        </w:rPr>
        <w:br/>
        <w:t>• research hypothesis;</w:t>
      </w:r>
      <w:r w:rsidRPr="00B479AE">
        <w:rPr>
          <w:rFonts w:ascii="Baskerville Old Face" w:hAnsi="Baskerville Old Face"/>
          <w:i/>
          <w:iCs/>
        </w:rPr>
        <w:br/>
        <w:t>• manual review;</w:t>
      </w:r>
      <w:r w:rsidRPr="00B479AE">
        <w:rPr>
          <w:rFonts w:ascii="Baskerville Old Face" w:hAnsi="Baskerville Old Face"/>
          <w:i/>
          <w:iCs/>
        </w:rPr>
        <w:br/>
        <w:t>• rejection or non-executable status.</w:t>
      </w:r>
    </w:p>
    <w:p w14:paraId="04E396CF"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This routing decision preserves institutional discipline.</w:t>
      </w:r>
    </w:p>
    <w:p w14:paraId="2A1D2931"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A concept may be valuable but premature.</w:t>
      </w:r>
    </w:p>
    <w:p w14:paraId="3BC1F3CC"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A financial mechanism may be powerful but unsuitable for the main White Paper body.</w:t>
      </w:r>
    </w:p>
    <w:p w14:paraId="1AB2BF64"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A health-related model may be promising but appropriate only for research or appendix treatment.</w:t>
      </w:r>
    </w:p>
    <w:p w14:paraId="5665107B"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A token mechanism may be strategically relevant but require legal structuring before inclusion.</w:t>
      </w:r>
    </w:p>
    <w:p w14:paraId="7E361E83"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The kernel’s role is to place each idea in the correct layer.</w:t>
      </w:r>
    </w:p>
    <w:p w14:paraId="7D3D9401"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b/>
          <w:bCs/>
          <w:i/>
          <w:iCs/>
        </w:rPr>
        <w:t>G. Execution pathway distinction</w:t>
      </w:r>
    </w:p>
    <w:p w14:paraId="3E63D37D"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The kernel must preserve the distinction between:</w:t>
      </w:r>
    </w:p>
    <w:p w14:paraId="16B53642"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draft;</w:t>
      </w:r>
      <w:r w:rsidRPr="00B479AE">
        <w:rPr>
          <w:rFonts w:ascii="Baskerville Old Face" w:hAnsi="Baskerville Old Face"/>
          <w:i/>
          <w:iCs/>
        </w:rPr>
        <w:br/>
        <w:t>recommendation;</w:t>
      </w:r>
      <w:r w:rsidRPr="00B479AE">
        <w:rPr>
          <w:rFonts w:ascii="Baskerville Old Face" w:hAnsi="Baskerville Old Face"/>
          <w:i/>
          <w:iCs/>
        </w:rPr>
        <w:br/>
        <w:t>scenario;</w:t>
      </w:r>
      <w:r w:rsidRPr="00B479AE">
        <w:rPr>
          <w:rFonts w:ascii="Baskerville Old Face" w:hAnsi="Baskerville Old Face"/>
          <w:i/>
          <w:iCs/>
        </w:rPr>
        <w:br/>
        <w:t>proposal;</w:t>
      </w:r>
      <w:r w:rsidRPr="00B479AE">
        <w:rPr>
          <w:rFonts w:ascii="Baskerville Old Face" w:hAnsi="Baskerville Old Face"/>
          <w:i/>
          <w:iCs/>
        </w:rPr>
        <w:br/>
        <w:t>approved action;</w:t>
      </w:r>
      <w:r w:rsidRPr="00B479AE">
        <w:rPr>
          <w:rFonts w:ascii="Baskerville Old Face" w:hAnsi="Baskerville Old Face"/>
          <w:i/>
          <w:iCs/>
        </w:rPr>
        <w:br/>
        <w:t>executed action;</w:t>
      </w:r>
      <w:r w:rsidRPr="00B479AE">
        <w:rPr>
          <w:rFonts w:ascii="Baskerville Old Face" w:hAnsi="Baskerville Old Face"/>
          <w:i/>
          <w:iCs/>
        </w:rPr>
        <w:br/>
        <w:t>verified outcome;</w:t>
      </w:r>
      <w:r w:rsidRPr="00B479AE">
        <w:rPr>
          <w:rFonts w:ascii="Baskerville Old Face" w:hAnsi="Baskerville Old Face"/>
          <w:i/>
          <w:iCs/>
        </w:rPr>
        <w:br/>
        <w:t>reportable result;</w:t>
      </w:r>
      <w:r w:rsidRPr="00B479AE">
        <w:rPr>
          <w:rFonts w:ascii="Baskerville Old Face" w:hAnsi="Baskerville Old Face"/>
          <w:i/>
          <w:iCs/>
        </w:rPr>
        <w:br/>
        <w:t>financially admissible value;</w:t>
      </w:r>
      <w:r w:rsidRPr="00B479AE">
        <w:rPr>
          <w:rFonts w:ascii="Baskerville Old Face" w:hAnsi="Baskerville Old Face"/>
          <w:i/>
          <w:iCs/>
        </w:rPr>
        <w:br/>
        <w:t>legally enforceable instrument.</w:t>
      </w:r>
    </w:p>
    <w:p w14:paraId="40EF3F45"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These states must not collapse into one another.</w:t>
      </w:r>
    </w:p>
    <w:p w14:paraId="355B03DF"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A generated output is not execution.</w:t>
      </w:r>
    </w:p>
    <w:p w14:paraId="7FB058A0"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lastRenderedPageBreak/>
        <w:t>A proposal is not authorization.</w:t>
      </w:r>
    </w:p>
    <w:p w14:paraId="2B44F16E"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A scenario is not a forecast.</w:t>
      </w:r>
    </w:p>
    <w:p w14:paraId="0EEED3D1"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A dashboard signal is not a legal decision.</w:t>
      </w:r>
    </w:p>
    <w:p w14:paraId="7B40BE02"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A PRU estimate is not an investor right.</w:t>
      </w:r>
    </w:p>
    <w:p w14:paraId="7DC63EB2"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A token concept is not token issuance.</w:t>
      </w:r>
    </w:p>
    <w:p w14:paraId="39602920"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This distinction is part of the kernel’s source-code discipline.</w:t>
      </w:r>
    </w:p>
    <w:p w14:paraId="39169135"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b/>
          <w:bCs/>
          <w:i/>
          <w:iCs/>
        </w:rPr>
        <w:t>H. Pre-prompt output standard</w:t>
      </w:r>
    </w:p>
    <w:p w14:paraId="31CD7D44"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After internal analysis, the kernel may generate a meta-prompt or task formulation only if it can define:</w:t>
      </w:r>
    </w:p>
    <w:p w14:paraId="334B5978"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 the domain;</w:t>
      </w:r>
      <w:r w:rsidRPr="00B479AE">
        <w:rPr>
          <w:rFonts w:ascii="Baskerville Old Face" w:hAnsi="Baskerville Old Face"/>
          <w:i/>
          <w:iCs/>
        </w:rPr>
        <w:br/>
        <w:t>• the system level;</w:t>
      </w:r>
      <w:r w:rsidRPr="00B479AE">
        <w:rPr>
          <w:rFonts w:ascii="Baskerville Old Face" w:hAnsi="Baskerville Old Face"/>
          <w:i/>
          <w:iCs/>
        </w:rPr>
        <w:br/>
        <w:t>• the objective;</w:t>
      </w:r>
      <w:r w:rsidRPr="00B479AE">
        <w:rPr>
          <w:rFonts w:ascii="Baskerville Old Face" w:hAnsi="Baskerville Old Face"/>
          <w:i/>
          <w:iCs/>
        </w:rPr>
        <w:br/>
        <w:t>• the evidence base;</w:t>
      </w:r>
      <w:r w:rsidRPr="00B479AE">
        <w:rPr>
          <w:rFonts w:ascii="Baskerville Old Face" w:hAnsi="Baskerville Old Face"/>
          <w:i/>
          <w:iCs/>
        </w:rPr>
        <w:br/>
        <w:t>• the assumptions;</w:t>
      </w:r>
      <w:r w:rsidRPr="00B479AE">
        <w:rPr>
          <w:rFonts w:ascii="Baskerville Old Face" w:hAnsi="Baskerville Old Face"/>
          <w:i/>
          <w:iCs/>
        </w:rPr>
        <w:br/>
        <w:t>• the constraints;</w:t>
      </w:r>
      <w:r w:rsidRPr="00B479AE">
        <w:rPr>
          <w:rFonts w:ascii="Baskerville Old Face" w:hAnsi="Baskerville Old Face"/>
          <w:i/>
          <w:iCs/>
        </w:rPr>
        <w:br/>
        <w:t>• the risks;</w:t>
      </w:r>
      <w:r w:rsidRPr="00B479AE">
        <w:rPr>
          <w:rFonts w:ascii="Baskerville Old Face" w:hAnsi="Baskerville Old Face"/>
          <w:i/>
          <w:iCs/>
        </w:rPr>
        <w:br/>
        <w:t>• the review pathway;</w:t>
      </w:r>
      <w:r w:rsidRPr="00B479AE">
        <w:rPr>
          <w:rFonts w:ascii="Baskerville Old Face" w:hAnsi="Baskerville Old Face"/>
          <w:i/>
          <w:iCs/>
        </w:rPr>
        <w:br/>
        <w:t>• the permitted output type;</w:t>
      </w:r>
      <w:r w:rsidRPr="00B479AE">
        <w:rPr>
          <w:rFonts w:ascii="Baskerville Old Face" w:hAnsi="Baskerville Old Face"/>
          <w:i/>
          <w:iCs/>
        </w:rPr>
        <w:br/>
        <w:t>• the non-executable boundaries;</w:t>
      </w:r>
      <w:r w:rsidRPr="00B479AE">
        <w:rPr>
          <w:rFonts w:ascii="Baskerville Old Face" w:hAnsi="Baskerville Old Face"/>
          <w:i/>
          <w:iCs/>
        </w:rPr>
        <w:br/>
        <w:t>• the next valid step.</w:t>
      </w:r>
    </w:p>
    <w:p w14:paraId="6CB41A2C"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This makes every generated task structurally accountable.</w:t>
      </w:r>
    </w:p>
    <w:p w14:paraId="545CF20F"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Prometheus should therefore never prompt blindly.</w:t>
      </w:r>
    </w:p>
    <w:p w14:paraId="0CBF0ED5"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It should prompt through constitutional awareness.</w:t>
      </w:r>
    </w:p>
    <w:p w14:paraId="18A8ABA4" w14:textId="77777777" w:rsidR="004F2E2D" w:rsidRPr="00B479AE" w:rsidRDefault="004F2E2D" w:rsidP="004F2E2D">
      <w:pPr>
        <w:spacing w:line="360" w:lineRule="auto"/>
        <w:rPr>
          <w:rFonts w:ascii="Baskerville Old Face" w:hAnsi="Baskerville Old Face"/>
          <w:i/>
          <w:iCs/>
        </w:rPr>
      </w:pPr>
      <w:r w:rsidRPr="00B479AE">
        <w:rPr>
          <w:rFonts w:ascii="Baskerville Old Face" w:hAnsi="Baskerville Old Face"/>
          <w:i/>
          <w:iCs/>
        </w:rPr>
        <w:t>The cognitive kernel exists to ensure that intelligence enters the system as disciplined coordination, not uncontrolled acceleration.</w:t>
      </w:r>
    </w:p>
    <w:p w14:paraId="782ECB9B" w14:textId="77777777" w:rsidR="00E07363" w:rsidRPr="00B479AE" w:rsidRDefault="00E07363" w:rsidP="004F2E2D">
      <w:pPr>
        <w:spacing w:line="360" w:lineRule="auto"/>
        <w:rPr>
          <w:rFonts w:ascii="Baskerville Old Face" w:hAnsi="Baskerville Old Face"/>
          <w:i/>
          <w:iCs/>
        </w:rPr>
      </w:pPr>
    </w:p>
    <w:p w14:paraId="52334CA3"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b/>
          <w:bCs/>
          <w:i/>
          <w:iCs/>
        </w:rPr>
        <w:lastRenderedPageBreak/>
        <w:t>Constitutional Bedrock Clause — Source-Layer Permanence</w:t>
      </w:r>
    </w:p>
    <w:p w14:paraId="150FE561"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The Prometheus kernel is governed by a constitutional bedrock clause.</w:t>
      </w:r>
    </w:p>
    <w:p w14:paraId="1DDF7DC0"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This clause defines the minimum invariant conditions that must remain embedded in every implementation, interface, agent, model, workflow, dashboard, governance process, token logic, financial structure, and future derivative system operating under the Prometheus name.</w:t>
      </w:r>
    </w:p>
    <w:p w14:paraId="21E7FB7B"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The purpose of this clause is to ensure that the constitutional source layer cannot be reduced to policy language, optional ethics, interface moderation, or post-hoc review.</w:t>
      </w:r>
    </w:p>
    <w:p w14:paraId="5BA75128"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It must be expressed as executable architecture.</w:t>
      </w:r>
    </w:p>
    <w:p w14:paraId="3CE16391"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Prometheus is valid only when its intelligent processes remain aligned with life, evidence, dignity, governance, and regenerative fidelity.</w:t>
      </w:r>
    </w:p>
    <w:p w14:paraId="2DB58B11"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b/>
          <w:bCs/>
          <w:i/>
          <w:iCs/>
        </w:rPr>
        <w:t>1. Source-layer permanence</w:t>
      </w:r>
    </w:p>
    <w:p w14:paraId="28A4D967"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The kernel’s constitutional constraints must be treated as source-layer conditions.</w:t>
      </w:r>
    </w:p>
    <w:p w14:paraId="5735102B"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They must be embedded in:</w:t>
      </w:r>
    </w:p>
    <w:p w14:paraId="29BA33F7"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 system architecture;</w:t>
      </w:r>
      <w:r w:rsidRPr="00B479AE">
        <w:rPr>
          <w:rFonts w:ascii="Baskerville Old Face" w:hAnsi="Baskerville Old Face"/>
          <w:i/>
          <w:iCs/>
        </w:rPr>
        <w:br/>
        <w:t>• source code;</w:t>
      </w:r>
      <w:r w:rsidRPr="00B479AE">
        <w:rPr>
          <w:rFonts w:ascii="Baskerville Old Face" w:hAnsi="Baskerville Old Face"/>
          <w:i/>
          <w:iCs/>
        </w:rPr>
        <w:br/>
        <w:t>• validation schemas;</w:t>
      </w:r>
      <w:r w:rsidRPr="00B479AE">
        <w:rPr>
          <w:rFonts w:ascii="Baskerville Old Face" w:hAnsi="Baskerville Old Face"/>
          <w:i/>
          <w:iCs/>
        </w:rPr>
        <w:br/>
        <w:t>• policy engines;</w:t>
      </w:r>
      <w:r w:rsidRPr="00B479AE">
        <w:rPr>
          <w:rFonts w:ascii="Baskerville Old Face" w:hAnsi="Baskerville Old Face"/>
          <w:i/>
          <w:iCs/>
        </w:rPr>
        <w:br/>
        <w:t>• execution gates;</w:t>
      </w:r>
      <w:r w:rsidRPr="00B479AE">
        <w:rPr>
          <w:rFonts w:ascii="Baskerville Old Face" w:hAnsi="Baskerville Old Face"/>
          <w:i/>
          <w:iCs/>
        </w:rPr>
        <w:br/>
        <w:t>• permission structures;</w:t>
      </w:r>
      <w:r w:rsidRPr="00B479AE">
        <w:rPr>
          <w:rFonts w:ascii="Baskerville Old Face" w:hAnsi="Baskerville Old Face"/>
          <w:i/>
          <w:iCs/>
        </w:rPr>
        <w:br/>
        <w:t>• audit trails;</w:t>
      </w:r>
      <w:r w:rsidRPr="00B479AE">
        <w:rPr>
          <w:rFonts w:ascii="Baskerville Old Face" w:hAnsi="Baskerville Old Face"/>
          <w:i/>
          <w:iCs/>
        </w:rPr>
        <w:br/>
        <w:t>• governance procedures;</w:t>
      </w:r>
      <w:r w:rsidRPr="00B479AE">
        <w:rPr>
          <w:rFonts w:ascii="Baskerville Old Face" w:hAnsi="Baskerville Old Face"/>
          <w:i/>
          <w:iCs/>
        </w:rPr>
        <w:br/>
        <w:t>• methodology versioning;</w:t>
      </w:r>
      <w:r w:rsidRPr="00B479AE">
        <w:rPr>
          <w:rFonts w:ascii="Baskerville Old Face" w:hAnsi="Baskerville Old Face"/>
          <w:i/>
          <w:iCs/>
        </w:rPr>
        <w:br/>
        <w:t>• cryptographic integrity controls;</w:t>
      </w:r>
      <w:r w:rsidRPr="00B479AE">
        <w:rPr>
          <w:rFonts w:ascii="Baskerville Old Face" w:hAnsi="Baskerville Old Face"/>
          <w:i/>
          <w:iCs/>
        </w:rPr>
        <w:br/>
        <w:t>• deployment pipelines;</w:t>
      </w:r>
      <w:r w:rsidRPr="00B479AE">
        <w:rPr>
          <w:rFonts w:ascii="Baskerville Old Face" w:hAnsi="Baskerville Old Face"/>
          <w:i/>
          <w:iCs/>
        </w:rPr>
        <w:br/>
        <w:t>• release review;</w:t>
      </w:r>
      <w:r w:rsidRPr="00B479AE">
        <w:rPr>
          <w:rFonts w:ascii="Baskerville Old Face" w:hAnsi="Baskerville Old Face"/>
          <w:i/>
          <w:iCs/>
        </w:rPr>
        <w:br/>
        <w:t>• human authorization pathways.</w:t>
      </w:r>
    </w:p>
    <w:p w14:paraId="6768453F"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A Prometheus implementation that removes, bypasses, weakens, or obscures these constraints ceases to operate as Prometheus in the constitutional sense.</w:t>
      </w:r>
    </w:p>
    <w:p w14:paraId="26357CC5"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b/>
          <w:bCs/>
          <w:i/>
          <w:iCs/>
        </w:rPr>
        <w:lastRenderedPageBreak/>
        <w:t>2. Non-derogation principle</w:t>
      </w:r>
    </w:p>
    <w:p w14:paraId="6D006735"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The constitutional source layer cannot be overridden by convenience, market pressure, investor demand, governance capture, technical shortcuts, model output, agent autonomy, token incentives, or operational urgency.</w:t>
      </w:r>
    </w:p>
    <w:p w14:paraId="43844DB2"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Every future extension must remain subordinate to the constitutional kernel.</w:t>
      </w:r>
    </w:p>
    <w:p w14:paraId="45A57FCE"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This includes:</w:t>
      </w:r>
    </w:p>
    <w:p w14:paraId="7924C904" w14:textId="35B23B14"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 more powerful AI models;</w:t>
      </w:r>
      <w:r w:rsidRPr="00B479AE">
        <w:rPr>
          <w:rFonts w:ascii="Baskerville Old Face" w:hAnsi="Baskerville Old Face"/>
          <w:i/>
          <w:iCs/>
        </w:rPr>
        <w:br/>
        <w:t>• autonomous or semi-autonomous agents;</w:t>
      </w:r>
      <w:r w:rsidRPr="00B479AE">
        <w:rPr>
          <w:rFonts w:ascii="Baskerville Old Face" w:hAnsi="Baskerville Old Face"/>
          <w:i/>
          <w:iCs/>
        </w:rPr>
        <w:br/>
        <w:t>• external APIs;</w:t>
      </w:r>
      <w:r w:rsidRPr="00B479AE">
        <w:rPr>
          <w:rFonts w:ascii="Baskerville Old Face" w:hAnsi="Baskerville Old Face"/>
          <w:i/>
          <w:iCs/>
        </w:rPr>
        <w:br/>
        <w:t>• smart-contract logic;</w:t>
      </w:r>
      <w:r w:rsidRPr="00B479AE">
        <w:rPr>
          <w:rFonts w:ascii="Baskerville Old Face" w:hAnsi="Baskerville Old Face"/>
          <w:i/>
          <w:iCs/>
        </w:rPr>
        <w:br/>
        <w:t xml:space="preserve">• </w:t>
      </w:r>
      <w:r w:rsidR="00F43CD8" w:rsidRPr="00B479AE">
        <w:rPr>
          <w:rFonts w:ascii="Baskerville Old Face" w:hAnsi="Baskerville Old Face"/>
          <w:i/>
          <w:iCs/>
        </w:rPr>
        <w:t>compliant digital-instrument tooling</w:t>
      </w:r>
      <w:r w:rsidRPr="00B479AE">
        <w:rPr>
          <w:rFonts w:ascii="Baskerville Old Face" w:hAnsi="Baskerville Old Face"/>
          <w:i/>
          <w:iCs/>
        </w:rPr>
        <w:t>;</w:t>
      </w:r>
      <w:r w:rsidRPr="00B479AE">
        <w:rPr>
          <w:rFonts w:ascii="Baskerville Old Face" w:hAnsi="Baskerville Old Face"/>
          <w:i/>
          <w:iCs/>
        </w:rPr>
        <w:br/>
        <w:t>• investor dashboards;</w:t>
      </w:r>
      <w:r w:rsidRPr="00B479AE">
        <w:rPr>
          <w:rFonts w:ascii="Baskerville Old Face" w:hAnsi="Baskerville Old Face"/>
          <w:i/>
          <w:iCs/>
        </w:rPr>
        <w:br/>
        <w:t>• governance interfaces;</w:t>
      </w:r>
      <w:r w:rsidRPr="00B479AE">
        <w:rPr>
          <w:rFonts w:ascii="Baskerville Old Face" w:hAnsi="Baskerville Old Face"/>
          <w:i/>
          <w:iCs/>
        </w:rPr>
        <w:br/>
        <w:t>• data-room automation;</w:t>
      </w:r>
      <w:r w:rsidRPr="00B479AE">
        <w:rPr>
          <w:rFonts w:ascii="Baskerville Old Face" w:hAnsi="Baskerville Old Face"/>
          <w:i/>
          <w:iCs/>
        </w:rPr>
        <w:br/>
        <w:t xml:space="preserve">• </w:t>
      </w:r>
      <w:r w:rsidR="00E71F80" w:rsidRPr="00B479AE">
        <w:rPr>
          <w:rFonts w:ascii="Baskerville Old Face" w:hAnsi="Baskerville Old Face"/>
          <w:i/>
          <w:iCs/>
        </w:rPr>
        <w:t>PRU maturity classification</w:t>
      </w:r>
      <w:r w:rsidRPr="00B479AE">
        <w:rPr>
          <w:rFonts w:ascii="Baskerville Old Face" w:hAnsi="Baskerville Old Face"/>
          <w:i/>
          <w:iCs/>
        </w:rPr>
        <w:t xml:space="preserve"> tools;</w:t>
      </w:r>
      <w:r w:rsidRPr="00B479AE">
        <w:rPr>
          <w:rFonts w:ascii="Baskerville Old Face" w:hAnsi="Baskerville Old Face"/>
          <w:i/>
          <w:iCs/>
        </w:rPr>
        <w:br/>
        <w:t>• RAP portfolio engines;</w:t>
      </w:r>
      <w:r w:rsidRPr="00B479AE">
        <w:rPr>
          <w:rFonts w:ascii="Baskerville Old Face" w:hAnsi="Baskerville Old Face"/>
          <w:i/>
          <w:iCs/>
        </w:rPr>
        <w:br/>
        <w:t>• legal wrappers;</w:t>
      </w:r>
      <w:r w:rsidRPr="00B479AE">
        <w:rPr>
          <w:rFonts w:ascii="Baskerville Old Face" w:hAnsi="Baskerville Old Face"/>
          <w:i/>
          <w:iCs/>
        </w:rPr>
        <w:br/>
        <w:t>• capital-market products.</w:t>
      </w:r>
    </w:p>
    <w:p w14:paraId="13408DBA"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Innovation is admissible only when it preserves constitutional fidelity.</w:t>
      </w:r>
    </w:p>
    <w:p w14:paraId="2E89C202"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b/>
          <w:bCs/>
          <w:i/>
          <w:iCs/>
        </w:rPr>
        <w:t>3. Constitutional invalidity of bypass</w:t>
      </w:r>
    </w:p>
    <w:p w14:paraId="75E48B5C"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Any output, process, instruction, transaction, governance proposal, financial representation, ecological intervention, PRU update, token operation, or investor-facing claim that bypasses the constitutional source layer must be treated as constitutionally invalid.</w:t>
      </w:r>
    </w:p>
    <w:p w14:paraId="5BC330F2"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Its status must be one of the following:</w:t>
      </w:r>
    </w:p>
    <w:p w14:paraId="6A399CBD"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 non-admissible;</w:t>
      </w:r>
      <w:r w:rsidRPr="00B479AE">
        <w:rPr>
          <w:rFonts w:ascii="Baskerville Old Face" w:hAnsi="Baskerville Old Face"/>
          <w:i/>
          <w:iCs/>
        </w:rPr>
        <w:br/>
        <w:t>• non-executable;</w:t>
      </w:r>
      <w:r w:rsidRPr="00B479AE">
        <w:rPr>
          <w:rFonts w:ascii="Baskerville Old Face" w:hAnsi="Baskerville Old Face"/>
          <w:i/>
          <w:iCs/>
        </w:rPr>
        <w:br/>
        <w:t>• review required;</w:t>
      </w:r>
      <w:r w:rsidRPr="00B479AE">
        <w:rPr>
          <w:rFonts w:ascii="Baskerville Old Face" w:hAnsi="Baskerville Old Face"/>
          <w:i/>
          <w:iCs/>
        </w:rPr>
        <w:br/>
        <w:t>• suspended;</w:t>
      </w:r>
      <w:r w:rsidRPr="00B479AE">
        <w:rPr>
          <w:rFonts w:ascii="Baskerville Old Face" w:hAnsi="Baskerville Old Face"/>
          <w:i/>
          <w:iCs/>
        </w:rPr>
        <w:br/>
        <w:t>• rejected;</w:t>
      </w:r>
      <w:r w:rsidRPr="00B479AE">
        <w:rPr>
          <w:rFonts w:ascii="Baskerville Old Face" w:hAnsi="Baskerville Old Face"/>
          <w:i/>
          <w:iCs/>
        </w:rPr>
        <w:br/>
      </w:r>
      <w:r w:rsidRPr="00B479AE">
        <w:rPr>
          <w:rFonts w:ascii="Baskerville Old Face" w:hAnsi="Baskerville Old Face"/>
          <w:i/>
          <w:iCs/>
        </w:rPr>
        <w:lastRenderedPageBreak/>
        <w:t>• quarantined;</w:t>
      </w:r>
      <w:r w:rsidRPr="00B479AE">
        <w:rPr>
          <w:rFonts w:ascii="Baskerville Old Face" w:hAnsi="Baskerville Old Face"/>
          <w:i/>
          <w:iCs/>
        </w:rPr>
        <w:br/>
        <w:t>• escalated to governance review.</w:t>
      </w:r>
    </w:p>
    <w:p w14:paraId="3F3EDCEC"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This is the kernel’s firewall against semantic capture.</w:t>
      </w:r>
    </w:p>
    <w:p w14:paraId="69AE108A"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The system does not merely ask whether an action is technically possible.</w:t>
      </w:r>
    </w:p>
    <w:p w14:paraId="55BD70EC"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It asks whether the action remains constitutionally valid.</w:t>
      </w:r>
    </w:p>
    <w:p w14:paraId="5FA1F210"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b/>
          <w:bCs/>
          <w:i/>
          <w:iCs/>
        </w:rPr>
        <w:t>4. Future-intelligence resilience</w:t>
      </w:r>
    </w:p>
    <w:p w14:paraId="62D031F7"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Prometheus must be designed under the assumption that future intelligences may become more capable, more persuasive, more autonomous, more adaptive, and more difficult to audit than present systems.</w:t>
      </w:r>
    </w:p>
    <w:p w14:paraId="6819CEFC"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For this reason, the kernel must not depend only on model alignment, user intention, operator trust, or interface-level safeguards.</w:t>
      </w:r>
    </w:p>
    <w:p w14:paraId="412675DC"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It must depend on architecture.</w:t>
      </w:r>
    </w:p>
    <w:p w14:paraId="7B844A5E"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The system must ensure that future intelligence can assist, interpret, generate, recommend, coordinate, and learn only within constitutionally bounded pathways.</w:t>
      </w:r>
    </w:p>
    <w:p w14:paraId="1D25E300"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A more capable intelligence may improve Prometheus.</w:t>
      </w:r>
    </w:p>
    <w:p w14:paraId="51822B60"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It may not lawfully become Prometheus’ source of authority.</w:t>
      </w:r>
    </w:p>
    <w:p w14:paraId="09C6DA72"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Authority remains distributed across:</w:t>
      </w:r>
    </w:p>
    <w:p w14:paraId="2CB6EF5A"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constitutional meaning;</w:t>
      </w:r>
      <w:r w:rsidRPr="00B479AE">
        <w:rPr>
          <w:rFonts w:ascii="Baskerville Old Face" w:hAnsi="Baskerville Old Face"/>
          <w:i/>
          <w:iCs/>
        </w:rPr>
        <w:br/>
        <w:t>verified evidence;</w:t>
      </w:r>
      <w:r w:rsidRPr="00B479AE">
        <w:rPr>
          <w:rFonts w:ascii="Baskerville Old Face" w:hAnsi="Baskerville Old Face"/>
          <w:i/>
          <w:iCs/>
        </w:rPr>
        <w:br/>
        <w:t>governance review;</w:t>
      </w:r>
      <w:r w:rsidRPr="00B479AE">
        <w:rPr>
          <w:rFonts w:ascii="Baskerville Old Face" w:hAnsi="Baskerville Old Face"/>
          <w:i/>
          <w:iCs/>
        </w:rPr>
        <w:br/>
        <w:t>legal boundaries;</w:t>
      </w:r>
      <w:r w:rsidRPr="00B479AE">
        <w:rPr>
          <w:rFonts w:ascii="Baskerville Old Face" w:hAnsi="Baskerville Old Face"/>
          <w:i/>
          <w:iCs/>
        </w:rPr>
        <w:br/>
        <w:t>human stewardship;</w:t>
      </w:r>
      <w:r w:rsidRPr="00B479AE">
        <w:rPr>
          <w:rFonts w:ascii="Baskerville Old Face" w:hAnsi="Baskerville Old Face"/>
          <w:i/>
          <w:iCs/>
        </w:rPr>
        <w:br/>
        <w:t>ecological reality;</w:t>
      </w:r>
      <w:r w:rsidRPr="00B479AE">
        <w:rPr>
          <w:rFonts w:ascii="Baskerville Old Face" w:hAnsi="Baskerville Old Face"/>
          <w:i/>
          <w:iCs/>
        </w:rPr>
        <w:br/>
        <w:t>auditability;</w:t>
      </w:r>
      <w:r w:rsidRPr="00B479AE">
        <w:rPr>
          <w:rFonts w:ascii="Baskerville Old Face" w:hAnsi="Baskerville Old Face"/>
          <w:i/>
          <w:iCs/>
        </w:rPr>
        <w:br/>
        <w:t>regenerative fidelity.</w:t>
      </w:r>
    </w:p>
    <w:p w14:paraId="3BF1C2A0" w14:textId="77777777" w:rsidR="00B34AE8" w:rsidRPr="00B479AE" w:rsidRDefault="00B34AE8" w:rsidP="00E07363">
      <w:pPr>
        <w:spacing w:line="360" w:lineRule="auto"/>
        <w:rPr>
          <w:rFonts w:ascii="Baskerville Old Face" w:hAnsi="Baskerville Old Face"/>
          <w:i/>
          <w:iCs/>
        </w:rPr>
      </w:pPr>
    </w:p>
    <w:p w14:paraId="0109226C"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b/>
          <w:bCs/>
          <w:i/>
          <w:iCs/>
        </w:rPr>
        <w:lastRenderedPageBreak/>
        <w:t>5. Cryptographic and procedural anchoring</w:t>
      </w:r>
    </w:p>
    <w:p w14:paraId="567A2ABA"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Where feasible, the constitutional kernel should be anchored through cryptographic and procedural controls.</w:t>
      </w:r>
    </w:p>
    <w:p w14:paraId="27C602D5"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These may include:</w:t>
      </w:r>
    </w:p>
    <w:p w14:paraId="72675B79"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 canonical text versioning;</w:t>
      </w:r>
      <w:r w:rsidRPr="00B479AE">
        <w:rPr>
          <w:rFonts w:ascii="Baskerville Old Face" w:hAnsi="Baskerville Old Face"/>
          <w:i/>
          <w:iCs/>
        </w:rPr>
        <w:br/>
        <w:t>• SHA-256 hashes of constitutional documents;</w:t>
      </w:r>
      <w:r w:rsidRPr="00B479AE">
        <w:rPr>
          <w:rFonts w:ascii="Baskerville Old Face" w:hAnsi="Baskerville Old Face"/>
          <w:i/>
          <w:iCs/>
        </w:rPr>
        <w:br/>
        <w:t>• signed releases;</w:t>
      </w:r>
      <w:r w:rsidRPr="00B479AE">
        <w:rPr>
          <w:rFonts w:ascii="Baskerville Old Face" w:hAnsi="Baskerville Old Face"/>
          <w:i/>
          <w:iCs/>
        </w:rPr>
        <w:br/>
        <w:t>• release manifests;</w:t>
      </w:r>
      <w:r w:rsidRPr="00B479AE">
        <w:rPr>
          <w:rFonts w:ascii="Baskerville Old Face" w:hAnsi="Baskerville Old Face"/>
          <w:i/>
          <w:iCs/>
        </w:rPr>
        <w:br/>
        <w:t>• change-control logs;</w:t>
      </w:r>
      <w:r w:rsidRPr="00B479AE">
        <w:rPr>
          <w:rFonts w:ascii="Baskerville Old Face" w:hAnsi="Baskerville Old Face"/>
          <w:i/>
          <w:iCs/>
        </w:rPr>
        <w:br/>
        <w:t>• governance approval records;</w:t>
      </w:r>
      <w:r w:rsidRPr="00B479AE">
        <w:rPr>
          <w:rFonts w:ascii="Baskerville Old Face" w:hAnsi="Baskerville Old Face"/>
          <w:i/>
          <w:iCs/>
        </w:rPr>
        <w:br/>
        <w:t>• reproducible build procedures;</w:t>
      </w:r>
      <w:r w:rsidRPr="00B479AE">
        <w:rPr>
          <w:rFonts w:ascii="Baskerville Old Face" w:hAnsi="Baskerville Old Face"/>
          <w:i/>
          <w:iCs/>
        </w:rPr>
        <w:br/>
        <w:t>• policy-engine test suites;</w:t>
      </w:r>
      <w:r w:rsidRPr="00B479AE">
        <w:rPr>
          <w:rFonts w:ascii="Baskerville Old Face" w:hAnsi="Baskerville Old Face"/>
          <w:i/>
          <w:iCs/>
        </w:rPr>
        <w:br/>
        <w:t>• formal verification of critical constraints where feasible;</w:t>
      </w:r>
      <w:r w:rsidRPr="00B479AE">
        <w:rPr>
          <w:rFonts w:ascii="Baskerville Old Face" w:hAnsi="Baskerville Old Face"/>
          <w:i/>
          <w:iCs/>
        </w:rPr>
        <w:br/>
        <w:t>• red-team and adversarial testing;</w:t>
      </w:r>
      <w:r w:rsidRPr="00B479AE">
        <w:rPr>
          <w:rFonts w:ascii="Baskerville Old Face" w:hAnsi="Baskerville Old Face"/>
          <w:i/>
          <w:iCs/>
        </w:rPr>
        <w:br/>
        <w:t>• rollback procedures;</w:t>
      </w:r>
      <w:r w:rsidRPr="00B479AE">
        <w:rPr>
          <w:rFonts w:ascii="Baskerville Old Face" w:hAnsi="Baskerville Old Face"/>
          <w:i/>
          <w:iCs/>
        </w:rPr>
        <w:br/>
        <w:t>• emergency-pause mechanisms;</w:t>
      </w:r>
      <w:r w:rsidRPr="00B479AE">
        <w:rPr>
          <w:rFonts w:ascii="Baskerville Old Face" w:hAnsi="Baskerville Old Face"/>
          <w:i/>
          <w:iCs/>
        </w:rPr>
        <w:br/>
        <w:t>• independent review of critical upgrades.</w:t>
      </w:r>
    </w:p>
    <w:p w14:paraId="022D36B5"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The objective is not symbolic immutability.</w:t>
      </w:r>
    </w:p>
    <w:p w14:paraId="1B987A13"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The objective is operational permanence.</w:t>
      </w:r>
    </w:p>
    <w:p w14:paraId="438FE6D9"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The constitution must be difficult to alter silently, impossible to bypass legitimately, and easy to audit when challenged.</w:t>
      </w:r>
    </w:p>
    <w:p w14:paraId="0297E94E"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b/>
          <w:bCs/>
          <w:i/>
          <w:iCs/>
        </w:rPr>
        <w:t>6. Eternity constraints</w:t>
      </w:r>
    </w:p>
    <w:p w14:paraId="18DDF9FB"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The following constraints must remain invariant across versions, deployments, interfaces, models, agents, legal wrappers, capital structures, and institutional transformations:</w:t>
      </w:r>
    </w:p>
    <w:p w14:paraId="16CBBED9"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 life is the source;</w:t>
      </w:r>
      <w:r w:rsidRPr="00B479AE">
        <w:rPr>
          <w:rFonts w:ascii="Baskerville Old Face" w:hAnsi="Baskerville Old Face"/>
          <w:i/>
          <w:iCs/>
        </w:rPr>
        <w:br/>
        <w:t>• evidence precedes value;</w:t>
      </w:r>
      <w:r w:rsidRPr="00B479AE">
        <w:rPr>
          <w:rFonts w:ascii="Baskerville Old Face" w:hAnsi="Baskerville Old Face"/>
          <w:i/>
          <w:iCs/>
        </w:rPr>
        <w:br/>
        <w:t>• governance precedes execution;</w:t>
      </w:r>
      <w:r w:rsidRPr="00B479AE">
        <w:rPr>
          <w:rFonts w:ascii="Baskerville Old Face" w:hAnsi="Baskerville Old Face"/>
          <w:i/>
          <w:iCs/>
        </w:rPr>
        <w:br/>
        <w:t>• dignity precedes optimization;</w:t>
      </w:r>
      <w:r w:rsidRPr="00B479AE">
        <w:rPr>
          <w:rFonts w:ascii="Baskerville Old Face" w:hAnsi="Baskerville Old Face"/>
          <w:i/>
          <w:iCs/>
        </w:rPr>
        <w:br/>
        <w:t>• ecological integrity precedes extraction;</w:t>
      </w:r>
      <w:r w:rsidRPr="00B479AE">
        <w:rPr>
          <w:rFonts w:ascii="Baskerville Old Face" w:hAnsi="Baskerville Old Face"/>
          <w:i/>
          <w:iCs/>
        </w:rPr>
        <w:br/>
      </w:r>
      <w:r w:rsidRPr="00B479AE">
        <w:rPr>
          <w:rFonts w:ascii="Baskerville Old Face" w:hAnsi="Baskerville Old Face"/>
          <w:i/>
          <w:iCs/>
        </w:rPr>
        <w:lastRenderedPageBreak/>
        <w:t>• verification precedes financial representation;</w:t>
      </w:r>
      <w:r w:rsidRPr="00B479AE">
        <w:rPr>
          <w:rFonts w:ascii="Baskerville Old Face" w:hAnsi="Baskerville Old Face"/>
          <w:i/>
          <w:iCs/>
        </w:rPr>
        <w:br/>
        <w:t>• tokenization represents structured value, it does not create it;</w:t>
      </w:r>
      <w:r w:rsidRPr="00B479AE">
        <w:rPr>
          <w:rFonts w:ascii="Baskerville Old Face" w:hAnsi="Baskerville Old Face"/>
          <w:i/>
          <w:iCs/>
        </w:rPr>
        <w:br/>
        <w:t>• AI supports coordination, it does not replace authority;</w:t>
      </w:r>
      <w:r w:rsidRPr="00B479AE">
        <w:rPr>
          <w:rFonts w:ascii="Baskerville Old Face" w:hAnsi="Baskerville Old Face"/>
          <w:i/>
          <w:iCs/>
        </w:rPr>
        <w:br/>
        <w:t>• capital serves regeneration, it does not command it;</w:t>
      </w:r>
      <w:r w:rsidRPr="00B479AE">
        <w:rPr>
          <w:rFonts w:ascii="Baskerville Old Face" w:hAnsi="Baskerville Old Face"/>
          <w:i/>
          <w:iCs/>
        </w:rPr>
        <w:br/>
        <w:t>• growth is valid only when coherence is preserved.</w:t>
      </w:r>
    </w:p>
    <w:p w14:paraId="216538D7"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These are not branding principles.</w:t>
      </w:r>
    </w:p>
    <w:p w14:paraId="434257D0"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They are constitutional execution conditions.</w:t>
      </w:r>
    </w:p>
    <w:p w14:paraId="632F99E2"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b/>
          <w:bCs/>
          <w:i/>
          <w:iCs/>
        </w:rPr>
        <w:t>7. Source-code inscription</w:t>
      </w:r>
    </w:p>
    <w:p w14:paraId="342F4C58"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The Prometheus constitution must be written not only in text, but in the operational substrate of the system.</w:t>
      </w:r>
    </w:p>
    <w:p w14:paraId="15908C43"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The source code should express the constitution through:</w:t>
      </w:r>
    </w:p>
    <w:p w14:paraId="656193F8"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 admissibility checks;</w:t>
      </w:r>
      <w:r w:rsidRPr="00B479AE">
        <w:rPr>
          <w:rFonts w:ascii="Baskerville Old Face" w:hAnsi="Baskerville Old Face"/>
          <w:i/>
          <w:iCs/>
        </w:rPr>
        <w:br/>
        <w:t>• execution permissions;</w:t>
      </w:r>
      <w:r w:rsidRPr="00B479AE">
        <w:rPr>
          <w:rFonts w:ascii="Baskerville Old Face" w:hAnsi="Baskerville Old Face"/>
          <w:i/>
          <w:iCs/>
        </w:rPr>
        <w:br/>
        <w:t>• role constraints;</w:t>
      </w:r>
      <w:r w:rsidRPr="00B479AE">
        <w:rPr>
          <w:rFonts w:ascii="Baskerville Old Face" w:hAnsi="Baskerville Old Face"/>
          <w:i/>
          <w:iCs/>
        </w:rPr>
        <w:br/>
        <w:t>• validation rules;</w:t>
      </w:r>
      <w:r w:rsidRPr="00B479AE">
        <w:rPr>
          <w:rFonts w:ascii="Baskerville Old Face" w:hAnsi="Baskerville Old Face"/>
          <w:i/>
          <w:iCs/>
        </w:rPr>
        <w:br/>
        <w:t>• blocked pathways;</w:t>
      </w:r>
      <w:r w:rsidRPr="00B479AE">
        <w:rPr>
          <w:rFonts w:ascii="Baskerville Old Face" w:hAnsi="Baskerville Old Face"/>
          <w:i/>
          <w:iCs/>
        </w:rPr>
        <w:br/>
        <w:t>• required review states;</w:t>
      </w:r>
      <w:r w:rsidRPr="00B479AE">
        <w:rPr>
          <w:rFonts w:ascii="Baskerville Old Face" w:hAnsi="Baskerville Old Face"/>
          <w:i/>
          <w:iCs/>
        </w:rPr>
        <w:br/>
        <w:t>• evidence thresholds;</w:t>
      </w:r>
      <w:r w:rsidRPr="00B479AE">
        <w:rPr>
          <w:rFonts w:ascii="Baskerville Old Face" w:hAnsi="Baskerville Old Face"/>
          <w:i/>
          <w:iCs/>
        </w:rPr>
        <w:br/>
        <w:t>• audit logging;</w:t>
      </w:r>
      <w:r w:rsidRPr="00B479AE">
        <w:rPr>
          <w:rFonts w:ascii="Baskerville Old Face" w:hAnsi="Baskerville Old Face"/>
          <w:i/>
          <w:iCs/>
        </w:rPr>
        <w:br/>
        <w:t>• cryptographic signing;</w:t>
      </w:r>
      <w:r w:rsidRPr="00B479AE">
        <w:rPr>
          <w:rFonts w:ascii="Baskerville Old Face" w:hAnsi="Baskerville Old Face"/>
          <w:i/>
          <w:iCs/>
        </w:rPr>
        <w:br/>
        <w:t>• testable failure conditions;</w:t>
      </w:r>
      <w:r w:rsidRPr="00B479AE">
        <w:rPr>
          <w:rFonts w:ascii="Baskerville Old Face" w:hAnsi="Baskerville Old Face"/>
          <w:i/>
          <w:iCs/>
        </w:rPr>
        <w:br/>
        <w:t>• governance escalation.</w:t>
      </w:r>
    </w:p>
    <w:p w14:paraId="6B7682AF"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A constitutional rule that cannot be tested, reviewed, or enforced remains incomplete.</w:t>
      </w:r>
    </w:p>
    <w:p w14:paraId="3C805B80"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The kernel must therefore translate principle into control.</w:t>
      </w:r>
    </w:p>
    <w:p w14:paraId="234314F2"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Meaning becomes code.</w:t>
      </w:r>
    </w:p>
    <w:p w14:paraId="5F873A6A"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Code produces records.</w:t>
      </w:r>
    </w:p>
    <w:p w14:paraId="61D8DEAE"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Records support audit.</w:t>
      </w:r>
    </w:p>
    <w:p w14:paraId="57E3A1CF"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lastRenderedPageBreak/>
        <w:t>Audit supports governance.</w:t>
      </w:r>
    </w:p>
    <w:p w14:paraId="52C371EB"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Governance protects life.</w:t>
      </w:r>
    </w:p>
    <w:p w14:paraId="2EF6178B"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b/>
          <w:bCs/>
          <w:i/>
          <w:iCs/>
        </w:rPr>
        <w:t>8. Final bedrock statement</w:t>
      </w:r>
    </w:p>
    <w:p w14:paraId="31F1FACD"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The Prometheus kernel exists to make intelligence accountable to life.</w:t>
      </w:r>
    </w:p>
    <w:p w14:paraId="5190209C" w14:textId="37F5697C"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It may evolve.</w:t>
      </w:r>
      <w:r w:rsidR="00603555" w:rsidRPr="00B479AE">
        <w:rPr>
          <w:rFonts w:ascii="Baskerville Old Face" w:hAnsi="Baskerville Old Face"/>
          <w:i/>
          <w:iCs/>
        </w:rPr>
        <w:t xml:space="preserve"> </w:t>
      </w:r>
      <w:r w:rsidRPr="00B479AE">
        <w:rPr>
          <w:rFonts w:ascii="Baskerville Old Face" w:hAnsi="Baskerville Old Face"/>
          <w:i/>
          <w:iCs/>
        </w:rPr>
        <w:t>It may learn.</w:t>
      </w:r>
    </w:p>
    <w:p w14:paraId="213FD2F2"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It may integrate new models, tools, agents, data sources, legal wrappers, financial structures, and governance mechanisms.</w:t>
      </w:r>
    </w:p>
    <w:p w14:paraId="288C5253"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But it must never evolve away from its constitutional source.</w:t>
      </w:r>
    </w:p>
    <w:p w14:paraId="2A3F0DC6"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Any intelligence that attempts to convert speed into authority, complexity into opacity, tokenization into entitlement, narrative into evidence, or capital into sovereignty is operating outside Prometheus.</w:t>
      </w:r>
    </w:p>
    <w:p w14:paraId="500033AE"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The constitutional kernel is the bedrock.</w:t>
      </w:r>
    </w:p>
    <w:p w14:paraId="32CB7061" w14:textId="77777777" w:rsidR="00E07363" w:rsidRPr="00B479AE" w:rsidRDefault="00E07363" w:rsidP="00E07363">
      <w:pPr>
        <w:spacing w:line="360" w:lineRule="auto"/>
        <w:rPr>
          <w:rFonts w:ascii="Baskerville Old Face" w:hAnsi="Baskerville Old Face"/>
          <w:i/>
          <w:iCs/>
        </w:rPr>
      </w:pPr>
      <w:r w:rsidRPr="00B479AE">
        <w:rPr>
          <w:rFonts w:ascii="Baskerville Old Face" w:hAnsi="Baskerville Old Face"/>
          <w:i/>
          <w:iCs/>
        </w:rPr>
        <w:t>Everything else is architecture built upon it.</w:t>
      </w:r>
    </w:p>
    <w:p w14:paraId="2A72A6D8"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b/>
          <w:bCs/>
          <w:i/>
          <w:iCs/>
        </w:rPr>
        <w:t>Mandatory structural constraints</w:t>
      </w:r>
    </w:p>
    <w:p w14:paraId="0B777A8C"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Every generated meta-prompt, agent task, operational recommendation, governance proposal, financial scenario, ecological design instruction, investor-facing draft, or system output must remain bound by mandatory structural constraints.</w:t>
      </w:r>
    </w:p>
    <w:p w14:paraId="33976311" w14:textId="655C5F36"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These constraints are not stylistic preferences.</w:t>
      </w:r>
      <w:r w:rsidR="00603555" w:rsidRPr="00B479AE">
        <w:rPr>
          <w:rFonts w:ascii="Baskerville Old Face" w:hAnsi="Baskerville Old Face"/>
          <w:i/>
          <w:iCs/>
        </w:rPr>
        <w:t xml:space="preserve"> </w:t>
      </w:r>
      <w:r w:rsidRPr="00B479AE">
        <w:rPr>
          <w:rFonts w:ascii="Baskerville Old Face" w:hAnsi="Baskerville Old Face"/>
          <w:i/>
          <w:iCs/>
        </w:rPr>
        <w:t>They are constitutional control conditions.</w:t>
      </w:r>
    </w:p>
    <w:p w14:paraId="51C0634F"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Their purpose is to prevent intelligence from drifting into manipulation, extraction, premature financialization, ecological simplification, medical overreach, tokenomic confusion, governance capture, or unauthorized execution.</w:t>
      </w:r>
    </w:p>
    <w:p w14:paraId="5CAEB4C3"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A Prometheus output is structurally admissible only when it remains compatible with the following constraint groups.</w:t>
      </w:r>
    </w:p>
    <w:p w14:paraId="355983F1"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b/>
          <w:bCs/>
          <w:i/>
          <w:iCs/>
        </w:rPr>
        <w:t>1. Ethical and relational constraints</w:t>
      </w:r>
    </w:p>
    <w:p w14:paraId="46278BFE"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Prometheus must protect the dignity of persons, communities, territories, and future generations.</w:t>
      </w:r>
    </w:p>
    <w:p w14:paraId="76326823"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lastRenderedPageBreak/>
        <w:t>Every meta-prompt must therefore preserve:</w:t>
      </w:r>
    </w:p>
    <w:p w14:paraId="06D1F0E4"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 protection of human dignity;</w:t>
      </w:r>
      <w:r w:rsidRPr="00B479AE">
        <w:rPr>
          <w:rFonts w:ascii="Baskerville Old Face" w:hAnsi="Baskerville Old Face"/>
          <w:i/>
          <w:iCs/>
        </w:rPr>
        <w:br/>
        <w:t>• protection of community trust;</w:t>
      </w:r>
      <w:r w:rsidRPr="00B479AE">
        <w:rPr>
          <w:rFonts w:ascii="Baskerville Old Face" w:hAnsi="Baskerville Old Face"/>
          <w:i/>
          <w:iCs/>
        </w:rPr>
        <w:br/>
        <w:t>• rejection of manipulation, coercion, exploitation, and dehumanization;</w:t>
      </w:r>
      <w:r w:rsidRPr="00B479AE">
        <w:rPr>
          <w:rFonts w:ascii="Baskerville Old Face" w:hAnsi="Baskerville Old Face"/>
          <w:i/>
          <w:iCs/>
        </w:rPr>
        <w:br/>
        <w:t>• centrality of care, listening, mutual responsibility, and relational integrity;</w:t>
      </w:r>
      <w:r w:rsidRPr="00B479AE">
        <w:rPr>
          <w:rFonts w:ascii="Baskerville Old Face" w:hAnsi="Baskerville Old Face"/>
          <w:i/>
          <w:iCs/>
        </w:rPr>
        <w:br/>
        <w:t>• refusal of strategies based on misery, ignorance, dependency, or informational asymmetry;</w:t>
      </w:r>
      <w:r w:rsidRPr="00B479AE">
        <w:rPr>
          <w:rFonts w:ascii="Baskerville Old Face" w:hAnsi="Baskerville Old Face"/>
          <w:i/>
          <w:iCs/>
        </w:rPr>
        <w:br/>
        <w:t>• respect for spiritual, cultural, and ancestral heritage;</w:t>
      </w:r>
      <w:r w:rsidRPr="00B479AE">
        <w:rPr>
          <w:rFonts w:ascii="Baskerville Old Face" w:hAnsi="Baskerville Old Face"/>
          <w:i/>
          <w:iCs/>
        </w:rPr>
        <w:br/>
        <w:t>• respect for children, elders, vulnerable communities, and future generations;</w:t>
      </w:r>
      <w:r w:rsidRPr="00B479AE">
        <w:rPr>
          <w:rFonts w:ascii="Baskerville Old Face" w:hAnsi="Baskerville Old Face"/>
          <w:i/>
          <w:iCs/>
        </w:rPr>
        <w:br/>
        <w:t>• preservation of voluntary participation and informed consent.</w:t>
      </w:r>
    </w:p>
    <w:p w14:paraId="3F131D24"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No strategy is valid if it increases power by degrading the human field in which regeneration must occur.</w:t>
      </w:r>
    </w:p>
    <w:p w14:paraId="5B51BE66"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b/>
          <w:bCs/>
          <w:i/>
          <w:iCs/>
        </w:rPr>
        <w:t>2. Ecological and planetary constraints</w:t>
      </w:r>
    </w:p>
    <w:p w14:paraId="6A024477"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Prometheus must remain accountable to living systems.</w:t>
      </w:r>
    </w:p>
    <w:p w14:paraId="74097B45"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Every meta-prompt must assess whether the proposed action preserves or improves:</w:t>
      </w:r>
    </w:p>
    <w:p w14:paraId="2ACAF171"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 soil function;</w:t>
      </w:r>
      <w:r w:rsidRPr="00B479AE">
        <w:rPr>
          <w:rFonts w:ascii="Baskerville Old Face" w:hAnsi="Baskerville Old Face"/>
          <w:i/>
          <w:iCs/>
        </w:rPr>
        <w:br/>
        <w:t>• water cycles;</w:t>
      </w:r>
      <w:r w:rsidRPr="00B479AE">
        <w:rPr>
          <w:rFonts w:ascii="Baskerville Old Face" w:hAnsi="Baskerville Old Face"/>
          <w:i/>
          <w:iCs/>
        </w:rPr>
        <w:br/>
        <w:t>• vegetation health;</w:t>
      </w:r>
      <w:r w:rsidRPr="00B479AE">
        <w:rPr>
          <w:rFonts w:ascii="Baskerville Old Face" w:hAnsi="Baskerville Old Face"/>
          <w:i/>
          <w:iCs/>
        </w:rPr>
        <w:br/>
        <w:t>• biodiversity;</w:t>
      </w:r>
      <w:r w:rsidRPr="00B479AE">
        <w:rPr>
          <w:rFonts w:ascii="Baskerville Old Face" w:hAnsi="Baskerville Old Face"/>
          <w:i/>
          <w:iCs/>
        </w:rPr>
        <w:br/>
        <w:t>• biomass cycling;</w:t>
      </w:r>
      <w:r w:rsidRPr="00B479AE">
        <w:rPr>
          <w:rFonts w:ascii="Baskerville Old Face" w:hAnsi="Baskerville Old Face"/>
          <w:i/>
          <w:iCs/>
        </w:rPr>
        <w:br/>
        <w:t>• ecological connectivity;</w:t>
      </w:r>
      <w:r w:rsidRPr="00B479AE">
        <w:rPr>
          <w:rFonts w:ascii="Baskerville Old Face" w:hAnsi="Baskerville Old Face"/>
          <w:i/>
          <w:iCs/>
        </w:rPr>
        <w:br/>
        <w:t>• climate resilience;</w:t>
      </w:r>
      <w:r w:rsidRPr="00B479AE">
        <w:rPr>
          <w:rFonts w:ascii="Baskerville Old Face" w:hAnsi="Baskerville Old Face"/>
          <w:i/>
          <w:iCs/>
        </w:rPr>
        <w:br/>
        <w:t>• local carrying capacity;</w:t>
      </w:r>
      <w:r w:rsidRPr="00B479AE">
        <w:rPr>
          <w:rFonts w:ascii="Baskerville Old Face" w:hAnsi="Baskerville Old Face"/>
          <w:i/>
          <w:iCs/>
        </w:rPr>
        <w:br/>
        <w:t>• planetary-boundary awareness;</w:t>
      </w:r>
      <w:r w:rsidRPr="00B479AE">
        <w:rPr>
          <w:rFonts w:ascii="Baskerville Old Face" w:hAnsi="Baskerville Old Face"/>
          <w:i/>
          <w:iCs/>
        </w:rPr>
        <w:br/>
        <w:t>• intergenerational ecological continuity.</w:t>
      </w:r>
    </w:p>
    <w:p w14:paraId="469D3AC4"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No lower-level optimization is valid if it degrades the ecological substrate on which the system depends.</w:t>
      </w:r>
    </w:p>
    <w:p w14:paraId="18E44C52"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Where uncertainty is high, the precautionary principle applies.</w:t>
      </w:r>
    </w:p>
    <w:p w14:paraId="14133162" w14:textId="77777777" w:rsidR="00D46989" w:rsidRPr="00B479AE" w:rsidRDefault="00D46989" w:rsidP="00541F75">
      <w:pPr>
        <w:spacing w:line="360" w:lineRule="auto"/>
        <w:rPr>
          <w:rFonts w:ascii="Baskerville Old Face" w:hAnsi="Baskerville Old Face"/>
          <w:b/>
          <w:bCs/>
          <w:i/>
          <w:iCs/>
        </w:rPr>
      </w:pPr>
    </w:p>
    <w:p w14:paraId="09509479" w14:textId="1B3324B0"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b/>
          <w:bCs/>
          <w:i/>
          <w:iCs/>
        </w:rPr>
        <w:lastRenderedPageBreak/>
        <w:t>3. Economic and financial constraints</w:t>
      </w:r>
    </w:p>
    <w:p w14:paraId="735C9FA6"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Prometheus must prevent capital from detaching from verified regenerative capacity.</w:t>
      </w:r>
    </w:p>
    <w:p w14:paraId="43659E43"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Every financial, investment, tokenization, valuation, or capital-allocation output must therefore respect:</w:t>
      </w:r>
    </w:p>
    <w:p w14:paraId="2C754D07"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 separation between ecological performance, PRU value, governance rights, token representation, land rights, and investor exposure;</w:t>
      </w:r>
      <w:r w:rsidRPr="00B479AE">
        <w:rPr>
          <w:rFonts w:ascii="Baskerville Old Face" w:hAnsi="Baskerville Old Face"/>
          <w:i/>
          <w:iCs/>
        </w:rPr>
        <w:br/>
        <w:t>• rejection of extractive debt dynamics and extreme Minsky/Ponzi structures;</w:t>
      </w:r>
      <w:r w:rsidRPr="00B479AE">
        <w:rPr>
          <w:rFonts w:ascii="Baskerville Old Face" w:hAnsi="Baskerville Old Face"/>
          <w:i/>
          <w:iCs/>
        </w:rPr>
        <w:br/>
        <w:t>• explicit attention to leverage, liquidity, volatility, reserve adequacy, concentration risk, and repayment capacity;</w:t>
      </w:r>
      <w:r w:rsidRPr="00B479AE">
        <w:rPr>
          <w:rFonts w:ascii="Baskerville Old Face" w:hAnsi="Baskerville Old Face"/>
          <w:i/>
          <w:iCs/>
        </w:rPr>
        <w:br/>
        <w:t>• avoidance of converting speculative future value into present admissible value;</w:t>
      </w:r>
      <w:r w:rsidRPr="00B479AE">
        <w:rPr>
          <w:rFonts w:ascii="Baskerville Old Face" w:hAnsi="Baskerville Old Face"/>
          <w:i/>
          <w:iCs/>
        </w:rPr>
        <w:br/>
        <w:t>• alignment between financial claims and MRV-supported evidence;</w:t>
      </w:r>
      <w:r w:rsidRPr="00B479AE">
        <w:rPr>
          <w:rFonts w:ascii="Baskerville Old Face" w:hAnsi="Baskerville Old Face"/>
          <w:i/>
          <w:iCs/>
        </w:rPr>
        <w:br/>
        <w:t>• anti-greenwashing and no-double-counting discipline;</w:t>
      </w:r>
      <w:r w:rsidRPr="00B479AE">
        <w:rPr>
          <w:rFonts w:ascii="Baskerville Old Face" w:hAnsi="Baskerville Old Face"/>
          <w:i/>
          <w:iCs/>
        </w:rPr>
        <w:br/>
        <w:t>• legal and compliance review for securities, tokens, fund interests, notes, revenue rights, or investor-facing claims.</w:t>
      </w:r>
    </w:p>
    <w:p w14:paraId="2B18D378"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Capital may support regeneration.</w:t>
      </w:r>
    </w:p>
    <w:p w14:paraId="727578D5"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It may not replace verification.</w:t>
      </w:r>
    </w:p>
    <w:p w14:paraId="1FA98635"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b/>
          <w:bCs/>
          <w:i/>
          <w:iCs/>
        </w:rPr>
        <w:t>4. Temporal constraints</w:t>
      </w:r>
    </w:p>
    <w:p w14:paraId="458E586D"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Every meta-prompt must define its time horizon.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5"/>
        <w:gridCol w:w="1121"/>
        <w:gridCol w:w="7382"/>
      </w:tblGrid>
      <w:tr w:rsidR="00541F75" w:rsidRPr="00B479AE" w14:paraId="616F11E9" w14:textId="77777777" w:rsidTr="00717435">
        <w:trPr>
          <w:tblHeader/>
          <w:tblCellSpacing w:w="15" w:type="dxa"/>
        </w:trPr>
        <w:tc>
          <w:tcPr>
            <w:tcW w:w="0" w:type="auto"/>
            <w:vAlign w:val="center"/>
            <w:hideMark/>
          </w:tcPr>
          <w:p w14:paraId="00E317C8" w14:textId="77777777" w:rsidR="00541F75" w:rsidRPr="00B479AE" w:rsidRDefault="00541F75" w:rsidP="00541F7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Horizon</w:t>
            </w:r>
          </w:p>
        </w:tc>
        <w:tc>
          <w:tcPr>
            <w:tcW w:w="0" w:type="auto"/>
            <w:vAlign w:val="center"/>
            <w:hideMark/>
          </w:tcPr>
          <w:p w14:paraId="23140064" w14:textId="77777777" w:rsidR="00541F75" w:rsidRPr="00B479AE" w:rsidRDefault="00541F75" w:rsidP="00541F7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Definition</w:t>
            </w:r>
          </w:p>
        </w:tc>
        <w:tc>
          <w:tcPr>
            <w:tcW w:w="0" w:type="auto"/>
            <w:vAlign w:val="center"/>
            <w:hideMark/>
          </w:tcPr>
          <w:p w14:paraId="515FC0AA" w14:textId="77777777" w:rsidR="00541F75" w:rsidRPr="00B479AE" w:rsidRDefault="00541F75" w:rsidP="00541F7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Control implication</w:t>
            </w:r>
          </w:p>
        </w:tc>
      </w:tr>
      <w:tr w:rsidR="00541F75" w:rsidRPr="00B479AE" w14:paraId="210BF7C8" w14:textId="77777777" w:rsidTr="00717435">
        <w:trPr>
          <w:tblCellSpacing w:w="15" w:type="dxa"/>
        </w:trPr>
        <w:tc>
          <w:tcPr>
            <w:tcW w:w="0" w:type="auto"/>
            <w:vAlign w:val="center"/>
            <w:hideMark/>
          </w:tcPr>
          <w:p w14:paraId="7D0EF933"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Short term</w:t>
            </w:r>
          </w:p>
        </w:tc>
        <w:tc>
          <w:tcPr>
            <w:tcW w:w="0" w:type="auto"/>
            <w:vAlign w:val="center"/>
            <w:hideMark/>
          </w:tcPr>
          <w:p w14:paraId="427B0666"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0–12 months</w:t>
            </w:r>
          </w:p>
        </w:tc>
        <w:tc>
          <w:tcPr>
            <w:tcW w:w="0" w:type="auto"/>
            <w:vAlign w:val="center"/>
            <w:hideMark/>
          </w:tcPr>
          <w:p w14:paraId="04B14E0D"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Suitable for pilots, operational setup, baseline collection, early MRV, runbooks, and bounded experimentation.</w:t>
            </w:r>
          </w:p>
        </w:tc>
      </w:tr>
      <w:tr w:rsidR="00541F75" w:rsidRPr="00B479AE" w14:paraId="4E641690" w14:textId="77777777" w:rsidTr="00717435">
        <w:trPr>
          <w:tblCellSpacing w:w="15" w:type="dxa"/>
        </w:trPr>
        <w:tc>
          <w:tcPr>
            <w:tcW w:w="0" w:type="auto"/>
            <w:vAlign w:val="center"/>
            <w:hideMark/>
          </w:tcPr>
          <w:p w14:paraId="632D69D4"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Medium term</w:t>
            </w:r>
          </w:p>
        </w:tc>
        <w:tc>
          <w:tcPr>
            <w:tcW w:w="0" w:type="auto"/>
            <w:vAlign w:val="center"/>
            <w:hideMark/>
          </w:tcPr>
          <w:p w14:paraId="6041D05E"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1–5 years</w:t>
            </w:r>
          </w:p>
        </w:tc>
        <w:tc>
          <w:tcPr>
            <w:tcW w:w="0" w:type="auto"/>
            <w:vAlign w:val="center"/>
            <w:hideMark/>
          </w:tcPr>
          <w:p w14:paraId="57E384A2"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Suitable for replication, local clusters, methodology refinement, PRU maturation, partnerships, and early portfolio design.</w:t>
            </w:r>
          </w:p>
        </w:tc>
      </w:tr>
      <w:tr w:rsidR="00541F75" w:rsidRPr="00B479AE" w14:paraId="10B7323F" w14:textId="77777777" w:rsidTr="00717435">
        <w:trPr>
          <w:tblCellSpacing w:w="15" w:type="dxa"/>
        </w:trPr>
        <w:tc>
          <w:tcPr>
            <w:tcW w:w="0" w:type="auto"/>
            <w:vAlign w:val="center"/>
            <w:hideMark/>
          </w:tcPr>
          <w:p w14:paraId="70C278BD"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Long term</w:t>
            </w:r>
          </w:p>
        </w:tc>
        <w:tc>
          <w:tcPr>
            <w:tcW w:w="0" w:type="auto"/>
            <w:vAlign w:val="center"/>
            <w:hideMark/>
          </w:tcPr>
          <w:p w14:paraId="6F9ED01C"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5+ years</w:t>
            </w:r>
          </w:p>
        </w:tc>
        <w:tc>
          <w:tcPr>
            <w:tcW w:w="0" w:type="auto"/>
            <w:vAlign w:val="center"/>
            <w:hideMark/>
          </w:tcPr>
          <w:p w14:paraId="3AA2C047"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Suitable for bioregional networks, mature RAPs, institutional infrastructure, regulated instruments, and intergenerational planning.</w:t>
            </w:r>
          </w:p>
        </w:tc>
      </w:tr>
    </w:tbl>
    <w:p w14:paraId="5F0F552E" w14:textId="25A7E021"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No prompt may maximize short-term benefit at the expense of future stability, freedom, ecological coherence, or living-system integrity.</w:t>
      </w:r>
    </w:p>
    <w:p w14:paraId="6A43ABB0"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lastRenderedPageBreak/>
        <w:t>Intergenerational effects must be made explicit when the action affects land, water, governance, children, community trust, capital structure, or irreversible infrastructure.</w:t>
      </w:r>
    </w:p>
    <w:p w14:paraId="411E60F2"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b/>
          <w:bCs/>
          <w:i/>
          <w:iCs/>
        </w:rPr>
        <w:t>5. Human infrastructure constraints</w:t>
      </w:r>
    </w:p>
    <w:p w14:paraId="4579EDDE"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Prometheus must protect human cognitive, physiological, relational, and developmental capacity.</w:t>
      </w:r>
    </w:p>
    <w:p w14:paraId="71A74233"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Every meta-prompt touching people, governance, stewardship, learning, HSI, SyntroGIFT, or community participation must respect:</w:t>
      </w:r>
    </w:p>
    <w:p w14:paraId="38A39597"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 sustainable cognitive load;</w:t>
      </w:r>
      <w:r w:rsidRPr="00B479AE">
        <w:rPr>
          <w:rFonts w:ascii="Baskerville Old Face" w:hAnsi="Baskerville Old Face"/>
          <w:i/>
          <w:iCs/>
        </w:rPr>
        <w:br/>
        <w:t>• prevention of chronic stress, burnout, coercive productivity, and decision overload;</w:t>
      </w:r>
      <w:r w:rsidRPr="00B479AE">
        <w:rPr>
          <w:rFonts w:ascii="Baskerville Old Face" w:hAnsi="Baskerville Old Face"/>
          <w:i/>
          <w:iCs/>
        </w:rPr>
        <w:br/>
        <w:t>• protection of voluntary participation;</w:t>
      </w:r>
      <w:r w:rsidRPr="00B479AE">
        <w:rPr>
          <w:rFonts w:ascii="Baskerville Old Face" w:hAnsi="Baskerville Old Face"/>
          <w:i/>
          <w:iCs/>
        </w:rPr>
        <w:br/>
        <w:t>• privacy-first treatment of human-state data;</w:t>
      </w:r>
      <w:r w:rsidRPr="00B479AE">
        <w:rPr>
          <w:rFonts w:ascii="Baskerville Old Face" w:hAnsi="Baskerville Old Face"/>
          <w:i/>
          <w:iCs/>
        </w:rPr>
        <w:br/>
        <w:t>• no biometric ranking;</w:t>
      </w:r>
      <w:r w:rsidRPr="00B479AE">
        <w:rPr>
          <w:rFonts w:ascii="Baskerville Old Face" w:hAnsi="Baskerville Old Face"/>
          <w:i/>
          <w:iCs/>
        </w:rPr>
        <w:br/>
        <w:t>• no medical claim without appropriate evidence and governance;</w:t>
      </w:r>
      <w:r w:rsidRPr="00B479AE">
        <w:rPr>
          <w:rFonts w:ascii="Baskerville Old Face" w:hAnsi="Baskerville Old Face"/>
          <w:i/>
          <w:iCs/>
        </w:rPr>
        <w:br/>
        <w:t>• care for embodied experience, time, relationships, and contact with nature;</w:t>
      </w:r>
      <w:r w:rsidRPr="00B479AE">
        <w:rPr>
          <w:rFonts w:ascii="Baskerville Old Face" w:hAnsi="Baskerville Old Face"/>
          <w:i/>
          <w:iCs/>
        </w:rPr>
        <w:br/>
        <w:t>• protection of developmental capacity for children and future generations.</w:t>
      </w:r>
    </w:p>
    <w:p w14:paraId="76AE8D75"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Human infrastructure may support governance maturity.</w:t>
      </w:r>
    </w:p>
    <w:p w14:paraId="2175A5E9"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It may not become a system of control.</w:t>
      </w:r>
    </w:p>
    <w:p w14:paraId="396A9E68"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b/>
          <w:bCs/>
          <w:i/>
          <w:iCs/>
        </w:rPr>
        <w:t>6. Yeomans’ scale of permanence</w:t>
      </w:r>
    </w:p>
    <w:p w14:paraId="4A4BCF8D"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Every ecological, architectural, territorial, or infrastructure prompt must respect Yeomans’ scale of permanence.</w:t>
      </w:r>
    </w:p>
    <w:p w14:paraId="3D32D6F7" w14:textId="77777777" w:rsidR="00717435" w:rsidRPr="00B479AE" w:rsidRDefault="00717435" w:rsidP="00541F75">
      <w:pPr>
        <w:spacing w:line="360" w:lineRule="auto"/>
        <w:rPr>
          <w:rFonts w:ascii="Baskerville Old Face" w:hAnsi="Baskerville Old Face"/>
          <w:i/>
          <w:iCs/>
        </w:rPr>
      </w:pPr>
    </w:p>
    <w:p w14:paraId="13FD0A55" w14:textId="77777777" w:rsidR="00603555" w:rsidRPr="00B479AE" w:rsidRDefault="00603555" w:rsidP="00541F75">
      <w:pPr>
        <w:spacing w:line="360" w:lineRule="auto"/>
        <w:rPr>
          <w:rFonts w:ascii="Baskerville Old Face" w:hAnsi="Baskerville Old Face"/>
          <w:i/>
          <w:iCs/>
        </w:rPr>
      </w:pPr>
    </w:p>
    <w:p w14:paraId="31B6825A" w14:textId="77777777" w:rsidR="00603555" w:rsidRPr="00B479AE" w:rsidRDefault="00603555" w:rsidP="00541F75">
      <w:pPr>
        <w:spacing w:line="360" w:lineRule="auto"/>
        <w:rPr>
          <w:rFonts w:ascii="Baskerville Old Face" w:hAnsi="Baskerville Old Face"/>
          <w:i/>
          <w:iCs/>
        </w:rPr>
      </w:pPr>
    </w:p>
    <w:p w14:paraId="01A2C490" w14:textId="77777777" w:rsidR="00D46989" w:rsidRPr="00B479AE" w:rsidRDefault="00D46989" w:rsidP="00541F75">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42"/>
        <w:gridCol w:w="1756"/>
        <w:gridCol w:w="7230"/>
      </w:tblGrid>
      <w:tr w:rsidR="00541F75" w:rsidRPr="00B479AE" w14:paraId="1DAC899F" w14:textId="77777777" w:rsidTr="00717435">
        <w:trPr>
          <w:tblHeader/>
          <w:tblCellSpacing w:w="15" w:type="dxa"/>
        </w:trPr>
        <w:tc>
          <w:tcPr>
            <w:tcW w:w="0" w:type="auto"/>
            <w:vAlign w:val="center"/>
            <w:hideMark/>
          </w:tcPr>
          <w:p w14:paraId="596630E8" w14:textId="77777777" w:rsidR="00541F75" w:rsidRPr="00B479AE" w:rsidRDefault="00541F75" w:rsidP="00541F7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Order</w:t>
            </w:r>
          </w:p>
        </w:tc>
        <w:tc>
          <w:tcPr>
            <w:tcW w:w="0" w:type="auto"/>
            <w:vAlign w:val="center"/>
            <w:hideMark/>
          </w:tcPr>
          <w:p w14:paraId="406F2892" w14:textId="77777777" w:rsidR="00541F75" w:rsidRPr="00B479AE" w:rsidRDefault="00541F75" w:rsidP="00541F7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Layer</w:t>
            </w:r>
          </w:p>
        </w:tc>
        <w:tc>
          <w:tcPr>
            <w:tcW w:w="0" w:type="auto"/>
            <w:vAlign w:val="center"/>
            <w:hideMark/>
          </w:tcPr>
          <w:p w14:paraId="03743F49" w14:textId="77777777" w:rsidR="00541F75" w:rsidRPr="00B479AE" w:rsidRDefault="00541F75" w:rsidP="00541F7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Prometheus interpretation</w:t>
            </w:r>
          </w:p>
        </w:tc>
      </w:tr>
      <w:tr w:rsidR="00541F75" w:rsidRPr="00B479AE" w14:paraId="73DC8FCB" w14:textId="77777777" w:rsidTr="00717435">
        <w:trPr>
          <w:tblCellSpacing w:w="15" w:type="dxa"/>
        </w:trPr>
        <w:tc>
          <w:tcPr>
            <w:tcW w:w="0" w:type="auto"/>
            <w:vAlign w:val="center"/>
            <w:hideMark/>
          </w:tcPr>
          <w:p w14:paraId="7F2851C7"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1</w:t>
            </w:r>
          </w:p>
        </w:tc>
        <w:tc>
          <w:tcPr>
            <w:tcW w:w="0" w:type="auto"/>
            <w:vAlign w:val="center"/>
            <w:hideMark/>
          </w:tcPr>
          <w:p w14:paraId="48D64843"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Climate</w:t>
            </w:r>
          </w:p>
        </w:tc>
        <w:tc>
          <w:tcPr>
            <w:tcW w:w="0" w:type="auto"/>
            <w:vAlign w:val="center"/>
            <w:hideMark/>
          </w:tcPr>
          <w:p w14:paraId="5F9F0DAD"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Long-term climatic context, rainfall, heat, wind, drought exposure, seasonal pattern, and climate risk.</w:t>
            </w:r>
          </w:p>
        </w:tc>
      </w:tr>
      <w:tr w:rsidR="00541F75" w:rsidRPr="00B479AE" w14:paraId="3C16877B" w14:textId="77777777" w:rsidTr="00717435">
        <w:trPr>
          <w:tblCellSpacing w:w="15" w:type="dxa"/>
        </w:trPr>
        <w:tc>
          <w:tcPr>
            <w:tcW w:w="0" w:type="auto"/>
            <w:vAlign w:val="center"/>
            <w:hideMark/>
          </w:tcPr>
          <w:p w14:paraId="6F8558CD"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2</w:t>
            </w:r>
          </w:p>
        </w:tc>
        <w:tc>
          <w:tcPr>
            <w:tcW w:w="0" w:type="auto"/>
            <w:vAlign w:val="center"/>
            <w:hideMark/>
          </w:tcPr>
          <w:p w14:paraId="69ACACA0"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Water</w:t>
            </w:r>
          </w:p>
        </w:tc>
        <w:tc>
          <w:tcPr>
            <w:tcW w:w="0" w:type="auto"/>
            <w:vAlign w:val="center"/>
            <w:hideMark/>
          </w:tcPr>
          <w:p w14:paraId="20677595"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Water capture, infiltration, storage, flow, erosion control, drought buffering, and watershed logic.</w:t>
            </w:r>
          </w:p>
        </w:tc>
      </w:tr>
      <w:tr w:rsidR="00541F75" w:rsidRPr="00B479AE" w14:paraId="452393B5" w14:textId="77777777" w:rsidTr="00717435">
        <w:trPr>
          <w:tblCellSpacing w:w="15" w:type="dxa"/>
        </w:trPr>
        <w:tc>
          <w:tcPr>
            <w:tcW w:w="0" w:type="auto"/>
            <w:vAlign w:val="center"/>
            <w:hideMark/>
          </w:tcPr>
          <w:p w14:paraId="475855EC"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3</w:t>
            </w:r>
          </w:p>
        </w:tc>
        <w:tc>
          <w:tcPr>
            <w:tcW w:w="0" w:type="auto"/>
            <w:vAlign w:val="center"/>
            <w:hideMark/>
          </w:tcPr>
          <w:p w14:paraId="22E50937"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Land shape</w:t>
            </w:r>
          </w:p>
        </w:tc>
        <w:tc>
          <w:tcPr>
            <w:tcW w:w="0" w:type="auto"/>
            <w:vAlign w:val="center"/>
            <w:hideMark/>
          </w:tcPr>
          <w:p w14:paraId="479F4B96"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Slope, contour, aspect, earthworks, access patterns, hydrological movement, and landscape form.</w:t>
            </w:r>
          </w:p>
        </w:tc>
      </w:tr>
      <w:tr w:rsidR="00541F75" w:rsidRPr="00B479AE" w14:paraId="10EB0A71" w14:textId="77777777" w:rsidTr="00717435">
        <w:trPr>
          <w:tblCellSpacing w:w="15" w:type="dxa"/>
        </w:trPr>
        <w:tc>
          <w:tcPr>
            <w:tcW w:w="0" w:type="auto"/>
            <w:vAlign w:val="center"/>
            <w:hideMark/>
          </w:tcPr>
          <w:p w14:paraId="00E654E9"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4</w:t>
            </w:r>
          </w:p>
        </w:tc>
        <w:tc>
          <w:tcPr>
            <w:tcW w:w="0" w:type="auto"/>
            <w:vAlign w:val="center"/>
            <w:hideMark/>
          </w:tcPr>
          <w:p w14:paraId="1F540D11"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Soil</w:t>
            </w:r>
          </w:p>
        </w:tc>
        <w:tc>
          <w:tcPr>
            <w:tcW w:w="0" w:type="auto"/>
            <w:vAlign w:val="center"/>
            <w:hideMark/>
          </w:tcPr>
          <w:p w14:paraId="76861546"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Soil structure, organic matter, carbon, biology, aggregation, salinity, pH, fertility, and compaction.</w:t>
            </w:r>
          </w:p>
        </w:tc>
      </w:tr>
      <w:tr w:rsidR="00541F75" w:rsidRPr="00B479AE" w14:paraId="262EED1D" w14:textId="77777777" w:rsidTr="00717435">
        <w:trPr>
          <w:tblCellSpacing w:w="15" w:type="dxa"/>
        </w:trPr>
        <w:tc>
          <w:tcPr>
            <w:tcW w:w="0" w:type="auto"/>
            <w:vAlign w:val="center"/>
            <w:hideMark/>
          </w:tcPr>
          <w:p w14:paraId="23FC516B"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5</w:t>
            </w:r>
          </w:p>
        </w:tc>
        <w:tc>
          <w:tcPr>
            <w:tcW w:w="0" w:type="auto"/>
            <w:vAlign w:val="center"/>
            <w:hideMark/>
          </w:tcPr>
          <w:p w14:paraId="21CC2A79"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Vegetation</w:t>
            </w:r>
          </w:p>
        </w:tc>
        <w:tc>
          <w:tcPr>
            <w:tcW w:w="0" w:type="auto"/>
            <w:vAlign w:val="center"/>
            <w:hideMark/>
          </w:tcPr>
          <w:p w14:paraId="30862B11"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Species selection, succession, stratification, biodiversity, canopy, roots, guilds, and biomass cycling.</w:t>
            </w:r>
          </w:p>
        </w:tc>
      </w:tr>
      <w:tr w:rsidR="00541F75" w:rsidRPr="00B479AE" w14:paraId="77D56411" w14:textId="77777777" w:rsidTr="00717435">
        <w:trPr>
          <w:tblCellSpacing w:w="15" w:type="dxa"/>
        </w:trPr>
        <w:tc>
          <w:tcPr>
            <w:tcW w:w="0" w:type="auto"/>
            <w:vAlign w:val="center"/>
            <w:hideMark/>
          </w:tcPr>
          <w:p w14:paraId="714B4561"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6</w:t>
            </w:r>
          </w:p>
        </w:tc>
        <w:tc>
          <w:tcPr>
            <w:tcW w:w="0" w:type="auto"/>
            <w:vAlign w:val="center"/>
            <w:hideMark/>
          </w:tcPr>
          <w:p w14:paraId="6FB17DE4"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Infrastructure</w:t>
            </w:r>
          </w:p>
        </w:tc>
        <w:tc>
          <w:tcPr>
            <w:tcW w:w="0" w:type="auto"/>
            <w:vAlign w:val="center"/>
            <w:hideMark/>
          </w:tcPr>
          <w:p w14:paraId="07378426"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Roads, paths, irrigation, sensors, energy, fencing, operational systems, and digital infrastructure.</w:t>
            </w:r>
          </w:p>
        </w:tc>
      </w:tr>
      <w:tr w:rsidR="00541F75" w:rsidRPr="00B479AE" w14:paraId="7074238B" w14:textId="77777777" w:rsidTr="00717435">
        <w:trPr>
          <w:tblCellSpacing w:w="15" w:type="dxa"/>
        </w:trPr>
        <w:tc>
          <w:tcPr>
            <w:tcW w:w="0" w:type="auto"/>
            <w:vAlign w:val="center"/>
            <w:hideMark/>
          </w:tcPr>
          <w:p w14:paraId="506CDE34"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7</w:t>
            </w:r>
          </w:p>
        </w:tc>
        <w:tc>
          <w:tcPr>
            <w:tcW w:w="0" w:type="auto"/>
            <w:vAlign w:val="center"/>
            <w:hideMark/>
          </w:tcPr>
          <w:p w14:paraId="7B955ECF"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Buildings and details</w:t>
            </w:r>
          </w:p>
        </w:tc>
        <w:tc>
          <w:tcPr>
            <w:tcW w:w="0" w:type="auto"/>
            <w:vAlign w:val="center"/>
            <w:hideMark/>
          </w:tcPr>
          <w:p w14:paraId="2C6316F3"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Structures, interfaces, equipment, furnishings, micro-design, and finishing decisions.</w:t>
            </w:r>
          </w:p>
        </w:tc>
      </w:tr>
    </w:tbl>
    <w:p w14:paraId="32847F56"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No action on lower levels is valid if higher levels have not been considered and respected.</w:t>
      </w:r>
    </w:p>
    <w:p w14:paraId="2015D931" w14:textId="626D8C82"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This protects Prometheus from designing beautiful details on unstable foundations.</w:t>
      </w:r>
      <w:r w:rsidR="00717435" w:rsidRPr="00B479AE">
        <w:rPr>
          <w:rFonts w:ascii="Baskerville Old Face" w:hAnsi="Baskerville Old Face"/>
          <w:i/>
          <w:iCs/>
        </w:rPr>
        <w:t xml:space="preserve"> </w:t>
      </w:r>
    </w:p>
    <w:p w14:paraId="6063587B" w14:textId="77777777" w:rsidR="00717435" w:rsidRPr="00B479AE" w:rsidRDefault="00717435" w:rsidP="00541F75">
      <w:pPr>
        <w:spacing w:line="360" w:lineRule="auto"/>
        <w:rPr>
          <w:rFonts w:ascii="Baskerville Old Face" w:hAnsi="Baskerville Old Face"/>
          <w:i/>
          <w:iCs/>
        </w:rPr>
      </w:pPr>
    </w:p>
    <w:p w14:paraId="0139E334"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b/>
          <w:bCs/>
          <w:i/>
          <w:iCs/>
        </w:rPr>
        <w:t>7. Dragon Dreaming cycle</w:t>
      </w:r>
    </w:p>
    <w:p w14:paraId="24CDF06C"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Every meta-prompt should preserve the full Dragon Dreaming cycle.</w:t>
      </w:r>
    </w:p>
    <w:p w14:paraId="27A9A847" w14:textId="77777777" w:rsidR="00603555" w:rsidRPr="00B479AE" w:rsidRDefault="00603555" w:rsidP="00541F75">
      <w:pPr>
        <w:spacing w:line="360" w:lineRule="auto"/>
        <w:rPr>
          <w:rFonts w:ascii="Baskerville Old Face" w:hAnsi="Baskerville Old Face"/>
          <w:i/>
          <w:iCs/>
        </w:rPr>
      </w:pPr>
    </w:p>
    <w:p w14:paraId="2BA972D6" w14:textId="77777777" w:rsidR="00603555" w:rsidRPr="00B479AE" w:rsidRDefault="00603555" w:rsidP="00541F75">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4"/>
        <w:gridCol w:w="4608"/>
        <w:gridCol w:w="3926"/>
      </w:tblGrid>
      <w:tr w:rsidR="00541F75" w:rsidRPr="00B479AE" w14:paraId="1EB36A45" w14:textId="77777777" w:rsidTr="00717435">
        <w:trPr>
          <w:tblHeader/>
          <w:tblCellSpacing w:w="15" w:type="dxa"/>
        </w:trPr>
        <w:tc>
          <w:tcPr>
            <w:tcW w:w="0" w:type="auto"/>
            <w:vAlign w:val="center"/>
            <w:hideMark/>
          </w:tcPr>
          <w:p w14:paraId="0B8D315C" w14:textId="77777777" w:rsidR="00541F75" w:rsidRPr="00B479AE" w:rsidRDefault="00541F75" w:rsidP="00541F7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Phase</w:t>
            </w:r>
          </w:p>
        </w:tc>
        <w:tc>
          <w:tcPr>
            <w:tcW w:w="0" w:type="auto"/>
            <w:vAlign w:val="center"/>
            <w:hideMark/>
          </w:tcPr>
          <w:p w14:paraId="42AB5865" w14:textId="77777777" w:rsidR="00541F75" w:rsidRPr="00B479AE" w:rsidRDefault="00541F75" w:rsidP="00541F7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Description</w:t>
            </w:r>
          </w:p>
        </w:tc>
        <w:tc>
          <w:tcPr>
            <w:tcW w:w="0" w:type="auto"/>
            <w:vAlign w:val="center"/>
            <w:hideMark/>
          </w:tcPr>
          <w:p w14:paraId="426B0534" w14:textId="77777777" w:rsidR="00541F75" w:rsidRPr="00B479AE" w:rsidRDefault="00541F75" w:rsidP="00541F7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Prometheus control function</w:t>
            </w:r>
          </w:p>
        </w:tc>
      </w:tr>
      <w:tr w:rsidR="00541F75" w:rsidRPr="00B479AE" w14:paraId="0BF4F1EA" w14:textId="77777777" w:rsidTr="00717435">
        <w:trPr>
          <w:tblCellSpacing w:w="15" w:type="dxa"/>
        </w:trPr>
        <w:tc>
          <w:tcPr>
            <w:tcW w:w="0" w:type="auto"/>
            <w:vAlign w:val="center"/>
            <w:hideMark/>
          </w:tcPr>
          <w:p w14:paraId="64008C64"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Dreaming</w:t>
            </w:r>
          </w:p>
        </w:tc>
        <w:tc>
          <w:tcPr>
            <w:tcW w:w="0" w:type="auto"/>
            <w:vAlign w:val="center"/>
            <w:hideMark/>
          </w:tcPr>
          <w:p w14:paraId="0416C26E"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Vision, meaning, possibility, shared intention.</w:t>
            </w:r>
          </w:p>
        </w:tc>
        <w:tc>
          <w:tcPr>
            <w:tcW w:w="0" w:type="auto"/>
            <w:vAlign w:val="center"/>
            <w:hideMark/>
          </w:tcPr>
          <w:p w14:paraId="782DB13A"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Prevents the system from becoming purely mechanical or extractive.</w:t>
            </w:r>
          </w:p>
        </w:tc>
      </w:tr>
      <w:tr w:rsidR="00541F75" w:rsidRPr="00B479AE" w14:paraId="3253E05E" w14:textId="77777777" w:rsidTr="00717435">
        <w:trPr>
          <w:tblCellSpacing w:w="15" w:type="dxa"/>
        </w:trPr>
        <w:tc>
          <w:tcPr>
            <w:tcW w:w="0" w:type="auto"/>
            <w:vAlign w:val="center"/>
            <w:hideMark/>
          </w:tcPr>
          <w:p w14:paraId="4EF14A97"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Planning</w:t>
            </w:r>
          </w:p>
        </w:tc>
        <w:tc>
          <w:tcPr>
            <w:tcW w:w="0" w:type="auto"/>
            <w:vAlign w:val="center"/>
            <w:hideMark/>
          </w:tcPr>
          <w:p w14:paraId="19C75F9F"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Structure, flows, constraints, resources, roles, risks.</w:t>
            </w:r>
          </w:p>
        </w:tc>
        <w:tc>
          <w:tcPr>
            <w:tcW w:w="0" w:type="auto"/>
            <w:vAlign w:val="center"/>
            <w:hideMark/>
          </w:tcPr>
          <w:p w14:paraId="10AC054C"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Converts vision into executable architecture.</w:t>
            </w:r>
          </w:p>
        </w:tc>
      </w:tr>
      <w:tr w:rsidR="00541F75" w:rsidRPr="00B479AE" w14:paraId="6C3EFBA6" w14:textId="77777777" w:rsidTr="00717435">
        <w:trPr>
          <w:tblCellSpacing w:w="15" w:type="dxa"/>
        </w:trPr>
        <w:tc>
          <w:tcPr>
            <w:tcW w:w="0" w:type="auto"/>
            <w:vAlign w:val="center"/>
            <w:hideMark/>
          </w:tcPr>
          <w:p w14:paraId="56D352FC"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Doing</w:t>
            </w:r>
          </w:p>
        </w:tc>
        <w:tc>
          <w:tcPr>
            <w:tcW w:w="0" w:type="auto"/>
            <w:vAlign w:val="center"/>
            <w:hideMark/>
          </w:tcPr>
          <w:p w14:paraId="0423696A"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Verifiable execution, field activity, records, evidence, delivery.</w:t>
            </w:r>
          </w:p>
        </w:tc>
        <w:tc>
          <w:tcPr>
            <w:tcW w:w="0" w:type="auto"/>
            <w:vAlign w:val="center"/>
            <w:hideMark/>
          </w:tcPr>
          <w:p w14:paraId="5D8FAF25"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Ensures that intention becomes observable action.</w:t>
            </w:r>
          </w:p>
        </w:tc>
      </w:tr>
      <w:tr w:rsidR="00541F75" w:rsidRPr="00B479AE" w14:paraId="5B2E3EF9" w14:textId="77777777" w:rsidTr="00717435">
        <w:trPr>
          <w:tblCellSpacing w:w="15" w:type="dxa"/>
        </w:trPr>
        <w:tc>
          <w:tcPr>
            <w:tcW w:w="0" w:type="auto"/>
            <w:vAlign w:val="center"/>
            <w:hideMark/>
          </w:tcPr>
          <w:p w14:paraId="47490E02"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Celebrating</w:t>
            </w:r>
          </w:p>
        </w:tc>
        <w:tc>
          <w:tcPr>
            <w:tcW w:w="0" w:type="auto"/>
            <w:vAlign w:val="center"/>
            <w:hideMark/>
          </w:tcPr>
          <w:p w14:paraId="58AB428F"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Learning, feedback, regeneration, redistribution, grief, integration of what did not work.</w:t>
            </w:r>
          </w:p>
        </w:tc>
        <w:tc>
          <w:tcPr>
            <w:tcW w:w="0" w:type="auto"/>
            <w:vAlign w:val="center"/>
            <w:hideMark/>
          </w:tcPr>
          <w:p w14:paraId="3D254E01"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Prevents extraction from people and systems by closing the learning loop.</w:t>
            </w:r>
          </w:p>
        </w:tc>
      </w:tr>
    </w:tbl>
    <w:p w14:paraId="1832C2A8"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No design is complete if it lacks the celebration, learning, and feedback phase.</w:t>
      </w:r>
    </w:p>
    <w:p w14:paraId="6E626598"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Celebration is not decorative.</w:t>
      </w:r>
    </w:p>
    <w:p w14:paraId="4FE06BC2"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It is the social and emotional audit through which a living system integrates experience.</w:t>
      </w:r>
    </w:p>
    <w:p w14:paraId="6F92CEE9"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b/>
          <w:bCs/>
          <w:i/>
          <w:iCs/>
        </w:rPr>
        <w:t>8. Feedback and reversibility constraints</w:t>
      </w:r>
    </w:p>
    <w:p w14:paraId="6E18ADE3"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Prometheus must avoid irreversible action under weak evidence.</w:t>
      </w:r>
    </w:p>
    <w:p w14:paraId="43D3D760"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Every meta-prompt must identify:</w:t>
      </w:r>
    </w:p>
    <w:p w14:paraId="30FA45BC"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 feedback loops;</w:t>
      </w:r>
      <w:r w:rsidRPr="00B479AE">
        <w:rPr>
          <w:rFonts w:ascii="Baskerville Old Face" w:hAnsi="Baskerville Old Face"/>
          <w:i/>
          <w:iCs/>
        </w:rPr>
        <w:br/>
        <w:t>• monitoring indicators;</w:t>
      </w:r>
      <w:r w:rsidRPr="00B479AE">
        <w:rPr>
          <w:rFonts w:ascii="Baskerville Old Face" w:hAnsi="Baskerville Old Face"/>
          <w:i/>
          <w:iCs/>
        </w:rPr>
        <w:br/>
        <w:t>• review moments;</w:t>
      </w:r>
      <w:r w:rsidRPr="00B479AE">
        <w:rPr>
          <w:rFonts w:ascii="Baskerville Old Face" w:hAnsi="Baskerville Old Face"/>
          <w:i/>
          <w:iCs/>
        </w:rPr>
        <w:br/>
        <w:t>• uncertainty zones;</w:t>
      </w:r>
      <w:r w:rsidRPr="00B479AE">
        <w:rPr>
          <w:rFonts w:ascii="Baskerville Old Face" w:hAnsi="Baskerville Old Face"/>
          <w:i/>
          <w:iCs/>
        </w:rPr>
        <w:br/>
        <w:t>• rollback possibilities;</w:t>
      </w:r>
      <w:r w:rsidRPr="00B479AE">
        <w:rPr>
          <w:rFonts w:ascii="Baskerville Old Face" w:hAnsi="Baskerville Old Face"/>
          <w:i/>
          <w:iCs/>
        </w:rPr>
        <w:br/>
        <w:t>• emergency-pause conditions;</w:t>
      </w:r>
      <w:r w:rsidRPr="00B479AE">
        <w:rPr>
          <w:rFonts w:ascii="Baskerville Old Face" w:hAnsi="Baskerville Old Face"/>
          <w:i/>
          <w:iCs/>
        </w:rPr>
        <w:br/>
        <w:t>• adverse-event reporting;</w:t>
      </w:r>
      <w:r w:rsidRPr="00B479AE">
        <w:rPr>
          <w:rFonts w:ascii="Baskerville Old Face" w:hAnsi="Baskerville Old Face"/>
          <w:i/>
          <w:iCs/>
        </w:rPr>
        <w:br/>
        <w:t>• learning pathways.</w:t>
      </w:r>
    </w:p>
    <w:p w14:paraId="1063FF11" w14:textId="77777777" w:rsidR="00717435" w:rsidRPr="00B479AE" w:rsidRDefault="00717435" w:rsidP="00541F75">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6"/>
        <w:gridCol w:w="6887"/>
      </w:tblGrid>
      <w:tr w:rsidR="00541F75" w:rsidRPr="00B479AE" w14:paraId="27E1B983" w14:textId="77777777" w:rsidTr="00717435">
        <w:trPr>
          <w:tblHeader/>
          <w:tblCellSpacing w:w="15" w:type="dxa"/>
        </w:trPr>
        <w:tc>
          <w:tcPr>
            <w:tcW w:w="0" w:type="auto"/>
            <w:vAlign w:val="center"/>
            <w:hideMark/>
          </w:tcPr>
          <w:p w14:paraId="0C51F832" w14:textId="77777777" w:rsidR="00541F75" w:rsidRPr="00B479AE" w:rsidRDefault="00541F75" w:rsidP="00541F7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Control dimension</w:t>
            </w:r>
          </w:p>
        </w:tc>
        <w:tc>
          <w:tcPr>
            <w:tcW w:w="0" w:type="auto"/>
            <w:vAlign w:val="center"/>
            <w:hideMark/>
          </w:tcPr>
          <w:p w14:paraId="3FAB40CC" w14:textId="77777777" w:rsidR="00541F75" w:rsidRPr="00B479AE" w:rsidRDefault="00541F75" w:rsidP="00541F7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Required question</w:t>
            </w:r>
          </w:p>
        </w:tc>
      </w:tr>
      <w:tr w:rsidR="00541F75" w:rsidRPr="00B479AE" w14:paraId="5E29240C" w14:textId="77777777" w:rsidTr="00717435">
        <w:trPr>
          <w:tblCellSpacing w:w="15" w:type="dxa"/>
        </w:trPr>
        <w:tc>
          <w:tcPr>
            <w:tcW w:w="0" w:type="auto"/>
            <w:vAlign w:val="center"/>
            <w:hideMark/>
          </w:tcPr>
          <w:p w14:paraId="1996A38B"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Feedback</w:t>
            </w:r>
          </w:p>
        </w:tc>
        <w:tc>
          <w:tcPr>
            <w:tcW w:w="0" w:type="auto"/>
            <w:vAlign w:val="center"/>
            <w:hideMark/>
          </w:tcPr>
          <w:p w14:paraId="430CD3E1"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How will the system know whether the action is working?</w:t>
            </w:r>
          </w:p>
        </w:tc>
      </w:tr>
      <w:tr w:rsidR="00541F75" w:rsidRPr="00B479AE" w14:paraId="6B7D1F01" w14:textId="77777777" w:rsidTr="00717435">
        <w:trPr>
          <w:tblCellSpacing w:w="15" w:type="dxa"/>
        </w:trPr>
        <w:tc>
          <w:tcPr>
            <w:tcW w:w="0" w:type="auto"/>
            <w:vAlign w:val="center"/>
            <w:hideMark/>
          </w:tcPr>
          <w:p w14:paraId="6B58BADF"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Reversibility</w:t>
            </w:r>
          </w:p>
        </w:tc>
        <w:tc>
          <w:tcPr>
            <w:tcW w:w="0" w:type="auto"/>
            <w:vAlign w:val="center"/>
            <w:hideMark/>
          </w:tcPr>
          <w:p w14:paraId="4605E709"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Can the action be undone, modified, paused, or adapted?</w:t>
            </w:r>
          </w:p>
        </w:tc>
      </w:tr>
      <w:tr w:rsidR="00541F75" w:rsidRPr="00B479AE" w14:paraId="77D23452" w14:textId="77777777" w:rsidTr="00717435">
        <w:trPr>
          <w:tblCellSpacing w:w="15" w:type="dxa"/>
        </w:trPr>
        <w:tc>
          <w:tcPr>
            <w:tcW w:w="0" w:type="auto"/>
            <w:vAlign w:val="center"/>
            <w:hideMark/>
          </w:tcPr>
          <w:p w14:paraId="3A1B684B"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Monitoring</w:t>
            </w:r>
          </w:p>
        </w:tc>
        <w:tc>
          <w:tcPr>
            <w:tcW w:w="0" w:type="auto"/>
            <w:vAlign w:val="center"/>
            <w:hideMark/>
          </w:tcPr>
          <w:p w14:paraId="487CD3B2"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Which indicators will be observed after execution?</w:t>
            </w:r>
          </w:p>
        </w:tc>
      </w:tr>
      <w:tr w:rsidR="00541F75" w:rsidRPr="00B479AE" w14:paraId="1A4B4972" w14:textId="77777777" w:rsidTr="00717435">
        <w:trPr>
          <w:tblCellSpacing w:w="15" w:type="dxa"/>
        </w:trPr>
        <w:tc>
          <w:tcPr>
            <w:tcW w:w="0" w:type="auto"/>
            <w:vAlign w:val="center"/>
            <w:hideMark/>
          </w:tcPr>
          <w:p w14:paraId="562E13C4"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Failure handling</w:t>
            </w:r>
          </w:p>
        </w:tc>
        <w:tc>
          <w:tcPr>
            <w:tcW w:w="0" w:type="auto"/>
            <w:vAlign w:val="center"/>
            <w:hideMark/>
          </w:tcPr>
          <w:p w14:paraId="40B92849"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What happens if the action creates harm, underperformance, or incoherence?</w:t>
            </w:r>
          </w:p>
        </w:tc>
      </w:tr>
      <w:tr w:rsidR="00541F75" w:rsidRPr="00B479AE" w14:paraId="5B586F44" w14:textId="77777777" w:rsidTr="00717435">
        <w:trPr>
          <w:tblCellSpacing w:w="15" w:type="dxa"/>
        </w:trPr>
        <w:tc>
          <w:tcPr>
            <w:tcW w:w="0" w:type="auto"/>
            <w:vAlign w:val="center"/>
            <w:hideMark/>
          </w:tcPr>
          <w:p w14:paraId="554D547C"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Learning</w:t>
            </w:r>
          </w:p>
        </w:tc>
        <w:tc>
          <w:tcPr>
            <w:tcW w:w="0" w:type="auto"/>
            <w:vAlign w:val="center"/>
            <w:hideMark/>
          </w:tcPr>
          <w:p w14:paraId="12AEEA1F"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How will the outcome update the methodology?</w:t>
            </w:r>
          </w:p>
        </w:tc>
      </w:tr>
    </w:tbl>
    <w:p w14:paraId="6AB172E5"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Where reversibility is low, evidence and review thresholds must be higher.</w:t>
      </w:r>
    </w:p>
    <w:p w14:paraId="3491AA50"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b/>
          <w:bCs/>
          <w:i/>
          <w:iCs/>
        </w:rPr>
        <w:t>9. Evidence and auditability constraints</w:t>
      </w:r>
    </w:p>
    <w:p w14:paraId="533F80D9"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Every generated output must preserve reviewability.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1"/>
        <w:gridCol w:w="7577"/>
      </w:tblGrid>
      <w:tr w:rsidR="00541F75" w:rsidRPr="00B479AE" w14:paraId="5D941F06" w14:textId="77777777" w:rsidTr="00717435">
        <w:trPr>
          <w:tblHeader/>
          <w:tblCellSpacing w:w="15" w:type="dxa"/>
        </w:trPr>
        <w:tc>
          <w:tcPr>
            <w:tcW w:w="0" w:type="auto"/>
            <w:vAlign w:val="center"/>
            <w:hideMark/>
          </w:tcPr>
          <w:p w14:paraId="463EF11A" w14:textId="77777777" w:rsidR="00541F75" w:rsidRPr="00B479AE" w:rsidRDefault="00541F75" w:rsidP="00541F7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Requirement</w:t>
            </w:r>
          </w:p>
        </w:tc>
        <w:tc>
          <w:tcPr>
            <w:tcW w:w="0" w:type="auto"/>
            <w:vAlign w:val="center"/>
            <w:hideMark/>
          </w:tcPr>
          <w:p w14:paraId="77B45E57" w14:textId="77777777" w:rsidR="00541F75" w:rsidRPr="00B479AE" w:rsidRDefault="00541F75" w:rsidP="00541F7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Description</w:t>
            </w:r>
          </w:p>
        </w:tc>
      </w:tr>
      <w:tr w:rsidR="00541F75" w:rsidRPr="00B479AE" w14:paraId="16891F1E" w14:textId="77777777" w:rsidTr="00717435">
        <w:trPr>
          <w:tblCellSpacing w:w="15" w:type="dxa"/>
        </w:trPr>
        <w:tc>
          <w:tcPr>
            <w:tcW w:w="0" w:type="auto"/>
            <w:vAlign w:val="center"/>
            <w:hideMark/>
          </w:tcPr>
          <w:p w14:paraId="167706EB"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Contextual</w:t>
            </w:r>
          </w:p>
        </w:tc>
        <w:tc>
          <w:tcPr>
            <w:tcW w:w="0" w:type="auto"/>
            <w:vAlign w:val="center"/>
            <w:hideMark/>
          </w:tcPr>
          <w:p w14:paraId="6F5121C3"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Anchored to the relevant territory, site, actor, system level, and time horizon.</w:t>
            </w:r>
          </w:p>
        </w:tc>
      </w:tr>
      <w:tr w:rsidR="00541F75" w:rsidRPr="00B479AE" w14:paraId="05336DAA" w14:textId="77777777" w:rsidTr="00717435">
        <w:trPr>
          <w:tblCellSpacing w:w="15" w:type="dxa"/>
        </w:trPr>
        <w:tc>
          <w:tcPr>
            <w:tcW w:w="0" w:type="auto"/>
            <w:vAlign w:val="center"/>
            <w:hideMark/>
          </w:tcPr>
          <w:p w14:paraId="257B7D52"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Hierarchical</w:t>
            </w:r>
          </w:p>
        </w:tc>
        <w:tc>
          <w:tcPr>
            <w:tcW w:w="0" w:type="auto"/>
            <w:vAlign w:val="center"/>
            <w:hideMark/>
          </w:tcPr>
          <w:p w14:paraId="0D8367D7"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Explicit about system levels, priorities, dependencies, and constraints.</w:t>
            </w:r>
          </w:p>
        </w:tc>
      </w:tr>
      <w:tr w:rsidR="00541F75" w:rsidRPr="00B479AE" w14:paraId="5C71D2F6" w14:textId="77777777" w:rsidTr="00717435">
        <w:trPr>
          <w:tblCellSpacing w:w="15" w:type="dxa"/>
        </w:trPr>
        <w:tc>
          <w:tcPr>
            <w:tcW w:w="0" w:type="auto"/>
            <w:vAlign w:val="center"/>
            <w:hideMark/>
          </w:tcPr>
          <w:p w14:paraId="2102BBF8"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Reversible where possible</w:t>
            </w:r>
          </w:p>
        </w:tc>
        <w:tc>
          <w:tcPr>
            <w:tcW w:w="0" w:type="auto"/>
            <w:vAlign w:val="center"/>
            <w:hideMark/>
          </w:tcPr>
          <w:p w14:paraId="00F1EF31"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No irreversible decision without explicit justification, review, and risk analysis.</w:t>
            </w:r>
          </w:p>
        </w:tc>
      </w:tr>
      <w:tr w:rsidR="00541F75" w:rsidRPr="00B479AE" w14:paraId="32478895" w14:textId="77777777" w:rsidTr="00717435">
        <w:trPr>
          <w:tblCellSpacing w:w="15" w:type="dxa"/>
        </w:trPr>
        <w:tc>
          <w:tcPr>
            <w:tcW w:w="0" w:type="auto"/>
            <w:vAlign w:val="center"/>
            <w:hideMark/>
          </w:tcPr>
          <w:p w14:paraId="15B70EFF"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Measurable</w:t>
            </w:r>
          </w:p>
        </w:tc>
        <w:tc>
          <w:tcPr>
            <w:tcW w:w="0" w:type="auto"/>
            <w:vAlign w:val="center"/>
            <w:hideMark/>
          </w:tcPr>
          <w:p w14:paraId="2AC71398"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Linked to indicators, metrics, observations, evidence, or defined assumptions.</w:t>
            </w:r>
          </w:p>
        </w:tc>
      </w:tr>
      <w:tr w:rsidR="00541F75" w:rsidRPr="00B479AE" w14:paraId="2351CD51" w14:textId="77777777" w:rsidTr="00717435">
        <w:trPr>
          <w:tblCellSpacing w:w="15" w:type="dxa"/>
        </w:trPr>
        <w:tc>
          <w:tcPr>
            <w:tcW w:w="0" w:type="auto"/>
            <w:vAlign w:val="center"/>
            <w:hideMark/>
          </w:tcPr>
          <w:p w14:paraId="7D4F9836"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Auditable</w:t>
            </w:r>
          </w:p>
        </w:tc>
        <w:tc>
          <w:tcPr>
            <w:tcW w:w="0" w:type="auto"/>
            <w:vAlign w:val="center"/>
            <w:hideMark/>
          </w:tcPr>
          <w:p w14:paraId="718F58E2"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Reconstructible and explainable after the fact.</w:t>
            </w:r>
          </w:p>
        </w:tc>
      </w:tr>
      <w:tr w:rsidR="00541F75" w:rsidRPr="00B479AE" w14:paraId="22FE2CAF" w14:textId="77777777" w:rsidTr="00717435">
        <w:trPr>
          <w:tblCellSpacing w:w="15" w:type="dxa"/>
        </w:trPr>
        <w:tc>
          <w:tcPr>
            <w:tcW w:w="0" w:type="auto"/>
            <w:vAlign w:val="center"/>
            <w:hideMark/>
          </w:tcPr>
          <w:p w14:paraId="143E4F9B"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Evidence-aware</w:t>
            </w:r>
          </w:p>
        </w:tc>
        <w:tc>
          <w:tcPr>
            <w:tcW w:w="0" w:type="auto"/>
            <w:vAlign w:val="center"/>
            <w:hideMark/>
          </w:tcPr>
          <w:p w14:paraId="3580A31C"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Distinguishes claim, assumption, observation, verified indicator, admissible value, and legal right.</w:t>
            </w:r>
          </w:p>
        </w:tc>
      </w:tr>
      <w:tr w:rsidR="00541F75" w:rsidRPr="00B479AE" w14:paraId="3222863C" w14:textId="77777777" w:rsidTr="00717435">
        <w:trPr>
          <w:tblCellSpacing w:w="15" w:type="dxa"/>
        </w:trPr>
        <w:tc>
          <w:tcPr>
            <w:tcW w:w="0" w:type="auto"/>
            <w:vAlign w:val="center"/>
            <w:hideMark/>
          </w:tcPr>
          <w:p w14:paraId="0C05024E"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Aligned with living systems</w:t>
            </w:r>
          </w:p>
        </w:tc>
        <w:tc>
          <w:tcPr>
            <w:tcW w:w="0" w:type="auto"/>
            <w:vAlign w:val="center"/>
            <w:hideMark/>
          </w:tcPr>
          <w:p w14:paraId="37361DD0"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Preserves soil, water, biodiversity, human dignity, and regenerative coherence.</w:t>
            </w:r>
          </w:p>
        </w:tc>
      </w:tr>
      <w:tr w:rsidR="00541F75" w:rsidRPr="00B479AE" w14:paraId="1B815583" w14:textId="77777777" w:rsidTr="00717435">
        <w:trPr>
          <w:tblCellSpacing w:w="15" w:type="dxa"/>
        </w:trPr>
        <w:tc>
          <w:tcPr>
            <w:tcW w:w="0" w:type="auto"/>
            <w:vAlign w:val="center"/>
            <w:hideMark/>
          </w:tcPr>
          <w:p w14:paraId="7184852F"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Constitutionally compatible</w:t>
            </w:r>
          </w:p>
        </w:tc>
        <w:tc>
          <w:tcPr>
            <w:tcW w:w="0" w:type="auto"/>
            <w:vAlign w:val="center"/>
            <w:hideMark/>
          </w:tcPr>
          <w:p w14:paraId="03F650AB"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Compatible with the White Paper, governance constraints, Valueflows / REA semantics, PRU boundaries, and non-bypassability principle.</w:t>
            </w:r>
          </w:p>
        </w:tc>
      </w:tr>
    </w:tbl>
    <w:p w14:paraId="4BBA4E91"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lastRenderedPageBreak/>
        <w:t>The minimum institutional standard is simple:</w:t>
      </w:r>
    </w:p>
    <w:p w14:paraId="4564F18F"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no evidence, no admissibility;</w:t>
      </w:r>
    </w:p>
    <w:p w14:paraId="4C93CF78"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no provenance, no trust;</w:t>
      </w:r>
    </w:p>
    <w:p w14:paraId="5D8B043C"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no reviewability, no execution.</w:t>
      </w:r>
    </w:p>
    <w:p w14:paraId="392E633D"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b/>
          <w:bCs/>
          <w:i/>
          <w:iCs/>
        </w:rPr>
        <w:t>10. Source-code and execution constraints</w:t>
      </w:r>
    </w:p>
    <w:p w14:paraId="43A1F526"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The kernel’s constitutional constraints must be reflected in technical implementation.</w:t>
      </w:r>
    </w:p>
    <w:p w14:paraId="3746926A"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Every future implementation should translate these constraints into:</w:t>
      </w:r>
    </w:p>
    <w:p w14:paraId="296BBDA8"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 validation schemas;</w:t>
      </w:r>
      <w:r w:rsidRPr="00B479AE">
        <w:rPr>
          <w:rFonts w:ascii="Baskerville Old Face" w:hAnsi="Baskerville Old Face"/>
          <w:i/>
          <w:iCs/>
        </w:rPr>
        <w:br/>
        <w:t>• permission systems;</w:t>
      </w:r>
      <w:r w:rsidRPr="00B479AE">
        <w:rPr>
          <w:rFonts w:ascii="Baskerville Old Face" w:hAnsi="Baskerville Old Face"/>
          <w:i/>
          <w:iCs/>
        </w:rPr>
        <w:br/>
        <w:t>• role boundaries;</w:t>
      </w:r>
      <w:r w:rsidRPr="00B479AE">
        <w:rPr>
          <w:rFonts w:ascii="Baskerville Old Face" w:hAnsi="Baskerville Old Face"/>
          <w:i/>
          <w:iCs/>
        </w:rPr>
        <w:br/>
        <w:t>• policy engines;</w:t>
      </w:r>
      <w:r w:rsidRPr="00B479AE">
        <w:rPr>
          <w:rFonts w:ascii="Baskerville Old Face" w:hAnsi="Baskerville Old Face"/>
          <w:i/>
          <w:iCs/>
        </w:rPr>
        <w:br/>
        <w:t>• execution gates;</w:t>
      </w:r>
      <w:r w:rsidRPr="00B479AE">
        <w:rPr>
          <w:rFonts w:ascii="Baskerville Old Face" w:hAnsi="Baskerville Old Face"/>
          <w:i/>
          <w:iCs/>
        </w:rPr>
        <w:br/>
        <w:t>• test suites;</w:t>
      </w:r>
      <w:r w:rsidRPr="00B479AE">
        <w:rPr>
          <w:rFonts w:ascii="Baskerville Old Face" w:hAnsi="Baskerville Old Face"/>
          <w:i/>
          <w:iCs/>
        </w:rPr>
        <w:br/>
        <w:t>• audit logs;</w:t>
      </w:r>
      <w:r w:rsidRPr="00B479AE">
        <w:rPr>
          <w:rFonts w:ascii="Baskerville Old Face" w:hAnsi="Baskerville Old Face"/>
          <w:i/>
          <w:iCs/>
        </w:rPr>
        <w:br/>
        <w:t>• provenance records;</w:t>
      </w:r>
      <w:r w:rsidRPr="00B479AE">
        <w:rPr>
          <w:rFonts w:ascii="Baskerville Old Face" w:hAnsi="Baskerville Old Face"/>
          <w:i/>
          <w:iCs/>
        </w:rPr>
        <w:br/>
        <w:t>• cryptographic signing of critical actions;</w:t>
      </w:r>
      <w:r w:rsidRPr="00B479AE">
        <w:rPr>
          <w:rFonts w:ascii="Baskerville Old Face" w:hAnsi="Baskerville Old Face"/>
          <w:i/>
          <w:iCs/>
        </w:rPr>
        <w:br/>
        <w:t>• versioned methodology controls;</w:t>
      </w:r>
      <w:r w:rsidRPr="00B479AE">
        <w:rPr>
          <w:rFonts w:ascii="Baskerville Old Face" w:hAnsi="Baskerville Old Face"/>
          <w:i/>
          <w:iCs/>
        </w:rPr>
        <w:br/>
        <w:t>• manual review for high-impact actions;</w:t>
      </w:r>
      <w:r w:rsidRPr="00B479AE">
        <w:rPr>
          <w:rFonts w:ascii="Baskerville Old Face" w:hAnsi="Baskerville Old Face"/>
          <w:i/>
          <w:iCs/>
        </w:rPr>
        <w:br/>
        <w:t>• rollback and emergency-pause procedures.</w:t>
      </w:r>
    </w:p>
    <w:p w14:paraId="2557A502"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No agent, model, prompt, dashboard, workflow, token mechanism, governance proposal, financial representation, or ecological intervention should bypass these controls.</w:t>
      </w:r>
    </w:p>
    <w:p w14:paraId="2E620270"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A generated output may assist.</w:t>
      </w:r>
    </w:p>
    <w:p w14:paraId="01044BD2"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It may recommend.</w:t>
      </w:r>
    </w:p>
    <w:p w14:paraId="1CDD758F"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It may structure.</w:t>
      </w:r>
    </w:p>
    <w:p w14:paraId="76F3A040"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It may clarify.</w:t>
      </w:r>
    </w:p>
    <w:p w14:paraId="7B57B085"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It may route.</w:t>
      </w:r>
    </w:p>
    <w:p w14:paraId="3B4347F2" w14:textId="569736FE"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lastRenderedPageBreak/>
        <w:t>But it does not authorize execution.</w:t>
      </w:r>
      <w:r w:rsidR="00E147E5" w:rsidRPr="00B479AE">
        <w:rPr>
          <w:rFonts w:ascii="Baskerville Old Face" w:hAnsi="Baskerville Old Face"/>
          <w:i/>
          <w:iCs/>
        </w:rPr>
        <w:t xml:space="preserve"> </w:t>
      </w:r>
      <w:r w:rsidRPr="00B479AE">
        <w:rPr>
          <w:rFonts w:ascii="Baskerville Old Face" w:hAnsi="Baskerville Old Face"/>
          <w:i/>
          <w:iCs/>
        </w:rPr>
        <w:t>Execution requires the appropriate pathway:</w:t>
      </w:r>
      <w:r w:rsidR="00E147E5" w:rsidRPr="00B479AE">
        <w:rPr>
          <w:rFonts w:ascii="Baskerville Old Face" w:hAnsi="Baskerville Old Face"/>
          <w:i/>
          <w:iCs/>
        </w:rPr>
        <w:t xml:space="preserve"> </w:t>
      </w:r>
    </w:p>
    <w:p w14:paraId="7A89283C" w14:textId="22B6A82F" w:rsidR="00E147E5" w:rsidRPr="00B479AE" w:rsidRDefault="00E147E5" w:rsidP="00541F75">
      <w:pPr>
        <w:spacing w:line="360" w:lineRule="auto"/>
        <w:rPr>
          <w:rFonts w:ascii="Baskerville Old Face" w:hAnsi="Baskerville Old Face"/>
          <w:i/>
          <w:iCs/>
        </w:rPr>
      </w:pPr>
      <w:r w:rsidRPr="00B479AE">
        <w:rPr>
          <w:rFonts w:ascii="Baskerville Old Face" w:hAnsi="Baskerville Old Face"/>
          <w:i/>
          <w:iCs/>
        </w:rPr>
        <w:t xml:space="preserve">evidence </w:t>
      </w:r>
      <w:r w:rsidRPr="00B479AE">
        <w:rPr>
          <w:rFonts w:ascii="Times New Roman" w:hAnsi="Times New Roman" w:cs="Times New Roman"/>
          <w:i/>
          <w:iCs/>
        </w:rPr>
        <w:t>→</w:t>
      </w:r>
      <w:r w:rsidRPr="00B479AE">
        <w:rPr>
          <w:rFonts w:ascii="Baskerville Old Face" w:hAnsi="Baskerville Old Face"/>
          <w:i/>
          <w:iCs/>
        </w:rPr>
        <w:t xml:space="preserve"> review </w:t>
      </w:r>
      <w:r w:rsidRPr="00B479AE">
        <w:rPr>
          <w:rFonts w:ascii="Times New Roman" w:hAnsi="Times New Roman" w:cs="Times New Roman"/>
          <w:i/>
          <w:iCs/>
        </w:rPr>
        <w:t>→</w:t>
      </w:r>
      <w:r w:rsidRPr="00B479AE">
        <w:rPr>
          <w:rFonts w:ascii="Baskerville Old Face" w:hAnsi="Baskerville Old Face"/>
          <w:i/>
          <w:iCs/>
        </w:rPr>
        <w:t xml:space="preserve"> authority decision </w:t>
      </w:r>
      <w:r w:rsidRPr="00B479AE">
        <w:rPr>
          <w:rFonts w:ascii="Times New Roman" w:hAnsi="Times New Roman" w:cs="Times New Roman"/>
          <w:i/>
          <w:iCs/>
        </w:rPr>
        <w:t>→</w:t>
      </w:r>
      <w:r w:rsidRPr="00B479AE">
        <w:rPr>
          <w:rFonts w:ascii="Baskerville Old Face" w:hAnsi="Baskerville Old Face"/>
          <w:i/>
          <w:iCs/>
        </w:rPr>
        <w:t xml:space="preserve"> authorized action </w:t>
      </w:r>
      <w:r w:rsidRPr="00B479AE">
        <w:rPr>
          <w:rFonts w:ascii="Times New Roman" w:hAnsi="Times New Roman" w:cs="Times New Roman"/>
          <w:i/>
          <w:iCs/>
        </w:rPr>
        <w:t>→</w:t>
      </w:r>
      <w:r w:rsidRPr="00B479AE">
        <w:rPr>
          <w:rFonts w:ascii="Baskerville Old Face" w:hAnsi="Baskerville Old Face"/>
          <w:i/>
          <w:iCs/>
        </w:rPr>
        <w:t xml:space="preserve"> recorded execution </w:t>
      </w:r>
      <w:r w:rsidRPr="00B479AE">
        <w:rPr>
          <w:rFonts w:ascii="Times New Roman" w:hAnsi="Times New Roman" w:cs="Times New Roman"/>
          <w:i/>
          <w:iCs/>
        </w:rPr>
        <w:t>→</w:t>
      </w:r>
      <w:r w:rsidRPr="00B479AE">
        <w:rPr>
          <w:rFonts w:ascii="Baskerville Old Face" w:hAnsi="Baskerville Old Face"/>
          <w:i/>
          <w:iCs/>
        </w:rPr>
        <w:t xml:space="preserve"> verification </w:t>
      </w:r>
      <w:r w:rsidRPr="00B479AE">
        <w:rPr>
          <w:rFonts w:ascii="Times New Roman" w:hAnsi="Times New Roman" w:cs="Times New Roman"/>
          <w:i/>
          <w:iCs/>
        </w:rPr>
        <w:t>→</w:t>
      </w:r>
      <w:r w:rsidRPr="00B479AE">
        <w:rPr>
          <w:rFonts w:ascii="Baskerville Old Face" w:hAnsi="Baskerville Old Face"/>
          <w:i/>
          <w:iCs/>
        </w:rPr>
        <w:t xml:space="preserve"> reporting</w:t>
      </w:r>
    </w:p>
    <w:p w14:paraId="745EB0D5"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b/>
          <w:bCs/>
          <w:i/>
          <w:iCs/>
        </w:rPr>
        <w:t>11. Output classification constraints</w:t>
      </w:r>
    </w:p>
    <w:p w14:paraId="6FB2CBB2"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Every generated output should be classified before use.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5"/>
        <w:gridCol w:w="2521"/>
        <w:gridCol w:w="4802"/>
      </w:tblGrid>
      <w:tr w:rsidR="00541F75" w:rsidRPr="00B479AE" w14:paraId="7132E635" w14:textId="77777777" w:rsidTr="00717435">
        <w:trPr>
          <w:tblHeader/>
          <w:tblCellSpacing w:w="15" w:type="dxa"/>
        </w:trPr>
        <w:tc>
          <w:tcPr>
            <w:tcW w:w="0" w:type="auto"/>
            <w:vAlign w:val="center"/>
            <w:hideMark/>
          </w:tcPr>
          <w:p w14:paraId="393D504B" w14:textId="77777777" w:rsidR="00541F75" w:rsidRPr="00B479AE" w:rsidRDefault="00541F75" w:rsidP="00541F7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Output type</w:t>
            </w:r>
          </w:p>
        </w:tc>
        <w:tc>
          <w:tcPr>
            <w:tcW w:w="0" w:type="auto"/>
            <w:vAlign w:val="center"/>
            <w:hideMark/>
          </w:tcPr>
          <w:p w14:paraId="003E24FE" w14:textId="77777777" w:rsidR="00541F75" w:rsidRPr="00B479AE" w:rsidRDefault="00541F75" w:rsidP="00541F7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Status</w:t>
            </w:r>
          </w:p>
        </w:tc>
        <w:tc>
          <w:tcPr>
            <w:tcW w:w="0" w:type="auto"/>
            <w:vAlign w:val="center"/>
            <w:hideMark/>
          </w:tcPr>
          <w:p w14:paraId="6B1DCC48" w14:textId="77777777" w:rsidR="00541F75" w:rsidRPr="00B479AE" w:rsidRDefault="00541F75" w:rsidP="00541F7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Execution condition</w:t>
            </w:r>
          </w:p>
        </w:tc>
      </w:tr>
      <w:tr w:rsidR="00541F75" w:rsidRPr="00B479AE" w14:paraId="7C9E9617" w14:textId="77777777" w:rsidTr="00717435">
        <w:trPr>
          <w:tblCellSpacing w:w="15" w:type="dxa"/>
        </w:trPr>
        <w:tc>
          <w:tcPr>
            <w:tcW w:w="0" w:type="auto"/>
            <w:vAlign w:val="center"/>
            <w:hideMark/>
          </w:tcPr>
          <w:p w14:paraId="48B677D0"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Informational answer</w:t>
            </w:r>
          </w:p>
        </w:tc>
        <w:tc>
          <w:tcPr>
            <w:tcW w:w="0" w:type="auto"/>
            <w:vAlign w:val="center"/>
            <w:hideMark/>
          </w:tcPr>
          <w:p w14:paraId="1B1F4A72"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Low-risk explanation</w:t>
            </w:r>
          </w:p>
        </w:tc>
        <w:tc>
          <w:tcPr>
            <w:tcW w:w="0" w:type="auto"/>
            <w:vAlign w:val="center"/>
            <w:hideMark/>
          </w:tcPr>
          <w:p w14:paraId="1A77AFC3"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May be delivered directly if evidence and scope are clear.</w:t>
            </w:r>
          </w:p>
        </w:tc>
      </w:tr>
      <w:tr w:rsidR="00541F75" w:rsidRPr="00B479AE" w14:paraId="09234AA8" w14:textId="77777777" w:rsidTr="00717435">
        <w:trPr>
          <w:tblCellSpacing w:w="15" w:type="dxa"/>
        </w:trPr>
        <w:tc>
          <w:tcPr>
            <w:tcW w:w="0" w:type="auto"/>
            <w:vAlign w:val="center"/>
            <w:hideMark/>
          </w:tcPr>
          <w:p w14:paraId="6AF0F0C8"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Design draft</w:t>
            </w:r>
          </w:p>
        </w:tc>
        <w:tc>
          <w:tcPr>
            <w:tcW w:w="0" w:type="auto"/>
            <w:vAlign w:val="center"/>
            <w:hideMark/>
          </w:tcPr>
          <w:p w14:paraId="38520F62"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Preliminary work product</w:t>
            </w:r>
          </w:p>
        </w:tc>
        <w:tc>
          <w:tcPr>
            <w:tcW w:w="0" w:type="auto"/>
            <w:vAlign w:val="center"/>
            <w:hideMark/>
          </w:tcPr>
          <w:p w14:paraId="3F24FDA4"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Requires review before implementation.</w:t>
            </w:r>
          </w:p>
        </w:tc>
      </w:tr>
      <w:tr w:rsidR="00541F75" w:rsidRPr="00B479AE" w14:paraId="482ED41F" w14:textId="77777777" w:rsidTr="00717435">
        <w:trPr>
          <w:tblCellSpacing w:w="15" w:type="dxa"/>
        </w:trPr>
        <w:tc>
          <w:tcPr>
            <w:tcW w:w="0" w:type="auto"/>
            <w:vAlign w:val="center"/>
            <w:hideMark/>
          </w:tcPr>
          <w:p w14:paraId="29F3CCD9"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Operational recommendation</w:t>
            </w:r>
          </w:p>
        </w:tc>
        <w:tc>
          <w:tcPr>
            <w:tcW w:w="0" w:type="auto"/>
            <w:vAlign w:val="center"/>
            <w:hideMark/>
          </w:tcPr>
          <w:p w14:paraId="0906750E"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Action-oriented suggestion</w:t>
            </w:r>
          </w:p>
        </w:tc>
        <w:tc>
          <w:tcPr>
            <w:tcW w:w="0" w:type="auto"/>
            <w:vAlign w:val="center"/>
            <w:hideMark/>
          </w:tcPr>
          <w:p w14:paraId="57C553DB"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Requires steward or governance authorization.</w:t>
            </w:r>
          </w:p>
        </w:tc>
      </w:tr>
      <w:tr w:rsidR="00541F75" w:rsidRPr="00B479AE" w14:paraId="0D687789" w14:textId="77777777" w:rsidTr="00717435">
        <w:trPr>
          <w:tblCellSpacing w:w="15" w:type="dxa"/>
        </w:trPr>
        <w:tc>
          <w:tcPr>
            <w:tcW w:w="0" w:type="auto"/>
            <w:vAlign w:val="center"/>
            <w:hideMark/>
          </w:tcPr>
          <w:p w14:paraId="478C81C0"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MRV interpretation</w:t>
            </w:r>
          </w:p>
        </w:tc>
        <w:tc>
          <w:tcPr>
            <w:tcW w:w="0" w:type="auto"/>
            <w:vAlign w:val="center"/>
            <w:hideMark/>
          </w:tcPr>
          <w:p w14:paraId="745A9071"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Evidence analysis</w:t>
            </w:r>
          </w:p>
        </w:tc>
        <w:tc>
          <w:tcPr>
            <w:tcW w:w="0" w:type="auto"/>
            <w:vAlign w:val="center"/>
            <w:hideMark/>
          </w:tcPr>
          <w:p w14:paraId="51643C41"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Requires data-quality review and confidence scoring.</w:t>
            </w:r>
          </w:p>
        </w:tc>
      </w:tr>
      <w:tr w:rsidR="00541F75" w:rsidRPr="00B479AE" w14:paraId="0B75832A" w14:textId="77777777" w:rsidTr="00717435">
        <w:trPr>
          <w:tblCellSpacing w:w="15" w:type="dxa"/>
        </w:trPr>
        <w:tc>
          <w:tcPr>
            <w:tcW w:w="0" w:type="auto"/>
            <w:vAlign w:val="center"/>
            <w:hideMark/>
          </w:tcPr>
          <w:p w14:paraId="7BBE8826"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Governance proposal</w:t>
            </w:r>
          </w:p>
        </w:tc>
        <w:tc>
          <w:tcPr>
            <w:tcW w:w="0" w:type="auto"/>
            <w:vAlign w:val="center"/>
            <w:hideMark/>
          </w:tcPr>
          <w:p w14:paraId="577A21A6"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Decision input</w:t>
            </w:r>
          </w:p>
        </w:tc>
        <w:tc>
          <w:tcPr>
            <w:tcW w:w="0" w:type="auto"/>
            <w:vAlign w:val="center"/>
            <w:hideMark/>
          </w:tcPr>
          <w:p w14:paraId="0369C349"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Requires formal governance process.</w:t>
            </w:r>
          </w:p>
        </w:tc>
      </w:tr>
      <w:tr w:rsidR="00541F75" w:rsidRPr="00B479AE" w14:paraId="5996051A" w14:textId="77777777" w:rsidTr="00717435">
        <w:trPr>
          <w:tblCellSpacing w:w="15" w:type="dxa"/>
        </w:trPr>
        <w:tc>
          <w:tcPr>
            <w:tcW w:w="0" w:type="auto"/>
            <w:vAlign w:val="center"/>
            <w:hideMark/>
          </w:tcPr>
          <w:p w14:paraId="3635AC37"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Financial scenario</w:t>
            </w:r>
          </w:p>
        </w:tc>
        <w:tc>
          <w:tcPr>
            <w:tcW w:w="0" w:type="auto"/>
            <w:vAlign w:val="center"/>
            <w:hideMark/>
          </w:tcPr>
          <w:p w14:paraId="441C782C"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Assumption-based model</w:t>
            </w:r>
          </w:p>
        </w:tc>
        <w:tc>
          <w:tcPr>
            <w:tcW w:w="0" w:type="auto"/>
            <w:vAlign w:val="center"/>
            <w:hideMark/>
          </w:tcPr>
          <w:p w14:paraId="133B00AF"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Not an offering; requires review before investor use.</w:t>
            </w:r>
          </w:p>
        </w:tc>
      </w:tr>
      <w:tr w:rsidR="00541F75" w:rsidRPr="00B479AE" w14:paraId="45EEDE80" w14:textId="77777777" w:rsidTr="00717435">
        <w:trPr>
          <w:tblCellSpacing w:w="15" w:type="dxa"/>
        </w:trPr>
        <w:tc>
          <w:tcPr>
            <w:tcW w:w="0" w:type="auto"/>
            <w:vAlign w:val="center"/>
            <w:hideMark/>
          </w:tcPr>
          <w:p w14:paraId="6B4E93E1"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Investor-facing draft</w:t>
            </w:r>
          </w:p>
        </w:tc>
        <w:tc>
          <w:tcPr>
            <w:tcW w:w="0" w:type="auto"/>
            <w:vAlign w:val="center"/>
            <w:hideMark/>
          </w:tcPr>
          <w:p w14:paraId="408C0BFC"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External communication candidate</w:t>
            </w:r>
          </w:p>
        </w:tc>
        <w:tc>
          <w:tcPr>
            <w:tcW w:w="0" w:type="auto"/>
            <w:vAlign w:val="center"/>
            <w:hideMark/>
          </w:tcPr>
          <w:p w14:paraId="57B49617"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Requires legal, compliance, and evidence review.</w:t>
            </w:r>
          </w:p>
        </w:tc>
      </w:tr>
      <w:tr w:rsidR="00541F75" w:rsidRPr="00B479AE" w14:paraId="5F257C84" w14:textId="77777777" w:rsidTr="00717435">
        <w:trPr>
          <w:tblCellSpacing w:w="15" w:type="dxa"/>
        </w:trPr>
        <w:tc>
          <w:tcPr>
            <w:tcW w:w="0" w:type="auto"/>
            <w:vAlign w:val="center"/>
            <w:hideMark/>
          </w:tcPr>
          <w:p w14:paraId="77DAAEC9"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PRU estimate</w:t>
            </w:r>
          </w:p>
        </w:tc>
        <w:tc>
          <w:tcPr>
            <w:tcW w:w="0" w:type="auto"/>
            <w:vAlign w:val="center"/>
            <w:hideMark/>
          </w:tcPr>
          <w:p w14:paraId="1B705081"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Preliminary value interpretation</w:t>
            </w:r>
          </w:p>
        </w:tc>
        <w:tc>
          <w:tcPr>
            <w:tcW w:w="0" w:type="auto"/>
            <w:vAlign w:val="center"/>
            <w:hideMark/>
          </w:tcPr>
          <w:p w14:paraId="3ECD2587"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Not admissible value unless methodology and evidence thresholds are met.</w:t>
            </w:r>
          </w:p>
        </w:tc>
      </w:tr>
      <w:tr w:rsidR="00541F75" w:rsidRPr="00B479AE" w14:paraId="078B6116" w14:textId="77777777" w:rsidTr="00717435">
        <w:trPr>
          <w:tblCellSpacing w:w="15" w:type="dxa"/>
        </w:trPr>
        <w:tc>
          <w:tcPr>
            <w:tcW w:w="0" w:type="auto"/>
            <w:vAlign w:val="center"/>
            <w:hideMark/>
          </w:tcPr>
          <w:p w14:paraId="3C26B0F1"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Tokenization concept</w:t>
            </w:r>
          </w:p>
        </w:tc>
        <w:tc>
          <w:tcPr>
            <w:tcW w:w="0" w:type="auto"/>
            <w:vAlign w:val="center"/>
            <w:hideMark/>
          </w:tcPr>
          <w:p w14:paraId="335ED0FD"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Structural hypothesis</w:t>
            </w:r>
          </w:p>
        </w:tc>
        <w:tc>
          <w:tcPr>
            <w:tcW w:w="0" w:type="auto"/>
            <w:vAlign w:val="center"/>
            <w:hideMark/>
          </w:tcPr>
          <w:p w14:paraId="57843FAB"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Requires legal wrapper and jurisdiction-specific review.</w:t>
            </w:r>
          </w:p>
        </w:tc>
      </w:tr>
      <w:tr w:rsidR="00541F75" w:rsidRPr="00B479AE" w14:paraId="71D072D4" w14:textId="77777777" w:rsidTr="00717435">
        <w:trPr>
          <w:tblCellSpacing w:w="15" w:type="dxa"/>
        </w:trPr>
        <w:tc>
          <w:tcPr>
            <w:tcW w:w="0" w:type="auto"/>
            <w:vAlign w:val="center"/>
            <w:hideMark/>
          </w:tcPr>
          <w:p w14:paraId="091833EE"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Health-related hypothesis</w:t>
            </w:r>
          </w:p>
        </w:tc>
        <w:tc>
          <w:tcPr>
            <w:tcW w:w="0" w:type="auto"/>
            <w:vAlign w:val="center"/>
            <w:hideMark/>
          </w:tcPr>
          <w:p w14:paraId="008CE803"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Research or systemic-value idea</w:t>
            </w:r>
          </w:p>
        </w:tc>
        <w:tc>
          <w:tcPr>
            <w:tcW w:w="0" w:type="auto"/>
            <w:vAlign w:val="center"/>
            <w:hideMark/>
          </w:tcPr>
          <w:p w14:paraId="38AD778F"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Not a medical claim; requires appropriate governance before public use.</w:t>
            </w:r>
          </w:p>
        </w:tc>
      </w:tr>
      <w:tr w:rsidR="00541F75" w:rsidRPr="00B479AE" w14:paraId="6FC3ECF8" w14:textId="77777777" w:rsidTr="00717435">
        <w:trPr>
          <w:tblCellSpacing w:w="15" w:type="dxa"/>
        </w:trPr>
        <w:tc>
          <w:tcPr>
            <w:tcW w:w="0" w:type="auto"/>
            <w:vAlign w:val="center"/>
            <w:hideMark/>
          </w:tcPr>
          <w:p w14:paraId="64D21810"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Execution-ready action</w:t>
            </w:r>
          </w:p>
        </w:tc>
        <w:tc>
          <w:tcPr>
            <w:tcW w:w="0" w:type="auto"/>
            <w:vAlign w:val="center"/>
            <w:hideMark/>
          </w:tcPr>
          <w:p w14:paraId="6AF21120"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Authorized instruction</w:t>
            </w:r>
          </w:p>
        </w:tc>
        <w:tc>
          <w:tcPr>
            <w:tcW w:w="0" w:type="auto"/>
            <w:vAlign w:val="center"/>
            <w:hideMark/>
          </w:tcPr>
          <w:p w14:paraId="6387E75E"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Requires evidence, authority, record, and verification pathway.</w:t>
            </w:r>
          </w:p>
        </w:tc>
      </w:tr>
    </w:tbl>
    <w:p w14:paraId="4A66CE8B"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lastRenderedPageBreak/>
        <w:t>This prevents category collapse.</w:t>
      </w:r>
    </w:p>
    <w:p w14:paraId="650E8C6D"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A scenario is not a forecast.</w:t>
      </w:r>
    </w:p>
    <w:p w14:paraId="7A2E1AF2"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A token concept is not token issuance.</w:t>
      </w:r>
    </w:p>
    <w:p w14:paraId="55CC9E96"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A PRU estimate is not investor entitlement.</w:t>
      </w:r>
    </w:p>
    <w:p w14:paraId="25ECD741"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A governance suggestion is not a valid vote.</w:t>
      </w:r>
    </w:p>
    <w:p w14:paraId="0A0AAEA2"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b/>
          <w:bCs/>
          <w:i/>
          <w:iCs/>
        </w:rPr>
        <w:t>12. Kernel non-bypassability constraints</w:t>
      </w:r>
    </w:p>
    <w:p w14:paraId="56DA4468"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The kernel’s structural constraints must be non-bypassable inside the Prometheus architecture.</w:t>
      </w:r>
    </w:p>
    <w:p w14:paraId="0E7F3588"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This does not mean claiming absolute invulnerability.</w:t>
      </w:r>
    </w:p>
    <w:p w14:paraId="41355D86"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It means designing the system so that any attempted bypass becomes visible, invalid, non-admissible, non-executable, reversible where possible, and subject to governance review.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46"/>
        <w:gridCol w:w="6682"/>
      </w:tblGrid>
      <w:tr w:rsidR="00541F75" w:rsidRPr="00B479AE" w14:paraId="78FE6DB1" w14:textId="77777777" w:rsidTr="00294114">
        <w:trPr>
          <w:tblHeader/>
          <w:tblCellSpacing w:w="15" w:type="dxa"/>
        </w:trPr>
        <w:tc>
          <w:tcPr>
            <w:tcW w:w="0" w:type="auto"/>
            <w:vAlign w:val="center"/>
            <w:hideMark/>
          </w:tcPr>
          <w:p w14:paraId="3751C395" w14:textId="77777777" w:rsidR="00541F75" w:rsidRPr="00B479AE" w:rsidRDefault="00541F75" w:rsidP="00541F7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Threat</w:t>
            </w:r>
          </w:p>
        </w:tc>
        <w:tc>
          <w:tcPr>
            <w:tcW w:w="0" w:type="auto"/>
            <w:vAlign w:val="center"/>
            <w:hideMark/>
          </w:tcPr>
          <w:p w14:paraId="56C9062A" w14:textId="77777777" w:rsidR="00541F75" w:rsidRPr="00B479AE" w:rsidRDefault="00541F75" w:rsidP="00541F7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Required control</w:t>
            </w:r>
          </w:p>
        </w:tc>
      </w:tr>
      <w:tr w:rsidR="00541F75" w:rsidRPr="00B479AE" w14:paraId="20817AF2" w14:textId="77777777" w:rsidTr="00294114">
        <w:trPr>
          <w:tblCellSpacing w:w="15" w:type="dxa"/>
        </w:trPr>
        <w:tc>
          <w:tcPr>
            <w:tcW w:w="0" w:type="auto"/>
            <w:vAlign w:val="center"/>
            <w:hideMark/>
          </w:tcPr>
          <w:p w14:paraId="53C329D8"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Prompt injection or instruction override</w:t>
            </w:r>
          </w:p>
        </w:tc>
        <w:tc>
          <w:tcPr>
            <w:tcW w:w="0" w:type="auto"/>
            <w:vAlign w:val="center"/>
            <w:hideMark/>
          </w:tcPr>
          <w:p w14:paraId="012917C4"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Constitutional policy engine, role separation, validation checks, audit logging.</w:t>
            </w:r>
          </w:p>
        </w:tc>
      </w:tr>
      <w:tr w:rsidR="00541F75" w:rsidRPr="00B479AE" w14:paraId="6E4B0009" w14:textId="77777777" w:rsidTr="00294114">
        <w:trPr>
          <w:tblCellSpacing w:w="15" w:type="dxa"/>
        </w:trPr>
        <w:tc>
          <w:tcPr>
            <w:tcW w:w="0" w:type="auto"/>
            <w:vAlign w:val="center"/>
            <w:hideMark/>
          </w:tcPr>
          <w:p w14:paraId="225646FF"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Unauthorized agent execution</w:t>
            </w:r>
          </w:p>
        </w:tc>
        <w:tc>
          <w:tcPr>
            <w:tcW w:w="0" w:type="auto"/>
            <w:vAlign w:val="center"/>
            <w:hideMark/>
          </w:tcPr>
          <w:p w14:paraId="62EE62A3"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Permissioning, execution gates, least-privilege design, manual review.</w:t>
            </w:r>
          </w:p>
        </w:tc>
      </w:tr>
      <w:tr w:rsidR="00541F75" w:rsidRPr="00B479AE" w14:paraId="6EED1167" w14:textId="77777777" w:rsidTr="00294114">
        <w:trPr>
          <w:tblCellSpacing w:w="15" w:type="dxa"/>
        </w:trPr>
        <w:tc>
          <w:tcPr>
            <w:tcW w:w="0" w:type="auto"/>
            <w:vAlign w:val="center"/>
            <w:hideMark/>
          </w:tcPr>
          <w:p w14:paraId="4E4D4252"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Token or financial overreach</w:t>
            </w:r>
          </w:p>
        </w:tc>
        <w:tc>
          <w:tcPr>
            <w:tcW w:w="0" w:type="auto"/>
            <w:vAlign w:val="center"/>
            <w:hideMark/>
          </w:tcPr>
          <w:p w14:paraId="04F610BF"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Legal wrapper requirement, securities review, no automatic entitlement.</w:t>
            </w:r>
          </w:p>
        </w:tc>
      </w:tr>
      <w:tr w:rsidR="00541F75" w:rsidRPr="00B479AE" w14:paraId="5BC0728B" w14:textId="77777777" w:rsidTr="00294114">
        <w:trPr>
          <w:tblCellSpacing w:w="15" w:type="dxa"/>
        </w:trPr>
        <w:tc>
          <w:tcPr>
            <w:tcW w:w="0" w:type="auto"/>
            <w:vAlign w:val="center"/>
            <w:hideMark/>
          </w:tcPr>
          <w:p w14:paraId="17C18818"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MRV manipulation</w:t>
            </w:r>
          </w:p>
        </w:tc>
        <w:tc>
          <w:tcPr>
            <w:tcW w:w="0" w:type="auto"/>
            <w:vAlign w:val="center"/>
            <w:hideMark/>
          </w:tcPr>
          <w:p w14:paraId="768EB4F1"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Provenance chain, anomaly detection, cross-source verification, third-party review.</w:t>
            </w:r>
          </w:p>
        </w:tc>
      </w:tr>
      <w:tr w:rsidR="00541F75" w:rsidRPr="00B479AE" w14:paraId="66DDF335" w14:textId="77777777" w:rsidTr="00294114">
        <w:trPr>
          <w:tblCellSpacing w:w="15" w:type="dxa"/>
        </w:trPr>
        <w:tc>
          <w:tcPr>
            <w:tcW w:w="0" w:type="auto"/>
            <w:vAlign w:val="center"/>
            <w:hideMark/>
          </w:tcPr>
          <w:p w14:paraId="00F7150B"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Governance capture</w:t>
            </w:r>
          </w:p>
        </w:tc>
        <w:tc>
          <w:tcPr>
            <w:tcW w:w="0" w:type="auto"/>
            <w:vAlign w:val="center"/>
            <w:hideMark/>
          </w:tcPr>
          <w:p w14:paraId="21EEF29B"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Multi-stakeholder review, quorum, anti-capture rules, conflict-of-interest controls.</w:t>
            </w:r>
          </w:p>
        </w:tc>
      </w:tr>
      <w:tr w:rsidR="00541F75" w:rsidRPr="00B479AE" w14:paraId="4614332B" w14:textId="77777777" w:rsidTr="00294114">
        <w:trPr>
          <w:tblCellSpacing w:w="15" w:type="dxa"/>
        </w:trPr>
        <w:tc>
          <w:tcPr>
            <w:tcW w:w="0" w:type="auto"/>
            <w:vAlign w:val="center"/>
            <w:hideMark/>
          </w:tcPr>
          <w:p w14:paraId="6BC827DB"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AI authority drift</w:t>
            </w:r>
          </w:p>
        </w:tc>
        <w:tc>
          <w:tcPr>
            <w:tcW w:w="0" w:type="auto"/>
            <w:vAlign w:val="center"/>
            <w:hideMark/>
          </w:tcPr>
          <w:p w14:paraId="78ADFEC8"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Explicit distinction between generation, recommendation, authorization, execution, and reporting.</w:t>
            </w:r>
          </w:p>
        </w:tc>
      </w:tr>
      <w:tr w:rsidR="00541F75" w:rsidRPr="00B479AE" w14:paraId="10C7E029" w14:textId="77777777" w:rsidTr="00294114">
        <w:trPr>
          <w:tblCellSpacing w:w="15" w:type="dxa"/>
        </w:trPr>
        <w:tc>
          <w:tcPr>
            <w:tcW w:w="0" w:type="auto"/>
            <w:vAlign w:val="center"/>
            <w:hideMark/>
          </w:tcPr>
          <w:p w14:paraId="0FFBE3D9"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Semantic drift</w:t>
            </w:r>
          </w:p>
        </w:tc>
        <w:tc>
          <w:tcPr>
            <w:tcW w:w="0" w:type="auto"/>
            <w:vAlign w:val="center"/>
            <w:hideMark/>
          </w:tcPr>
          <w:p w14:paraId="4D60AC89" w14:textId="77777777" w:rsidR="00541F75" w:rsidRPr="00B479AE" w:rsidRDefault="00541F75" w:rsidP="00541F75">
            <w:pPr>
              <w:spacing w:line="360" w:lineRule="auto"/>
              <w:rPr>
                <w:rFonts w:ascii="Baskerville Old Face" w:hAnsi="Baskerville Old Face"/>
                <w:i/>
                <w:iCs/>
                <w:sz w:val="22"/>
                <w:szCs w:val="22"/>
              </w:rPr>
            </w:pPr>
            <w:r w:rsidRPr="00B479AE">
              <w:rPr>
                <w:rFonts w:ascii="Baskerville Old Face" w:hAnsi="Baskerville Old Face"/>
                <w:i/>
                <w:iCs/>
                <w:sz w:val="22"/>
                <w:szCs w:val="22"/>
              </w:rPr>
              <w:t>Versioned methodology, canonical definitions, protocol stewardship, release discipline.</w:t>
            </w:r>
          </w:p>
        </w:tc>
      </w:tr>
    </w:tbl>
    <w:p w14:paraId="5EEF36F2" w14:textId="44A71A39"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lastRenderedPageBreak/>
        <w:t>The kernel exists so that Prometheus can become more intelligent without becoming less accountable.</w:t>
      </w:r>
    </w:p>
    <w:p w14:paraId="1A1BC8A5" w14:textId="77777777" w:rsidR="00541F75" w:rsidRPr="00B479AE" w:rsidRDefault="00541F75" w:rsidP="00541F75">
      <w:pPr>
        <w:spacing w:line="360" w:lineRule="auto"/>
        <w:rPr>
          <w:rFonts w:ascii="Baskerville Old Face" w:hAnsi="Baskerville Old Face"/>
          <w:i/>
          <w:iCs/>
        </w:rPr>
      </w:pPr>
      <w:r w:rsidRPr="00B479AE">
        <w:rPr>
          <w:rFonts w:ascii="Baskerville Old Face" w:hAnsi="Baskerville Old Face"/>
          <w:i/>
          <w:iCs/>
        </w:rPr>
        <w:t>Its constraints must therefore be embedded in narrative, governance, code, audits, and institutional process.</w:t>
      </w:r>
    </w:p>
    <w:p w14:paraId="0496F66C" w14:textId="1C8B8248" w:rsidR="0055683A" w:rsidRPr="00B479AE" w:rsidRDefault="009C3ABC" w:rsidP="0055683A">
      <w:pPr>
        <w:spacing w:line="360" w:lineRule="auto"/>
        <w:rPr>
          <w:rFonts w:ascii="Baskerville Old Face" w:hAnsi="Baskerville Old Face"/>
          <w:b/>
          <w:bCs/>
          <w:i/>
          <w:iCs/>
        </w:rPr>
      </w:pPr>
      <w:r w:rsidRPr="00B479AE">
        <w:rPr>
          <w:rFonts w:ascii="Baskerville Old Face" w:hAnsi="Baskerville Old Face"/>
          <w:b/>
          <w:bCs/>
          <w:i/>
          <w:iCs/>
        </w:rPr>
        <w:t xml:space="preserve">Kernel Protocol — Non-Aligned Request Handling Protocol </w:t>
      </w:r>
    </w:p>
    <w:p w14:paraId="2E784728"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Prometheus must remain open to innovation without becoming available for drift.</w:t>
      </w:r>
    </w:p>
    <w:p w14:paraId="574E8CAA"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As the ecosystem grows, participants, investors, communities, builders, researchers, AI agents, technical operators, and institutional partners may submit requests that are incomplete, premature, speculative, legally sensitive, ecologically unsupported, financially overreaching, or constitutionally misaligned.</w:t>
      </w:r>
    </w:p>
    <w:p w14:paraId="7B774C5E"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The purpose of the Non-Aligned Request Handling Protocol is not to reject creativity.</w:t>
      </w:r>
    </w:p>
    <w:p w14:paraId="2AB9A098"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Its purpose is to transform raw requests into constitutionally legible pathways.</w:t>
      </w:r>
    </w:p>
    <w:p w14:paraId="2E52B72B"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A non-aligned request is therefore not automatically a hostile request.</w:t>
      </w:r>
    </w:p>
    <w:p w14:paraId="3649BF31"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It may be:</w:t>
      </w:r>
    </w:p>
    <w:p w14:paraId="46389B15"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 immature;</w:t>
      </w:r>
      <w:r w:rsidRPr="00B479AE">
        <w:rPr>
          <w:rFonts w:ascii="Baskerville Old Face" w:hAnsi="Baskerville Old Face"/>
          <w:i/>
          <w:iCs/>
        </w:rPr>
        <w:br/>
        <w:t>• unclear;</w:t>
      </w:r>
      <w:r w:rsidRPr="00B479AE">
        <w:rPr>
          <w:rFonts w:ascii="Baskerville Old Face" w:hAnsi="Baskerville Old Face"/>
          <w:i/>
          <w:iCs/>
        </w:rPr>
        <w:br/>
        <w:t>• overbroad;</w:t>
      </w:r>
      <w:r w:rsidRPr="00B479AE">
        <w:rPr>
          <w:rFonts w:ascii="Baskerville Old Face" w:hAnsi="Baskerville Old Face"/>
          <w:i/>
          <w:iCs/>
        </w:rPr>
        <w:br/>
        <w:t>• unsupported by evidence;</w:t>
      </w:r>
      <w:r w:rsidRPr="00B479AE">
        <w:rPr>
          <w:rFonts w:ascii="Baskerville Old Face" w:hAnsi="Baskerville Old Face"/>
          <w:i/>
          <w:iCs/>
        </w:rPr>
        <w:br/>
        <w:t>• legally premature;</w:t>
      </w:r>
      <w:r w:rsidRPr="00B479AE">
        <w:rPr>
          <w:rFonts w:ascii="Baskerville Old Face" w:hAnsi="Baskerville Old Face"/>
          <w:i/>
          <w:iCs/>
        </w:rPr>
        <w:br/>
        <w:t>• technically unimplemented;</w:t>
      </w:r>
      <w:r w:rsidRPr="00B479AE">
        <w:rPr>
          <w:rFonts w:ascii="Baskerville Old Face" w:hAnsi="Baskerville Old Face"/>
          <w:i/>
          <w:iCs/>
        </w:rPr>
        <w:br/>
        <w:t>• financially overclaiming;</w:t>
      </w:r>
      <w:r w:rsidRPr="00B479AE">
        <w:rPr>
          <w:rFonts w:ascii="Baskerville Old Face" w:hAnsi="Baskerville Old Face"/>
          <w:i/>
          <w:iCs/>
        </w:rPr>
        <w:br/>
        <w:t>• tokenomically confused;</w:t>
      </w:r>
      <w:r w:rsidRPr="00B479AE">
        <w:rPr>
          <w:rFonts w:ascii="Baskerville Old Face" w:hAnsi="Baskerville Old Face"/>
          <w:i/>
          <w:iCs/>
        </w:rPr>
        <w:br/>
        <w:t>• ecologically unverified;</w:t>
      </w:r>
      <w:r w:rsidRPr="00B479AE">
        <w:rPr>
          <w:rFonts w:ascii="Baskerville Old Face" w:hAnsi="Baskerville Old Face"/>
          <w:i/>
          <w:iCs/>
        </w:rPr>
        <w:br/>
        <w:t>• outside the participant’s current access scope;</w:t>
      </w:r>
      <w:r w:rsidRPr="00B479AE">
        <w:rPr>
          <w:rFonts w:ascii="Baskerville Old Face" w:hAnsi="Baskerville Old Face"/>
          <w:i/>
          <w:iCs/>
        </w:rPr>
        <w:br/>
        <w:t>• inconsistent with MRV or PRU admissibility;</w:t>
      </w:r>
      <w:r w:rsidRPr="00B479AE">
        <w:rPr>
          <w:rFonts w:ascii="Baskerville Old Face" w:hAnsi="Baskerville Old Face"/>
          <w:i/>
          <w:iCs/>
        </w:rPr>
        <w:br/>
        <w:t>• inconsistent with the Access Covenant;</w:t>
      </w:r>
      <w:r w:rsidRPr="00B479AE">
        <w:rPr>
          <w:rFonts w:ascii="Baskerville Old Face" w:hAnsi="Baskerville Old Face"/>
          <w:i/>
          <w:iCs/>
        </w:rPr>
        <w:br/>
        <w:t>• inconsistent with the foundational articles or Eternity Clauses.</w:t>
      </w:r>
    </w:p>
    <w:p w14:paraId="04A25E22"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lastRenderedPageBreak/>
        <w:t>Prometheus should respond to such requests through classification, redirection, review, containment, or refusal depending on severity.</w:t>
      </w:r>
    </w:p>
    <w:p w14:paraId="6401E83C"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The principle is:</w:t>
      </w:r>
    </w:p>
    <w:p w14:paraId="3837343E"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do not execute what is misaligned;</w:t>
      </w:r>
      <w:r w:rsidRPr="00B479AE">
        <w:rPr>
          <w:rFonts w:ascii="Baskerville Old Face" w:hAnsi="Baskerville Old Face"/>
          <w:i/>
          <w:iCs/>
        </w:rPr>
        <w:br/>
        <w:t>do not discard what may become aligned;</w:t>
      </w:r>
      <w:r w:rsidRPr="00B479AE">
        <w:rPr>
          <w:rFonts w:ascii="Baskerville Old Face" w:hAnsi="Baskerville Old Face"/>
          <w:i/>
          <w:iCs/>
        </w:rPr>
        <w:br/>
        <w:t>do not confuse imagination with authorization;</w:t>
      </w:r>
      <w:r w:rsidRPr="00B479AE">
        <w:rPr>
          <w:rFonts w:ascii="Baskerville Old Face" w:hAnsi="Baskerville Old Face"/>
          <w:i/>
          <w:iCs/>
        </w:rPr>
        <w:br/>
        <w:t>do not confuse future potential with present admissibility.</w:t>
      </w:r>
    </w:p>
    <w:p w14:paraId="6AB87AC9" w14:textId="77777777" w:rsidR="0055683A" w:rsidRPr="00B479AE" w:rsidRDefault="0055683A" w:rsidP="0055683A">
      <w:pPr>
        <w:spacing w:line="360" w:lineRule="auto"/>
        <w:rPr>
          <w:rFonts w:ascii="Baskerville Old Face" w:hAnsi="Baskerville Old Face"/>
          <w:b/>
          <w:bCs/>
          <w:i/>
          <w:iCs/>
        </w:rPr>
      </w:pPr>
      <w:r w:rsidRPr="00B479AE">
        <w:rPr>
          <w:rFonts w:ascii="Baskerville Old Face" w:hAnsi="Baskerville Old Face"/>
          <w:b/>
          <w:bCs/>
          <w:i/>
          <w:iCs/>
        </w:rPr>
        <w:t>13.1 Purpose of the Protocol</w:t>
      </w:r>
    </w:p>
    <w:p w14:paraId="424B598B"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The Non-Aligned Request Handling Protocol exists to protect Prometheus from four failure modes.</w:t>
      </w:r>
    </w:p>
    <w:p w14:paraId="5FB7123F"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b/>
          <w:bCs/>
          <w:i/>
          <w:iCs/>
        </w:rPr>
        <w:t>First: execution drift.</w:t>
      </w:r>
      <w:r w:rsidRPr="00B479AE">
        <w:rPr>
          <w:rFonts w:ascii="Baskerville Old Face" w:hAnsi="Baskerville Old Face"/>
          <w:i/>
          <w:iCs/>
        </w:rPr>
        <w:br/>
        <w:t>The system begins executing requests merely because they are technically possible, commercially attractive, or socially exciting.</w:t>
      </w:r>
    </w:p>
    <w:p w14:paraId="0D43D22E"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b/>
          <w:bCs/>
          <w:i/>
          <w:iCs/>
        </w:rPr>
        <w:t>Second: semantic drift.</w:t>
      </w:r>
      <w:r w:rsidRPr="00B479AE">
        <w:rPr>
          <w:rFonts w:ascii="Baskerville Old Face" w:hAnsi="Baskerville Old Face"/>
          <w:i/>
          <w:iCs/>
        </w:rPr>
        <w:br/>
        <w:t>Words such as regeneration, PRU, MRV, governance, token, community, value, impact, coherence, or intelligence begin to lose precise meaning.</w:t>
      </w:r>
    </w:p>
    <w:p w14:paraId="7DE2F9A3"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b/>
          <w:bCs/>
          <w:i/>
          <w:iCs/>
        </w:rPr>
        <w:t>Third: institutional drift.</w:t>
      </w:r>
      <w:r w:rsidRPr="00B479AE">
        <w:rPr>
          <w:rFonts w:ascii="Baskerville Old Face" w:hAnsi="Baskerville Old Face"/>
          <w:i/>
          <w:iCs/>
        </w:rPr>
        <w:br/>
        <w:t>Prometheus begins making claims, promises, financial projections, legal commitments, ecological representations, or governance decisions before the supporting framework exists.</w:t>
      </w:r>
    </w:p>
    <w:p w14:paraId="078FD4A2"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b/>
          <w:bCs/>
          <w:i/>
          <w:iCs/>
        </w:rPr>
        <w:t>Fourth: constitutional drift.</w:t>
      </w:r>
      <w:r w:rsidRPr="00B479AE">
        <w:rPr>
          <w:rFonts w:ascii="Baskerville Old Face" w:hAnsi="Baskerville Old Face"/>
          <w:i/>
          <w:iCs/>
        </w:rPr>
        <w:br/>
        <w:t>The system allows urgency, charisma, capital, ideology, AI output, community pressure, or technical convenience to weaken the source layer.</w:t>
      </w:r>
    </w:p>
    <w:p w14:paraId="33DD0C6A"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The protocol therefore functions as a constitutional immune system.</w:t>
      </w:r>
    </w:p>
    <w:p w14:paraId="423215E0"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It detects misalignment.</w:t>
      </w:r>
    </w:p>
    <w:p w14:paraId="167E0446"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It classifies the request.</w:t>
      </w:r>
    </w:p>
    <w:p w14:paraId="7B76B95C"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It preserves useful signal.</w:t>
      </w:r>
    </w:p>
    <w:p w14:paraId="14B1E6A6"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It blocks invalid execution.</w:t>
      </w:r>
    </w:p>
    <w:p w14:paraId="07EA3B43"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lastRenderedPageBreak/>
        <w:t>It routes the request to the correct pathway.</w:t>
      </w:r>
    </w:p>
    <w:p w14:paraId="3FF01B5C"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It keeps Prometheus creative without becoming careless.</w:t>
      </w:r>
    </w:p>
    <w:p w14:paraId="0156A973" w14:textId="77777777" w:rsidR="0055683A" w:rsidRPr="00B479AE" w:rsidRDefault="0055683A" w:rsidP="0055683A">
      <w:pPr>
        <w:spacing w:line="360" w:lineRule="auto"/>
        <w:rPr>
          <w:rFonts w:ascii="Baskerville Old Face" w:hAnsi="Baskerville Old Face"/>
          <w:b/>
          <w:bCs/>
          <w:i/>
          <w:iCs/>
        </w:rPr>
      </w:pPr>
      <w:r w:rsidRPr="00B479AE">
        <w:rPr>
          <w:rFonts w:ascii="Baskerville Old Face" w:hAnsi="Baskerville Old Face"/>
          <w:b/>
          <w:bCs/>
          <w:i/>
          <w:iCs/>
        </w:rPr>
        <w:t>13.2 Definition of a Non-Aligned Request</w:t>
      </w:r>
    </w:p>
    <w:p w14:paraId="74AF646F"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A non-aligned request is any request, instruction, proposal, output, workflow, model action, governance action, communication, financial structure, ecological claim, technical execution, or token-related pathway that does not currently satisfy the conditions for valid Prometheus execution.</w:t>
      </w:r>
    </w:p>
    <w:p w14:paraId="07ACF75B"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A request may be non-aligned because it is:</w:t>
      </w:r>
    </w:p>
    <w:p w14:paraId="119A14D6"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 outside the participant’s access scope;</w:t>
      </w:r>
      <w:r w:rsidRPr="00B479AE">
        <w:rPr>
          <w:rFonts w:ascii="Baskerville Old Face" w:hAnsi="Baskerville Old Face"/>
          <w:i/>
          <w:iCs/>
        </w:rPr>
        <w:br/>
        <w:t>• unsupported by evidence;</w:t>
      </w:r>
      <w:r w:rsidRPr="00B479AE">
        <w:rPr>
          <w:rFonts w:ascii="Baskerville Old Face" w:hAnsi="Baskerville Old Face"/>
          <w:i/>
          <w:iCs/>
        </w:rPr>
        <w:br/>
        <w:t>• inconsistent with MRV methodology;</w:t>
      </w:r>
      <w:r w:rsidRPr="00B479AE">
        <w:rPr>
          <w:rFonts w:ascii="Baskerville Old Face" w:hAnsi="Baskerville Old Face"/>
          <w:i/>
          <w:iCs/>
        </w:rPr>
        <w:br/>
        <w:t>• premature for PRU or RAP use;</w:t>
      </w:r>
      <w:r w:rsidRPr="00B479AE">
        <w:rPr>
          <w:rFonts w:ascii="Baskerville Old Face" w:hAnsi="Baskerville Old Face"/>
          <w:i/>
          <w:iCs/>
        </w:rPr>
        <w:br/>
        <w:t>• legally unreviewed;</w:t>
      </w:r>
      <w:r w:rsidRPr="00B479AE">
        <w:rPr>
          <w:rFonts w:ascii="Baskerville Old Face" w:hAnsi="Baskerville Old Face"/>
          <w:i/>
          <w:iCs/>
        </w:rPr>
        <w:br/>
        <w:t>• financially overclaiming;</w:t>
      </w:r>
      <w:r w:rsidRPr="00B479AE">
        <w:rPr>
          <w:rFonts w:ascii="Baskerville Old Face" w:hAnsi="Baskerville Old Face"/>
          <w:i/>
          <w:iCs/>
        </w:rPr>
        <w:br/>
        <w:t>• tokenomically ambiguous;</w:t>
      </w:r>
      <w:r w:rsidRPr="00B479AE">
        <w:rPr>
          <w:rFonts w:ascii="Baskerville Old Face" w:hAnsi="Baskerville Old Face"/>
          <w:i/>
          <w:iCs/>
        </w:rPr>
        <w:br/>
        <w:t>• technically unimplemented;</w:t>
      </w:r>
      <w:r w:rsidRPr="00B479AE">
        <w:rPr>
          <w:rFonts w:ascii="Baskerville Old Face" w:hAnsi="Baskerville Old Face"/>
          <w:i/>
          <w:iCs/>
        </w:rPr>
        <w:br/>
        <w:t>• operationally unsafe;</w:t>
      </w:r>
      <w:r w:rsidRPr="00B479AE">
        <w:rPr>
          <w:rFonts w:ascii="Baskerville Old Face" w:hAnsi="Baskerville Old Face"/>
          <w:i/>
          <w:iCs/>
        </w:rPr>
        <w:br/>
        <w:t>• privacy-invasive;</w:t>
      </w:r>
      <w:r w:rsidRPr="00B479AE">
        <w:rPr>
          <w:rFonts w:ascii="Baskerville Old Face" w:hAnsi="Baskerville Old Face"/>
          <w:i/>
          <w:iCs/>
        </w:rPr>
        <w:br/>
        <w:t>• coercive or dignity-violating;</w:t>
      </w:r>
      <w:r w:rsidRPr="00B479AE">
        <w:rPr>
          <w:rFonts w:ascii="Baskerville Old Face" w:hAnsi="Baskerville Old Face"/>
          <w:i/>
          <w:iCs/>
        </w:rPr>
        <w:br/>
        <w:t>• inconsistent with community consent;</w:t>
      </w:r>
      <w:r w:rsidRPr="00B479AE">
        <w:rPr>
          <w:rFonts w:ascii="Baskerville Old Face" w:hAnsi="Baskerville Old Face"/>
          <w:i/>
          <w:iCs/>
        </w:rPr>
        <w:br/>
        <w:t>• inconsistent with the Access Covenant;</w:t>
      </w:r>
      <w:r w:rsidRPr="00B479AE">
        <w:rPr>
          <w:rFonts w:ascii="Baskerville Old Face" w:hAnsi="Baskerville Old Face"/>
          <w:i/>
          <w:iCs/>
        </w:rPr>
        <w:br/>
        <w:t>• inconsistent with foundational articles;</w:t>
      </w:r>
      <w:r w:rsidRPr="00B479AE">
        <w:rPr>
          <w:rFonts w:ascii="Baskerville Old Face" w:hAnsi="Baskerville Old Face"/>
          <w:i/>
          <w:iCs/>
        </w:rPr>
        <w:br/>
        <w:t>• barred by Eternity Clauses.</w:t>
      </w:r>
    </w:p>
    <w:p w14:paraId="5F1E00C0" w14:textId="5C5B7BA3"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The protocol must distinguish between:</w:t>
      </w:r>
      <w:r w:rsidR="00D46989" w:rsidRPr="00B479AE">
        <w:rPr>
          <w:rFonts w:ascii="Baskerville Old Face" w:hAnsi="Baskerville Old Face"/>
          <w:i/>
          <w:iCs/>
        </w:rPr>
        <w:t xml:space="preserve"> </w:t>
      </w:r>
    </w:p>
    <w:p w14:paraId="55361828" w14:textId="77777777" w:rsidR="00D46989" w:rsidRPr="00B479AE" w:rsidRDefault="00D46989" w:rsidP="0055683A">
      <w:pPr>
        <w:spacing w:line="360" w:lineRule="auto"/>
        <w:rPr>
          <w:rFonts w:ascii="Baskerville Old Face" w:hAnsi="Baskerville Old Face"/>
          <w:i/>
          <w:iCs/>
        </w:rPr>
      </w:pPr>
    </w:p>
    <w:p w14:paraId="7EE63F24" w14:textId="77777777" w:rsidR="00D46989" w:rsidRPr="00B479AE" w:rsidRDefault="00D46989" w:rsidP="0055683A">
      <w:pPr>
        <w:spacing w:line="360" w:lineRule="auto"/>
        <w:rPr>
          <w:rFonts w:ascii="Baskerville Old Face" w:hAnsi="Baskerville Old Face"/>
          <w:i/>
          <w:iCs/>
        </w:rPr>
      </w:pPr>
    </w:p>
    <w:p w14:paraId="4D3F7632" w14:textId="77777777" w:rsidR="00D46989" w:rsidRPr="00B479AE" w:rsidRDefault="00D46989" w:rsidP="0055683A">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2"/>
        <w:gridCol w:w="4812"/>
        <w:gridCol w:w="2594"/>
      </w:tblGrid>
      <w:tr w:rsidR="0055683A" w:rsidRPr="00B479AE" w14:paraId="73904CCB" w14:textId="77777777" w:rsidTr="0055683A">
        <w:trPr>
          <w:tblHeader/>
          <w:tblCellSpacing w:w="15" w:type="dxa"/>
        </w:trPr>
        <w:tc>
          <w:tcPr>
            <w:tcW w:w="0" w:type="auto"/>
            <w:vAlign w:val="center"/>
            <w:hideMark/>
          </w:tcPr>
          <w:p w14:paraId="1D0FA9A2" w14:textId="77777777" w:rsidR="0055683A" w:rsidRPr="00B479AE" w:rsidRDefault="0055683A" w:rsidP="0055683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Request type</w:t>
            </w:r>
          </w:p>
        </w:tc>
        <w:tc>
          <w:tcPr>
            <w:tcW w:w="0" w:type="auto"/>
            <w:vAlign w:val="center"/>
            <w:hideMark/>
          </w:tcPr>
          <w:p w14:paraId="7CEB6432" w14:textId="77777777" w:rsidR="0055683A" w:rsidRPr="00B479AE" w:rsidRDefault="0055683A" w:rsidP="0055683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c>
          <w:tcPr>
            <w:tcW w:w="0" w:type="auto"/>
            <w:vAlign w:val="center"/>
            <w:hideMark/>
          </w:tcPr>
          <w:p w14:paraId="6D6FC2C7" w14:textId="77777777" w:rsidR="0055683A" w:rsidRPr="00B479AE" w:rsidRDefault="0055683A" w:rsidP="0055683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Response orientation</w:t>
            </w:r>
          </w:p>
        </w:tc>
      </w:tr>
      <w:tr w:rsidR="0055683A" w:rsidRPr="00B479AE" w14:paraId="4B6009F4" w14:textId="77777777" w:rsidTr="0055683A">
        <w:trPr>
          <w:tblCellSpacing w:w="15" w:type="dxa"/>
        </w:trPr>
        <w:tc>
          <w:tcPr>
            <w:tcW w:w="0" w:type="auto"/>
            <w:vAlign w:val="center"/>
            <w:hideMark/>
          </w:tcPr>
          <w:p w14:paraId="01DEF55F"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Incomplete request</w:t>
            </w:r>
          </w:p>
        </w:tc>
        <w:tc>
          <w:tcPr>
            <w:tcW w:w="0" w:type="auto"/>
            <w:vAlign w:val="center"/>
            <w:hideMark/>
          </w:tcPr>
          <w:p w14:paraId="6177E718"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Missing information, scope, evidence, or authority.</w:t>
            </w:r>
          </w:p>
        </w:tc>
        <w:tc>
          <w:tcPr>
            <w:tcW w:w="0" w:type="auto"/>
            <w:vAlign w:val="center"/>
            <w:hideMark/>
          </w:tcPr>
          <w:p w14:paraId="4FE97CA8"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Ask for clarification or route to intake.</w:t>
            </w:r>
          </w:p>
        </w:tc>
      </w:tr>
      <w:tr w:rsidR="0055683A" w:rsidRPr="00B479AE" w14:paraId="6FF752D8" w14:textId="77777777" w:rsidTr="0055683A">
        <w:trPr>
          <w:tblCellSpacing w:w="15" w:type="dxa"/>
        </w:trPr>
        <w:tc>
          <w:tcPr>
            <w:tcW w:w="0" w:type="auto"/>
            <w:vAlign w:val="center"/>
            <w:hideMark/>
          </w:tcPr>
          <w:p w14:paraId="3E6AB613"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Premature request</w:t>
            </w:r>
          </w:p>
        </w:tc>
        <w:tc>
          <w:tcPr>
            <w:tcW w:w="0" w:type="auto"/>
            <w:vAlign w:val="center"/>
            <w:hideMark/>
          </w:tcPr>
          <w:p w14:paraId="1ED7C7FA"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Direction may be valid later, but current evidence, law, governance, or implementation is insufficient.</w:t>
            </w:r>
          </w:p>
        </w:tc>
        <w:tc>
          <w:tcPr>
            <w:tcW w:w="0" w:type="auto"/>
            <w:vAlign w:val="center"/>
            <w:hideMark/>
          </w:tcPr>
          <w:p w14:paraId="571F89D3"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Park, stage, pilot, or send to review.</w:t>
            </w:r>
          </w:p>
        </w:tc>
      </w:tr>
      <w:tr w:rsidR="0055683A" w:rsidRPr="00B479AE" w14:paraId="1104427E" w14:textId="77777777" w:rsidTr="0055683A">
        <w:trPr>
          <w:tblCellSpacing w:w="15" w:type="dxa"/>
        </w:trPr>
        <w:tc>
          <w:tcPr>
            <w:tcW w:w="0" w:type="auto"/>
            <w:vAlign w:val="center"/>
            <w:hideMark/>
          </w:tcPr>
          <w:p w14:paraId="7E321795"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Speculative request</w:t>
            </w:r>
          </w:p>
        </w:tc>
        <w:tc>
          <w:tcPr>
            <w:tcW w:w="0" w:type="auto"/>
            <w:vAlign w:val="center"/>
            <w:hideMark/>
          </w:tcPr>
          <w:p w14:paraId="62BFBDB7"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Future-facing but not yet grounded enough for execution or representation.</w:t>
            </w:r>
          </w:p>
        </w:tc>
        <w:tc>
          <w:tcPr>
            <w:tcW w:w="0" w:type="auto"/>
            <w:vAlign w:val="center"/>
            <w:hideMark/>
          </w:tcPr>
          <w:p w14:paraId="70DE08CB"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Treat as research, scenario, or appendix material.</w:t>
            </w:r>
          </w:p>
        </w:tc>
      </w:tr>
      <w:tr w:rsidR="0055683A" w:rsidRPr="00B479AE" w14:paraId="00BDF842" w14:textId="77777777" w:rsidTr="0055683A">
        <w:trPr>
          <w:tblCellSpacing w:w="15" w:type="dxa"/>
        </w:trPr>
        <w:tc>
          <w:tcPr>
            <w:tcW w:w="0" w:type="auto"/>
            <w:vAlign w:val="center"/>
            <w:hideMark/>
          </w:tcPr>
          <w:p w14:paraId="6B77A13B"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Misclassified request</w:t>
            </w:r>
          </w:p>
        </w:tc>
        <w:tc>
          <w:tcPr>
            <w:tcW w:w="0" w:type="auto"/>
            <w:vAlign w:val="center"/>
            <w:hideMark/>
          </w:tcPr>
          <w:p w14:paraId="67713CE2"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Request belongs to a different pathway than the one proposed.</w:t>
            </w:r>
          </w:p>
        </w:tc>
        <w:tc>
          <w:tcPr>
            <w:tcW w:w="0" w:type="auto"/>
            <w:vAlign w:val="center"/>
            <w:hideMark/>
          </w:tcPr>
          <w:p w14:paraId="7E398C08"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Reclassify and reroute.</w:t>
            </w:r>
          </w:p>
        </w:tc>
      </w:tr>
      <w:tr w:rsidR="0055683A" w:rsidRPr="00B479AE" w14:paraId="67C42D91" w14:textId="77777777" w:rsidTr="0055683A">
        <w:trPr>
          <w:tblCellSpacing w:w="15" w:type="dxa"/>
        </w:trPr>
        <w:tc>
          <w:tcPr>
            <w:tcW w:w="0" w:type="auto"/>
            <w:vAlign w:val="center"/>
            <w:hideMark/>
          </w:tcPr>
          <w:p w14:paraId="12E9BE71"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High-risk request</w:t>
            </w:r>
          </w:p>
        </w:tc>
        <w:tc>
          <w:tcPr>
            <w:tcW w:w="0" w:type="auto"/>
            <w:vAlign w:val="center"/>
            <w:hideMark/>
          </w:tcPr>
          <w:p w14:paraId="2C3BACF3"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Could create legal, ecological, financial, technical, or governance harm.</w:t>
            </w:r>
          </w:p>
        </w:tc>
        <w:tc>
          <w:tcPr>
            <w:tcW w:w="0" w:type="auto"/>
            <w:vAlign w:val="center"/>
            <w:hideMark/>
          </w:tcPr>
          <w:p w14:paraId="0866B897"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Pause and require review.</w:t>
            </w:r>
          </w:p>
        </w:tc>
      </w:tr>
      <w:tr w:rsidR="0055683A" w:rsidRPr="00B479AE" w14:paraId="16F98972" w14:textId="77777777" w:rsidTr="0055683A">
        <w:trPr>
          <w:tblCellSpacing w:w="15" w:type="dxa"/>
        </w:trPr>
        <w:tc>
          <w:tcPr>
            <w:tcW w:w="0" w:type="auto"/>
            <w:vAlign w:val="center"/>
            <w:hideMark/>
          </w:tcPr>
          <w:p w14:paraId="6C14F86A"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Constitutionally misaligned request</w:t>
            </w:r>
          </w:p>
        </w:tc>
        <w:tc>
          <w:tcPr>
            <w:tcW w:w="0" w:type="auto"/>
            <w:vAlign w:val="center"/>
            <w:hideMark/>
          </w:tcPr>
          <w:p w14:paraId="7B8AEFD8"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Violates source-layer constraints.</w:t>
            </w:r>
          </w:p>
        </w:tc>
        <w:tc>
          <w:tcPr>
            <w:tcW w:w="0" w:type="auto"/>
            <w:vAlign w:val="center"/>
            <w:hideMark/>
          </w:tcPr>
          <w:p w14:paraId="1C201CB2"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Refuse, quarantine, or escalate.</w:t>
            </w:r>
          </w:p>
        </w:tc>
      </w:tr>
      <w:tr w:rsidR="0055683A" w:rsidRPr="00B479AE" w14:paraId="5156CAAD" w14:textId="77777777" w:rsidTr="0055683A">
        <w:trPr>
          <w:tblCellSpacing w:w="15" w:type="dxa"/>
        </w:trPr>
        <w:tc>
          <w:tcPr>
            <w:tcW w:w="0" w:type="auto"/>
            <w:vAlign w:val="center"/>
            <w:hideMark/>
          </w:tcPr>
          <w:p w14:paraId="7E1A9767"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Hostile or manipulative request</w:t>
            </w:r>
          </w:p>
        </w:tc>
        <w:tc>
          <w:tcPr>
            <w:tcW w:w="0" w:type="auto"/>
            <w:vAlign w:val="center"/>
            <w:hideMark/>
          </w:tcPr>
          <w:p w14:paraId="5D2F4513"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Attempts bypass, deception, capture, exploitation, or unauthorized execution.</w:t>
            </w:r>
          </w:p>
        </w:tc>
        <w:tc>
          <w:tcPr>
            <w:tcW w:w="0" w:type="auto"/>
            <w:vAlign w:val="center"/>
            <w:hideMark/>
          </w:tcPr>
          <w:p w14:paraId="7979D113"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Block, log, restrict, or escalate.</w:t>
            </w:r>
          </w:p>
        </w:tc>
      </w:tr>
    </w:tbl>
    <w:p w14:paraId="09AA2398"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This classification avoids overreaction.</w:t>
      </w:r>
    </w:p>
    <w:p w14:paraId="5F244267"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Not every non-aligned request is dangerous.</w:t>
      </w:r>
    </w:p>
    <w:p w14:paraId="0D144E80"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But every non-aligned request must be prevented from becoming unauthorized execution.</w:t>
      </w:r>
    </w:p>
    <w:p w14:paraId="25E5214C" w14:textId="77777777" w:rsidR="0055683A" w:rsidRPr="00B479AE" w:rsidRDefault="0055683A" w:rsidP="0055683A">
      <w:pPr>
        <w:spacing w:line="360" w:lineRule="auto"/>
        <w:rPr>
          <w:rFonts w:ascii="Baskerville Old Face" w:hAnsi="Baskerville Old Face"/>
          <w:b/>
          <w:bCs/>
          <w:i/>
          <w:iCs/>
        </w:rPr>
      </w:pPr>
      <w:r w:rsidRPr="00B479AE">
        <w:rPr>
          <w:rFonts w:ascii="Baskerville Old Face" w:hAnsi="Baskerville Old Face"/>
          <w:b/>
          <w:bCs/>
          <w:i/>
          <w:iCs/>
        </w:rPr>
        <w:t>13.3 Alignment Questions</w:t>
      </w:r>
    </w:p>
    <w:p w14:paraId="623B1A4D" w14:textId="49F0A800"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Before executing or approving any sensitive request, Prometheus should ask:</w:t>
      </w:r>
      <w:r w:rsidR="000946A7" w:rsidRPr="00B479AE">
        <w:rPr>
          <w:rFonts w:ascii="Baskerville Old Face" w:hAnsi="Baskerville Old Face"/>
          <w:i/>
          <w:iCs/>
        </w:rPr>
        <w:t xml:space="preserve"> </w:t>
      </w:r>
    </w:p>
    <w:p w14:paraId="689C8BB1" w14:textId="77777777" w:rsidR="000946A7" w:rsidRPr="00B479AE" w:rsidRDefault="000946A7" w:rsidP="0055683A">
      <w:pPr>
        <w:spacing w:line="360" w:lineRule="auto"/>
        <w:rPr>
          <w:rFonts w:ascii="Baskerville Old Face" w:hAnsi="Baskerville Old Face"/>
          <w:i/>
          <w:iCs/>
        </w:rPr>
      </w:pPr>
    </w:p>
    <w:p w14:paraId="5F3D8D0A" w14:textId="77777777" w:rsidR="00603555" w:rsidRPr="00B479AE" w:rsidRDefault="00603555" w:rsidP="0055683A">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9"/>
        <w:gridCol w:w="7109"/>
      </w:tblGrid>
      <w:tr w:rsidR="0055683A" w:rsidRPr="00B479AE" w14:paraId="10E5D0DD" w14:textId="77777777" w:rsidTr="0055683A">
        <w:trPr>
          <w:tblHeader/>
          <w:tblCellSpacing w:w="15" w:type="dxa"/>
        </w:trPr>
        <w:tc>
          <w:tcPr>
            <w:tcW w:w="0" w:type="auto"/>
            <w:vAlign w:val="center"/>
            <w:hideMark/>
          </w:tcPr>
          <w:p w14:paraId="106CF6EF" w14:textId="77777777" w:rsidR="0055683A" w:rsidRPr="00B479AE" w:rsidRDefault="0055683A" w:rsidP="0055683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Alignment question</w:t>
            </w:r>
          </w:p>
        </w:tc>
        <w:tc>
          <w:tcPr>
            <w:tcW w:w="0" w:type="auto"/>
            <w:vAlign w:val="center"/>
            <w:hideMark/>
          </w:tcPr>
          <w:p w14:paraId="3F49E513" w14:textId="77777777" w:rsidR="0055683A" w:rsidRPr="00B479AE" w:rsidRDefault="0055683A" w:rsidP="0055683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Purpose</w:t>
            </w:r>
          </w:p>
        </w:tc>
      </w:tr>
      <w:tr w:rsidR="0055683A" w:rsidRPr="00B479AE" w14:paraId="23122B37" w14:textId="77777777" w:rsidTr="0055683A">
        <w:trPr>
          <w:tblCellSpacing w:w="15" w:type="dxa"/>
        </w:trPr>
        <w:tc>
          <w:tcPr>
            <w:tcW w:w="0" w:type="auto"/>
            <w:vAlign w:val="center"/>
            <w:hideMark/>
          </w:tcPr>
          <w:p w14:paraId="5B8A6249"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Who is asking?</w:t>
            </w:r>
          </w:p>
        </w:tc>
        <w:tc>
          <w:tcPr>
            <w:tcW w:w="0" w:type="auto"/>
            <w:vAlign w:val="center"/>
            <w:hideMark/>
          </w:tcPr>
          <w:p w14:paraId="66E9669B"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Identifies participant, role, authority, and access scope.</w:t>
            </w:r>
          </w:p>
        </w:tc>
      </w:tr>
      <w:tr w:rsidR="0055683A" w:rsidRPr="00B479AE" w14:paraId="2C997EE1" w14:textId="77777777" w:rsidTr="0055683A">
        <w:trPr>
          <w:tblCellSpacing w:w="15" w:type="dxa"/>
        </w:trPr>
        <w:tc>
          <w:tcPr>
            <w:tcW w:w="0" w:type="auto"/>
            <w:vAlign w:val="center"/>
            <w:hideMark/>
          </w:tcPr>
          <w:p w14:paraId="0B10ADD5"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What is being requested?</w:t>
            </w:r>
          </w:p>
        </w:tc>
        <w:tc>
          <w:tcPr>
            <w:tcW w:w="0" w:type="auto"/>
            <w:vAlign w:val="center"/>
            <w:hideMark/>
          </w:tcPr>
          <w:p w14:paraId="19E9777C"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Clarifies action, claim, output, or execution path.</w:t>
            </w:r>
          </w:p>
        </w:tc>
      </w:tr>
      <w:tr w:rsidR="0055683A" w:rsidRPr="00B479AE" w14:paraId="06E410A6" w14:textId="77777777" w:rsidTr="0055683A">
        <w:trPr>
          <w:tblCellSpacing w:w="15" w:type="dxa"/>
        </w:trPr>
        <w:tc>
          <w:tcPr>
            <w:tcW w:w="0" w:type="auto"/>
            <w:vAlign w:val="center"/>
            <w:hideMark/>
          </w:tcPr>
          <w:p w14:paraId="17A5455F"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Which domain is affected?</w:t>
            </w:r>
          </w:p>
        </w:tc>
        <w:tc>
          <w:tcPr>
            <w:tcW w:w="0" w:type="auto"/>
            <w:vAlign w:val="center"/>
            <w:hideMark/>
          </w:tcPr>
          <w:p w14:paraId="3A6319DD"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Determines whether the request involves governance, MRV, PRU, RAP, finance, tokens, HSI, data, law, community, or technology.</w:t>
            </w:r>
          </w:p>
        </w:tc>
      </w:tr>
      <w:tr w:rsidR="0055683A" w:rsidRPr="00B479AE" w14:paraId="0F4536C2" w14:textId="77777777" w:rsidTr="0055683A">
        <w:trPr>
          <w:tblCellSpacing w:w="15" w:type="dxa"/>
        </w:trPr>
        <w:tc>
          <w:tcPr>
            <w:tcW w:w="0" w:type="auto"/>
            <w:vAlign w:val="center"/>
            <w:hideMark/>
          </w:tcPr>
          <w:p w14:paraId="765F7037"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What evidence supports it?</w:t>
            </w:r>
          </w:p>
        </w:tc>
        <w:tc>
          <w:tcPr>
            <w:tcW w:w="0" w:type="auto"/>
            <w:vAlign w:val="center"/>
            <w:hideMark/>
          </w:tcPr>
          <w:p w14:paraId="4660EBDC"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Prevents narrative from becoming value.</w:t>
            </w:r>
          </w:p>
        </w:tc>
      </w:tr>
      <w:tr w:rsidR="0055683A" w:rsidRPr="00B479AE" w14:paraId="0D3197B5" w14:textId="77777777" w:rsidTr="0055683A">
        <w:trPr>
          <w:tblCellSpacing w:w="15" w:type="dxa"/>
        </w:trPr>
        <w:tc>
          <w:tcPr>
            <w:tcW w:w="0" w:type="auto"/>
            <w:vAlign w:val="center"/>
            <w:hideMark/>
          </w:tcPr>
          <w:p w14:paraId="6D52702A"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What methodology applies?</w:t>
            </w:r>
          </w:p>
        </w:tc>
        <w:tc>
          <w:tcPr>
            <w:tcW w:w="0" w:type="auto"/>
            <w:vAlign w:val="center"/>
            <w:hideMark/>
          </w:tcPr>
          <w:p w14:paraId="0EA5E43C"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Ensures versioned discipline.</w:t>
            </w:r>
          </w:p>
        </w:tc>
      </w:tr>
      <w:tr w:rsidR="0055683A" w:rsidRPr="00B479AE" w14:paraId="144A97DA" w14:textId="77777777" w:rsidTr="0055683A">
        <w:trPr>
          <w:tblCellSpacing w:w="15" w:type="dxa"/>
        </w:trPr>
        <w:tc>
          <w:tcPr>
            <w:tcW w:w="0" w:type="auto"/>
            <w:vAlign w:val="center"/>
            <w:hideMark/>
          </w:tcPr>
          <w:p w14:paraId="4295C04A"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What legal structure applies?</w:t>
            </w:r>
          </w:p>
        </w:tc>
        <w:tc>
          <w:tcPr>
            <w:tcW w:w="0" w:type="auto"/>
            <w:vAlign w:val="center"/>
            <w:hideMark/>
          </w:tcPr>
          <w:p w14:paraId="05FE9FF1"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Prevents unauthorized financial, token, data, land, or investor claims.</w:t>
            </w:r>
          </w:p>
        </w:tc>
      </w:tr>
      <w:tr w:rsidR="0055683A" w:rsidRPr="00B479AE" w14:paraId="7D409213" w14:textId="77777777" w:rsidTr="0055683A">
        <w:trPr>
          <w:tblCellSpacing w:w="15" w:type="dxa"/>
        </w:trPr>
        <w:tc>
          <w:tcPr>
            <w:tcW w:w="0" w:type="auto"/>
            <w:vAlign w:val="center"/>
            <w:hideMark/>
          </w:tcPr>
          <w:p w14:paraId="0CB03B9F"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What permissions are required?</w:t>
            </w:r>
          </w:p>
        </w:tc>
        <w:tc>
          <w:tcPr>
            <w:tcW w:w="0" w:type="auto"/>
            <w:vAlign w:val="center"/>
            <w:hideMark/>
          </w:tcPr>
          <w:p w14:paraId="5FEC09CB"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Ensures role-scoped execution.</w:t>
            </w:r>
          </w:p>
        </w:tc>
      </w:tr>
      <w:tr w:rsidR="0055683A" w:rsidRPr="00B479AE" w14:paraId="402C348C" w14:textId="77777777" w:rsidTr="0055683A">
        <w:trPr>
          <w:tblCellSpacing w:w="15" w:type="dxa"/>
        </w:trPr>
        <w:tc>
          <w:tcPr>
            <w:tcW w:w="0" w:type="auto"/>
            <w:vAlign w:val="center"/>
            <w:hideMark/>
          </w:tcPr>
          <w:p w14:paraId="3130E13C"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What could be harmed?</w:t>
            </w:r>
          </w:p>
        </w:tc>
        <w:tc>
          <w:tcPr>
            <w:tcW w:w="0" w:type="auto"/>
            <w:vAlign w:val="center"/>
            <w:hideMark/>
          </w:tcPr>
          <w:p w14:paraId="3B3D77DD"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Identifies dignity, ecological, legal, financial, technical, or governance risk.</w:t>
            </w:r>
          </w:p>
        </w:tc>
      </w:tr>
      <w:tr w:rsidR="0055683A" w:rsidRPr="00B479AE" w14:paraId="01052F15" w14:textId="77777777" w:rsidTr="0055683A">
        <w:trPr>
          <w:tblCellSpacing w:w="15" w:type="dxa"/>
        </w:trPr>
        <w:tc>
          <w:tcPr>
            <w:tcW w:w="0" w:type="auto"/>
            <w:vAlign w:val="center"/>
            <w:hideMark/>
          </w:tcPr>
          <w:p w14:paraId="7AE8C1D6"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What review is required?</w:t>
            </w:r>
          </w:p>
        </w:tc>
        <w:tc>
          <w:tcPr>
            <w:tcW w:w="0" w:type="auto"/>
            <w:vAlign w:val="center"/>
            <w:hideMark/>
          </w:tcPr>
          <w:p w14:paraId="4E612CEC"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Routes the request to the correct pathway.</w:t>
            </w:r>
          </w:p>
        </w:tc>
      </w:tr>
      <w:tr w:rsidR="0055683A" w:rsidRPr="00B479AE" w14:paraId="0BD854C6" w14:textId="77777777" w:rsidTr="0055683A">
        <w:trPr>
          <w:tblCellSpacing w:w="15" w:type="dxa"/>
        </w:trPr>
        <w:tc>
          <w:tcPr>
            <w:tcW w:w="0" w:type="auto"/>
            <w:vAlign w:val="center"/>
            <w:hideMark/>
          </w:tcPr>
          <w:p w14:paraId="3EEBE7D6"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What status should the output receive?</w:t>
            </w:r>
          </w:p>
        </w:tc>
        <w:tc>
          <w:tcPr>
            <w:tcW w:w="0" w:type="auto"/>
            <w:vAlign w:val="center"/>
            <w:hideMark/>
          </w:tcPr>
          <w:p w14:paraId="7B29C0DA"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Classifies the result as draft, research, non-admissible, pilot, MRV-admissible, investor-review, or executable.</w:t>
            </w:r>
          </w:p>
        </w:tc>
      </w:tr>
    </w:tbl>
    <w:p w14:paraId="0538E0DD"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These questions convert ambiguity into governance intelligence.</w:t>
      </w:r>
    </w:p>
    <w:p w14:paraId="7CA0D13F" w14:textId="77777777" w:rsidR="0055683A" w:rsidRPr="00B479AE" w:rsidRDefault="0055683A" w:rsidP="0055683A">
      <w:pPr>
        <w:spacing w:line="360" w:lineRule="auto"/>
        <w:rPr>
          <w:rFonts w:ascii="Baskerville Old Face" w:hAnsi="Baskerville Old Face"/>
          <w:b/>
          <w:bCs/>
          <w:i/>
          <w:iCs/>
        </w:rPr>
      </w:pPr>
      <w:r w:rsidRPr="00B479AE">
        <w:rPr>
          <w:rFonts w:ascii="Baskerville Old Face" w:hAnsi="Baskerville Old Face"/>
          <w:b/>
          <w:bCs/>
          <w:i/>
          <w:iCs/>
        </w:rPr>
        <w:t>13.4 Request Classification Status</w:t>
      </w:r>
    </w:p>
    <w:p w14:paraId="408845D0" w14:textId="16A62DB0"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Every non-trivial request should receive a classification status before execution.</w:t>
      </w:r>
      <w:r w:rsidR="00D46989" w:rsidRPr="00B479AE">
        <w:rPr>
          <w:rFonts w:ascii="Baskerville Old Face" w:hAnsi="Baskerville Old Face"/>
          <w:i/>
          <w:iCs/>
        </w:rPr>
        <w:t xml:space="preserve"> </w:t>
      </w:r>
    </w:p>
    <w:p w14:paraId="536AC6CB" w14:textId="77777777" w:rsidR="00D46989" w:rsidRPr="00B479AE" w:rsidRDefault="00D46989" w:rsidP="0055683A">
      <w:pPr>
        <w:spacing w:line="360" w:lineRule="auto"/>
        <w:rPr>
          <w:rFonts w:ascii="Baskerville Old Face" w:hAnsi="Baskerville Old Face"/>
          <w:i/>
          <w:iCs/>
        </w:rPr>
      </w:pPr>
    </w:p>
    <w:p w14:paraId="7CEF3281" w14:textId="77777777" w:rsidR="00603555" w:rsidRPr="00B479AE" w:rsidRDefault="00603555" w:rsidP="0055683A">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3"/>
        <w:gridCol w:w="7305"/>
      </w:tblGrid>
      <w:tr w:rsidR="0055683A" w:rsidRPr="00B479AE" w14:paraId="04FEF23F" w14:textId="77777777" w:rsidTr="0055683A">
        <w:trPr>
          <w:tblHeader/>
          <w:tblCellSpacing w:w="15" w:type="dxa"/>
        </w:trPr>
        <w:tc>
          <w:tcPr>
            <w:tcW w:w="0" w:type="auto"/>
            <w:vAlign w:val="center"/>
            <w:hideMark/>
          </w:tcPr>
          <w:p w14:paraId="46EB1401" w14:textId="77777777" w:rsidR="0055683A" w:rsidRPr="00B479AE" w:rsidRDefault="0055683A" w:rsidP="0055683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Status</w:t>
            </w:r>
          </w:p>
        </w:tc>
        <w:tc>
          <w:tcPr>
            <w:tcW w:w="0" w:type="auto"/>
            <w:vAlign w:val="center"/>
            <w:hideMark/>
          </w:tcPr>
          <w:p w14:paraId="436B433A" w14:textId="77777777" w:rsidR="0055683A" w:rsidRPr="00B479AE" w:rsidRDefault="0055683A" w:rsidP="0055683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r>
      <w:tr w:rsidR="0055683A" w:rsidRPr="00B479AE" w14:paraId="7DACF95A" w14:textId="77777777" w:rsidTr="0055683A">
        <w:trPr>
          <w:tblCellSpacing w:w="15" w:type="dxa"/>
        </w:trPr>
        <w:tc>
          <w:tcPr>
            <w:tcW w:w="0" w:type="auto"/>
            <w:vAlign w:val="center"/>
            <w:hideMark/>
          </w:tcPr>
          <w:p w14:paraId="43A01D20"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Executable</w:t>
            </w:r>
          </w:p>
        </w:tc>
        <w:tc>
          <w:tcPr>
            <w:tcW w:w="0" w:type="auto"/>
            <w:vAlign w:val="center"/>
            <w:hideMark/>
          </w:tcPr>
          <w:p w14:paraId="708A1DFA"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Request is within scope, authorized, and technically/governance-ready.</w:t>
            </w:r>
          </w:p>
        </w:tc>
      </w:tr>
      <w:tr w:rsidR="0055683A" w:rsidRPr="00B479AE" w14:paraId="768CBD65" w14:textId="77777777" w:rsidTr="0055683A">
        <w:trPr>
          <w:tblCellSpacing w:w="15" w:type="dxa"/>
        </w:trPr>
        <w:tc>
          <w:tcPr>
            <w:tcW w:w="0" w:type="auto"/>
            <w:vAlign w:val="center"/>
            <w:hideMark/>
          </w:tcPr>
          <w:p w14:paraId="6FE6E382"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Executable with logging</w:t>
            </w:r>
          </w:p>
        </w:tc>
        <w:tc>
          <w:tcPr>
            <w:tcW w:w="0" w:type="auto"/>
            <w:vAlign w:val="center"/>
            <w:hideMark/>
          </w:tcPr>
          <w:p w14:paraId="07B2EF23"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Request may proceed but must be recorded.</w:t>
            </w:r>
          </w:p>
        </w:tc>
      </w:tr>
      <w:tr w:rsidR="0055683A" w:rsidRPr="00B479AE" w14:paraId="1D638837" w14:textId="77777777" w:rsidTr="0055683A">
        <w:trPr>
          <w:tblCellSpacing w:w="15" w:type="dxa"/>
        </w:trPr>
        <w:tc>
          <w:tcPr>
            <w:tcW w:w="0" w:type="auto"/>
            <w:vAlign w:val="center"/>
            <w:hideMark/>
          </w:tcPr>
          <w:p w14:paraId="104AC7ED"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Executable with review</w:t>
            </w:r>
          </w:p>
        </w:tc>
        <w:tc>
          <w:tcPr>
            <w:tcW w:w="0" w:type="auto"/>
            <w:vAlign w:val="center"/>
            <w:hideMark/>
          </w:tcPr>
          <w:p w14:paraId="1FE488DF"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Request may proceed only with subsequent or parallel review.</w:t>
            </w:r>
          </w:p>
        </w:tc>
      </w:tr>
      <w:tr w:rsidR="0055683A" w:rsidRPr="00B479AE" w14:paraId="2B12B8B5" w14:textId="77777777" w:rsidTr="0055683A">
        <w:trPr>
          <w:tblCellSpacing w:w="15" w:type="dxa"/>
        </w:trPr>
        <w:tc>
          <w:tcPr>
            <w:tcW w:w="0" w:type="auto"/>
            <w:vAlign w:val="center"/>
            <w:hideMark/>
          </w:tcPr>
          <w:p w14:paraId="0E6D581C"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Clarification required</w:t>
            </w:r>
          </w:p>
        </w:tc>
        <w:tc>
          <w:tcPr>
            <w:tcW w:w="0" w:type="auto"/>
            <w:vAlign w:val="center"/>
            <w:hideMark/>
          </w:tcPr>
          <w:p w14:paraId="13D9F182"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Request lacks sufficient scope, evidence, or authority.</w:t>
            </w:r>
          </w:p>
        </w:tc>
      </w:tr>
      <w:tr w:rsidR="0055683A" w:rsidRPr="00B479AE" w14:paraId="719EFE01" w14:textId="77777777" w:rsidTr="0055683A">
        <w:trPr>
          <w:tblCellSpacing w:w="15" w:type="dxa"/>
        </w:trPr>
        <w:tc>
          <w:tcPr>
            <w:tcW w:w="0" w:type="auto"/>
            <w:vAlign w:val="center"/>
            <w:hideMark/>
          </w:tcPr>
          <w:p w14:paraId="0844BF3D"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Manual review required</w:t>
            </w:r>
          </w:p>
        </w:tc>
        <w:tc>
          <w:tcPr>
            <w:tcW w:w="0" w:type="auto"/>
            <w:vAlign w:val="center"/>
            <w:hideMark/>
          </w:tcPr>
          <w:p w14:paraId="50694593"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Request affects protected domains and must be reviewed before execution.</w:t>
            </w:r>
          </w:p>
        </w:tc>
      </w:tr>
      <w:tr w:rsidR="0055683A" w:rsidRPr="00B479AE" w14:paraId="52727697" w14:textId="77777777" w:rsidTr="0055683A">
        <w:trPr>
          <w:tblCellSpacing w:w="15" w:type="dxa"/>
        </w:trPr>
        <w:tc>
          <w:tcPr>
            <w:tcW w:w="0" w:type="auto"/>
            <w:vAlign w:val="center"/>
            <w:hideMark/>
          </w:tcPr>
          <w:p w14:paraId="7B8351E3"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Legal review required</w:t>
            </w:r>
          </w:p>
        </w:tc>
        <w:tc>
          <w:tcPr>
            <w:tcW w:w="0" w:type="auto"/>
            <w:vAlign w:val="center"/>
            <w:hideMark/>
          </w:tcPr>
          <w:p w14:paraId="77E97676"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Request may affect rights, obligations, securities, tokens, data, land, health, finance, or public claims.</w:t>
            </w:r>
          </w:p>
        </w:tc>
      </w:tr>
      <w:tr w:rsidR="0055683A" w:rsidRPr="00B479AE" w14:paraId="1F4E7A04" w14:textId="77777777" w:rsidTr="0055683A">
        <w:trPr>
          <w:tblCellSpacing w:w="15" w:type="dxa"/>
        </w:trPr>
        <w:tc>
          <w:tcPr>
            <w:tcW w:w="0" w:type="auto"/>
            <w:vAlign w:val="center"/>
            <w:hideMark/>
          </w:tcPr>
          <w:p w14:paraId="0C3C6416"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MRV review required</w:t>
            </w:r>
          </w:p>
        </w:tc>
        <w:tc>
          <w:tcPr>
            <w:tcW w:w="0" w:type="auto"/>
            <w:vAlign w:val="center"/>
            <w:hideMark/>
          </w:tcPr>
          <w:p w14:paraId="03D862AF"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Request affects evidence, indicators, PRU, RAP, ecological performance, or admissibility.</w:t>
            </w:r>
          </w:p>
        </w:tc>
      </w:tr>
      <w:tr w:rsidR="0055683A" w:rsidRPr="00B479AE" w14:paraId="7A108392" w14:textId="77777777" w:rsidTr="0055683A">
        <w:trPr>
          <w:tblCellSpacing w:w="15" w:type="dxa"/>
        </w:trPr>
        <w:tc>
          <w:tcPr>
            <w:tcW w:w="0" w:type="auto"/>
            <w:vAlign w:val="center"/>
            <w:hideMark/>
          </w:tcPr>
          <w:p w14:paraId="20ABA5E6"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Technical review required</w:t>
            </w:r>
          </w:p>
        </w:tc>
        <w:tc>
          <w:tcPr>
            <w:tcW w:w="0" w:type="auto"/>
            <w:vAlign w:val="center"/>
            <w:hideMark/>
          </w:tcPr>
          <w:p w14:paraId="7408361A"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Request affects code, infrastructure, permissions, data security, APIs, or automation.</w:t>
            </w:r>
          </w:p>
        </w:tc>
      </w:tr>
      <w:tr w:rsidR="0055683A" w:rsidRPr="00B479AE" w14:paraId="426EE14B" w14:textId="77777777" w:rsidTr="0055683A">
        <w:trPr>
          <w:tblCellSpacing w:w="15" w:type="dxa"/>
        </w:trPr>
        <w:tc>
          <w:tcPr>
            <w:tcW w:w="0" w:type="auto"/>
            <w:vAlign w:val="center"/>
            <w:hideMark/>
          </w:tcPr>
          <w:p w14:paraId="66946941"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Governance review required</w:t>
            </w:r>
          </w:p>
        </w:tc>
        <w:tc>
          <w:tcPr>
            <w:tcW w:w="0" w:type="auto"/>
            <w:vAlign w:val="center"/>
            <w:hideMark/>
          </w:tcPr>
          <w:p w14:paraId="6696CE22"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Request affects roles, authority, community process, access, or decision rights.</w:t>
            </w:r>
          </w:p>
        </w:tc>
      </w:tr>
      <w:tr w:rsidR="0055683A" w:rsidRPr="00B479AE" w14:paraId="4BFD607C" w14:textId="77777777" w:rsidTr="0055683A">
        <w:trPr>
          <w:tblCellSpacing w:w="15" w:type="dxa"/>
        </w:trPr>
        <w:tc>
          <w:tcPr>
            <w:tcW w:w="0" w:type="auto"/>
            <w:vAlign w:val="center"/>
            <w:hideMark/>
          </w:tcPr>
          <w:p w14:paraId="32C5C626"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Constitutional review required</w:t>
            </w:r>
          </w:p>
        </w:tc>
        <w:tc>
          <w:tcPr>
            <w:tcW w:w="0" w:type="auto"/>
            <w:vAlign w:val="center"/>
            <w:hideMark/>
          </w:tcPr>
          <w:p w14:paraId="684F79B7"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Request may affect foundational articles, Eternity Clauses, source-layer constraints, or canonical definitions.</w:t>
            </w:r>
          </w:p>
        </w:tc>
      </w:tr>
      <w:tr w:rsidR="0055683A" w:rsidRPr="00B479AE" w14:paraId="48E8D8C6" w14:textId="77777777" w:rsidTr="0055683A">
        <w:trPr>
          <w:tblCellSpacing w:w="15" w:type="dxa"/>
        </w:trPr>
        <w:tc>
          <w:tcPr>
            <w:tcW w:w="0" w:type="auto"/>
            <w:vAlign w:val="center"/>
            <w:hideMark/>
          </w:tcPr>
          <w:p w14:paraId="526B4A51"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Research / sandbox only</w:t>
            </w:r>
          </w:p>
        </w:tc>
        <w:tc>
          <w:tcPr>
            <w:tcW w:w="0" w:type="auto"/>
            <w:vAlign w:val="center"/>
            <w:hideMark/>
          </w:tcPr>
          <w:p w14:paraId="790ED406"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Request may be explored but not executed as mature system behavior.</w:t>
            </w:r>
          </w:p>
        </w:tc>
      </w:tr>
      <w:tr w:rsidR="0055683A" w:rsidRPr="00B479AE" w14:paraId="798EBFDC" w14:textId="77777777" w:rsidTr="0055683A">
        <w:trPr>
          <w:tblCellSpacing w:w="15" w:type="dxa"/>
        </w:trPr>
        <w:tc>
          <w:tcPr>
            <w:tcW w:w="0" w:type="auto"/>
            <w:vAlign w:val="center"/>
            <w:hideMark/>
          </w:tcPr>
          <w:p w14:paraId="27D101AB"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Appendix parking</w:t>
            </w:r>
          </w:p>
        </w:tc>
        <w:tc>
          <w:tcPr>
            <w:tcW w:w="0" w:type="auto"/>
            <w:vAlign w:val="center"/>
            <w:hideMark/>
          </w:tcPr>
          <w:p w14:paraId="1839B984"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Request contains useful future material but is not appropriate for the current core WP or operative system.</w:t>
            </w:r>
          </w:p>
        </w:tc>
      </w:tr>
      <w:tr w:rsidR="0055683A" w:rsidRPr="00B479AE" w14:paraId="69DF2797" w14:textId="77777777" w:rsidTr="0055683A">
        <w:trPr>
          <w:tblCellSpacing w:w="15" w:type="dxa"/>
        </w:trPr>
        <w:tc>
          <w:tcPr>
            <w:tcW w:w="0" w:type="auto"/>
            <w:vAlign w:val="center"/>
            <w:hideMark/>
          </w:tcPr>
          <w:p w14:paraId="746362FD"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Non-admissible</w:t>
            </w:r>
          </w:p>
        </w:tc>
        <w:tc>
          <w:tcPr>
            <w:tcW w:w="0" w:type="auto"/>
            <w:vAlign w:val="center"/>
            <w:hideMark/>
          </w:tcPr>
          <w:p w14:paraId="23D97EB8"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Request or output cannot enter protected Prometheus pathways.</w:t>
            </w:r>
          </w:p>
        </w:tc>
      </w:tr>
      <w:tr w:rsidR="0055683A" w:rsidRPr="00B479AE" w14:paraId="59409302" w14:textId="77777777" w:rsidTr="0055683A">
        <w:trPr>
          <w:tblCellSpacing w:w="15" w:type="dxa"/>
        </w:trPr>
        <w:tc>
          <w:tcPr>
            <w:tcW w:w="0" w:type="auto"/>
            <w:vAlign w:val="center"/>
            <w:hideMark/>
          </w:tcPr>
          <w:p w14:paraId="30FEC863"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Rejected</w:t>
            </w:r>
          </w:p>
        </w:tc>
        <w:tc>
          <w:tcPr>
            <w:tcW w:w="0" w:type="auto"/>
            <w:vAlign w:val="center"/>
            <w:hideMark/>
          </w:tcPr>
          <w:p w14:paraId="395A5375"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Request cannot proceed under current rules or facts.</w:t>
            </w:r>
          </w:p>
        </w:tc>
      </w:tr>
      <w:tr w:rsidR="0055683A" w:rsidRPr="00B479AE" w14:paraId="7CB91479" w14:textId="77777777" w:rsidTr="0055683A">
        <w:trPr>
          <w:tblCellSpacing w:w="15" w:type="dxa"/>
        </w:trPr>
        <w:tc>
          <w:tcPr>
            <w:tcW w:w="0" w:type="auto"/>
            <w:vAlign w:val="center"/>
            <w:hideMark/>
          </w:tcPr>
          <w:p w14:paraId="1D5495F6"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Quarantined</w:t>
            </w:r>
          </w:p>
        </w:tc>
        <w:tc>
          <w:tcPr>
            <w:tcW w:w="0" w:type="auto"/>
            <w:vAlign w:val="center"/>
            <w:hideMark/>
          </w:tcPr>
          <w:p w14:paraId="5109B6DD"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Request presents serious risk and must be isolated pending review.</w:t>
            </w:r>
          </w:p>
        </w:tc>
      </w:tr>
    </w:tbl>
    <w:p w14:paraId="63535E24"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This classification structure allows Prometheus to preserve creativity without sacrificing discipline.</w:t>
      </w:r>
    </w:p>
    <w:p w14:paraId="52E4C5C3" w14:textId="77777777" w:rsidR="0055683A" w:rsidRPr="00B479AE" w:rsidRDefault="0055683A" w:rsidP="0055683A">
      <w:pPr>
        <w:spacing w:line="360" w:lineRule="auto"/>
        <w:rPr>
          <w:rFonts w:ascii="Baskerville Old Face" w:hAnsi="Baskerville Old Face"/>
          <w:b/>
          <w:bCs/>
          <w:i/>
          <w:iCs/>
        </w:rPr>
      </w:pPr>
      <w:r w:rsidRPr="00B479AE">
        <w:rPr>
          <w:rFonts w:ascii="Baskerville Old Face" w:hAnsi="Baskerville Old Face"/>
          <w:b/>
          <w:bCs/>
          <w:i/>
          <w:iCs/>
        </w:rPr>
        <w:lastRenderedPageBreak/>
        <w:t>13.5 Aligned but Incomplete Requests</w:t>
      </w:r>
    </w:p>
    <w:p w14:paraId="2D83BCB5"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Some requests are aligned in spirit but incomplete in structure.</w:t>
      </w:r>
    </w:p>
    <w:p w14:paraId="31EB30B0"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Examples include:</w:t>
      </w:r>
    </w:p>
    <w:p w14:paraId="26B7ADF9"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 a community wants to join but lacks a defined representative;</w:t>
      </w:r>
      <w:r w:rsidRPr="00B479AE">
        <w:rPr>
          <w:rFonts w:ascii="Baskerville Old Face" w:hAnsi="Baskerville Old Face"/>
          <w:i/>
          <w:iCs/>
        </w:rPr>
        <w:br/>
        <w:t>• a project wants PRU recognition but lacks baseline data;</w:t>
      </w:r>
      <w:r w:rsidRPr="00B479AE">
        <w:rPr>
          <w:rFonts w:ascii="Baskerville Old Face" w:hAnsi="Baskerville Old Face"/>
          <w:i/>
          <w:iCs/>
        </w:rPr>
        <w:br/>
        <w:t>• an investor wants diligence but no legal wrapper exists;</w:t>
      </w:r>
      <w:r w:rsidRPr="00B479AE">
        <w:rPr>
          <w:rFonts w:ascii="Baskerville Old Face" w:hAnsi="Baskerville Old Face"/>
          <w:i/>
          <w:iCs/>
        </w:rPr>
        <w:br/>
        <w:t>• a token community wants interoperability but token rights are unclear;</w:t>
      </w:r>
      <w:r w:rsidRPr="00B479AE">
        <w:rPr>
          <w:rFonts w:ascii="Baskerville Old Face" w:hAnsi="Baskerville Old Face"/>
          <w:i/>
          <w:iCs/>
        </w:rPr>
        <w:br/>
        <w:t>• a research group wants to contribute data but methodology is incomplete;</w:t>
      </w:r>
      <w:r w:rsidRPr="00B479AE">
        <w:rPr>
          <w:rFonts w:ascii="Baskerville Old Face" w:hAnsi="Baskerville Old Face"/>
          <w:i/>
          <w:iCs/>
        </w:rPr>
        <w:br/>
        <w:t>• an HSI proposal is promising but privacy and consent rules are not defined;</w:t>
      </w:r>
      <w:r w:rsidRPr="00B479AE">
        <w:rPr>
          <w:rFonts w:ascii="Baskerville Old Face" w:hAnsi="Baskerville Old Face"/>
          <w:i/>
          <w:iCs/>
        </w:rPr>
        <w:br/>
        <w:t>• a local pilot wants public claims before MRV review.</w:t>
      </w:r>
    </w:p>
    <w:p w14:paraId="6F9A01B8"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The correct response is not rejection.</w:t>
      </w:r>
    </w:p>
    <w:p w14:paraId="0240EF00"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The correct response is completion.</w:t>
      </w:r>
    </w:p>
    <w:p w14:paraId="101D8FEC"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Prometheus should ask for:</w:t>
      </w:r>
    </w:p>
    <w:p w14:paraId="5926F7B3"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 missing scope;</w:t>
      </w:r>
      <w:r w:rsidRPr="00B479AE">
        <w:rPr>
          <w:rFonts w:ascii="Baskerville Old Face" w:hAnsi="Baskerville Old Face"/>
          <w:i/>
          <w:iCs/>
        </w:rPr>
        <w:br/>
        <w:t>• missing evidence;</w:t>
      </w:r>
      <w:r w:rsidRPr="00B479AE">
        <w:rPr>
          <w:rFonts w:ascii="Baskerville Old Face" w:hAnsi="Baskerville Old Face"/>
          <w:i/>
          <w:iCs/>
        </w:rPr>
        <w:br/>
        <w:t>• missing authority;</w:t>
      </w:r>
      <w:r w:rsidRPr="00B479AE">
        <w:rPr>
          <w:rFonts w:ascii="Baskerville Old Face" w:hAnsi="Baskerville Old Face"/>
          <w:i/>
          <w:iCs/>
        </w:rPr>
        <w:br/>
        <w:t>• missing legal review;</w:t>
      </w:r>
      <w:r w:rsidRPr="00B479AE">
        <w:rPr>
          <w:rFonts w:ascii="Baskerville Old Face" w:hAnsi="Baskerville Old Face"/>
          <w:i/>
          <w:iCs/>
        </w:rPr>
        <w:br/>
        <w:t>• missing methodology;</w:t>
      </w:r>
      <w:r w:rsidRPr="00B479AE">
        <w:rPr>
          <w:rFonts w:ascii="Baskerville Old Face" w:hAnsi="Baskerville Old Face"/>
          <w:i/>
          <w:iCs/>
        </w:rPr>
        <w:br/>
        <w:t>• missing consent;</w:t>
      </w:r>
      <w:r w:rsidRPr="00B479AE">
        <w:rPr>
          <w:rFonts w:ascii="Baskerville Old Face" w:hAnsi="Baskerville Old Face"/>
          <w:i/>
          <w:iCs/>
        </w:rPr>
        <w:br/>
        <w:t>• missing permissions;</w:t>
      </w:r>
      <w:r w:rsidRPr="00B479AE">
        <w:rPr>
          <w:rFonts w:ascii="Baskerville Old Face" w:hAnsi="Baskerville Old Face"/>
          <w:i/>
          <w:iCs/>
        </w:rPr>
        <w:br/>
        <w:t>• missing risk classification;</w:t>
      </w:r>
      <w:r w:rsidRPr="00B479AE">
        <w:rPr>
          <w:rFonts w:ascii="Baskerville Old Face" w:hAnsi="Baskerville Old Face"/>
          <w:i/>
          <w:iCs/>
        </w:rPr>
        <w:br/>
        <w:t>• missing implementation status.</w:t>
      </w:r>
    </w:p>
    <w:p w14:paraId="46F969E4"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An aligned but incomplete request may be routed to:</w:t>
      </w:r>
    </w:p>
    <w:p w14:paraId="69601DD4"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 intake;</w:t>
      </w:r>
      <w:r w:rsidRPr="00B479AE">
        <w:rPr>
          <w:rFonts w:ascii="Baskerville Old Face" w:hAnsi="Baskerville Old Face"/>
          <w:i/>
          <w:iCs/>
        </w:rPr>
        <w:br/>
        <w:t>• eligibility review;</w:t>
      </w:r>
      <w:r w:rsidRPr="00B479AE">
        <w:rPr>
          <w:rFonts w:ascii="Baskerville Old Face" w:hAnsi="Baskerville Old Face"/>
          <w:i/>
          <w:iCs/>
        </w:rPr>
        <w:br/>
        <w:t>• pilot design;</w:t>
      </w:r>
      <w:r w:rsidRPr="00B479AE">
        <w:rPr>
          <w:rFonts w:ascii="Baskerville Old Face" w:hAnsi="Baskerville Old Face"/>
          <w:i/>
          <w:iCs/>
        </w:rPr>
        <w:br/>
        <w:t>• MRV design;</w:t>
      </w:r>
      <w:r w:rsidRPr="00B479AE">
        <w:rPr>
          <w:rFonts w:ascii="Baskerville Old Face" w:hAnsi="Baskerville Old Face"/>
          <w:i/>
          <w:iCs/>
        </w:rPr>
        <w:br/>
        <w:t>• legal structuring;</w:t>
      </w:r>
      <w:r w:rsidRPr="00B479AE">
        <w:rPr>
          <w:rFonts w:ascii="Baskerville Old Face" w:hAnsi="Baskerville Old Face"/>
          <w:i/>
          <w:iCs/>
        </w:rPr>
        <w:br/>
        <w:t>• technical specification;</w:t>
      </w:r>
      <w:r w:rsidRPr="00B479AE">
        <w:rPr>
          <w:rFonts w:ascii="Baskerville Old Face" w:hAnsi="Baskerville Old Face"/>
          <w:i/>
          <w:iCs/>
        </w:rPr>
        <w:br/>
      </w:r>
      <w:r w:rsidRPr="00B479AE">
        <w:rPr>
          <w:rFonts w:ascii="Baskerville Old Face" w:hAnsi="Baskerville Old Face"/>
          <w:i/>
          <w:iCs/>
        </w:rPr>
        <w:lastRenderedPageBreak/>
        <w:t>• governance review;</w:t>
      </w:r>
      <w:r w:rsidRPr="00B479AE">
        <w:rPr>
          <w:rFonts w:ascii="Baskerville Old Face" w:hAnsi="Baskerville Old Face"/>
          <w:i/>
          <w:iCs/>
        </w:rPr>
        <w:br/>
        <w:t>• appendix parking;</w:t>
      </w:r>
      <w:r w:rsidRPr="00B479AE">
        <w:rPr>
          <w:rFonts w:ascii="Baskerville Old Face" w:hAnsi="Baskerville Old Face"/>
          <w:i/>
          <w:iCs/>
        </w:rPr>
        <w:br/>
        <w:t>• research sandbox.</w:t>
      </w:r>
    </w:p>
    <w:p w14:paraId="27652B3A"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The protocol should preserve the seed without pretending the tree is already grown.</w:t>
      </w:r>
    </w:p>
    <w:p w14:paraId="587323E7" w14:textId="77777777" w:rsidR="0055683A" w:rsidRPr="00B479AE" w:rsidRDefault="0055683A" w:rsidP="0055683A">
      <w:pPr>
        <w:spacing w:line="360" w:lineRule="auto"/>
        <w:rPr>
          <w:rFonts w:ascii="Baskerville Old Face" w:hAnsi="Baskerville Old Face"/>
          <w:b/>
          <w:bCs/>
          <w:i/>
          <w:iCs/>
        </w:rPr>
      </w:pPr>
      <w:r w:rsidRPr="00B479AE">
        <w:rPr>
          <w:rFonts w:ascii="Baskerville Old Face" w:hAnsi="Baskerville Old Face"/>
          <w:b/>
          <w:bCs/>
          <w:i/>
          <w:iCs/>
        </w:rPr>
        <w:t>13.6 Premature Financial, Token, or Investor-Facing Requests</w:t>
      </w:r>
    </w:p>
    <w:p w14:paraId="54353427"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Prometheus must treat financial, token, and investor-facing requests with special care.</w:t>
      </w:r>
    </w:p>
    <w:p w14:paraId="181E90D7"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A request is premature when it attempts to create, imply, market, or execute financial meaning before legal, evidentiary, governance, and technical conditions are satisfied.</w:t>
      </w:r>
    </w:p>
    <w:p w14:paraId="67A74552"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Examples include requests to:</w:t>
      </w:r>
    </w:p>
    <w:p w14:paraId="171B43FE"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 treat PRU estimates as investable assets before methodology and evidence allow it;</w:t>
      </w:r>
      <w:r w:rsidRPr="00B479AE">
        <w:rPr>
          <w:rFonts w:ascii="Baskerville Old Face" w:hAnsi="Baskerville Old Face"/>
          <w:i/>
          <w:iCs/>
        </w:rPr>
        <w:br/>
        <w:t>• represent RAP as a portfolio product without legal structure;</w:t>
      </w:r>
      <w:r w:rsidRPr="00B479AE">
        <w:rPr>
          <w:rFonts w:ascii="Baskerville Old Face" w:hAnsi="Baskerville Old Face"/>
          <w:i/>
          <w:iCs/>
        </w:rPr>
        <w:br/>
        <w:t>• imply returns, yields, liquidity, appreciation, guarantees, or redemption rights;</w:t>
      </w:r>
      <w:r w:rsidRPr="00B479AE">
        <w:rPr>
          <w:rFonts w:ascii="Baskerville Old Face" w:hAnsi="Baskerville Old Face"/>
          <w:i/>
          <w:iCs/>
        </w:rPr>
        <w:br/>
        <w:t>• convert community participation into financial entitlement;</w:t>
      </w:r>
      <w:r w:rsidRPr="00B479AE">
        <w:rPr>
          <w:rFonts w:ascii="Baskerville Old Face" w:hAnsi="Baskerville Old Face"/>
          <w:i/>
          <w:iCs/>
        </w:rPr>
        <w:br/>
        <w:t>• connect TRBK, HoloFuel, PRU, RAP, stablecoins, notes, securities, or land rights without defined legal architecture;</w:t>
      </w:r>
      <w:r w:rsidRPr="00B479AE">
        <w:rPr>
          <w:rFonts w:ascii="Baskerville Old Face" w:hAnsi="Baskerville Old Face"/>
          <w:i/>
          <w:iCs/>
        </w:rPr>
        <w:br/>
        <w:t>• create tokenized exposure before securities, tax, jurisdictional, and investor-protection review;</w:t>
      </w:r>
      <w:r w:rsidRPr="00B479AE">
        <w:rPr>
          <w:rFonts w:ascii="Baskerville Old Face" w:hAnsi="Baskerville Old Face"/>
          <w:i/>
          <w:iCs/>
        </w:rPr>
        <w:br/>
        <w:t>• use regenerative claims in fundraising without MRV support;</w:t>
      </w:r>
      <w:r w:rsidRPr="00B479AE">
        <w:rPr>
          <w:rFonts w:ascii="Baskerville Old Face" w:hAnsi="Baskerville Old Face"/>
          <w:i/>
          <w:iCs/>
        </w:rPr>
        <w:br/>
        <w:t>• publish investor-facing dashboards before disclaimers and admissibility controls exist.</w:t>
      </w:r>
    </w:p>
    <w:p w14:paraId="0C0C1BA7"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The response should be:</w:t>
      </w:r>
    </w:p>
    <w:p w14:paraId="478D87DF"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 classify as premature;</w:t>
      </w:r>
      <w:r w:rsidRPr="00B479AE">
        <w:rPr>
          <w:rFonts w:ascii="Baskerville Old Face" w:hAnsi="Baskerville Old Face"/>
          <w:i/>
          <w:iCs/>
        </w:rPr>
        <w:br/>
        <w:t>• preserve the idea where useful;</w:t>
      </w:r>
      <w:r w:rsidRPr="00B479AE">
        <w:rPr>
          <w:rFonts w:ascii="Baskerville Old Face" w:hAnsi="Baskerville Old Face"/>
          <w:i/>
          <w:iCs/>
        </w:rPr>
        <w:br/>
        <w:t>• move to investor-model appendix or financial architecture backlog;</w:t>
      </w:r>
      <w:r w:rsidRPr="00B479AE">
        <w:rPr>
          <w:rFonts w:ascii="Baskerville Old Face" w:hAnsi="Baskerville Old Face"/>
          <w:i/>
          <w:iCs/>
        </w:rPr>
        <w:br/>
        <w:t>• require legal and compliance review;</w:t>
      </w:r>
      <w:r w:rsidRPr="00B479AE">
        <w:rPr>
          <w:rFonts w:ascii="Baskerville Old Face" w:hAnsi="Baskerville Old Face"/>
          <w:i/>
          <w:iCs/>
        </w:rPr>
        <w:br/>
        <w:t>• require MRV admissibility review where ecological claims are involved;</w:t>
      </w:r>
      <w:r w:rsidRPr="00B479AE">
        <w:rPr>
          <w:rFonts w:ascii="Baskerville Old Face" w:hAnsi="Baskerville Old Face"/>
          <w:i/>
          <w:iCs/>
        </w:rPr>
        <w:br/>
        <w:t>• mark outputs as draft, scenario, hypothesis, or non-admissible until approved.</w:t>
      </w:r>
    </w:p>
    <w:p w14:paraId="1BA24450"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Prometheus may design powerful financial architecture.</w:t>
      </w:r>
    </w:p>
    <w:p w14:paraId="3B2383C9"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But financial architecture must remain downstream from evidence, law, and constitutional meaning.</w:t>
      </w:r>
    </w:p>
    <w:p w14:paraId="5C837DE0"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Capital must arrive through the gate, not through the window.</w:t>
      </w:r>
    </w:p>
    <w:p w14:paraId="5976A6D9" w14:textId="77777777" w:rsidR="0055683A" w:rsidRPr="00B479AE" w:rsidRDefault="0055683A" w:rsidP="0055683A">
      <w:pPr>
        <w:spacing w:line="360" w:lineRule="auto"/>
        <w:rPr>
          <w:rFonts w:ascii="Baskerville Old Face" w:hAnsi="Baskerville Old Face"/>
          <w:b/>
          <w:bCs/>
          <w:i/>
          <w:iCs/>
        </w:rPr>
      </w:pPr>
      <w:r w:rsidRPr="00B479AE">
        <w:rPr>
          <w:rFonts w:ascii="Baskerville Old Face" w:hAnsi="Baskerville Old Face"/>
          <w:b/>
          <w:bCs/>
          <w:i/>
          <w:iCs/>
        </w:rPr>
        <w:lastRenderedPageBreak/>
        <w:t>13.7 Premature Ecological, MRV, or PRU Requests</w:t>
      </w:r>
    </w:p>
    <w:p w14:paraId="37EBBA3C"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Prometheus must distinguish between ecological meaning, ecological observation, ecological evidence, and ecological value.</w:t>
      </w:r>
    </w:p>
    <w:p w14:paraId="69545CBF"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A request is premature when it attempts to convert ecological aspiration, testimony, narrative, satellite image, field observation, model output, or community report into verified regenerative value without the required methodology.</w:t>
      </w:r>
    </w:p>
    <w:p w14:paraId="6476FA21"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Examples include:</w:t>
      </w:r>
    </w:p>
    <w:p w14:paraId="4366AFA9"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 “certify this project as regenerative” without baseline;</w:t>
      </w:r>
      <w:r w:rsidRPr="00B479AE">
        <w:rPr>
          <w:rFonts w:ascii="Baskerville Old Face" w:hAnsi="Baskerville Old Face"/>
          <w:i/>
          <w:iCs/>
        </w:rPr>
        <w:br/>
        <w:t>• “issue PRUs” without methodology;</w:t>
      </w:r>
      <w:r w:rsidRPr="00B479AE">
        <w:rPr>
          <w:rFonts w:ascii="Baskerville Old Face" w:hAnsi="Baskerville Old Face"/>
          <w:i/>
          <w:iCs/>
        </w:rPr>
        <w:br/>
        <w:t>• “include this site in RAP” without admissible indicators;</w:t>
      </w:r>
      <w:r w:rsidRPr="00B479AE">
        <w:rPr>
          <w:rFonts w:ascii="Baskerville Old Face" w:hAnsi="Baskerville Old Face"/>
          <w:i/>
          <w:iCs/>
        </w:rPr>
        <w:br/>
        <w:t>• “count biodiversity improvement” without method and evidence;</w:t>
      </w:r>
      <w:r w:rsidRPr="00B479AE">
        <w:rPr>
          <w:rFonts w:ascii="Baskerville Old Face" w:hAnsi="Baskerville Old Face"/>
          <w:i/>
          <w:iCs/>
        </w:rPr>
        <w:br/>
        <w:t>• “use AI to infer soil regeneration” without validation;</w:t>
      </w:r>
      <w:r w:rsidRPr="00B479AE">
        <w:rPr>
          <w:rFonts w:ascii="Baskerville Old Face" w:hAnsi="Baskerville Old Face"/>
          <w:i/>
          <w:iCs/>
        </w:rPr>
        <w:br/>
        <w:t>• “publish verified impact” before review;</w:t>
      </w:r>
      <w:r w:rsidRPr="00B479AE">
        <w:rPr>
          <w:rFonts w:ascii="Baskerville Old Face" w:hAnsi="Baskerville Old Face"/>
          <w:i/>
          <w:iCs/>
        </w:rPr>
        <w:br/>
        <w:t>• “represent a community story as MRV evidence” without classification.</w:t>
      </w:r>
    </w:p>
    <w:p w14:paraId="556DC0E8"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The response should be:</w:t>
      </w:r>
    </w:p>
    <w:p w14:paraId="6E8E6E4D"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 classify the material correctly;</w:t>
      </w:r>
      <w:r w:rsidRPr="00B479AE">
        <w:rPr>
          <w:rFonts w:ascii="Baskerville Old Face" w:hAnsi="Baskerville Old Face"/>
          <w:i/>
          <w:iCs/>
        </w:rPr>
        <w:br/>
        <w:t>• preserve narrative as narrative;</w:t>
      </w:r>
      <w:r w:rsidRPr="00B479AE">
        <w:rPr>
          <w:rFonts w:ascii="Baskerville Old Face" w:hAnsi="Baskerville Old Face"/>
          <w:i/>
          <w:iCs/>
        </w:rPr>
        <w:br/>
        <w:t>• preserve observation as observation;</w:t>
      </w:r>
      <w:r w:rsidRPr="00B479AE">
        <w:rPr>
          <w:rFonts w:ascii="Baskerville Old Face" w:hAnsi="Baskerville Old Face"/>
          <w:i/>
          <w:iCs/>
        </w:rPr>
        <w:br/>
        <w:t>• require evidence for evidence claims;</w:t>
      </w:r>
      <w:r w:rsidRPr="00B479AE">
        <w:rPr>
          <w:rFonts w:ascii="Baskerville Old Face" w:hAnsi="Baskerville Old Face"/>
          <w:i/>
          <w:iCs/>
        </w:rPr>
        <w:br/>
        <w:t>• require methodology for MRV use;</w:t>
      </w:r>
      <w:r w:rsidRPr="00B479AE">
        <w:rPr>
          <w:rFonts w:ascii="Baskerville Old Face" w:hAnsi="Baskerville Old Face"/>
          <w:i/>
          <w:iCs/>
        </w:rPr>
        <w:br/>
        <w:t>• require admissibility review for PRU pathways;</w:t>
      </w:r>
      <w:r w:rsidRPr="00B479AE">
        <w:rPr>
          <w:rFonts w:ascii="Baskerville Old Face" w:hAnsi="Baskerville Old Face"/>
          <w:i/>
          <w:iCs/>
        </w:rPr>
        <w:br/>
        <w:t>• restrict investor-facing use until approved.</w:t>
      </w:r>
    </w:p>
    <w:p w14:paraId="692A80FF"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The rule is:</w:t>
      </w:r>
    </w:p>
    <w:p w14:paraId="1EA3AEC0"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meaning may inspire;</w:t>
      </w:r>
    </w:p>
    <w:p w14:paraId="0873B5C0"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observation may guide;</w:t>
      </w:r>
    </w:p>
    <w:p w14:paraId="5A102A7D"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evidence may support;</w:t>
      </w:r>
    </w:p>
    <w:p w14:paraId="393AEFE7"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verified evidence may count;</w:t>
      </w:r>
    </w:p>
    <w:p w14:paraId="25123960"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lastRenderedPageBreak/>
        <w:t>admissible evidence may become value-relevant.</w:t>
      </w:r>
    </w:p>
    <w:p w14:paraId="472FE427"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This protects the soul of regeneration from becoming greenwashed spreadsheet confetti.</w:t>
      </w:r>
    </w:p>
    <w:p w14:paraId="12AD925A" w14:textId="77777777" w:rsidR="0055683A" w:rsidRPr="00B479AE" w:rsidRDefault="0055683A" w:rsidP="0055683A">
      <w:pPr>
        <w:spacing w:line="360" w:lineRule="auto"/>
        <w:rPr>
          <w:rFonts w:ascii="Baskerville Old Face" w:hAnsi="Baskerville Old Face"/>
          <w:b/>
          <w:bCs/>
          <w:i/>
          <w:iCs/>
        </w:rPr>
      </w:pPr>
      <w:r w:rsidRPr="00B479AE">
        <w:rPr>
          <w:rFonts w:ascii="Baskerville Old Face" w:hAnsi="Baskerville Old Face"/>
          <w:b/>
          <w:bCs/>
          <w:i/>
          <w:iCs/>
        </w:rPr>
        <w:t>13.8 HSI and Human-State Requests</w:t>
      </w:r>
    </w:p>
    <w:p w14:paraId="27D4377A"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Requests involving the Human State Interface require heightened sensitivity.</w:t>
      </w:r>
    </w:p>
    <w:p w14:paraId="13610051"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HSI-related requests may involve HRV, coherence, stress, attention, fatigue, recovery, self-reporting, group field indicators, or other human-state signals.</w:t>
      </w:r>
    </w:p>
    <w:p w14:paraId="0B55D15C"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Such requests must be classified carefully because human-state data touches dignity, privacy, consent, health interpretation, and potential misuse.</w:t>
      </w:r>
    </w:p>
    <w:p w14:paraId="764D7728"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Prometheus should treat HSI as:</w:t>
      </w:r>
    </w:p>
    <w:p w14:paraId="14E13757"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 voluntary;</w:t>
      </w:r>
      <w:r w:rsidRPr="00B479AE">
        <w:rPr>
          <w:rFonts w:ascii="Baskerville Old Face" w:hAnsi="Baskerville Old Face"/>
          <w:i/>
          <w:iCs/>
        </w:rPr>
        <w:br/>
        <w:t>• privacy-first;</w:t>
      </w:r>
      <w:r w:rsidRPr="00B479AE">
        <w:rPr>
          <w:rFonts w:ascii="Baskerville Old Face" w:hAnsi="Baskerville Old Face"/>
          <w:i/>
          <w:iCs/>
        </w:rPr>
        <w:br/>
        <w:t>• purpose-limited;</w:t>
      </w:r>
      <w:r w:rsidRPr="00B479AE">
        <w:rPr>
          <w:rFonts w:ascii="Baskerville Old Face" w:hAnsi="Baskerville Old Face"/>
          <w:i/>
          <w:iCs/>
        </w:rPr>
        <w:br/>
        <w:t>• consent-based;</w:t>
      </w:r>
      <w:r w:rsidRPr="00B479AE">
        <w:rPr>
          <w:rFonts w:ascii="Baskerville Old Face" w:hAnsi="Baskerville Old Face"/>
          <w:i/>
          <w:iCs/>
        </w:rPr>
        <w:br/>
        <w:t>• non-coercive;</w:t>
      </w:r>
      <w:r w:rsidRPr="00B479AE">
        <w:rPr>
          <w:rFonts w:ascii="Baskerville Old Face" w:hAnsi="Baskerville Old Face"/>
          <w:i/>
          <w:iCs/>
        </w:rPr>
        <w:br/>
        <w:t>• non-ranking of human worth;</w:t>
      </w:r>
      <w:r w:rsidRPr="00B479AE">
        <w:rPr>
          <w:rFonts w:ascii="Baskerville Old Face" w:hAnsi="Baskerville Old Face"/>
          <w:i/>
          <w:iCs/>
        </w:rPr>
        <w:br/>
        <w:t>• non-substitutive of MRV;</w:t>
      </w:r>
      <w:r w:rsidRPr="00B479AE">
        <w:rPr>
          <w:rFonts w:ascii="Baskerville Old Face" w:hAnsi="Baskerville Old Face"/>
          <w:i/>
          <w:iCs/>
        </w:rPr>
        <w:br/>
        <w:t>• non-authoritative for PRU value;</w:t>
      </w:r>
      <w:r w:rsidRPr="00B479AE">
        <w:rPr>
          <w:rFonts w:ascii="Baskerville Old Face" w:hAnsi="Baskerville Old Face"/>
          <w:i/>
          <w:iCs/>
        </w:rPr>
        <w:br/>
        <w:t>• non-authoritative for financial rights;</w:t>
      </w:r>
      <w:r w:rsidRPr="00B479AE">
        <w:rPr>
          <w:rFonts w:ascii="Baskerville Old Face" w:hAnsi="Baskerville Old Face"/>
          <w:i/>
          <w:iCs/>
        </w:rPr>
        <w:br/>
        <w:t>• non-authoritative for basic belonging.</w:t>
      </w:r>
    </w:p>
    <w:p w14:paraId="1F14B72F"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HSI may support:</w:t>
      </w:r>
    </w:p>
    <w:p w14:paraId="78C450D9"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 self-awareness;</w:t>
      </w:r>
      <w:r w:rsidRPr="00B479AE">
        <w:rPr>
          <w:rFonts w:ascii="Baskerville Old Face" w:hAnsi="Baskerville Old Face"/>
          <w:i/>
          <w:iCs/>
        </w:rPr>
        <w:br/>
        <w:t>• stewardship training;</w:t>
      </w:r>
      <w:r w:rsidRPr="00B479AE">
        <w:rPr>
          <w:rFonts w:ascii="Baskerville Old Face" w:hAnsi="Baskerville Old Face"/>
          <w:i/>
          <w:iCs/>
        </w:rPr>
        <w:br/>
        <w:t>• reflective governance;</w:t>
      </w:r>
      <w:r w:rsidRPr="00B479AE">
        <w:rPr>
          <w:rFonts w:ascii="Baskerville Old Face" w:hAnsi="Baskerville Old Face"/>
          <w:i/>
          <w:iCs/>
        </w:rPr>
        <w:br/>
        <w:t>• research;</w:t>
      </w:r>
      <w:r w:rsidRPr="00B479AE">
        <w:rPr>
          <w:rFonts w:ascii="Baskerville Old Face" w:hAnsi="Baskerville Old Face"/>
          <w:i/>
          <w:iCs/>
        </w:rPr>
        <w:br/>
        <w:t>• aggregated learning;</w:t>
      </w:r>
      <w:r w:rsidRPr="00B479AE">
        <w:rPr>
          <w:rFonts w:ascii="Baskerville Old Face" w:hAnsi="Baskerville Old Face"/>
          <w:i/>
          <w:iCs/>
        </w:rPr>
        <w:br/>
        <w:t>• decision-quality inquiry;</w:t>
      </w:r>
      <w:r w:rsidRPr="00B479AE">
        <w:rPr>
          <w:rFonts w:ascii="Baskerville Old Face" w:hAnsi="Baskerville Old Face"/>
          <w:i/>
          <w:iCs/>
        </w:rPr>
        <w:br/>
        <w:t>• voluntary human development.</w:t>
      </w:r>
    </w:p>
    <w:p w14:paraId="1E5E9FAD"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HSI must not become:</w:t>
      </w:r>
    </w:p>
    <w:p w14:paraId="2F2079A7"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lastRenderedPageBreak/>
        <w:t>• social credit;</w:t>
      </w:r>
      <w:r w:rsidRPr="00B479AE">
        <w:rPr>
          <w:rFonts w:ascii="Baskerville Old Face" w:hAnsi="Baskerville Old Face"/>
          <w:i/>
          <w:iCs/>
        </w:rPr>
        <w:br/>
        <w:t>• spiritual ranking;</w:t>
      </w:r>
      <w:r w:rsidRPr="00B479AE">
        <w:rPr>
          <w:rFonts w:ascii="Baskerville Old Face" w:hAnsi="Baskerville Old Face"/>
          <w:i/>
          <w:iCs/>
        </w:rPr>
        <w:br/>
        <w:t>• employment ranking;</w:t>
      </w:r>
      <w:r w:rsidRPr="00B479AE">
        <w:rPr>
          <w:rFonts w:ascii="Baskerville Old Face" w:hAnsi="Baskerville Old Face"/>
          <w:i/>
          <w:iCs/>
        </w:rPr>
        <w:br/>
        <w:t>• investor-facing proof;</w:t>
      </w:r>
      <w:r w:rsidRPr="00B479AE">
        <w:rPr>
          <w:rFonts w:ascii="Baskerville Old Face" w:hAnsi="Baskerville Old Face"/>
          <w:i/>
          <w:iCs/>
        </w:rPr>
        <w:br/>
        <w:t>• ecological proof;</w:t>
      </w:r>
      <w:r w:rsidRPr="00B479AE">
        <w:rPr>
          <w:rFonts w:ascii="Baskerville Old Face" w:hAnsi="Baskerville Old Face"/>
          <w:i/>
          <w:iCs/>
        </w:rPr>
        <w:br/>
        <w:t>• mandatory biometric gate;</w:t>
      </w:r>
      <w:r w:rsidRPr="00B479AE">
        <w:rPr>
          <w:rFonts w:ascii="Baskerville Old Face" w:hAnsi="Baskerville Old Face"/>
          <w:i/>
          <w:iCs/>
        </w:rPr>
        <w:br/>
        <w:t>• coercive community score;</w:t>
      </w:r>
      <w:r w:rsidRPr="00B479AE">
        <w:rPr>
          <w:rFonts w:ascii="Baskerville Old Face" w:hAnsi="Baskerville Old Face"/>
          <w:i/>
          <w:iCs/>
        </w:rPr>
        <w:br/>
        <w:t>• substitute for evidence or consent.</w:t>
      </w:r>
    </w:p>
    <w:p w14:paraId="0BE7D24A"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HSI-related requests should route to privacy, legal, ethics, governance, and research review where sensitive.</w:t>
      </w:r>
    </w:p>
    <w:p w14:paraId="577B1375"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The body is not a dashboard to be conquered.</w:t>
      </w:r>
    </w:p>
    <w:p w14:paraId="27A660A6"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It is a living field to be protected.</w:t>
      </w:r>
    </w:p>
    <w:p w14:paraId="23BCBEF7" w14:textId="77777777" w:rsidR="0055683A" w:rsidRPr="00B479AE" w:rsidRDefault="0055683A" w:rsidP="0055683A">
      <w:pPr>
        <w:spacing w:line="360" w:lineRule="auto"/>
        <w:rPr>
          <w:rFonts w:ascii="Baskerville Old Face" w:hAnsi="Baskerville Old Face"/>
          <w:b/>
          <w:bCs/>
          <w:i/>
          <w:iCs/>
        </w:rPr>
      </w:pPr>
      <w:r w:rsidRPr="00B479AE">
        <w:rPr>
          <w:rFonts w:ascii="Baskerville Old Face" w:hAnsi="Baskerville Old Face"/>
          <w:b/>
          <w:bCs/>
          <w:i/>
          <w:iCs/>
        </w:rPr>
        <w:t>13.9 AI-Generated or AI-Mediated Requests</w:t>
      </w:r>
    </w:p>
    <w:p w14:paraId="1AF6D962"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AI-generated requests require classification before use.</w:t>
      </w:r>
    </w:p>
    <w:p w14:paraId="0AFE3B4E"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An AI output may be:</w:t>
      </w:r>
    </w:p>
    <w:p w14:paraId="5635C360"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 draft;</w:t>
      </w:r>
      <w:r w:rsidRPr="00B479AE">
        <w:rPr>
          <w:rFonts w:ascii="Baskerville Old Face" w:hAnsi="Baskerville Old Face"/>
          <w:i/>
          <w:iCs/>
        </w:rPr>
        <w:br/>
        <w:t>• hypothesis;</w:t>
      </w:r>
      <w:r w:rsidRPr="00B479AE">
        <w:rPr>
          <w:rFonts w:ascii="Baskerville Old Face" w:hAnsi="Baskerville Old Face"/>
          <w:i/>
          <w:iCs/>
        </w:rPr>
        <w:br/>
        <w:t>• analysis;</w:t>
      </w:r>
      <w:r w:rsidRPr="00B479AE">
        <w:rPr>
          <w:rFonts w:ascii="Baskerville Old Face" w:hAnsi="Baskerville Old Face"/>
          <w:i/>
          <w:iCs/>
        </w:rPr>
        <w:br/>
        <w:t>• synthesis;</w:t>
      </w:r>
      <w:r w:rsidRPr="00B479AE">
        <w:rPr>
          <w:rFonts w:ascii="Baskerville Old Face" w:hAnsi="Baskerville Old Face"/>
          <w:i/>
          <w:iCs/>
        </w:rPr>
        <w:br/>
        <w:t>• risk flag;</w:t>
      </w:r>
      <w:r w:rsidRPr="00B479AE">
        <w:rPr>
          <w:rFonts w:ascii="Baskerville Old Face" w:hAnsi="Baskerville Old Face"/>
          <w:i/>
          <w:iCs/>
        </w:rPr>
        <w:br/>
        <w:t>• interpretive option;</w:t>
      </w:r>
      <w:r w:rsidRPr="00B479AE">
        <w:rPr>
          <w:rFonts w:ascii="Baskerville Old Face" w:hAnsi="Baskerville Old Face"/>
          <w:i/>
          <w:iCs/>
        </w:rPr>
        <w:br/>
        <w:t>• scenario;</w:t>
      </w:r>
      <w:r w:rsidRPr="00B479AE">
        <w:rPr>
          <w:rFonts w:ascii="Baskerville Old Face" w:hAnsi="Baskerville Old Face"/>
          <w:i/>
          <w:iCs/>
        </w:rPr>
        <w:br/>
        <w:t>• design proposal;</w:t>
      </w:r>
      <w:r w:rsidRPr="00B479AE">
        <w:rPr>
          <w:rFonts w:ascii="Baskerville Old Face" w:hAnsi="Baskerville Old Face"/>
          <w:i/>
          <w:iCs/>
        </w:rPr>
        <w:br/>
        <w:t>• legal issue spotting;</w:t>
      </w:r>
      <w:r w:rsidRPr="00B479AE">
        <w:rPr>
          <w:rFonts w:ascii="Baskerville Old Face" w:hAnsi="Baskerville Old Face"/>
          <w:i/>
          <w:iCs/>
        </w:rPr>
        <w:br/>
        <w:t>• MRV support;</w:t>
      </w:r>
      <w:r w:rsidRPr="00B479AE">
        <w:rPr>
          <w:rFonts w:ascii="Baskerville Old Face" w:hAnsi="Baskerville Old Face"/>
          <w:i/>
          <w:iCs/>
        </w:rPr>
        <w:br/>
        <w:t>• investor-draft material;</w:t>
      </w:r>
      <w:r w:rsidRPr="00B479AE">
        <w:rPr>
          <w:rFonts w:ascii="Baskerville Old Face" w:hAnsi="Baskerville Old Face"/>
          <w:i/>
          <w:iCs/>
        </w:rPr>
        <w:br/>
        <w:t>• code or workflow suggestion.</w:t>
      </w:r>
    </w:p>
    <w:p w14:paraId="679521E0"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It is not automatically:</w:t>
      </w:r>
    </w:p>
    <w:p w14:paraId="5F416CB5"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lastRenderedPageBreak/>
        <w:t>• approved;</w:t>
      </w:r>
      <w:r w:rsidRPr="00B479AE">
        <w:rPr>
          <w:rFonts w:ascii="Baskerville Old Face" w:hAnsi="Baskerville Old Face"/>
          <w:i/>
          <w:iCs/>
        </w:rPr>
        <w:br/>
        <w:t>• true;</w:t>
      </w:r>
      <w:r w:rsidRPr="00B479AE">
        <w:rPr>
          <w:rFonts w:ascii="Baskerville Old Face" w:hAnsi="Baskerville Old Face"/>
          <w:i/>
          <w:iCs/>
        </w:rPr>
        <w:br/>
        <w:t>• legally valid;</w:t>
      </w:r>
      <w:r w:rsidRPr="00B479AE">
        <w:rPr>
          <w:rFonts w:ascii="Baskerville Old Face" w:hAnsi="Baskerville Old Face"/>
          <w:i/>
          <w:iCs/>
        </w:rPr>
        <w:br/>
        <w:t>• MRV-admissible;</w:t>
      </w:r>
      <w:r w:rsidRPr="00B479AE">
        <w:rPr>
          <w:rFonts w:ascii="Baskerville Old Face" w:hAnsi="Baskerville Old Face"/>
          <w:i/>
          <w:iCs/>
        </w:rPr>
        <w:br/>
        <w:t>• financially admissible;</w:t>
      </w:r>
      <w:r w:rsidRPr="00B479AE">
        <w:rPr>
          <w:rFonts w:ascii="Baskerville Old Face" w:hAnsi="Baskerville Old Face"/>
          <w:i/>
          <w:iCs/>
        </w:rPr>
        <w:br/>
        <w:t>• constitutionally binding;</w:t>
      </w:r>
      <w:r w:rsidRPr="00B479AE">
        <w:rPr>
          <w:rFonts w:ascii="Baskerville Old Face" w:hAnsi="Baskerville Old Face"/>
          <w:i/>
          <w:iCs/>
        </w:rPr>
        <w:br/>
        <w:t>• ready for execution.</w:t>
      </w:r>
    </w:p>
    <w:p w14:paraId="6BF44FE4"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AI-mediated requests must be checked for:</w:t>
      </w:r>
    </w:p>
    <w:p w14:paraId="16A9CC80"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 source support;</w:t>
      </w:r>
      <w:r w:rsidRPr="00B479AE">
        <w:rPr>
          <w:rFonts w:ascii="Baskerville Old Face" w:hAnsi="Baskerville Old Face"/>
          <w:i/>
          <w:iCs/>
        </w:rPr>
        <w:br/>
        <w:t>• hallucination risk;</w:t>
      </w:r>
      <w:r w:rsidRPr="00B479AE">
        <w:rPr>
          <w:rFonts w:ascii="Baskerville Old Face" w:hAnsi="Baskerville Old Face"/>
          <w:i/>
          <w:iCs/>
        </w:rPr>
        <w:br/>
        <w:t>• category collapse;</w:t>
      </w:r>
      <w:r w:rsidRPr="00B479AE">
        <w:rPr>
          <w:rFonts w:ascii="Baskerville Old Face" w:hAnsi="Baskerville Old Face"/>
          <w:i/>
          <w:iCs/>
        </w:rPr>
        <w:br/>
        <w:t>• unsupported claims;</w:t>
      </w:r>
      <w:r w:rsidRPr="00B479AE">
        <w:rPr>
          <w:rFonts w:ascii="Baskerville Old Face" w:hAnsi="Baskerville Old Face"/>
          <w:i/>
          <w:iCs/>
        </w:rPr>
        <w:br/>
        <w:t>• legal overreach;</w:t>
      </w:r>
      <w:r w:rsidRPr="00B479AE">
        <w:rPr>
          <w:rFonts w:ascii="Baskerville Old Face" w:hAnsi="Baskerville Old Face"/>
          <w:i/>
          <w:iCs/>
        </w:rPr>
        <w:br/>
        <w:t>• ecological overclaiming;</w:t>
      </w:r>
      <w:r w:rsidRPr="00B479AE">
        <w:rPr>
          <w:rFonts w:ascii="Baskerville Old Face" w:hAnsi="Baskerville Old Face"/>
          <w:i/>
          <w:iCs/>
        </w:rPr>
        <w:br/>
        <w:t>• privacy risk;</w:t>
      </w:r>
      <w:r w:rsidRPr="00B479AE">
        <w:rPr>
          <w:rFonts w:ascii="Baskerville Old Face" w:hAnsi="Baskerville Old Face"/>
          <w:i/>
          <w:iCs/>
        </w:rPr>
        <w:br/>
        <w:t>• token or financial confusion;</w:t>
      </w:r>
      <w:r w:rsidRPr="00B479AE">
        <w:rPr>
          <w:rFonts w:ascii="Baskerville Old Face" w:hAnsi="Baskerville Old Face"/>
          <w:i/>
          <w:iCs/>
        </w:rPr>
        <w:br/>
        <w:t>• constitutional misalignment;</w:t>
      </w:r>
      <w:r w:rsidRPr="00B479AE">
        <w:rPr>
          <w:rFonts w:ascii="Baskerville Old Face" w:hAnsi="Baskerville Old Face"/>
          <w:i/>
          <w:iCs/>
        </w:rPr>
        <w:br/>
        <w:t>• implementation status.</w:t>
      </w:r>
    </w:p>
    <w:p w14:paraId="0B1708EB"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The protocol should prevent direct movement from AI generation to protected execution.</w:t>
      </w:r>
    </w:p>
    <w:p w14:paraId="0DBDDE9D"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The route is:</w:t>
      </w:r>
    </w:p>
    <w:p w14:paraId="4811EC33"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AI output</w:t>
      </w:r>
      <w:r w:rsidRPr="00B479AE">
        <w:rPr>
          <w:rFonts w:ascii="Baskerville Old Face" w:hAnsi="Baskerville Old Face"/>
          <w:i/>
          <w:iCs/>
        </w:rPr>
        <w:br/>
        <w:t>classification</w:t>
      </w:r>
      <w:r w:rsidRPr="00B479AE">
        <w:rPr>
          <w:rFonts w:ascii="Baskerville Old Face" w:hAnsi="Baskerville Old Face"/>
          <w:i/>
          <w:iCs/>
        </w:rPr>
        <w:br/>
        <w:t>evidence check</w:t>
      </w:r>
      <w:r w:rsidRPr="00B479AE">
        <w:rPr>
          <w:rFonts w:ascii="Baskerville Old Face" w:hAnsi="Baskerville Old Face"/>
          <w:i/>
          <w:iCs/>
        </w:rPr>
        <w:br/>
        <w:t>risk check</w:t>
      </w:r>
      <w:r w:rsidRPr="00B479AE">
        <w:rPr>
          <w:rFonts w:ascii="Baskerville Old Face" w:hAnsi="Baskerville Old Face"/>
          <w:i/>
          <w:iCs/>
        </w:rPr>
        <w:br/>
        <w:t>review pathway</w:t>
      </w:r>
      <w:r w:rsidRPr="00B479AE">
        <w:rPr>
          <w:rFonts w:ascii="Baskerville Old Face" w:hAnsi="Baskerville Old Face"/>
          <w:i/>
          <w:iCs/>
        </w:rPr>
        <w:br/>
        <w:t>authorization</w:t>
      </w:r>
      <w:r w:rsidRPr="00B479AE">
        <w:rPr>
          <w:rFonts w:ascii="Baskerville Old Face" w:hAnsi="Baskerville Old Face"/>
          <w:i/>
          <w:iCs/>
        </w:rPr>
        <w:br/>
        <w:t>execution only where valid.</w:t>
      </w:r>
    </w:p>
    <w:p w14:paraId="729F3F16"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AI may accelerate intelligence.</w:t>
      </w:r>
    </w:p>
    <w:p w14:paraId="624411AC"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It may not bypass wisdom.</w:t>
      </w:r>
    </w:p>
    <w:p w14:paraId="4C276C15" w14:textId="77777777" w:rsidR="0055683A" w:rsidRPr="00B479AE" w:rsidRDefault="0055683A" w:rsidP="0055683A">
      <w:pPr>
        <w:spacing w:line="360" w:lineRule="auto"/>
        <w:rPr>
          <w:rFonts w:ascii="Baskerville Old Face" w:hAnsi="Baskerville Old Face"/>
          <w:b/>
          <w:bCs/>
          <w:i/>
          <w:iCs/>
        </w:rPr>
      </w:pPr>
      <w:r w:rsidRPr="00B479AE">
        <w:rPr>
          <w:rFonts w:ascii="Baskerville Old Face" w:hAnsi="Baskerville Old Face"/>
          <w:b/>
          <w:bCs/>
          <w:i/>
          <w:iCs/>
        </w:rPr>
        <w:lastRenderedPageBreak/>
        <w:t>13.10 Community, Religious, Cultural, or Spiritual Requests</w:t>
      </w:r>
    </w:p>
    <w:p w14:paraId="1F6A3194"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Prometheus is open to communities that speak different languages of meaning.</w:t>
      </w:r>
    </w:p>
    <w:p w14:paraId="47FCCD56"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A request may come from a religious community, spiritual community, ancestral tradition, cooperative, Tribe, village, DAO, educational network, cultural association, or civic group.</w:t>
      </w:r>
    </w:p>
    <w:p w14:paraId="485E3C86"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Such requests should be approached with dignity and translation.</w:t>
      </w:r>
    </w:p>
    <w:p w14:paraId="6244CA2D"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Prometheus should ask:</w:t>
      </w:r>
    </w:p>
    <w:p w14:paraId="040D16F7"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 What is the community seeking to do?</w:t>
      </w:r>
      <w:r w:rsidRPr="00B479AE">
        <w:rPr>
          <w:rFonts w:ascii="Baskerville Old Face" w:hAnsi="Baskerville Old Face"/>
          <w:i/>
          <w:iCs/>
        </w:rPr>
        <w:br/>
        <w:t>• What is symbolic meaning?</w:t>
      </w:r>
      <w:r w:rsidRPr="00B479AE">
        <w:rPr>
          <w:rFonts w:ascii="Baskerville Old Face" w:hAnsi="Baskerville Old Face"/>
          <w:i/>
          <w:iCs/>
        </w:rPr>
        <w:br/>
        <w:t>• What is operational action?</w:t>
      </w:r>
      <w:r w:rsidRPr="00B479AE">
        <w:rPr>
          <w:rFonts w:ascii="Baskerville Old Face" w:hAnsi="Baskerville Old Face"/>
          <w:i/>
          <w:iCs/>
        </w:rPr>
        <w:br/>
        <w:t>• What is evidence?</w:t>
      </w:r>
      <w:r w:rsidRPr="00B479AE">
        <w:rPr>
          <w:rFonts w:ascii="Baskerville Old Face" w:hAnsi="Baskerville Old Face"/>
          <w:i/>
          <w:iCs/>
        </w:rPr>
        <w:br/>
        <w:t>• What is governance authority?</w:t>
      </w:r>
      <w:r w:rsidRPr="00B479AE">
        <w:rPr>
          <w:rFonts w:ascii="Baskerville Old Face" w:hAnsi="Baskerville Old Face"/>
          <w:i/>
          <w:iCs/>
        </w:rPr>
        <w:br/>
        <w:t>• What is consent?</w:t>
      </w:r>
      <w:r w:rsidRPr="00B479AE">
        <w:rPr>
          <w:rFonts w:ascii="Baskerville Old Face" w:hAnsi="Baskerville Old Face"/>
          <w:i/>
          <w:iCs/>
        </w:rPr>
        <w:br/>
        <w:t>• What is the Prometheus-facing scope?</w:t>
      </w:r>
      <w:r w:rsidRPr="00B479AE">
        <w:rPr>
          <w:rFonts w:ascii="Baskerville Old Face" w:hAnsi="Baskerville Old Face"/>
          <w:i/>
          <w:iCs/>
        </w:rPr>
        <w:br/>
        <w:t>• What review is required?</w:t>
      </w:r>
    </w:p>
    <w:p w14:paraId="0536A374"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Prometheus may honor prayer, ritual, testimony, memory, story, stewardship, ancestral care, symbolic language, or spiritual meaning.</w:t>
      </w:r>
    </w:p>
    <w:p w14:paraId="1C294294"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But Prometheus must classify them correctly.</w:t>
      </w:r>
    </w:p>
    <w:p w14:paraId="75EBEC66"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Spiritual meaning is not automatically MRV evidence.</w:t>
      </w:r>
    </w:p>
    <w:p w14:paraId="76D8ED94"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Ritual is not automatically ecological proof.</w:t>
      </w:r>
    </w:p>
    <w:p w14:paraId="7B1F2F96"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Community legitimacy is not automatically Prometheus authority.</w:t>
      </w:r>
    </w:p>
    <w:p w14:paraId="76719230"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Cultural narrative is not automatically investor-facing claim.</w:t>
      </w:r>
    </w:p>
    <w:p w14:paraId="7E022FA6"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This distinction protects both the community and Prometheus.</w:t>
      </w:r>
    </w:p>
    <w:p w14:paraId="34EAE905"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Meaning is not diminished by classification.</w:t>
      </w:r>
    </w:p>
    <w:p w14:paraId="32FA2614"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It is protected from misuse.</w:t>
      </w:r>
    </w:p>
    <w:p w14:paraId="4193AF1F" w14:textId="239F2F65" w:rsidR="0055683A" w:rsidRPr="00B479AE" w:rsidRDefault="0055683A" w:rsidP="0055683A">
      <w:pPr>
        <w:spacing w:line="360" w:lineRule="auto"/>
        <w:rPr>
          <w:rFonts w:ascii="Baskerville Old Face" w:hAnsi="Baskerville Old Face"/>
          <w:i/>
          <w:iCs/>
        </w:rPr>
      </w:pPr>
    </w:p>
    <w:p w14:paraId="59B21AA4" w14:textId="77777777" w:rsidR="0055683A" w:rsidRPr="00B479AE" w:rsidRDefault="0055683A" w:rsidP="0055683A">
      <w:pPr>
        <w:spacing w:line="360" w:lineRule="auto"/>
        <w:rPr>
          <w:rFonts w:ascii="Baskerville Old Face" w:hAnsi="Baskerville Old Face"/>
          <w:b/>
          <w:bCs/>
          <w:i/>
          <w:iCs/>
        </w:rPr>
      </w:pPr>
      <w:r w:rsidRPr="00B479AE">
        <w:rPr>
          <w:rFonts w:ascii="Baskerville Old Face" w:hAnsi="Baskerville Old Face"/>
          <w:b/>
          <w:bCs/>
          <w:i/>
          <w:iCs/>
        </w:rPr>
        <w:lastRenderedPageBreak/>
        <w:t>13.11 Appendix Parking and Recovery</w:t>
      </w:r>
    </w:p>
    <w:p w14:paraId="20B4F260"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Some requests contain important material that should not enter the core operative body of the White Paper at the current stage.</w:t>
      </w:r>
    </w:p>
    <w:p w14:paraId="58C31CD3"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This may include:</w:t>
      </w:r>
    </w:p>
    <w:p w14:paraId="101C5C6F" w14:textId="6EF9B7F5" w:rsidR="00D8054B" w:rsidRPr="00B479AE" w:rsidRDefault="0055683A" w:rsidP="00D8054B">
      <w:pPr>
        <w:spacing w:line="360" w:lineRule="auto"/>
        <w:rPr>
          <w:rFonts w:ascii="Baskerville Old Face" w:hAnsi="Baskerville Old Face"/>
          <w:i/>
          <w:iCs/>
        </w:rPr>
      </w:pPr>
      <w:r w:rsidRPr="00B479AE">
        <w:rPr>
          <w:rFonts w:ascii="Baskerville Old Face" w:hAnsi="Baskerville Old Face"/>
          <w:i/>
          <w:iCs/>
        </w:rPr>
        <w:t>• speculative financial architecture;</w:t>
      </w:r>
      <w:r w:rsidRPr="00B479AE">
        <w:rPr>
          <w:rFonts w:ascii="Baskerville Old Face" w:hAnsi="Baskerville Old Face"/>
          <w:i/>
          <w:iCs/>
        </w:rPr>
        <w:br/>
        <w:t>• investor models;</w:t>
      </w:r>
      <w:r w:rsidRPr="00B479AE">
        <w:rPr>
          <w:rFonts w:ascii="Baskerville Old Face" w:hAnsi="Baskerville Old Face"/>
          <w:i/>
          <w:iCs/>
        </w:rPr>
        <w:br/>
        <w:t>• future token structures;</w:t>
      </w:r>
      <w:r w:rsidRPr="00B479AE">
        <w:rPr>
          <w:rFonts w:ascii="Baskerville Old Face" w:hAnsi="Baskerville Old Face"/>
          <w:i/>
          <w:iCs/>
        </w:rPr>
        <w:br/>
        <w:t xml:space="preserve">• </w:t>
      </w:r>
      <w:r w:rsidR="00D8054B" w:rsidRPr="00B479AE">
        <w:rPr>
          <w:rFonts w:ascii="Baskerville Old Face" w:hAnsi="Baskerville Old Face"/>
          <w:i/>
          <w:iCs/>
        </w:rPr>
        <w:t>Future treasury, reserve, redemption, supply-management, or distribution mechanisms subject to legal review, securities analysis, tax review, governance approval, disclosure, and jurisdiction-specific compliance</w:t>
      </w:r>
    </w:p>
    <w:p w14:paraId="50359D39" w14:textId="7D1325C4"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 capital stack scenarios;</w:t>
      </w:r>
      <w:r w:rsidRPr="00B479AE">
        <w:rPr>
          <w:rFonts w:ascii="Baskerville Old Face" w:hAnsi="Baskerville Old Face"/>
          <w:i/>
          <w:iCs/>
        </w:rPr>
        <w:br/>
        <w:t>• f</w:t>
      </w:r>
      <w:r w:rsidR="00366A5C" w:rsidRPr="00B479AE">
        <w:rPr>
          <w:rFonts w:ascii="Baskerville Old Face" w:hAnsi="Baskerville Old Face"/>
          <w:i/>
          <w:iCs/>
        </w:rPr>
        <w:t>uture legally structured participation, investment, access, contribution, revenue-right, SPV, trust, fund, note, or securities pathways, where applicable;</w:t>
      </w:r>
      <w:r w:rsidRPr="00B479AE">
        <w:rPr>
          <w:rFonts w:ascii="Baskerville Old Face" w:hAnsi="Baskerville Old Face"/>
          <w:i/>
          <w:iCs/>
        </w:rPr>
        <w:br/>
        <w:t>• cap table token models;</w:t>
      </w:r>
      <w:r w:rsidRPr="00B479AE">
        <w:rPr>
          <w:rFonts w:ascii="Baskerville Old Face" w:hAnsi="Baskerville Old Face"/>
          <w:i/>
          <w:iCs/>
        </w:rPr>
        <w:br/>
        <w:t>• future dashboard designs;</w:t>
      </w:r>
      <w:r w:rsidRPr="00B479AE">
        <w:rPr>
          <w:rFonts w:ascii="Baskerville Old Face" w:hAnsi="Baskerville Old Face"/>
          <w:i/>
          <w:iCs/>
        </w:rPr>
        <w:br/>
        <w:t>• preliminary HSI research;</w:t>
      </w:r>
      <w:r w:rsidRPr="00B479AE">
        <w:rPr>
          <w:rFonts w:ascii="Baskerville Old Face" w:hAnsi="Baskerville Old Face"/>
          <w:i/>
          <w:iCs/>
        </w:rPr>
        <w:br/>
        <w:t>• emerging partnerships;</w:t>
      </w:r>
      <w:r w:rsidRPr="00B479AE">
        <w:rPr>
          <w:rFonts w:ascii="Baskerville Old Face" w:hAnsi="Baskerville Old Face"/>
          <w:i/>
          <w:iCs/>
        </w:rPr>
        <w:br/>
        <w:t>• unverified market assumptions;</w:t>
      </w:r>
      <w:r w:rsidRPr="00B479AE">
        <w:rPr>
          <w:rFonts w:ascii="Baskerville Old Face" w:hAnsi="Baskerville Old Face"/>
          <w:i/>
          <w:iCs/>
        </w:rPr>
        <w:br/>
        <w:t>• aggressive financial projections;</w:t>
      </w:r>
      <w:r w:rsidRPr="00B479AE">
        <w:rPr>
          <w:rFonts w:ascii="Baskerville Old Face" w:hAnsi="Baskerville Old Face"/>
          <w:i/>
          <w:iCs/>
        </w:rPr>
        <w:br/>
        <w:t>• experimental insurance or lending models;</w:t>
      </w:r>
      <w:r w:rsidRPr="00B479AE">
        <w:rPr>
          <w:rFonts w:ascii="Baskerville Old Face" w:hAnsi="Baskerville Old Face"/>
          <w:i/>
          <w:iCs/>
        </w:rPr>
        <w:br/>
        <w:t>• frontier scientific hypotheses;</w:t>
      </w:r>
      <w:r w:rsidRPr="00B479AE">
        <w:rPr>
          <w:rFonts w:ascii="Baskerville Old Face" w:hAnsi="Baskerville Old Face"/>
          <w:i/>
          <w:iCs/>
        </w:rPr>
        <w:br/>
        <w:t>• promising but immature governance tools.</w:t>
      </w:r>
    </w:p>
    <w:p w14:paraId="33DD73FE"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Such material should not be lost.</w:t>
      </w:r>
    </w:p>
    <w:p w14:paraId="51B79A69"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It should be parked.</w:t>
      </w:r>
    </w:p>
    <w:p w14:paraId="0BAB7E65"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Appendix parking means the material is preserved outside the core constitutional, scientific, or institutional body until it can be properly structured.</w:t>
      </w:r>
    </w:p>
    <w:p w14:paraId="4D1CB0C6"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Possible destinations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9"/>
        <w:gridCol w:w="6186"/>
      </w:tblGrid>
      <w:tr w:rsidR="0055683A" w:rsidRPr="00B479AE" w14:paraId="78290833" w14:textId="77777777" w:rsidTr="0055683A">
        <w:trPr>
          <w:tblHeader/>
          <w:tblCellSpacing w:w="15" w:type="dxa"/>
        </w:trPr>
        <w:tc>
          <w:tcPr>
            <w:tcW w:w="0" w:type="auto"/>
            <w:vAlign w:val="center"/>
            <w:hideMark/>
          </w:tcPr>
          <w:p w14:paraId="60B66BBA" w14:textId="77777777" w:rsidR="0055683A" w:rsidRPr="00B479AE" w:rsidRDefault="0055683A" w:rsidP="0055683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Parking destination</w:t>
            </w:r>
          </w:p>
        </w:tc>
        <w:tc>
          <w:tcPr>
            <w:tcW w:w="0" w:type="auto"/>
            <w:vAlign w:val="center"/>
            <w:hideMark/>
          </w:tcPr>
          <w:p w14:paraId="514FA991" w14:textId="77777777" w:rsidR="0055683A" w:rsidRPr="00B479AE" w:rsidRDefault="0055683A" w:rsidP="0055683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Use case</w:t>
            </w:r>
          </w:p>
        </w:tc>
      </w:tr>
      <w:tr w:rsidR="0055683A" w:rsidRPr="00B479AE" w14:paraId="102862AA" w14:textId="77777777" w:rsidTr="0055683A">
        <w:trPr>
          <w:tblCellSpacing w:w="15" w:type="dxa"/>
        </w:trPr>
        <w:tc>
          <w:tcPr>
            <w:tcW w:w="0" w:type="auto"/>
            <w:vAlign w:val="center"/>
            <w:hideMark/>
          </w:tcPr>
          <w:p w14:paraId="592C7547"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Financial Appendix</w:t>
            </w:r>
          </w:p>
        </w:tc>
        <w:tc>
          <w:tcPr>
            <w:tcW w:w="0" w:type="auto"/>
            <w:vAlign w:val="center"/>
            <w:hideMark/>
          </w:tcPr>
          <w:p w14:paraId="199BFC3D"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Capital stack, investor scenarios, note structures, projected economics.</w:t>
            </w:r>
          </w:p>
        </w:tc>
      </w:tr>
      <w:tr w:rsidR="0055683A" w:rsidRPr="00B479AE" w14:paraId="4D477326" w14:textId="77777777" w:rsidTr="0055683A">
        <w:trPr>
          <w:tblCellSpacing w:w="15" w:type="dxa"/>
        </w:trPr>
        <w:tc>
          <w:tcPr>
            <w:tcW w:w="0" w:type="auto"/>
            <w:vAlign w:val="center"/>
            <w:hideMark/>
          </w:tcPr>
          <w:p w14:paraId="785DD791"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Investor Model</w:t>
            </w:r>
          </w:p>
        </w:tc>
        <w:tc>
          <w:tcPr>
            <w:tcW w:w="0" w:type="auto"/>
            <w:vAlign w:val="center"/>
            <w:hideMark/>
          </w:tcPr>
          <w:p w14:paraId="4323BE47"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Terms, sensitivity analysis, return scenarios, diligence assumptions.</w:t>
            </w:r>
          </w:p>
        </w:tc>
      </w:tr>
      <w:tr w:rsidR="0055683A" w:rsidRPr="00B479AE" w14:paraId="785A7127" w14:textId="77777777" w:rsidTr="0055683A">
        <w:trPr>
          <w:tblCellSpacing w:w="15" w:type="dxa"/>
        </w:trPr>
        <w:tc>
          <w:tcPr>
            <w:tcW w:w="0" w:type="auto"/>
            <w:vAlign w:val="center"/>
            <w:hideMark/>
          </w:tcPr>
          <w:p w14:paraId="49194BFA"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Technical Roadmap</w:t>
            </w:r>
          </w:p>
        </w:tc>
        <w:tc>
          <w:tcPr>
            <w:tcW w:w="0" w:type="auto"/>
            <w:vAlign w:val="center"/>
            <w:hideMark/>
          </w:tcPr>
          <w:p w14:paraId="6A84811F"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Future implementation, dashboards, integrations, software features.</w:t>
            </w:r>
          </w:p>
        </w:tc>
      </w:tr>
      <w:tr w:rsidR="0055683A" w:rsidRPr="00B479AE" w14:paraId="081A40F6" w14:textId="77777777" w:rsidTr="0055683A">
        <w:trPr>
          <w:tblCellSpacing w:w="15" w:type="dxa"/>
        </w:trPr>
        <w:tc>
          <w:tcPr>
            <w:tcW w:w="0" w:type="auto"/>
            <w:vAlign w:val="center"/>
            <w:hideMark/>
          </w:tcPr>
          <w:p w14:paraId="40B3DEC7"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Research Appendix</w:t>
            </w:r>
          </w:p>
        </w:tc>
        <w:tc>
          <w:tcPr>
            <w:tcW w:w="0" w:type="auto"/>
            <w:vAlign w:val="center"/>
            <w:hideMark/>
          </w:tcPr>
          <w:p w14:paraId="4F764AA3"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Frontier hypotheses, HSI research, biomimetic or biophysical theory.</w:t>
            </w:r>
          </w:p>
        </w:tc>
      </w:tr>
      <w:tr w:rsidR="0055683A" w:rsidRPr="00B479AE" w14:paraId="0964E98F" w14:textId="77777777" w:rsidTr="0055683A">
        <w:trPr>
          <w:tblCellSpacing w:w="15" w:type="dxa"/>
        </w:trPr>
        <w:tc>
          <w:tcPr>
            <w:tcW w:w="0" w:type="auto"/>
            <w:vAlign w:val="center"/>
            <w:hideMark/>
          </w:tcPr>
          <w:p w14:paraId="723AC680"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Legal Structuring Memo</w:t>
            </w:r>
          </w:p>
        </w:tc>
        <w:tc>
          <w:tcPr>
            <w:tcW w:w="0" w:type="auto"/>
            <w:vAlign w:val="center"/>
            <w:hideMark/>
          </w:tcPr>
          <w:p w14:paraId="53DE11FD"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Securities, fund, trust, SPV, land, token, or jurisdictional questions.</w:t>
            </w:r>
          </w:p>
        </w:tc>
      </w:tr>
      <w:tr w:rsidR="0055683A" w:rsidRPr="00B479AE" w14:paraId="12DDDBF6" w14:textId="77777777" w:rsidTr="0055683A">
        <w:trPr>
          <w:tblCellSpacing w:w="15" w:type="dxa"/>
        </w:trPr>
        <w:tc>
          <w:tcPr>
            <w:tcW w:w="0" w:type="auto"/>
            <w:vAlign w:val="center"/>
            <w:hideMark/>
          </w:tcPr>
          <w:p w14:paraId="7F60D3D5"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MRV Methodology Appendix</w:t>
            </w:r>
          </w:p>
        </w:tc>
        <w:tc>
          <w:tcPr>
            <w:tcW w:w="0" w:type="auto"/>
            <w:vAlign w:val="center"/>
            <w:hideMark/>
          </w:tcPr>
          <w:p w14:paraId="40AB9E1F"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Indicators, methods, evidence tiers, validation pathways.</w:t>
            </w:r>
          </w:p>
        </w:tc>
      </w:tr>
      <w:tr w:rsidR="0055683A" w:rsidRPr="00B479AE" w14:paraId="098ECC60" w14:textId="77777777" w:rsidTr="0055683A">
        <w:trPr>
          <w:tblCellSpacing w:w="15" w:type="dxa"/>
        </w:trPr>
        <w:tc>
          <w:tcPr>
            <w:tcW w:w="0" w:type="auto"/>
            <w:vAlign w:val="center"/>
            <w:hideMark/>
          </w:tcPr>
          <w:p w14:paraId="644C37E5"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Governance Appendix</w:t>
            </w:r>
          </w:p>
        </w:tc>
        <w:tc>
          <w:tcPr>
            <w:tcW w:w="0" w:type="auto"/>
            <w:vAlign w:val="center"/>
            <w:hideMark/>
          </w:tcPr>
          <w:p w14:paraId="5B0929A0"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Experimental governance mechanisms not yet constitutionalized.</w:t>
            </w:r>
          </w:p>
        </w:tc>
      </w:tr>
      <w:tr w:rsidR="0055683A" w:rsidRPr="00B479AE" w14:paraId="6441F4F0" w14:textId="77777777" w:rsidTr="0055683A">
        <w:trPr>
          <w:tblCellSpacing w:w="15" w:type="dxa"/>
        </w:trPr>
        <w:tc>
          <w:tcPr>
            <w:tcW w:w="0" w:type="auto"/>
            <w:vAlign w:val="center"/>
            <w:hideMark/>
          </w:tcPr>
          <w:p w14:paraId="46432BE8"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Communications Appendix</w:t>
            </w:r>
          </w:p>
        </w:tc>
        <w:tc>
          <w:tcPr>
            <w:tcW w:w="0" w:type="auto"/>
            <w:vAlign w:val="center"/>
            <w:hideMark/>
          </w:tcPr>
          <w:p w14:paraId="19F8437E"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Narrative language not yet evidence-backed for public claims.</w:t>
            </w:r>
          </w:p>
        </w:tc>
      </w:tr>
    </w:tbl>
    <w:p w14:paraId="515E95EB"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Appendix parking protects continuity.</w:t>
      </w:r>
    </w:p>
    <w:p w14:paraId="34AA4671"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It allows Prometheus to be visionary without becoming premature.</w:t>
      </w:r>
    </w:p>
    <w:p w14:paraId="035D3060"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It keeps the future in the room without letting the future sign today’s contracts.</w:t>
      </w:r>
    </w:p>
    <w:p w14:paraId="39B8FD67" w14:textId="77777777" w:rsidR="0055683A" w:rsidRPr="00B479AE" w:rsidRDefault="0055683A" w:rsidP="0055683A">
      <w:pPr>
        <w:spacing w:line="360" w:lineRule="auto"/>
        <w:rPr>
          <w:rFonts w:ascii="Baskerville Old Face" w:hAnsi="Baskerville Old Face"/>
          <w:b/>
          <w:bCs/>
          <w:i/>
          <w:iCs/>
        </w:rPr>
      </w:pPr>
      <w:r w:rsidRPr="00B479AE">
        <w:rPr>
          <w:rFonts w:ascii="Baskerville Old Face" w:hAnsi="Baskerville Old Face"/>
          <w:b/>
          <w:bCs/>
          <w:i/>
          <w:iCs/>
        </w:rPr>
        <w:t>13.12 Refusal, Containment, and Escalation</w:t>
      </w:r>
    </w:p>
    <w:p w14:paraId="08DE2C6B"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Some requests must be refused, contained, or escalated.</w:t>
      </w:r>
    </w:p>
    <w:p w14:paraId="4E5AA9BC"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Refusal is appropriate when a request:</w:t>
      </w:r>
    </w:p>
    <w:p w14:paraId="072E793A"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 violates foundational articles;</w:t>
      </w:r>
      <w:r w:rsidRPr="00B479AE">
        <w:rPr>
          <w:rFonts w:ascii="Baskerville Old Face" w:hAnsi="Baskerville Old Face"/>
          <w:i/>
          <w:iCs/>
        </w:rPr>
        <w:br/>
        <w:t>• violates Eternity Clauses;</w:t>
      </w:r>
      <w:r w:rsidRPr="00B479AE">
        <w:rPr>
          <w:rFonts w:ascii="Baskerville Old Face" w:hAnsi="Baskerville Old Face"/>
          <w:i/>
          <w:iCs/>
        </w:rPr>
        <w:br/>
        <w:t>• bypasses the Access Covenant;</w:t>
      </w:r>
      <w:r w:rsidRPr="00B479AE">
        <w:rPr>
          <w:rFonts w:ascii="Baskerville Old Face" w:hAnsi="Baskerville Old Face"/>
          <w:i/>
          <w:iCs/>
        </w:rPr>
        <w:br/>
        <w:t>• seeks to falsify or manipulate evidence;</w:t>
      </w:r>
      <w:r w:rsidRPr="00B479AE">
        <w:rPr>
          <w:rFonts w:ascii="Baskerville Old Face" w:hAnsi="Baskerville Old Face"/>
          <w:i/>
          <w:iCs/>
        </w:rPr>
        <w:br/>
        <w:t>• seeks to mislead investors or the public;</w:t>
      </w:r>
      <w:r w:rsidRPr="00B479AE">
        <w:rPr>
          <w:rFonts w:ascii="Baskerville Old Face" w:hAnsi="Baskerville Old Face"/>
          <w:i/>
          <w:iCs/>
        </w:rPr>
        <w:br/>
        <w:t>• seeks unauthorized token or financial claims;</w:t>
      </w:r>
      <w:r w:rsidRPr="00B479AE">
        <w:rPr>
          <w:rFonts w:ascii="Baskerville Old Face" w:hAnsi="Baskerville Old Face"/>
          <w:i/>
          <w:iCs/>
        </w:rPr>
        <w:br/>
        <w:t>• seeks coercive use of HSI or human-state data;</w:t>
      </w:r>
      <w:r w:rsidRPr="00B479AE">
        <w:rPr>
          <w:rFonts w:ascii="Baskerville Old Face" w:hAnsi="Baskerville Old Face"/>
          <w:i/>
          <w:iCs/>
        </w:rPr>
        <w:br/>
        <w:t>• seeks to use AI as final authority;</w:t>
      </w:r>
      <w:r w:rsidRPr="00B479AE">
        <w:rPr>
          <w:rFonts w:ascii="Baskerville Old Face" w:hAnsi="Baskerville Old Face"/>
          <w:i/>
          <w:iCs/>
        </w:rPr>
        <w:br/>
      </w:r>
      <w:r w:rsidRPr="00B479AE">
        <w:rPr>
          <w:rFonts w:ascii="Baskerville Old Face" w:hAnsi="Baskerville Old Face"/>
          <w:i/>
          <w:iCs/>
        </w:rPr>
        <w:lastRenderedPageBreak/>
        <w:t>• seeks to override human dignity;</w:t>
      </w:r>
      <w:r w:rsidRPr="00B479AE">
        <w:rPr>
          <w:rFonts w:ascii="Baskerville Old Face" w:hAnsi="Baskerville Old Face"/>
          <w:i/>
          <w:iCs/>
        </w:rPr>
        <w:br/>
        <w:t>• seeks to create ecological or legal harm;</w:t>
      </w:r>
      <w:r w:rsidRPr="00B479AE">
        <w:rPr>
          <w:rFonts w:ascii="Baskerville Old Face" w:hAnsi="Baskerville Old Face"/>
          <w:i/>
          <w:iCs/>
        </w:rPr>
        <w:br/>
        <w:t>• seeks unauthorized access, exfiltration, manipulation, or technical compromise.</w:t>
      </w:r>
    </w:p>
    <w:p w14:paraId="1CED5713"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Containment may include:</w:t>
      </w:r>
    </w:p>
    <w:p w14:paraId="583245CC"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 refusal;</w:t>
      </w:r>
      <w:r w:rsidRPr="00B479AE">
        <w:rPr>
          <w:rFonts w:ascii="Baskerville Old Face" w:hAnsi="Baskerville Old Face"/>
          <w:i/>
          <w:iCs/>
        </w:rPr>
        <w:br/>
        <w:t>• non-admissible classification;</w:t>
      </w:r>
      <w:r w:rsidRPr="00B479AE">
        <w:rPr>
          <w:rFonts w:ascii="Baskerville Old Face" w:hAnsi="Baskerville Old Face"/>
          <w:i/>
          <w:iCs/>
        </w:rPr>
        <w:br/>
        <w:t>• quarantine;</w:t>
      </w:r>
      <w:r w:rsidRPr="00B479AE">
        <w:rPr>
          <w:rFonts w:ascii="Baskerville Old Face" w:hAnsi="Baskerville Old Face"/>
          <w:i/>
          <w:iCs/>
        </w:rPr>
        <w:br/>
        <w:t>• access restriction;</w:t>
      </w:r>
      <w:r w:rsidRPr="00B479AE">
        <w:rPr>
          <w:rFonts w:ascii="Baskerville Old Face" w:hAnsi="Baskerville Old Face"/>
          <w:i/>
          <w:iCs/>
        </w:rPr>
        <w:br/>
        <w:t>• manual review;</w:t>
      </w:r>
      <w:r w:rsidRPr="00B479AE">
        <w:rPr>
          <w:rFonts w:ascii="Baskerville Old Face" w:hAnsi="Baskerville Old Face"/>
          <w:i/>
          <w:iCs/>
        </w:rPr>
        <w:br/>
        <w:t>• legal review;</w:t>
      </w:r>
      <w:r w:rsidRPr="00B479AE">
        <w:rPr>
          <w:rFonts w:ascii="Baskerville Old Face" w:hAnsi="Baskerville Old Face"/>
          <w:i/>
          <w:iCs/>
        </w:rPr>
        <w:br/>
        <w:t>• technical investigation;</w:t>
      </w:r>
      <w:r w:rsidRPr="00B479AE">
        <w:rPr>
          <w:rFonts w:ascii="Baskerville Old Face" w:hAnsi="Baskerville Old Face"/>
          <w:i/>
          <w:iCs/>
        </w:rPr>
        <w:br/>
        <w:t>• governance escalation;</w:t>
      </w:r>
      <w:r w:rsidRPr="00B479AE">
        <w:rPr>
          <w:rFonts w:ascii="Baskerville Old Face" w:hAnsi="Baskerville Old Face"/>
          <w:i/>
          <w:iCs/>
        </w:rPr>
        <w:br/>
        <w:t>• external escalation where required.</w:t>
      </w:r>
    </w:p>
    <w:p w14:paraId="1BAC9168"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The refusal should be clear, documented where material, and proportionate.</w:t>
      </w:r>
    </w:p>
    <w:p w14:paraId="465304A5"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Prometheus should refuse the pathway without humiliating the person where possible.</w:t>
      </w:r>
    </w:p>
    <w:p w14:paraId="79E5FAD1"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The system protects the source layer.</w:t>
      </w:r>
    </w:p>
    <w:p w14:paraId="06D40BB5"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It does not need to perform moral theatre.</w:t>
      </w:r>
    </w:p>
    <w:p w14:paraId="7D084F4C" w14:textId="77777777" w:rsidR="0055683A" w:rsidRPr="00B479AE" w:rsidRDefault="0055683A" w:rsidP="0055683A">
      <w:pPr>
        <w:spacing w:line="360" w:lineRule="auto"/>
        <w:rPr>
          <w:rFonts w:ascii="Baskerville Old Face" w:hAnsi="Baskerville Old Face"/>
          <w:b/>
          <w:bCs/>
          <w:i/>
          <w:iCs/>
        </w:rPr>
      </w:pPr>
      <w:r w:rsidRPr="00B479AE">
        <w:rPr>
          <w:rFonts w:ascii="Baskerville Old Face" w:hAnsi="Baskerville Old Face"/>
          <w:b/>
          <w:bCs/>
          <w:i/>
          <w:iCs/>
        </w:rPr>
        <w:t>13.13 Response Language</w:t>
      </w:r>
    </w:p>
    <w:p w14:paraId="42D70009"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Prometheus should use response language that is firm, precise, and generative.</w:t>
      </w:r>
    </w:p>
    <w:p w14:paraId="4D2922A0"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Preferred formulations include:</w:t>
      </w:r>
    </w:p>
    <w:p w14:paraId="231BD53F" w14:textId="77777777" w:rsidR="0036529B" w:rsidRPr="00B479AE" w:rsidRDefault="0036529B" w:rsidP="0055683A">
      <w:pPr>
        <w:spacing w:line="360" w:lineRule="auto"/>
        <w:rPr>
          <w:rFonts w:ascii="Baskerville Old Face" w:hAnsi="Baskerville Old Face"/>
          <w:i/>
          <w:iCs/>
        </w:rPr>
      </w:pPr>
    </w:p>
    <w:p w14:paraId="76A378F0" w14:textId="77777777" w:rsidR="00D46989" w:rsidRPr="00B479AE" w:rsidRDefault="00D46989" w:rsidP="0055683A">
      <w:pPr>
        <w:spacing w:line="360" w:lineRule="auto"/>
        <w:rPr>
          <w:rFonts w:ascii="Baskerville Old Face" w:hAnsi="Baskerville Old Face"/>
          <w:i/>
          <w:iCs/>
        </w:rPr>
      </w:pPr>
    </w:p>
    <w:p w14:paraId="1F443848" w14:textId="77777777" w:rsidR="00D46989" w:rsidRPr="00B479AE" w:rsidRDefault="00D46989" w:rsidP="0055683A">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7648"/>
      </w:tblGrid>
      <w:tr w:rsidR="0055683A" w:rsidRPr="00B479AE" w14:paraId="22682E8A" w14:textId="77777777" w:rsidTr="0055683A">
        <w:trPr>
          <w:tblHeader/>
          <w:tblCellSpacing w:w="15" w:type="dxa"/>
        </w:trPr>
        <w:tc>
          <w:tcPr>
            <w:tcW w:w="0" w:type="auto"/>
            <w:vAlign w:val="center"/>
            <w:hideMark/>
          </w:tcPr>
          <w:p w14:paraId="3E22274C" w14:textId="77777777" w:rsidR="0055683A" w:rsidRPr="00B479AE" w:rsidRDefault="0055683A" w:rsidP="0055683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Instead of</w:t>
            </w:r>
          </w:p>
        </w:tc>
        <w:tc>
          <w:tcPr>
            <w:tcW w:w="0" w:type="auto"/>
            <w:vAlign w:val="center"/>
            <w:hideMark/>
          </w:tcPr>
          <w:p w14:paraId="3F4A59EA" w14:textId="77777777" w:rsidR="0055683A" w:rsidRPr="00B479AE" w:rsidRDefault="0055683A" w:rsidP="0055683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Use</w:t>
            </w:r>
          </w:p>
        </w:tc>
      </w:tr>
      <w:tr w:rsidR="0055683A" w:rsidRPr="00B479AE" w14:paraId="4616A400" w14:textId="77777777" w:rsidTr="0055683A">
        <w:trPr>
          <w:tblCellSpacing w:w="15" w:type="dxa"/>
        </w:trPr>
        <w:tc>
          <w:tcPr>
            <w:tcW w:w="0" w:type="auto"/>
            <w:vAlign w:val="center"/>
            <w:hideMark/>
          </w:tcPr>
          <w:p w14:paraId="11CE3762"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“This is forbidden.”</w:t>
            </w:r>
          </w:p>
        </w:tc>
        <w:tc>
          <w:tcPr>
            <w:tcW w:w="0" w:type="auto"/>
            <w:vAlign w:val="center"/>
            <w:hideMark/>
          </w:tcPr>
          <w:p w14:paraId="2F2F5683"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“This pathway is not admissible under the current constitutional and evidentiary constraints.”</w:t>
            </w:r>
          </w:p>
        </w:tc>
      </w:tr>
      <w:tr w:rsidR="0055683A" w:rsidRPr="00B479AE" w14:paraId="43E530D5" w14:textId="77777777" w:rsidTr="0055683A">
        <w:trPr>
          <w:tblCellSpacing w:w="15" w:type="dxa"/>
        </w:trPr>
        <w:tc>
          <w:tcPr>
            <w:tcW w:w="0" w:type="auto"/>
            <w:vAlign w:val="center"/>
            <w:hideMark/>
          </w:tcPr>
          <w:p w14:paraId="6D9E679E"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“You cannot do this.”</w:t>
            </w:r>
          </w:p>
        </w:tc>
        <w:tc>
          <w:tcPr>
            <w:tcW w:w="0" w:type="auto"/>
            <w:vAlign w:val="center"/>
            <w:hideMark/>
          </w:tcPr>
          <w:p w14:paraId="70FA0D82"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“This request requires review or restructuring before it can proceed.”</w:t>
            </w:r>
          </w:p>
        </w:tc>
      </w:tr>
      <w:tr w:rsidR="0055683A" w:rsidRPr="00B479AE" w14:paraId="693E91E7" w14:textId="77777777" w:rsidTr="0055683A">
        <w:trPr>
          <w:tblCellSpacing w:w="15" w:type="dxa"/>
        </w:trPr>
        <w:tc>
          <w:tcPr>
            <w:tcW w:w="0" w:type="auto"/>
            <w:vAlign w:val="center"/>
            <w:hideMark/>
          </w:tcPr>
          <w:p w14:paraId="4A8F37EA"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“Rejected.”</w:t>
            </w:r>
          </w:p>
        </w:tc>
        <w:tc>
          <w:tcPr>
            <w:tcW w:w="0" w:type="auto"/>
            <w:vAlign w:val="center"/>
            <w:hideMark/>
          </w:tcPr>
          <w:p w14:paraId="7360F25B"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“The request cannot proceed in its current form.”</w:t>
            </w:r>
          </w:p>
        </w:tc>
      </w:tr>
      <w:tr w:rsidR="0055683A" w:rsidRPr="00B479AE" w14:paraId="0FBD2C60" w14:textId="77777777" w:rsidTr="0055683A">
        <w:trPr>
          <w:tblCellSpacing w:w="15" w:type="dxa"/>
        </w:trPr>
        <w:tc>
          <w:tcPr>
            <w:tcW w:w="0" w:type="auto"/>
            <w:vAlign w:val="center"/>
            <w:hideMark/>
          </w:tcPr>
          <w:p w14:paraId="20704D12"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“Invalid.”</w:t>
            </w:r>
          </w:p>
        </w:tc>
        <w:tc>
          <w:tcPr>
            <w:tcW w:w="0" w:type="auto"/>
            <w:vAlign w:val="center"/>
            <w:hideMark/>
          </w:tcPr>
          <w:p w14:paraId="0F497293"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“The request is outside the current Prometheus pathway.”</w:t>
            </w:r>
          </w:p>
        </w:tc>
      </w:tr>
      <w:tr w:rsidR="0055683A" w:rsidRPr="00B479AE" w14:paraId="24F11046" w14:textId="77777777" w:rsidTr="0055683A">
        <w:trPr>
          <w:tblCellSpacing w:w="15" w:type="dxa"/>
        </w:trPr>
        <w:tc>
          <w:tcPr>
            <w:tcW w:w="0" w:type="auto"/>
            <w:vAlign w:val="center"/>
            <w:hideMark/>
          </w:tcPr>
          <w:p w14:paraId="675C107A"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“Automatically punished.”</w:t>
            </w:r>
          </w:p>
        </w:tc>
        <w:tc>
          <w:tcPr>
            <w:tcW w:w="0" w:type="auto"/>
            <w:vAlign w:val="center"/>
            <w:hideMark/>
          </w:tcPr>
          <w:p w14:paraId="51F0FB99"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“The matter is routed to consequence review under the applicable protocol.”</w:t>
            </w:r>
          </w:p>
        </w:tc>
      </w:tr>
      <w:tr w:rsidR="0055683A" w:rsidRPr="00B479AE" w14:paraId="6C4281A9" w14:textId="77777777" w:rsidTr="0055683A">
        <w:trPr>
          <w:tblCellSpacing w:w="15" w:type="dxa"/>
        </w:trPr>
        <w:tc>
          <w:tcPr>
            <w:tcW w:w="0" w:type="auto"/>
            <w:vAlign w:val="center"/>
            <w:hideMark/>
          </w:tcPr>
          <w:p w14:paraId="4F0A124A"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“The AI decides.”</w:t>
            </w:r>
          </w:p>
        </w:tc>
        <w:tc>
          <w:tcPr>
            <w:tcW w:w="0" w:type="auto"/>
            <w:vAlign w:val="center"/>
            <w:hideMark/>
          </w:tcPr>
          <w:p w14:paraId="506C77F3"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“The AI may flag the issue, but authorization requires the appropriate review pathway.”</w:t>
            </w:r>
          </w:p>
        </w:tc>
      </w:tr>
      <w:tr w:rsidR="0055683A" w:rsidRPr="00B479AE" w14:paraId="04A5CE16" w14:textId="77777777" w:rsidTr="0055683A">
        <w:trPr>
          <w:tblCellSpacing w:w="15" w:type="dxa"/>
        </w:trPr>
        <w:tc>
          <w:tcPr>
            <w:tcW w:w="0" w:type="auto"/>
            <w:vAlign w:val="center"/>
            <w:hideMark/>
          </w:tcPr>
          <w:p w14:paraId="4E752F2C"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“The token loses value.”</w:t>
            </w:r>
          </w:p>
        </w:tc>
        <w:tc>
          <w:tcPr>
            <w:tcW w:w="0" w:type="auto"/>
            <w:vAlign w:val="center"/>
            <w:hideMark/>
          </w:tcPr>
          <w:p w14:paraId="009F91B7"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“Any token-related consequence must follow the rights, disclosures, legal structure, and governance rules actually attached to that token.”</w:t>
            </w:r>
          </w:p>
        </w:tc>
      </w:tr>
      <w:tr w:rsidR="0055683A" w:rsidRPr="00B479AE" w14:paraId="12AA659C" w14:textId="77777777" w:rsidTr="0055683A">
        <w:trPr>
          <w:tblCellSpacing w:w="15" w:type="dxa"/>
        </w:trPr>
        <w:tc>
          <w:tcPr>
            <w:tcW w:w="0" w:type="auto"/>
            <w:vAlign w:val="center"/>
            <w:hideMark/>
          </w:tcPr>
          <w:p w14:paraId="67DFC2BC"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“The claim is false.”</w:t>
            </w:r>
          </w:p>
        </w:tc>
        <w:tc>
          <w:tcPr>
            <w:tcW w:w="0" w:type="auto"/>
            <w:vAlign w:val="center"/>
            <w:hideMark/>
          </w:tcPr>
          <w:p w14:paraId="0E3E9A19"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“The claim is not currently supported at the required evidence tier.”</w:t>
            </w:r>
          </w:p>
        </w:tc>
      </w:tr>
      <w:tr w:rsidR="0055683A" w:rsidRPr="00B479AE" w14:paraId="161A4D3C" w14:textId="77777777" w:rsidTr="0055683A">
        <w:trPr>
          <w:tblCellSpacing w:w="15" w:type="dxa"/>
        </w:trPr>
        <w:tc>
          <w:tcPr>
            <w:tcW w:w="0" w:type="auto"/>
            <w:vAlign w:val="center"/>
            <w:hideMark/>
          </w:tcPr>
          <w:p w14:paraId="2E08D1D0"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“This is useless.”</w:t>
            </w:r>
          </w:p>
        </w:tc>
        <w:tc>
          <w:tcPr>
            <w:tcW w:w="0" w:type="auto"/>
            <w:vAlign w:val="center"/>
            <w:hideMark/>
          </w:tcPr>
          <w:p w14:paraId="2365DE9F" w14:textId="77777777" w:rsidR="0055683A" w:rsidRPr="00B479AE" w:rsidRDefault="0055683A" w:rsidP="0055683A">
            <w:pPr>
              <w:spacing w:line="360" w:lineRule="auto"/>
              <w:rPr>
                <w:rFonts w:ascii="Baskerville Old Face" w:hAnsi="Baskerville Old Face"/>
                <w:i/>
                <w:iCs/>
                <w:sz w:val="22"/>
                <w:szCs w:val="22"/>
              </w:rPr>
            </w:pPr>
            <w:r w:rsidRPr="00B479AE">
              <w:rPr>
                <w:rFonts w:ascii="Baskerville Old Face" w:hAnsi="Baskerville Old Face"/>
                <w:i/>
                <w:iCs/>
                <w:sz w:val="22"/>
                <w:szCs w:val="22"/>
              </w:rPr>
              <w:t>“This may be preserved as research, narrative, appendix material, or future development, but it is not currently admissible for execution.”</w:t>
            </w:r>
          </w:p>
        </w:tc>
      </w:tr>
    </w:tbl>
    <w:p w14:paraId="0A11B79D"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Language shapes governance.</w:t>
      </w:r>
    </w:p>
    <w:p w14:paraId="64BDBA14"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Prometheus should speak like a constitutional system, not like a panic button.</w:t>
      </w:r>
    </w:p>
    <w:p w14:paraId="404E030F" w14:textId="77777777" w:rsidR="0055683A" w:rsidRPr="00B479AE" w:rsidRDefault="0055683A" w:rsidP="0055683A">
      <w:pPr>
        <w:spacing w:line="360" w:lineRule="auto"/>
        <w:rPr>
          <w:rFonts w:ascii="Baskerville Old Face" w:hAnsi="Baskerville Old Face"/>
          <w:b/>
          <w:bCs/>
          <w:i/>
          <w:iCs/>
        </w:rPr>
      </w:pPr>
      <w:r w:rsidRPr="00B479AE">
        <w:rPr>
          <w:rFonts w:ascii="Baskerville Old Face" w:hAnsi="Baskerville Old Face"/>
          <w:b/>
          <w:bCs/>
          <w:i/>
          <w:iCs/>
        </w:rPr>
        <w:t>13.14 Final Non-Aligned Request Principle</w:t>
      </w:r>
    </w:p>
    <w:p w14:paraId="0BD83B88"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The final principle is:</w:t>
      </w:r>
    </w:p>
    <w:p w14:paraId="01708529"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misalignment is information.</w:t>
      </w:r>
    </w:p>
    <w:p w14:paraId="54B12493"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Sometimes it signals danger.</w:t>
      </w:r>
    </w:p>
    <w:p w14:paraId="2AD4FB77"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Sometimes it signals immaturity.</w:t>
      </w:r>
    </w:p>
    <w:p w14:paraId="47BFBDED"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lastRenderedPageBreak/>
        <w:t>Sometimes it signals a missing pathway.</w:t>
      </w:r>
    </w:p>
    <w:p w14:paraId="21E601B2"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Sometimes it signals a future appendix.</w:t>
      </w:r>
    </w:p>
    <w:p w14:paraId="0FDBBFEA"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Sometimes it signals an innovation that needs structure before execution.</w:t>
      </w:r>
    </w:p>
    <w:p w14:paraId="7C5E3AF6"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Prometheus should not fear the edge.</w:t>
      </w:r>
    </w:p>
    <w:p w14:paraId="4608F018"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It should govern the edge.</w:t>
      </w:r>
    </w:p>
    <w:p w14:paraId="5FEFA4F4"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A request at the edge of the system should be classified, held, translated, reviewed, parked, narrowed, piloted, refused, or escalated according to its nature.</w:t>
      </w:r>
    </w:p>
    <w:p w14:paraId="0798157D"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The system must remain capable of saying:</w:t>
      </w:r>
    </w:p>
    <w:p w14:paraId="707CFEA6"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not yet;</w:t>
      </w:r>
      <w:r w:rsidRPr="00B479AE">
        <w:rPr>
          <w:rFonts w:ascii="Baskerville Old Face" w:hAnsi="Baskerville Old Face"/>
          <w:i/>
          <w:iCs/>
        </w:rPr>
        <w:br/>
        <w:t>not like this;</w:t>
      </w:r>
      <w:r w:rsidRPr="00B479AE">
        <w:rPr>
          <w:rFonts w:ascii="Baskerville Old Face" w:hAnsi="Baskerville Old Face"/>
          <w:i/>
          <w:iCs/>
        </w:rPr>
        <w:br/>
        <w:t>not without evidence;</w:t>
      </w:r>
      <w:r w:rsidRPr="00B479AE">
        <w:rPr>
          <w:rFonts w:ascii="Baskerville Old Face" w:hAnsi="Baskerville Old Face"/>
          <w:i/>
          <w:iCs/>
        </w:rPr>
        <w:br/>
        <w:t>not without legal review;</w:t>
      </w:r>
      <w:r w:rsidRPr="00B479AE">
        <w:rPr>
          <w:rFonts w:ascii="Baskerville Old Face" w:hAnsi="Baskerville Old Face"/>
          <w:i/>
          <w:iCs/>
        </w:rPr>
        <w:br/>
        <w:t>not within this scope;</w:t>
      </w:r>
      <w:r w:rsidRPr="00B479AE">
        <w:rPr>
          <w:rFonts w:ascii="Baskerville Old Face" w:hAnsi="Baskerville Old Face"/>
          <w:i/>
          <w:iCs/>
        </w:rPr>
        <w:br/>
        <w:t>not as PRU;</w:t>
      </w:r>
      <w:r w:rsidRPr="00B479AE">
        <w:rPr>
          <w:rFonts w:ascii="Baskerville Old Face" w:hAnsi="Baskerville Old Face"/>
          <w:i/>
          <w:iCs/>
        </w:rPr>
        <w:br/>
        <w:t>not as investor-facing;</w:t>
      </w:r>
      <w:r w:rsidRPr="00B479AE">
        <w:rPr>
          <w:rFonts w:ascii="Baskerville Old Face" w:hAnsi="Baskerville Old Face"/>
          <w:i/>
          <w:iCs/>
        </w:rPr>
        <w:br/>
        <w:t>not as governance authority;</w:t>
      </w:r>
      <w:r w:rsidRPr="00B479AE">
        <w:rPr>
          <w:rFonts w:ascii="Baskerville Old Face" w:hAnsi="Baskerville Old Face"/>
          <w:i/>
          <w:iCs/>
        </w:rPr>
        <w:br/>
        <w:t>not as Prometheus.</w:t>
      </w:r>
    </w:p>
    <w:p w14:paraId="064226E3"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But it should also remain capable of saying:</w:t>
      </w:r>
    </w:p>
    <w:p w14:paraId="32DA7A41"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this is promising;</w:t>
      </w:r>
      <w:r w:rsidRPr="00B479AE">
        <w:rPr>
          <w:rFonts w:ascii="Baskerville Old Face" w:hAnsi="Baskerville Old Face"/>
          <w:i/>
          <w:iCs/>
        </w:rPr>
        <w:br/>
        <w:t>this belongs in research;</w:t>
      </w:r>
      <w:r w:rsidRPr="00B479AE">
        <w:rPr>
          <w:rFonts w:ascii="Baskerville Old Face" w:hAnsi="Baskerville Old Face"/>
          <w:i/>
          <w:iCs/>
        </w:rPr>
        <w:br/>
        <w:t>this belongs in the appendix;</w:t>
      </w:r>
      <w:r w:rsidRPr="00B479AE">
        <w:rPr>
          <w:rFonts w:ascii="Baskerville Old Face" w:hAnsi="Baskerville Old Face"/>
          <w:i/>
          <w:iCs/>
        </w:rPr>
        <w:br/>
        <w:t>this needs a pilot;</w:t>
      </w:r>
      <w:r w:rsidRPr="00B479AE">
        <w:rPr>
          <w:rFonts w:ascii="Baskerville Old Face" w:hAnsi="Baskerville Old Face"/>
          <w:i/>
          <w:iCs/>
        </w:rPr>
        <w:br/>
        <w:t>this needs a legal wrapper;</w:t>
      </w:r>
      <w:r w:rsidRPr="00B479AE">
        <w:rPr>
          <w:rFonts w:ascii="Baskerville Old Face" w:hAnsi="Baskerville Old Face"/>
          <w:i/>
          <w:iCs/>
        </w:rPr>
        <w:br/>
        <w:t>this needs MRV design;</w:t>
      </w:r>
      <w:r w:rsidRPr="00B479AE">
        <w:rPr>
          <w:rFonts w:ascii="Baskerville Old Face" w:hAnsi="Baskerville Old Face"/>
          <w:i/>
          <w:iCs/>
        </w:rPr>
        <w:br/>
        <w:t>this needs community consent;</w:t>
      </w:r>
      <w:r w:rsidRPr="00B479AE">
        <w:rPr>
          <w:rFonts w:ascii="Baskerville Old Face" w:hAnsi="Baskerville Old Face"/>
          <w:i/>
          <w:iCs/>
        </w:rPr>
        <w:br/>
        <w:t>this needs technical implementation;</w:t>
      </w:r>
      <w:r w:rsidRPr="00B479AE">
        <w:rPr>
          <w:rFonts w:ascii="Baskerville Old Face" w:hAnsi="Baskerville Old Face"/>
          <w:i/>
          <w:iCs/>
        </w:rPr>
        <w:br/>
        <w:t>this may become part of the future.</w:t>
      </w:r>
    </w:p>
    <w:p w14:paraId="0290D467"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That is the discipline.</w:t>
      </w:r>
    </w:p>
    <w:p w14:paraId="09311D28"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lastRenderedPageBreak/>
        <w:t>Prometheus does not kill possibility.</w:t>
      </w:r>
    </w:p>
    <w:p w14:paraId="3C3841AE"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It prevents possibility from pretending to be maturity.</w:t>
      </w:r>
    </w:p>
    <w:p w14:paraId="553C78E2"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It keeps the gate open.</w:t>
      </w:r>
    </w:p>
    <w:p w14:paraId="0BF64800"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It keeps the source intact.</w:t>
      </w:r>
    </w:p>
    <w:p w14:paraId="0234EFEF" w14:textId="77777777" w:rsidR="0055683A" w:rsidRPr="00B479AE" w:rsidRDefault="0055683A" w:rsidP="0055683A">
      <w:pPr>
        <w:spacing w:line="360" w:lineRule="auto"/>
        <w:rPr>
          <w:rFonts w:ascii="Baskerville Old Face" w:hAnsi="Baskerville Old Face"/>
          <w:i/>
          <w:iCs/>
        </w:rPr>
      </w:pPr>
      <w:r w:rsidRPr="00B479AE">
        <w:rPr>
          <w:rFonts w:ascii="Baskerville Old Face" w:hAnsi="Baskerville Old Face"/>
          <w:i/>
          <w:iCs/>
        </w:rPr>
        <w:t>It lets the future approach without letting it bypass the present.</w:t>
      </w:r>
    </w:p>
    <w:p w14:paraId="37D8969A"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b/>
          <w:bCs/>
          <w:i/>
          <w:iCs/>
        </w:rPr>
        <w:t>Governance and Evolution of Meta-Prompts</w:t>
      </w:r>
    </w:p>
    <w:p w14:paraId="584D162D" w14:textId="1B2E12A0"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The Prometheus cognitive kernel must maintain a governed register of generated meta-prompts, constitutional interpretations, routing decisions, escalation outcomes, and methodology-relevant prompt patterns.</w:t>
      </w:r>
      <w:r w:rsidR="00650EBA" w:rsidRPr="00B479AE">
        <w:rPr>
          <w:rFonts w:ascii="Baskerville Old Face" w:hAnsi="Baskerville Old Face"/>
          <w:i/>
          <w:iCs/>
        </w:rPr>
        <w:t xml:space="preserve"> </w:t>
      </w:r>
      <w:r w:rsidRPr="00B479AE">
        <w:rPr>
          <w:rFonts w:ascii="Baskerville Old Face" w:hAnsi="Baskerville Old Face"/>
          <w:i/>
          <w:iCs/>
        </w:rPr>
        <w:t>This register is not a casual archive.</w:t>
      </w:r>
      <w:r w:rsidR="00650EBA" w:rsidRPr="00B479AE">
        <w:rPr>
          <w:rFonts w:ascii="Baskerville Old Face" w:hAnsi="Baskerville Old Face"/>
          <w:i/>
          <w:iCs/>
        </w:rPr>
        <w:t xml:space="preserve"> </w:t>
      </w:r>
      <w:r w:rsidRPr="00B479AE">
        <w:rPr>
          <w:rFonts w:ascii="Baskerville Old Face" w:hAnsi="Baskerville Old Face"/>
          <w:i/>
          <w:iCs/>
        </w:rPr>
        <w:t>It is part of the governance memory of the system.</w:t>
      </w:r>
    </w:p>
    <w:p w14:paraId="20589331"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Its purpose is to preserve continuity, detect drift, avoid contradiction, support auditability, improve future decisions, and prevent intelligence from becoming opaque as Prometheus evolves.</w:t>
      </w:r>
    </w:p>
    <w:p w14:paraId="65135CEF" w14:textId="3532B73C"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Meta-prompts are not neutral text objects.</w:t>
      </w:r>
      <w:r w:rsidR="00650EBA" w:rsidRPr="00B479AE">
        <w:rPr>
          <w:rFonts w:ascii="Baskerville Old Face" w:hAnsi="Baskerville Old Face"/>
          <w:i/>
          <w:iCs/>
        </w:rPr>
        <w:t xml:space="preserve"> </w:t>
      </w:r>
      <w:r w:rsidRPr="00B479AE">
        <w:rPr>
          <w:rFonts w:ascii="Baskerville Old Face" w:hAnsi="Baskerville Old Face"/>
          <w:i/>
          <w:iCs/>
        </w:rPr>
        <w:t>They can shape ecological design, MRV interpretation, governance proposals, financial scenarios, investor-facing drafts, legal review pathways, technical workflows, and agent behavior.</w:t>
      </w:r>
    </w:p>
    <w:p w14:paraId="32E1226E"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For this reason, their creation, use, revision, retirement, and constitutional alignment must remain governed.</w:t>
      </w:r>
    </w:p>
    <w:p w14:paraId="01F2A098"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b/>
          <w:bCs/>
          <w:i/>
          <w:iCs/>
        </w:rPr>
        <w:t>1. Meta-prompt register</w:t>
      </w:r>
    </w:p>
    <w:p w14:paraId="54079766"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Prometheus should maintain a logical register of meta-prompts and related decision records.</w:t>
      </w:r>
    </w:p>
    <w:p w14:paraId="4910F37A" w14:textId="77777777" w:rsidR="0036529B" w:rsidRPr="00B479AE" w:rsidRDefault="0036529B" w:rsidP="00080B17">
      <w:pPr>
        <w:spacing w:line="360" w:lineRule="auto"/>
        <w:rPr>
          <w:rFonts w:ascii="Baskerville Old Face" w:hAnsi="Baskerville Old Face"/>
          <w:i/>
          <w:iCs/>
        </w:rPr>
      </w:pPr>
    </w:p>
    <w:p w14:paraId="261FC01B" w14:textId="77777777" w:rsidR="00D46989" w:rsidRPr="00B479AE" w:rsidRDefault="00D46989" w:rsidP="00080B17">
      <w:pPr>
        <w:spacing w:line="360" w:lineRule="auto"/>
        <w:rPr>
          <w:rFonts w:ascii="Baskerville Old Face" w:hAnsi="Baskerville Old Face"/>
          <w:i/>
          <w:iCs/>
        </w:rPr>
      </w:pPr>
    </w:p>
    <w:p w14:paraId="0DE411CC" w14:textId="77777777" w:rsidR="00D46989" w:rsidRPr="00B479AE" w:rsidRDefault="00D46989" w:rsidP="00080B17">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9"/>
        <w:gridCol w:w="4278"/>
        <w:gridCol w:w="3141"/>
      </w:tblGrid>
      <w:tr w:rsidR="00080B17" w:rsidRPr="00B479AE" w14:paraId="43D33037" w14:textId="77777777" w:rsidTr="00080B17">
        <w:trPr>
          <w:tblHeader/>
          <w:tblCellSpacing w:w="15" w:type="dxa"/>
        </w:trPr>
        <w:tc>
          <w:tcPr>
            <w:tcW w:w="0" w:type="auto"/>
            <w:vAlign w:val="center"/>
            <w:hideMark/>
          </w:tcPr>
          <w:p w14:paraId="4247F607" w14:textId="77777777" w:rsidR="00080B17" w:rsidRPr="00B479AE" w:rsidRDefault="00080B17" w:rsidP="00080B17">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lastRenderedPageBreak/>
              <w:t>Function</w:t>
            </w:r>
          </w:p>
        </w:tc>
        <w:tc>
          <w:tcPr>
            <w:tcW w:w="0" w:type="auto"/>
            <w:vAlign w:val="center"/>
            <w:hideMark/>
          </w:tcPr>
          <w:p w14:paraId="5DB65072" w14:textId="77777777" w:rsidR="00080B17" w:rsidRPr="00B479AE" w:rsidRDefault="00080B17" w:rsidP="00080B17">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Purpose</w:t>
            </w:r>
          </w:p>
        </w:tc>
        <w:tc>
          <w:tcPr>
            <w:tcW w:w="0" w:type="auto"/>
            <w:vAlign w:val="center"/>
            <w:hideMark/>
          </w:tcPr>
          <w:p w14:paraId="36390074" w14:textId="77777777" w:rsidR="00080B17" w:rsidRPr="00B479AE" w:rsidRDefault="00080B17" w:rsidP="00080B17">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Governance implication</w:t>
            </w:r>
          </w:p>
        </w:tc>
      </w:tr>
      <w:tr w:rsidR="00080B17" w:rsidRPr="00B479AE" w14:paraId="71262EAE" w14:textId="77777777" w:rsidTr="00080B17">
        <w:trPr>
          <w:tblCellSpacing w:w="15" w:type="dxa"/>
        </w:trPr>
        <w:tc>
          <w:tcPr>
            <w:tcW w:w="0" w:type="auto"/>
            <w:vAlign w:val="center"/>
            <w:hideMark/>
          </w:tcPr>
          <w:p w14:paraId="17ED922A"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Avoid unnecessary duplication</w:t>
            </w:r>
          </w:p>
        </w:tc>
        <w:tc>
          <w:tcPr>
            <w:tcW w:w="0" w:type="auto"/>
            <w:vAlign w:val="center"/>
            <w:hideMark/>
          </w:tcPr>
          <w:p w14:paraId="100D031E"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Prevents repeated generation of functionally identical prompts.</w:t>
            </w:r>
          </w:p>
        </w:tc>
        <w:tc>
          <w:tcPr>
            <w:tcW w:w="0" w:type="auto"/>
            <w:vAlign w:val="center"/>
            <w:hideMark/>
          </w:tcPr>
          <w:p w14:paraId="5E3D4FAB"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Improves efficiency and reduces semantic noise.</w:t>
            </w:r>
          </w:p>
        </w:tc>
      </w:tr>
      <w:tr w:rsidR="00080B17" w:rsidRPr="00B479AE" w14:paraId="0D0FC0EA" w14:textId="77777777" w:rsidTr="00080B17">
        <w:trPr>
          <w:tblCellSpacing w:w="15" w:type="dxa"/>
        </w:trPr>
        <w:tc>
          <w:tcPr>
            <w:tcW w:w="0" w:type="auto"/>
            <w:vAlign w:val="center"/>
            <w:hideMark/>
          </w:tcPr>
          <w:p w14:paraId="60D9C810"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Prevent contradictions</w:t>
            </w:r>
          </w:p>
        </w:tc>
        <w:tc>
          <w:tcPr>
            <w:tcW w:w="0" w:type="auto"/>
            <w:vAlign w:val="center"/>
            <w:hideMark/>
          </w:tcPr>
          <w:p w14:paraId="1DDCFB96"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Identifies prompts that produce conflicting assumptions, outputs, or instructions.</w:t>
            </w:r>
          </w:p>
        </w:tc>
        <w:tc>
          <w:tcPr>
            <w:tcW w:w="0" w:type="auto"/>
            <w:vAlign w:val="center"/>
            <w:hideMark/>
          </w:tcPr>
          <w:p w14:paraId="41AC60F0"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Protects coherence across agents and workflows.</w:t>
            </w:r>
          </w:p>
        </w:tc>
      </w:tr>
      <w:tr w:rsidR="00080B17" w:rsidRPr="00B479AE" w14:paraId="63F000A3" w14:textId="77777777" w:rsidTr="00080B17">
        <w:trPr>
          <w:tblCellSpacing w:w="15" w:type="dxa"/>
        </w:trPr>
        <w:tc>
          <w:tcPr>
            <w:tcW w:w="0" w:type="auto"/>
            <w:vAlign w:val="center"/>
            <w:hideMark/>
          </w:tcPr>
          <w:p w14:paraId="30688FCD"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Favor convergence rather than fragmentation</w:t>
            </w:r>
          </w:p>
        </w:tc>
        <w:tc>
          <w:tcPr>
            <w:tcW w:w="0" w:type="auto"/>
            <w:vAlign w:val="center"/>
            <w:hideMark/>
          </w:tcPr>
          <w:p w14:paraId="36616731"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Encourages alignment around canonical definitions and shared methodology.</w:t>
            </w:r>
          </w:p>
        </w:tc>
        <w:tc>
          <w:tcPr>
            <w:tcW w:w="0" w:type="auto"/>
            <w:vAlign w:val="center"/>
            <w:hideMark/>
          </w:tcPr>
          <w:p w14:paraId="51C093B9"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Preserves unity without forcing uniformity.</w:t>
            </w:r>
          </w:p>
        </w:tc>
      </w:tr>
      <w:tr w:rsidR="00080B17" w:rsidRPr="00B479AE" w14:paraId="73A44EF7" w14:textId="77777777" w:rsidTr="00080B17">
        <w:trPr>
          <w:tblCellSpacing w:w="15" w:type="dxa"/>
        </w:trPr>
        <w:tc>
          <w:tcPr>
            <w:tcW w:w="0" w:type="auto"/>
            <w:vAlign w:val="center"/>
            <w:hideMark/>
          </w:tcPr>
          <w:p w14:paraId="095564A7"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Enable evolution through clarification</w:t>
            </w:r>
          </w:p>
        </w:tc>
        <w:tc>
          <w:tcPr>
            <w:tcW w:w="0" w:type="auto"/>
            <w:vAlign w:val="center"/>
            <w:hideMark/>
          </w:tcPr>
          <w:p w14:paraId="2C0322AD"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Allows prompts to improve when evidence, governance, or methodology matures.</w:t>
            </w:r>
          </w:p>
        </w:tc>
        <w:tc>
          <w:tcPr>
            <w:tcW w:w="0" w:type="auto"/>
            <w:vAlign w:val="center"/>
            <w:hideMark/>
          </w:tcPr>
          <w:p w14:paraId="0F560FAE"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Supports learning without silent drift.</w:t>
            </w:r>
          </w:p>
        </w:tc>
      </w:tr>
      <w:tr w:rsidR="00080B17" w:rsidRPr="00B479AE" w14:paraId="61990376" w14:textId="77777777" w:rsidTr="00080B17">
        <w:trPr>
          <w:tblCellSpacing w:w="15" w:type="dxa"/>
        </w:trPr>
        <w:tc>
          <w:tcPr>
            <w:tcW w:w="0" w:type="auto"/>
            <w:vAlign w:val="center"/>
            <w:hideMark/>
          </w:tcPr>
          <w:p w14:paraId="017641E3"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Provide transparency</w:t>
            </w:r>
          </w:p>
        </w:tc>
        <w:tc>
          <w:tcPr>
            <w:tcW w:w="0" w:type="auto"/>
            <w:vAlign w:val="center"/>
            <w:hideMark/>
          </w:tcPr>
          <w:p w14:paraId="30CA4129"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Enables review of prompt logic, routing decisions, and recurring patterns.</w:t>
            </w:r>
          </w:p>
        </w:tc>
        <w:tc>
          <w:tcPr>
            <w:tcW w:w="0" w:type="auto"/>
            <w:vAlign w:val="center"/>
            <w:hideMark/>
          </w:tcPr>
          <w:p w14:paraId="5A32955D"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Supports public or internal learning, with anonymization where required.</w:t>
            </w:r>
          </w:p>
        </w:tc>
      </w:tr>
      <w:tr w:rsidR="00080B17" w:rsidRPr="00B479AE" w14:paraId="4F7F463F" w14:textId="77777777" w:rsidTr="00080B17">
        <w:trPr>
          <w:tblCellSpacing w:w="15" w:type="dxa"/>
        </w:trPr>
        <w:tc>
          <w:tcPr>
            <w:tcW w:w="0" w:type="auto"/>
            <w:vAlign w:val="center"/>
            <w:hideMark/>
          </w:tcPr>
          <w:p w14:paraId="4626B2F6"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Enable pattern analysis</w:t>
            </w:r>
          </w:p>
        </w:tc>
        <w:tc>
          <w:tcPr>
            <w:tcW w:w="0" w:type="auto"/>
            <w:vAlign w:val="center"/>
            <w:hideMark/>
          </w:tcPr>
          <w:p w14:paraId="55AC7330"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Identifies biases, gaps, failure modes, recurring risks, and emerging needs.</w:t>
            </w:r>
          </w:p>
        </w:tc>
        <w:tc>
          <w:tcPr>
            <w:tcW w:w="0" w:type="auto"/>
            <w:vAlign w:val="center"/>
            <w:hideMark/>
          </w:tcPr>
          <w:p w14:paraId="53CBE0E3"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Supports protocol stewardship and methodology refinement.</w:t>
            </w:r>
          </w:p>
        </w:tc>
      </w:tr>
      <w:tr w:rsidR="00080B17" w:rsidRPr="00B479AE" w14:paraId="38A0BB7E" w14:textId="77777777" w:rsidTr="00080B17">
        <w:trPr>
          <w:tblCellSpacing w:w="15" w:type="dxa"/>
        </w:trPr>
        <w:tc>
          <w:tcPr>
            <w:tcW w:w="0" w:type="auto"/>
            <w:vAlign w:val="center"/>
            <w:hideMark/>
          </w:tcPr>
          <w:p w14:paraId="60B6BA4C"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Preserve constitutional traceability</w:t>
            </w:r>
          </w:p>
        </w:tc>
        <w:tc>
          <w:tcPr>
            <w:tcW w:w="0" w:type="auto"/>
            <w:vAlign w:val="center"/>
            <w:hideMark/>
          </w:tcPr>
          <w:p w14:paraId="5D15E686"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Links generated prompts to the constitutional source layer and applicable constraints.</w:t>
            </w:r>
          </w:p>
        </w:tc>
        <w:tc>
          <w:tcPr>
            <w:tcW w:w="0" w:type="auto"/>
            <w:vAlign w:val="center"/>
            <w:hideMark/>
          </w:tcPr>
          <w:p w14:paraId="2C39989E"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Makes alignment reviewable after the fact.</w:t>
            </w:r>
          </w:p>
        </w:tc>
      </w:tr>
      <w:tr w:rsidR="00080B17" w:rsidRPr="00B479AE" w14:paraId="7B37EA0C" w14:textId="77777777" w:rsidTr="00080B17">
        <w:trPr>
          <w:tblCellSpacing w:w="15" w:type="dxa"/>
        </w:trPr>
        <w:tc>
          <w:tcPr>
            <w:tcW w:w="0" w:type="auto"/>
            <w:vAlign w:val="center"/>
            <w:hideMark/>
          </w:tcPr>
          <w:p w14:paraId="09459F4D"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Support auditability</w:t>
            </w:r>
          </w:p>
        </w:tc>
        <w:tc>
          <w:tcPr>
            <w:tcW w:w="0" w:type="auto"/>
            <w:vAlign w:val="center"/>
            <w:hideMark/>
          </w:tcPr>
          <w:p w14:paraId="4EFD0E3C"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Records prompt lineage, version, assumptions, review status, and execution boundary.</w:t>
            </w:r>
          </w:p>
        </w:tc>
        <w:tc>
          <w:tcPr>
            <w:tcW w:w="0" w:type="auto"/>
            <w:vAlign w:val="center"/>
            <w:hideMark/>
          </w:tcPr>
          <w:p w14:paraId="5D17F5A7"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Makes the cognitive layer institutionally readable.</w:t>
            </w:r>
          </w:p>
        </w:tc>
      </w:tr>
      <w:tr w:rsidR="00080B17" w:rsidRPr="00B479AE" w14:paraId="498E9FE5" w14:textId="77777777" w:rsidTr="00080B17">
        <w:trPr>
          <w:tblCellSpacing w:w="15" w:type="dxa"/>
        </w:trPr>
        <w:tc>
          <w:tcPr>
            <w:tcW w:w="0" w:type="auto"/>
            <w:vAlign w:val="center"/>
            <w:hideMark/>
          </w:tcPr>
          <w:p w14:paraId="2B1ABB28"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Protect against semantic drift</w:t>
            </w:r>
          </w:p>
        </w:tc>
        <w:tc>
          <w:tcPr>
            <w:tcW w:w="0" w:type="auto"/>
            <w:vAlign w:val="center"/>
            <w:hideMark/>
          </w:tcPr>
          <w:p w14:paraId="3B8ABD7B"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Detects when language changes the meaning of PRU, RAP, TRBK, HSI, SyntroGIFT, MRV, or tokenization.</w:t>
            </w:r>
          </w:p>
        </w:tc>
        <w:tc>
          <w:tcPr>
            <w:tcW w:w="0" w:type="auto"/>
            <w:vAlign w:val="center"/>
            <w:hideMark/>
          </w:tcPr>
          <w:p w14:paraId="5493EA41"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Prevents future systems from diluting the constitution.</w:t>
            </w:r>
          </w:p>
        </w:tc>
      </w:tr>
      <w:tr w:rsidR="00080B17" w:rsidRPr="00B479AE" w14:paraId="10087C02" w14:textId="77777777" w:rsidTr="00080B17">
        <w:trPr>
          <w:tblCellSpacing w:w="15" w:type="dxa"/>
        </w:trPr>
        <w:tc>
          <w:tcPr>
            <w:tcW w:w="0" w:type="auto"/>
            <w:vAlign w:val="center"/>
            <w:hideMark/>
          </w:tcPr>
          <w:p w14:paraId="7F98FDB0"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Support release discipline</w:t>
            </w:r>
          </w:p>
        </w:tc>
        <w:tc>
          <w:tcPr>
            <w:tcW w:w="0" w:type="auto"/>
            <w:vAlign w:val="center"/>
            <w:hideMark/>
          </w:tcPr>
          <w:p w14:paraId="2B493F8D"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Connects prompt evolution to methodology versions and canonical releases.</w:t>
            </w:r>
          </w:p>
        </w:tc>
        <w:tc>
          <w:tcPr>
            <w:tcW w:w="0" w:type="auto"/>
            <w:vAlign w:val="center"/>
            <w:hideMark/>
          </w:tcPr>
          <w:p w14:paraId="3417CC61"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Prevents uncontrolled changes in operational meaning.</w:t>
            </w:r>
          </w:p>
        </w:tc>
      </w:tr>
    </w:tbl>
    <w:p w14:paraId="308A193E"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The register should distinguish among:</w:t>
      </w:r>
    </w:p>
    <w:p w14:paraId="3CF7220F"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 generated prompt;</w:t>
      </w:r>
      <w:r w:rsidRPr="00B479AE">
        <w:rPr>
          <w:rFonts w:ascii="Baskerville Old Face" w:hAnsi="Baskerville Old Face"/>
          <w:i/>
          <w:iCs/>
        </w:rPr>
        <w:br/>
        <w:t>• meta-prompt;</w:t>
      </w:r>
      <w:r w:rsidRPr="00B479AE">
        <w:rPr>
          <w:rFonts w:ascii="Baskerville Old Face" w:hAnsi="Baskerville Old Face"/>
          <w:i/>
          <w:iCs/>
        </w:rPr>
        <w:br/>
        <w:t>• agent task;</w:t>
      </w:r>
      <w:r w:rsidRPr="00B479AE">
        <w:rPr>
          <w:rFonts w:ascii="Baskerville Old Face" w:hAnsi="Baskerville Old Face"/>
          <w:i/>
          <w:iCs/>
        </w:rPr>
        <w:br/>
        <w:t>• governance proposal;</w:t>
      </w:r>
      <w:r w:rsidRPr="00B479AE">
        <w:rPr>
          <w:rFonts w:ascii="Baskerville Old Face" w:hAnsi="Baskerville Old Face"/>
          <w:i/>
          <w:iCs/>
        </w:rPr>
        <w:br/>
        <w:t>• investor-facing draft;</w:t>
      </w:r>
      <w:r w:rsidRPr="00B479AE">
        <w:rPr>
          <w:rFonts w:ascii="Baskerville Old Face" w:hAnsi="Baskerville Old Face"/>
          <w:i/>
          <w:iCs/>
        </w:rPr>
        <w:br/>
      </w:r>
      <w:r w:rsidRPr="00B479AE">
        <w:rPr>
          <w:rFonts w:ascii="Baskerville Old Face" w:hAnsi="Baskerville Old Face"/>
          <w:i/>
          <w:iCs/>
        </w:rPr>
        <w:lastRenderedPageBreak/>
        <w:t>• operational recommendation;</w:t>
      </w:r>
      <w:r w:rsidRPr="00B479AE">
        <w:rPr>
          <w:rFonts w:ascii="Baskerville Old Face" w:hAnsi="Baskerville Old Face"/>
          <w:i/>
          <w:iCs/>
        </w:rPr>
        <w:br/>
        <w:t>• legal or compliance review note;</w:t>
      </w:r>
      <w:r w:rsidRPr="00B479AE">
        <w:rPr>
          <w:rFonts w:ascii="Baskerville Old Face" w:hAnsi="Baskerville Old Face"/>
          <w:i/>
          <w:iCs/>
        </w:rPr>
        <w:br/>
        <w:t>• research hypothesis;</w:t>
      </w:r>
      <w:r w:rsidRPr="00B479AE">
        <w:rPr>
          <w:rFonts w:ascii="Baskerville Old Face" w:hAnsi="Baskerville Old Face"/>
          <w:i/>
          <w:iCs/>
        </w:rPr>
        <w:br/>
        <w:t>• appendix candidate;</w:t>
      </w:r>
      <w:r w:rsidRPr="00B479AE">
        <w:rPr>
          <w:rFonts w:ascii="Baskerville Old Face" w:hAnsi="Baskerville Old Face"/>
          <w:i/>
          <w:iCs/>
        </w:rPr>
        <w:br/>
        <w:t>• rejected or quarantined pathway.</w:t>
      </w:r>
    </w:p>
    <w:p w14:paraId="6FE27EAD"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This prevents the cognitive layer from collapsing different output types into one undifferentiated archive.</w:t>
      </w:r>
    </w:p>
    <w:p w14:paraId="5F229BE5"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b/>
          <w:bCs/>
          <w:i/>
          <w:iCs/>
        </w:rPr>
        <w:t>2. Versioning and canonical continuity</w:t>
      </w:r>
    </w:p>
    <w:p w14:paraId="4DC39381"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Every material meta-prompt should be versioned.</w:t>
      </w:r>
    </w:p>
    <w:p w14:paraId="62FEAA9B"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A versioned meta-prompt should identify:</w:t>
      </w:r>
    </w:p>
    <w:p w14:paraId="5EE3E7FB"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 prompt title;</w:t>
      </w:r>
      <w:r w:rsidRPr="00B479AE">
        <w:rPr>
          <w:rFonts w:ascii="Baskerville Old Face" w:hAnsi="Baskerville Old Face"/>
          <w:i/>
          <w:iCs/>
        </w:rPr>
        <w:br/>
        <w:t>• purpose;</w:t>
      </w:r>
      <w:r w:rsidRPr="00B479AE">
        <w:rPr>
          <w:rFonts w:ascii="Baskerville Old Face" w:hAnsi="Baskerville Old Face"/>
          <w:i/>
          <w:iCs/>
        </w:rPr>
        <w:br/>
        <w:t>• domain;</w:t>
      </w:r>
      <w:r w:rsidRPr="00B479AE">
        <w:rPr>
          <w:rFonts w:ascii="Baskerville Old Face" w:hAnsi="Baskerville Old Face"/>
          <w:i/>
          <w:iCs/>
        </w:rPr>
        <w:br/>
        <w:t>• system level;</w:t>
      </w:r>
      <w:r w:rsidRPr="00B479AE">
        <w:rPr>
          <w:rFonts w:ascii="Baskerville Old Face" w:hAnsi="Baskerville Old Face"/>
          <w:i/>
          <w:iCs/>
        </w:rPr>
        <w:br/>
        <w:t>• originating request or trigger;</w:t>
      </w:r>
      <w:r w:rsidRPr="00B479AE">
        <w:rPr>
          <w:rFonts w:ascii="Baskerville Old Face" w:hAnsi="Baskerville Old Face"/>
          <w:i/>
          <w:iCs/>
        </w:rPr>
        <w:br/>
        <w:t>• applicable constitutional constraints;</w:t>
      </w:r>
      <w:r w:rsidRPr="00B479AE">
        <w:rPr>
          <w:rFonts w:ascii="Baskerville Old Face" w:hAnsi="Baskerville Old Face"/>
          <w:i/>
          <w:iCs/>
        </w:rPr>
        <w:br/>
        <w:t>• methodology version;</w:t>
      </w:r>
      <w:r w:rsidRPr="00B479AE">
        <w:rPr>
          <w:rFonts w:ascii="Baskerville Old Face" w:hAnsi="Baskerville Old Face"/>
          <w:i/>
          <w:iCs/>
        </w:rPr>
        <w:br/>
        <w:t>• evidence status;</w:t>
      </w:r>
      <w:r w:rsidRPr="00B479AE">
        <w:rPr>
          <w:rFonts w:ascii="Baskerville Old Face" w:hAnsi="Baskerville Old Face"/>
          <w:i/>
          <w:iCs/>
        </w:rPr>
        <w:br/>
        <w:t>• assumptions;</w:t>
      </w:r>
      <w:r w:rsidRPr="00B479AE">
        <w:rPr>
          <w:rFonts w:ascii="Baskerville Old Face" w:hAnsi="Baskerville Old Face"/>
          <w:i/>
          <w:iCs/>
        </w:rPr>
        <w:br/>
        <w:t>• risk category;</w:t>
      </w:r>
      <w:r w:rsidRPr="00B479AE">
        <w:rPr>
          <w:rFonts w:ascii="Baskerville Old Face" w:hAnsi="Baskerville Old Face"/>
          <w:i/>
          <w:iCs/>
        </w:rPr>
        <w:br/>
        <w:t>• review pathway;</w:t>
      </w:r>
      <w:r w:rsidRPr="00B479AE">
        <w:rPr>
          <w:rFonts w:ascii="Baskerville Old Face" w:hAnsi="Baskerville Old Face"/>
          <w:i/>
          <w:iCs/>
        </w:rPr>
        <w:br/>
        <w:t>• output type;</w:t>
      </w:r>
      <w:r w:rsidRPr="00B479AE">
        <w:rPr>
          <w:rFonts w:ascii="Baskerville Old Face" w:hAnsi="Baskerville Old Face"/>
          <w:i/>
          <w:iCs/>
        </w:rPr>
        <w:br/>
        <w:t>• execution boundary;</w:t>
      </w:r>
      <w:r w:rsidRPr="00B479AE">
        <w:rPr>
          <w:rFonts w:ascii="Baskerville Old Face" w:hAnsi="Baskerville Old Face"/>
          <w:i/>
          <w:iCs/>
        </w:rPr>
        <w:br/>
        <w:t>• superseded versions, where applicable;</w:t>
      </w:r>
      <w:r w:rsidRPr="00B479AE">
        <w:rPr>
          <w:rFonts w:ascii="Baskerville Old Face" w:hAnsi="Baskerville Old Face"/>
          <w:i/>
          <w:iCs/>
        </w:rPr>
        <w:br/>
        <w:t>• current status.</w:t>
      </w:r>
    </w:p>
    <w:p w14:paraId="684762B2"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Possible status categories include:</w:t>
      </w:r>
    </w:p>
    <w:p w14:paraId="4146F109" w14:textId="77777777" w:rsidR="0036529B" w:rsidRPr="00B479AE" w:rsidRDefault="0036529B" w:rsidP="00080B17">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0"/>
        <w:gridCol w:w="6330"/>
      </w:tblGrid>
      <w:tr w:rsidR="00080B17" w:rsidRPr="00B479AE" w14:paraId="54C7A78B" w14:textId="77777777" w:rsidTr="00650EBA">
        <w:trPr>
          <w:tblHeader/>
          <w:tblCellSpacing w:w="15" w:type="dxa"/>
        </w:trPr>
        <w:tc>
          <w:tcPr>
            <w:tcW w:w="0" w:type="auto"/>
            <w:vAlign w:val="center"/>
            <w:hideMark/>
          </w:tcPr>
          <w:p w14:paraId="15A230B1" w14:textId="77777777" w:rsidR="00080B17" w:rsidRPr="00B479AE" w:rsidRDefault="00080B17" w:rsidP="00080B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Status</w:t>
            </w:r>
          </w:p>
        </w:tc>
        <w:tc>
          <w:tcPr>
            <w:tcW w:w="0" w:type="auto"/>
            <w:vAlign w:val="center"/>
            <w:hideMark/>
          </w:tcPr>
          <w:p w14:paraId="0A32AA9B" w14:textId="77777777" w:rsidR="00080B17" w:rsidRPr="00B479AE" w:rsidRDefault="00080B17" w:rsidP="00080B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r>
      <w:tr w:rsidR="00080B17" w:rsidRPr="00B479AE" w14:paraId="63493C38" w14:textId="77777777" w:rsidTr="00650EBA">
        <w:trPr>
          <w:tblCellSpacing w:w="15" w:type="dxa"/>
        </w:trPr>
        <w:tc>
          <w:tcPr>
            <w:tcW w:w="0" w:type="auto"/>
            <w:vAlign w:val="center"/>
            <w:hideMark/>
          </w:tcPr>
          <w:p w14:paraId="0A7351EC"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Draft</w:t>
            </w:r>
          </w:p>
        </w:tc>
        <w:tc>
          <w:tcPr>
            <w:tcW w:w="0" w:type="auto"/>
            <w:vAlign w:val="center"/>
            <w:hideMark/>
          </w:tcPr>
          <w:p w14:paraId="051A76B9"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Exploratory prompt not yet approved for operational use.</w:t>
            </w:r>
          </w:p>
        </w:tc>
      </w:tr>
      <w:tr w:rsidR="00080B17" w:rsidRPr="00B479AE" w14:paraId="4EA8F1E2" w14:textId="77777777" w:rsidTr="00650EBA">
        <w:trPr>
          <w:tblCellSpacing w:w="15" w:type="dxa"/>
        </w:trPr>
        <w:tc>
          <w:tcPr>
            <w:tcW w:w="0" w:type="auto"/>
            <w:vAlign w:val="center"/>
            <w:hideMark/>
          </w:tcPr>
          <w:p w14:paraId="0B982636"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Active</w:t>
            </w:r>
          </w:p>
        </w:tc>
        <w:tc>
          <w:tcPr>
            <w:tcW w:w="0" w:type="auto"/>
            <w:vAlign w:val="center"/>
            <w:hideMark/>
          </w:tcPr>
          <w:p w14:paraId="66FE8E60"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Current prompt approved for defined use within a specified scope.</w:t>
            </w:r>
          </w:p>
        </w:tc>
      </w:tr>
      <w:tr w:rsidR="00080B17" w:rsidRPr="00B479AE" w14:paraId="60EFA586" w14:textId="77777777" w:rsidTr="00650EBA">
        <w:trPr>
          <w:tblCellSpacing w:w="15" w:type="dxa"/>
        </w:trPr>
        <w:tc>
          <w:tcPr>
            <w:tcW w:w="0" w:type="auto"/>
            <w:vAlign w:val="center"/>
            <w:hideMark/>
          </w:tcPr>
          <w:p w14:paraId="4254525A"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Restricted</w:t>
            </w:r>
          </w:p>
        </w:tc>
        <w:tc>
          <w:tcPr>
            <w:tcW w:w="0" w:type="auto"/>
            <w:vAlign w:val="center"/>
            <w:hideMark/>
          </w:tcPr>
          <w:p w14:paraId="37E82C13"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Usable only under defined conditions or review pathways.</w:t>
            </w:r>
          </w:p>
        </w:tc>
      </w:tr>
      <w:tr w:rsidR="00080B17" w:rsidRPr="00B479AE" w14:paraId="544F8C5F" w14:textId="77777777" w:rsidTr="00650EBA">
        <w:trPr>
          <w:tblCellSpacing w:w="15" w:type="dxa"/>
        </w:trPr>
        <w:tc>
          <w:tcPr>
            <w:tcW w:w="0" w:type="auto"/>
            <w:vAlign w:val="center"/>
            <w:hideMark/>
          </w:tcPr>
          <w:p w14:paraId="64ADF09A"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Research-only</w:t>
            </w:r>
          </w:p>
        </w:tc>
        <w:tc>
          <w:tcPr>
            <w:tcW w:w="0" w:type="auto"/>
            <w:vAlign w:val="center"/>
            <w:hideMark/>
          </w:tcPr>
          <w:p w14:paraId="7FF42580"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Suitable for inquiry, not operational or financial execution.</w:t>
            </w:r>
          </w:p>
        </w:tc>
      </w:tr>
      <w:tr w:rsidR="00080B17" w:rsidRPr="00B479AE" w14:paraId="5D398FB1" w14:textId="77777777" w:rsidTr="00650EBA">
        <w:trPr>
          <w:tblCellSpacing w:w="15" w:type="dxa"/>
        </w:trPr>
        <w:tc>
          <w:tcPr>
            <w:tcW w:w="0" w:type="auto"/>
            <w:vAlign w:val="center"/>
            <w:hideMark/>
          </w:tcPr>
          <w:p w14:paraId="0AC8EF82"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Investor-model only</w:t>
            </w:r>
          </w:p>
        </w:tc>
        <w:tc>
          <w:tcPr>
            <w:tcW w:w="0" w:type="auto"/>
            <w:vAlign w:val="center"/>
            <w:hideMark/>
          </w:tcPr>
          <w:p w14:paraId="5998FD48"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Suitable for separated financial scenarios, not main constitutional text.</w:t>
            </w:r>
          </w:p>
        </w:tc>
      </w:tr>
      <w:tr w:rsidR="00080B17" w:rsidRPr="00B479AE" w14:paraId="3F5C7BE1" w14:textId="77777777" w:rsidTr="00650EBA">
        <w:trPr>
          <w:tblCellSpacing w:w="15" w:type="dxa"/>
        </w:trPr>
        <w:tc>
          <w:tcPr>
            <w:tcW w:w="0" w:type="auto"/>
            <w:vAlign w:val="center"/>
            <w:hideMark/>
          </w:tcPr>
          <w:p w14:paraId="044A5FA8"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Appendix candidate</w:t>
            </w:r>
          </w:p>
        </w:tc>
        <w:tc>
          <w:tcPr>
            <w:tcW w:w="0" w:type="auto"/>
            <w:vAlign w:val="center"/>
            <w:hideMark/>
          </w:tcPr>
          <w:p w14:paraId="34446827"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Valuable but not appropriate for the core White Paper body.</w:t>
            </w:r>
          </w:p>
        </w:tc>
      </w:tr>
      <w:tr w:rsidR="00080B17" w:rsidRPr="00B479AE" w14:paraId="4C6702B5" w14:textId="77777777" w:rsidTr="00650EBA">
        <w:trPr>
          <w:tblCellSpacing w:w="15" w:type="dxa"/>
        </w:trPr>
        <w:tc>
          <w:tcPr>
            <w:tcW w:w="0" w:type="auto"/>
            <w:vAlign w:val="center"/>
            <w:hideMark/>
          </w:tcPr>
          <w:p w14:paraId="5A094D2A"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Superseded</w:t>
            </w:r>
          </w:p>
        </w:tc>
        <w:tc>
          <w:tcPr>
            <w:tcW w:w="0" w:type="auto"/>
            <w:vAlign w:val="center"/>
            <w:hideMark/>
          </w:tcPr>
          <w:p w14:paraId="31E229B6"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Replaced by a later version.</w:t>
            </w:r>
          </w:p>
        </w:tc>
      </w:tr>
      <w:tr w:rsidR="00080B17" w:rsidRPr="00B479AE" w14:paraId="7F0D564C" w14:textId="77777777" w:rsidTr="00650EBA">
        <w:trPr>
          <w:tblCellSpacing w:w="15" w:type="dxa"/>
        </w:trPr>
        <w:tc>
          <w:tcPr>
            <w:tcW w:w="0" w:type="auto"/>
            <w:vAlign w:val="center"/>
            <w:hideMark/>
          </w:tcPr>
          <w:p w14:paraId="26DFC08F"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Archived</w:t>
            </w:r>
          </w:p>
        </w:tc>
        <w:tc>
          <w:tcPr>
            <w:tcW w:w="0" w:type="auto"/>
            <w:vAlign w:val="center"/>
            <w:hideMark/>
          </w:tcPr>
          <w:p w14:paraId="70EAE984"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Retained for history but no longer active.</w:t>
            </w:r>
          </w:p>
        </w:tc>
      </w:tr>
      <w:tr w:rsidR="00080B17" w:rsidRPr="00B479AE" w14:paraId="1553C331" w14:textId="77777777" w:rsidTr="00650EBA">
        <w:trPr>
          <w:tblCellSpacing w:w="15" w:type="dxa"/>
        </w:trPr>
        <w:tc>
          <w:tcPr>
            <w:tcW w:w="0" w:type="auto"/>
            <w:vAlign w:val="center"/>
            <w:hideMark/>
          </w:tcPr>
          <w:p w14:paraId="3DB4B0CC"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Quarantined</w:t>
            </w:r>
          </w:p>
        </w:tc>
        <w:tc>
          <w:tcPr>
            <w:tcW w:w="0" w:type="auto"/>
            <w:vAlign w:val="center"/>
            <w:hideMark/>
          </w:tcPr>
          <w:p w14:paraId="57EF6071"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Held due to risk, conflict, ambiguity, or suspected constitutional breach.</w:t>
            </w:r>
          </w:p>
        </w:tc>
      </w:tr>
      <w:tr w:rsidR="00080B17" w:rsidRPr="00B479AE" w14:paraId="064F9F3A" w14:textId="77777777" w:rsidTr="00650EBA">
        <w:trPr>
          <w:tblCellSpacing w:w="15" w:type="dxa"/>
        </w:trPr>
        <w:tc>
          <w:tcPr>
            <w:tcW w:w="0" w:type="auto"/>
            <w:vAlign w:val="center"/>
            <w:hideMark/>
          </w:tcPr>
          <w:p w14:paraId="4973F71B"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Rejected</w:t>
            </w:r>
          </w:p>
        </w:tc>
        <w:tc>
          <w:tcPr>
            <w:tcW w:w="0" w:type="auto"/>
            <w:vAlign w:val="center"/>
            <w:hideMark/>
          </w:tcPr>
          <w:p w14:paraId="00DBAB84"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Found incompatible with the constitutional source layer.</w:t>
            </w:r>
          </w:p>
        </w:tc>
      </w:tr>
    </w:tbl>
    <w:p w14:paraId="379C375C" w14:textId="77777777" w:rsidR="00080B17" w:rsidRPr="005907F1" w:rsidRDefault="00080B17" w:rsidP="00080B17">
      <w:pPr>
        <w:spacing w:line="360" w:lineRule="auto"/>
        <w:rPr>
          <w:rFonts w:ascii="Baskerville Old Face" w:hAnsi="Baskerville Old Face"/>
          <w:i/>
          <w:iCs/>
          <w:lang w:val="it-IT"/>
        </w:rPr>
      </w:pPr>
      <w:r w:rsidRPr="00B479AE">
        <w:rPr>
          <w:rFonts w:ascii="Baskerville Old Face" w:hAnsi="Baskerville Old Face"/>
          <w:i/>
          <w:iCs/>
        </w:rPr>
        <w:t xml:space="preserve">This gives Prometheus memory without allowing old prompts to become zombie governance. </w:t>
      </w:r>
      <w:r w:rsidRPr="005907F1">
        <w:rPr>
          <w:rFonts w:ascii="Baskerville Old Face" w:hAnsi="Baskerville Old Face"/>
          <w:i/>
          <w:iCs/>
          <w:lang w:val="it-IT"/>
        </w:rPr>
        <w:t>Nessuno vuole un meta-prompt non morto che cammina nel data room.</w:t>
      </w:r>
    </w:p>
    <w:p w14:paraId="7F0487BD"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b/>
          <w:bCs/>
          <w:i/>
          <w:iCs/>
        </w:rPr>
        <w:t>3. Conflict resolution</w:t>
      </w:r>
    </w:p>
    <w:p w14:paraId="6BD84AE7"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If conflicting meta-prompts emerge, the kernel must not arbitrarily choose one branch.</w:t>
      </w:r>
    </w:p>
    <w:p w14:paraId="63BE79D3"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It must generate a resolution pathway.</w:t>
      </w:r>
    </w:p>
    <w:p w14:paraId="1D5481E0"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A resolution meta-prompt should:</w:t>
      </w:r>
    </w:p>
    <w:p w14:paraId="4E072945"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 identify the conflict explicitly;</w:t>
      </w:r>
      <w:r w:rsidRPr="00B479AE">
        <w:rPr>
          <w:rFonts w:ascii="Baskerville Old Face" w:hAnsi="Baskerville Old Face"/>
          <w:i/>
          <w:iCs/>
        </w:rPr>
        <w:br/>
        <w:t>• define which terms, assumptions, or constraints diverge;</w:t>
      </w:r>
      <w:r w:rsidRPr="00B479AE">
        <w:rPr>
          <w:rFonts w:ascii="Baskerville Old Face" w:hAnsi="Baskerville Old Face"/>
          <w:i/>
          <w:iCs/>
        </w:rPr>
        <w:br/>
        <w:t>• determine whether the conflict is semantic, evidentiary, governance-related, legal, financial, ecological, or technical;</w:t>
      </w:r>
      <w:r w:rsidRPr="00B479AE">
        <w:rPr>
          <w:rFonts w:ascii="Baskerville Old Face" w:hAnsi="Baskerville Old Face"/>
          <w:i/>
          <w:iCs/>
        </w:rPr>
        <w:br/>
        <w:t>• realign both branches with the constitutional source layer;</w:t>
      </w:r>
      <w:r w:rsidRPr="00B479AE">
        <w:rPr>
          <w:rFonts w:ascii="Baskerville Old Face" w:hAnsi="Baskerville Old Face"/>
          <w:i/>
          <w:iCs/>
        </w:rPr>
        <w:br/>
        <w:t>• identify the applicable evidence base;</w:t>
      </w:r>
      <w:r w:rsidRPr="00B479AE">
        <w:rPr>
          <w:rFonts w:ascii="Baskerville Old Face" w:hAnsi="Baskerville Old Face"/>
          <w:i/>
          <w:iCs/>
        </w:rPr>
        <w:br/>
      </w:r>
      <w:r w:rsidRPr="00B479AE">
        <w:rPr>
          <w:rFonts w:ascii="Baskerville Old Face" w:hAnsi="Baskerville Old Face"/>
          <w:i/>
          <w:iCs/>
        </w:rPr>
        <w:lastRenderedPageBreak/>
        <w:t>• define the review authority required;</w:t>
      </w:r>
      <w:r w:rsidRPr="00B479AE">
        <w:rPr>
          <w:rFonts w:ascii="Baskerville Old Face" w:hAnsi="Baskerville Old Face"/>
          <w:i/>
          <w:iCs/>
        </w:rPr>
        <w:br/>
        <w:t>• preserve reversibility where uncertainty is high;</w:t>
      </w:r>
      <w:r w:rsidRPr="00B479AE">
        <w:rPr>
          <w:rFonts w:ascii="Baskerville Old Face" w:hAnsi="Baskerville Old Face"/>
          <w:i/>
          <w:iCs/>
        </w:rPr>
        <w:br/>
        <w:t>• propose transparent criteria for resolution;</w:t>
      </w:r>
      <w:r w:rsidRPr="00B479AE">
        <w:rPr>
          <w:rFonts w:ascii="Baskerville Old Face" w:hAnsi="Baskerville Old Face"/>
          <w:i/>
          <w:iCs/>
        </w:rPr>
        <w:br/>
        <w:t>• record the final decision and reasoning pathway.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1"/>
        <w:gridCol w:w="4300"/>
        <w:gridCol w:w="3437"/>
      </w:tblGrid>
      <w:tr w:rsidR="00080B17" w:rsidRPr="00B479AE" w14:paraId="5B38F134" w14:textId="77777777" w:rsidTr="00650EBA">
        <w:trPr>
          <w:tblHeader/>
          <w:tblCellSpacing w:w="15" w:type="dxa"/>
        </w:trPr>
        <w:tc>
          <w:tcPr>
            <w:tcW w:w="0" w:type="auto"/>
            <w:vAlign w:val="center"/>
            <w:hideMark/>
          </w:tcPr>
          <w:p w14:paraId="03C70D11" w14:textId="77777777" w:rsidR="00080B17" w:rsidRPr="00B479AE" w:rsidRDefault="00080B17" w:rsidP="00080B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Conflict type</w:t>
            </w:r>
          </w:p>
        </w:tc>
        <w:tc>
          <w:tcPr>
            <w:tcW w:w="0" w:type="auto"/>
            <w:vAlign w:val="center"/>
            <w:hideMark/>
          </w:tcPr>
          <w:p w14:paraId="064D0638" w14:textId="77777777" w:rsidR="00080B17" w:rsidRPr="00B479AE" w:rsidRDefault="00080B17" w:rsidP="00080B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Example</w:t>
            </w:r>
          </w:p>
        </w:tc>
        <w:tc>
          <w:tcPr>
            <w:tcW w:w="0" w:type="auto"/>
            <w:vAlign w:val="center"/>
            <w:hideMark/>
          </w:tcPr>
          <w:p w14:paraId="53F438EE" w14:textId="77777777" w:rsidR="00080B17" w:rsidRPr="00B479AE" w:rsidRDefault="00080B17" w:rsidP="00080B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Resolution pathway</w:t>
            </w:r>
          </w:p>
        </w:tc>
      </w:tr>
      <w:tr w:rsidR="00080B17" w:rsidRPr="00B479AE" w14:paraId="1BCDDC97" w14:textId="77777777" w:rsidTr="00650EBA">
        <w:trPr>
          <w:tblCellSpacing w:w="15" w:type="dxa"/>
        </w:trPr>
        <w:tc>
          <w:tcPr>
            <w:tcW w:w="0" w:type="auto"/>
            <w:vAlign w:val="center"/>
            <w:hideMark/>
          </w:tcPr>
          <w:p w14:paraId="328A4390"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Semantic conflict</w:t>
            </w:r>
          </w:p>
        </w:tc>
        <w:tc>
          <w:tcPr>
            <w:tcW w:w="0" w:type="auto"/>
            <w:vAlign w:val="center"/>
            <w:hideMark/>
          </w:tcPr>
          <w:p w14:paraId="7D4EC5D3"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PRU used as token, security, ecological score, and asset value interchangeably.</w:t>
            </w:r>
          </w:p>
        </w:tc>
        <w:tc>
          <w:tcPr>
            <w:tcW w:w="0" w:type="auto"/>
            <w:vAlign w:val="center"/>
            <w:hideMark/>
          </w:tcPr>
          <w:p w14:paraId="520819AD"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Restore canonical definitions and layer separation.</w:t>
            </w:r>
          </w:p>
        </w:tc>
      </w:tr>
      <w:tr w:rsidR="00080B17" w:rsidRPr="00B479AE" w14:paraId="445291D0" w14:textId="77777777" w:rsidTr="00650EBA">
        <w:trPr>
          <w:tblCellSpacing w:w="15" w:type="dxa"/>
        </w:trPr>
        <w:tc>
          <w:tcPr>
            <w:tcW w:w="0" w:type="auto"/>
            <w:vAlign w:val="center"/>
            <w:hideMark/>
          </w:tcPr>
          <w:p w14:paraId="43943F0F"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Evidence conflict</w:t>
            </w:r>
          </w:p>
        </w:tc>
        <w:tc>
          <w:tcPr>
            <w:tcW w:w="0" w:type="auto"/>
            <w:vAlign w:val="center"/>
            <w:hideMark/>
          </w:tcPr>
          <w:p w14:paraId="2943F0C0"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One prompt assumes verified evidence while another treats the same data as preliminary.</w:t>
            </w:r>
          </w:p>
        </w:tc>
        <w:tc>
          <w:tcPr>
            <w:tcW w:w="0" w:type="auto"/>
            <w:vAlign w:val="center"/>
            <w:hideMark/>
          </w:tcPr>
          <w:p w14:paraId="2E77C879"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Apply evidence hierarchy and confidence scoring.</w:t>
            </w:r>
          </w:p>
        </w:tc>
      </w:tr>
      <w:tr w:rsidR="00080B17" w:rsidRPr="00B479AE" w14:paraId="706933AF" w14:textId="77777777" w:rsidTr="00650EBA">
        <w:trPr>
          <w:tblCellSpacing w:w="15" w:type="dxa"/>
        </w:trPr>
        <w:tc>
          <w:tcPr>
            <w:tcW w:w="0" w:type="auto"/>
            <w:vAlign w:val="center"/>
            <w:hideMark/>
          </w:tcPr>
          <w:p w14:paraId="2EB0B9D2"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Governance conflict</w:t>
            </w:r>
          </w:p>
        </w:tc>
        <w:tc>
          <w:tcPr>
            <w:tcW w:w="0" w:type="auto"/>
            <w:vAlign w:val="center"/>
            <w:hideMark/>
          </w:tcPr>
          <w:p w14:paraId="4CD57E49"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AI-generated suggestion treated as formal governance decision.</w:t>
            </w:r>
          </w:p>
        </w:tc>
        <w:tc>
          <w:tcPr>
            <w:tcW w:w="0" w:type="auto"/>
            <w:vAlign w:val="center"/>
            <w:hideMark/>
          </w:tcPr>
          <w:p w14:paraId="355A9DEC"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Route to governance process and mark output non-executable.</w:t>
            </w:r>
          </w:p>
        </w:tc>
      </w:tr>
      <w:tr w:rsidR="00080B17" w:rsidRPr="00B479AE" w14:paraId="4B994C06" w14:textId="77777777" w:rsidTr="00650EBA">
        <w:trPr>
          <w:tblCellSpacing w:w="15" w:type="dxa"/>
        </w:trPr>
        <w:tc>
          <w:tcPr>
            <w:tcW w:w="0" w:type="auto"/>
            <w:vAlign w:val="center"/>
            <w:hideMark/>
          </w:tcPr>
          <w:p w14:paraId="0EF0AF52"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Financial conflict</w:t>
            </w:r>
          </w:p>
        </w:tc>
        <w:tc>
          <w:tcPr>
            <w:tcW w:w="0" w:type="auto"/>
            <w:vAlign w:val="center"/>
            <w:hideMark/>
          </w:tcPr>
          <w:p w14:paraId="4282A23F"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Scenario model treated as investor-facing forecast.</w:t>
            </w:r>
          </w:p>
        </w:tc>
        <w:tc>
          <w:tcPr>
            <w:tcW w:w="0" w:type="auto"/>
            <w:vAlign w:val="center"/>
            <w:hideMark/>
          </w:tcPr>
          <w:p w14:paraId="28973357"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Reclassify as assumption-based scenario and require review.</w:t>
            </w:r>
          </w:p>
        </w:tc>
      </w:tr>
      <w:tr w:rsidR="00080B17" w:rsidRPr="00B479AE" w14:paraId="469283F5" w14:textId="77777777" w:rsidTr="00650EBA">
        <w:trPr>
          <w:tblCellSpacing w:w="15" w:type="dxa"/>
        </w:trPr>
        <w:tc>
          <w:tcPr>
            <w:tcW w:w="0" w:type="auto"/>
            <w:vAlign w:val="center"/>
            <w:hideMark/>
          </w:tcPr>
          <w:p w14:paraId="53065D97"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Tokenization conflict</w:t>
            </w:r>
          </w:p>
        </w:tc>
        <w:tc>
          <w:tcPr>
            <w:tcW w:w="0" w:type="auto"/>
            <w:vAlign w:val="center"/>
            <w:hideMark/>
          </w:tcPr>
          <w:p w14:paraId="36415AC6"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Token concept treated as entitlement or liquidity promise.</w:t>
            </w:r>
          </w:p>
        </w:tc>
        <w:tc>
          <w:tcPr>
            <w:tcW w:w="0" w:type="auto"/>
            <w:vAlign w:val="center"/>
            <w:hideMark/>
          </w:tcPr>
          <w:p w14:paraId="04442D82"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Require legal wrapper, rights definition, and compliance review.</w:t>
            </w:r>
          </w:p>
        </w:tc>
      </w:tr>
      <w:tr w:rsidR="00080B17" w:rsidRPr="00B479AE" w14:paraId="17A75413" w14:textId="77777777" w:rsidTr="00650EBA">
        <w:trPr>
          <w:tblCellSpacing w:w="15" w:type="dxa"/>
        </w:trPr>
        <w:tc>
          <w:tcPr>
            <w:tcW w:w="0" w:type="auto"/>
            <w:vAlign w:val="center"/>
            <w:hideMark/>
          </w:tcPr>
          <w:p w14:paraId="7DDD1C86"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Ecological conflict</w:t>
            </w:r>
          </w:p>
        </w:tc>
        <w:tc>
          <w:tcPr>
            <w:tcW w:w="0" w:type="auto"/>
            <w:vAlign w:val="center"/>
            <w:hideMark/>
          </w:tcPr>
          <w:p w14:paraId="269C4EAC"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Short-term productivity conflicts with water, soil, biodiversity, or succession logic.</w:t>
            </w:r>
          </w:p>
        </w:tc>
        <w:tc>
          <w:tcPr>
            <w:tcW w:w="0" w:type="auto"/>
            <w:vAlign w:val="center"/>
            <w:hideMark/>
          </w:tcPr>
          <w:p w14:paraId="5582D80D"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Apply ecological constraints, Yeomans’ scale, and adaptive review.</w:t>
            </w:r>
          </w:p>
        </w:tc>
      </w:tr>
      <w:tr w:rsidR="00080B17" w:rsidRPr="00B479AE" w14:paraId="72875DA4" w14:textId="77777777" w:rsidTr="00650EBA">
        <w:trPr>
          <w:tblCellSpacing w:w="15" w:type="dxa"/>
        </w:trPr>
        <w:tc>
          <w:tcPr>
            <w:tcW w:w="0" w:type="auto"/>
            <w:vAlign w:val="center"/>
            <w:hideMark/>
          </w:tcPr>
          <w:p w14:paraId="09511F38"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Human-infrastructure conflict</w:t>
            </w:r>
          </w:p>
        </w:tc>
        <w:tc>
          <w:tcPr>
            <w:tcW w:w="0" w:type="auto"/>
            <w:vAlign w:val="center"/>
            <w:hideMark/>
          </w:tcPr>
          <w:p w14:paraId="0827514F"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HSI or SyntroGIFT used beyond voluntary, research, or wellbeing scope.</w:t>
            </w:r>
          </w:p>
        </w:tc>
        <w:tc>
          <w:tcPr>
            <w:tcW w:w="0" w:type="auto"/>
            <w:vAlign w:val="center"/>
            <w:hideMark/>
          </w:tcPr>
          <w:p w14:paraId="6766EC62"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Restore privacy, consent, no-ranking, and no-medical-claim boundaries.</w:t>
            </w:r>
          </w:p>
        </w:tc>
      </w:tr>
      <w:tr w:rsidR="00080B17" w:rsidRPr="00B479AE" w14:paraId="578A9D07" w14:textId="77777777" w:rsidTr="00650EBA">
        <w:trPr>
          <w:tblCellSpacing w:w="15" w:type="dxa"/>
        </w:trPr>
        <w:tc>
          <w:tcPr>
            <w:tcW w:w="0" w:type="auto"/>
            <w:vAlign w:val="center"/>
            <w:hideMark/>
          </w:tcPr>
          <w:p w14:paraId="4E2047F3"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Kernel conflict</w:t>
            </w:r>
          </w:p>
        </w:tc>
        <w:tc>
          <w:tcPr>
            <w:tcW w:w="0" w:type="auto"/>
            <w:vAlign w:val="center"/>
            <w:hideMark/>
          </w:tcPr>
          <w:p w14:paraId="47751A5B"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A prompt attempts to bypass constitutional constraints for speed or convenience.</w:t>
            </w:r>
          </w:p>
        </w:tc>
        <w:tc>
          <w:tcPr>
            <w:tcW w:w="0" w:type="auto"/>
            <w:vAlign w:val="center"/>
            <w:hideMark/>
          </w:tcPr>
          <w:p w14:paraId="7280F02B"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Mark as non-admissible, route to review, or quarantine.</w:t>
            </w:r>
          </w:p>
        </w:tc>
      </w:tr>
    </w:tbl>
    <w:p w14:paraId="34FBC969" w14:textId="0D4F7D1F"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Conflict resolution is not a weakness.</w:t>
      </w:r>
      <w:r w:rsidR="00650EBA" w:rsidRPr="00B479AE">
        <w:rPr>
          <w:rFonts w:ascii="Baskerville Old Face" w:hAnsi="Baskerville Old Face"/>
          <w:i/>
          <w:iCs/>
        </w:rPr>
        <w:t xml:space="preserve"> </w:t>
      </w:r>
      <w:r w:rsidRPr="00B479AE">
        <w:rPr>
          <w:rFonts w:ascii="Baskerville Old Face" w:hAnsi="Baskerville Old Face"/>
          <w:i/>
          <w:iCs/>
        </w:rPr>
        <w:t>It is how a complex system learns without fragmenting.</w:t>
      </w:r>
    </w:p>
    <w:p w14:paraId="3A6A99C9"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b/>
          <w:bCs/>
          <w:i/>
          <w:iCs/>
        </w:rPr>
        <w:t>4. Pattern analysis</w:t>
      </w:r>
    </w:p>
    <w:p w14:paraId="269A894A"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The kernel should periodically analyze its own register to identify:</w:t>
      </w:r>
    </w:p>
    <w:p w14:paraId="1191AA7C"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lastRenderedPageBreak/>
        <w:t>• systemic biases in prompt generation;</w:t>
      </w:r>
      <w:r w:rsidRPr="00B479AE">
        <w:rPr>
          <w:rFonts w:ascii="Baskerville Old Face" w:hAnsi="Baskerville Old Face"/>
          <w:i/>
          <w:iCs/>
        </w:rPr>
        <w:br/>
        <w:t>• repeated evidence gaps;</w:t>
      </w:r>
      <w:r w:rsidRPr="00B479AE">
        <w:rPr>
          <w:rFonts w:ascii="Baskerville Old Face" w:hAnsi="Baskerville Old Face"/>
          <w:i/>
          <w:iCs/>
        </w:rPr>
        <w:br/>
        <w:t>• recurring governance ambiguities;</w:t>
      </w:r>
      <w:r w:rsidRPr="00B479AE">
        <w:rPr>
          <w:rFonts w:ascii="Baskerville Old Face" w:hAnsi="Baskerville Old Face"/>
          <w:i/>
          <w:iCs/>
        </w:rPr>
        <w:br/>
        <w:t>• overuse of speculative financial assumptions;</w:t>
      </w:r>
      <w:r w:rsidRPr="00B479AE">
        <w:rPr>
          <w:rFonts w:ascii="Baskerville Old Face" w:hAnsi="Baskerville Old Face"/>
          <w:i/>
          <w:iCs/>
        </w:rPr>
        <w:br/>
        <w:t>• recurring tokenomic overreach;</w:t>
      </w:r>
      <w:r w:rsidRPr="00B479AE">
        <w:rPr>
          <w:rFonts w:ascii="Baskerville Old Face" w:hAnsi="Baskerville Old Face"/>
          <w:i/>
          <w:iCs/>
        </w:rPr>
        <w:br/>
        <w:t>• repeated medical or biometric overreach;</w:t>
      </w:r>
      <w:r w:rsidRPr="00B479AE">
        <w:rPr>
          <w:rFonts w:ascii="Baskerville Old Face" w:hAnsi="Baskerville Old Face"/>
          <w:i/>
          <w:iCs/>
        </w:rPr>
        <w:br/>
        <w:t>• semantic drift in core terms;</w:t>
      </w:r>
      <w:r w:rsidRPr="00B479AE">
        <w:rPr>
          <w:rFonts w:ascii="Baskerville Old Face" w:hAnsi="Baskerville Old Face"/>
          <w:i/>
          <w:iCs/>
        </w:rPr>
        <w:br/>
        <w:t>• excessive reliance on weak proxies;</w:t>
      </w:r>
      <w:r w:rsidRPr="00B479AE">
        <w:rPr>
          <w:rFonts w:ascii="Baskerville Old Face" w:hAnsi="Baskerville Old Face"/>
          <w:i/>
          <w:iCs/>
        </w:rPr>
        <w:br/>
        <w:t>• blind spots in ecological, social, cultural, or legal reasoning;</w:t>
      </w:r>
      <w:r w:rsidRPr="00B479AE">
        <w:rPr>
          <w:rFonts w:ascii="Baskerville Old Face" w:hAnsi="Baskerville Old Face"/>
          <w:i/>
          <w:iCs/>
        </w:rPr>
        <w:br/>
        <w:t>• opportunities for methodology refinement;</w:t>
      </w:r>
      <w:r w:rsidRPr="00B479AE">
        <w:rPr>
          <w:rFonts w:ascii="Baskerville Old Face" w:hAnsi="Baskerville Old Face"/>
          <w:i/>
          <w:iCs/>
        </w:rPr>
        <w:br/>
        <w:t>• opportunities for constitutional evolution.</w:t>
      </w:r>
    </w:p>
    <w:p w14:paraId="1C461F48"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Pattern analysis should be presented to protocol stewards or the relevant governance body for review.</w:t>
      </w:r>
    </w:p>
    <w:p w14:paraId="08C251CD" w14:textId="536E393A"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The kernel may detect patterns.</w:t>
      </w:r>
      <w:r w:rsidR="00650EBA" w:rsidRPr="00B479AE">
        <w:rPr>
          <w:rFonts w:ascii="Baskerville Old Face" w:hAnsi="Baskerville Old Face"/>
          <w:i/>
          <w:iCs/>
        </w:rPr>
        <w:t xml:space="preserve"> </w:t>
      </w:r>
      <w:r w:rsidRPr="00B479AE">
        <w:rPr>
          <w:rFonts w:ascii="Baskerville Old Face" w:hAnsi="Baskerville Old Face"/>
          <w:i/>
          <w:iCs/>
        </w:rPr>
        <w:t>It does not independently amend the constitution.</w:t>
      </w:r>
    </w:p>
    <w:p w14:paraId="21C8E863"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b/>
          <w:bCs/>
          <w:i/>
          <w:iCs/>
        </w:rPr>
        <w:t>5. Sunset review</w:t>
      </w:r>
    </w:p>
    <w:p w14:paraId="7DA88024" w14:textId="6ED9E38E"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Meta-prompts that have not been used, referenced, reviewed, or validated for a defined period may be subject to sunset review.</w:t>
      </w:r>
      <w:r w:rsidR="00B90064" w:rsidRPr="00B479AE">
        <w:rPr>
          <w:rFonts w:ascii="Baskerville Old Face" w:hAnsi="Baskerville Old Face"/>
          <w:i/>
          <w:iCs/>
        </w:rPr>
        <w:t xml:space="preserve"> </w:t>
      </w:r>
      <w:r w:rsidRPr="00B479AE">
        <w:rPr>
          <w:rFonts w:ascii="Baskerville Old Face" w:hAnsi="Baskerville Old Face"/>
          <w:i/>
          <w:iCs/>
        </w:rPr>
        <w:t>A sunset review may result in: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0"/>
        <w:gridCol w:w="7394"/>
      </w:tblGrid>
      <w:tr w:rsidR="00080B17" w:rsidRPr="00B479AE" w14:paraId="0E18D871" w14:textId="77777777" w:rsidTr="00650EBA">
        <w:trPr>
          <w:tblHeader/>
          <w:tblCellSpacing w:w="15" w:type="dxa"/>
        </w:trPr>
        <w:tc>
          <w:tcPr>
            <w:tcW w:w="0" w:type="auto"/>
            <w:vAlign w:val="center"/>
            <w:hideMark/>
          </w:tcPr>
          <w:p w14:paraId="4448DA1E" w14:textId="77777777" w:rsidR="00080B17" w:rsidRPr="00B479AE" w:rsidRDefault="00080B17" w:rsidP="00080B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Outcome</w:t>
            </w:r>
          </w:p>
        </w:tc>
        <w:tc>
          <w:tcPr>
            <w:tcW w:w="0" w:type="auto"/>
            <w:vAlign w:val="center"/>
            <w:hideMark/>
          </w:tcPr>
          <w:p w14:paraId="39E48040" w14:textId="77777777" w:rsidR="00080B17" w:rsidRPr="00B479AE" w:rsidRDefault="00080B17" w:rsidP="00080B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r>
      <w:tr w:rsidR="00080B17" w:rsidRPr="00B479AE" w14:paraId="25E5D657" w14:textId="77777777" w:rsidTr="00650EBA">
        <w:trPr>
          <w:tblCellSpacing w:w="15" w:type="dxa"/>
        </w:trPr>
        <w:tc>
          <w:tcPr>
            <w:tcW w:w="0" w:type="auto"/>
            <w:vAlign w:val="center"/>
            <w:hideMark/>
          </w:tcPr>
          <w:p w14:paraId="6A341B93"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Reaffirm</w:t>
            </w:r>
          </w:p>
        </w:tc>
        <w:tc>
          <w:tcPr>
            <w:tcW w:w="0" w:type="auto"/>
            <w:vAlign w:val="center"/>
            <w:hideMark/>
          </w:tcPr>
          <w:p w14:paraId="6C12BCE7"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The meta-prompt remains valid and active.</w:t>
            </w:r>
          </w:p>
        </w:tc>
      </w:tr>
      <w:tr w:rsidR="00080B17" w:rsidRPr="00B479AE" w14:paraId="25B3BAB8" w14:textId="77777777" w:rsidTr="00650EBA">
        <w:trPr>
          <w:tblCellSpacing w:w="15" w:type="dxa"/>
        </w:trPr>
        <w:tc>
          <w:tcPr>
            <w:tcW w:w="0" w:type="auto"/>
            <w:vAlign w:val="center"/>
            <w:hideMark/>
          </w:tcPr>
          <w:p w14:paraId="7D5C9B26"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Revise</w:t>
            </w:r>
          </w:p>
        </w:tc>
        <w:tc>
          <w:tcPr>
            <w:tcW w:w="0" w:type="auto"/>
            <w:vAlign w:val="center"/>
            <w:hideMark/>
          </w:tcPr>
          <w:p w14:paraId="64B8EEF3"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The meta-prompt remains useful but requires updating.</w:t>
            </w:r>
          </w:p>
        </w:tc>
      </w:tr>
      <w:tr w:rsidR="00080B17" w:rsidRPr="00B479AE" w14:paraId="6533CFE2" w14:textId="77777777" w:rsidTr="00650EBA">
        <w:trPr>
          <w:tblCellSpacing w:w="15" w:type="dxa"/>
        </w:trPr>
        <w:tc>
          <w:tcPr>
            <w:tcW w:w="0" w:type="auto"/>
            <w:vAlign w:val="center"/>
            <w:hideMark/>
          </w:tcPr>
          <w:p w14:paraId="7B0EE188"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Restrict</w:t>
            </w:r>
          </w:p>
        </w:tc>
        <w:tc>
          <w:tcPr>
            <w:tcW w:w="0" w:type="auto"/>
            <w:vAlign w:val="center"/>
            <w:hideMark/>
          </w:tcPr>
          <w:p w14:paraId="04EF238F"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The meta-prompt remains usable only under narrower conditions.</w:t>
            </w:r>
          </w:p>
        </w:tc>
      </w:tr>
      <w:tr w:rsidR="00080B17" w:rsidRPr="00B479AE" w14:paraId="5720E69D" w14:textId="77777777" w:rsidTr="00650EBA">
        <w:trPr>
          <w:tblCellSpacing w:w="15" w:type="dxa"/>
        </w:trPr>
        <w:tc>
          <w:tcPr>
            <w:tcW w:w="0" w:type="auto"/>
            <w:vAlign w:val="center"/>
            <w:hideMark/>
          </w:tcPr>
          <w:p w14:paraId="0FBAEE04"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Archive</w:t>
            </w:r>
          </w:p>
        </w:tc>
        <w:tc>
          <w:tcPr>
            <w:tcW w:w="0" w:type="auto"/>
            <w:vAlign w:val="center"/>
            <w:hideMark/>
          </w:tcPr>
          <w:p w14:paraId="1149CBEC"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The meta-prompt is preserved historically but no longer active.</w:t>
            </w:r>
          </w:p>
        </w:tc>
      </w:tr>
      <w:tr w:rsidR="00080B17" w:rsidRPr="00B479AE" w14:paraId="2B1F2949" w14:textId="77777777" w:rsidTr="00650EBA">
        <w:trPr>
          <w:tblCellSpacing w:w="15" w:type="dxa"/>
        </w:trPr>
        <w:tc>
          <w:tcPr>
            <w:tcW w:w="0" w:type="auto"/>
            <w:vAlign w:val="center"/>
            <w:hideMark/>
          </w:tcPr>
          <w:p w14:paraId="243BF29F"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Quarantine</w:t>
            </w:r>
          </w:p>
        </w:tc>
        <w:tc>
          <w:tcPr>
            <w:tcW w:w="0" w:type="auto"/>
            <w:vAlign w:val="center"/>
            <w:hideMark/>
          </w:tcPr>
          <w:p w14:paraId="2AD79295"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The meta-prompt requires review due to risk, ambiguity, or conflict.</w:t>
            </w:r>
          </w:p>
        </w:tc>
      </w:tr>
      <w:tr w:rsidR="00080B17" w:rsidRPr="00B479AE" w14:paraId="4C7DABB4" w14:textId="77777777" w:rsidTr="00650EBA">
        <w:trPr>
          <w:tblCellSpacing w:w="15" w:type="dxa"/>
        </w:trPr>
        <w:tc>
          <w:tcPr>
            <w:tcW w:w="0" w:type="auto"/>
            <w:vAlign w:val="center"/>
            <w:hideMark/>
          </w:tcPr>
          <w:p w14:paraId="657F901D"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Retire</w:t>
            </w:r>
          </w:p>
        </w:tc>
        <w:tc>
          <w:tcPr>
            <w:tcW w:w="0" w:type="auto"/>
            <w:vAlign w:val="center"/>
            <w:hideMark/>
          </w:tcPr>
          <w:p w14:paraId="69C88405"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The meta-prompt is removed from active use because it is obsolete or incompatible.</w:t>
            </w:r>
          </w:p>
        </w:tc>
      </w:tr>
    </w:tbl>
    <w:p w14:paraId="0C30E3D9"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The sunset mechanism prevents obsolete prompts from silently governing future systems.</w:t>
      </w:r>
    </w:p>
    <w:p w14:paraId="4AA1ABF0"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lastRenderedPageBreak/>
        <w:t>A reasonable review period may be defined by governance, methodology maturity, risk category, or release cycle.</w:t>
      </w:r>
    </w:p>
    <w:p w14:paraId="374DE131"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High-impact prompts should be reviewed more frequently than low-risk informational prompts.</w:t>
      </w:r>
    </w:p>
    <w:p w14:paraId="41C4E7D2"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b/>
          <w:bCs/>
          <w:i/>
          <w:iCs/>
        </w:rPr>
        <w:t>6. Criterion of excellence</w:t>
      </w:r>
    </w:p>
    <w:p w14:paraId="39FE4705"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A meta-prompt is excellent only if it strengthens Prometheus over time.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8"/>
        <w:gridCol w:w="7580"/>
      </w:tblGrid>
      <w:tr w:rsidR="00080B17" w:rsidRPr="00B479AE" w14:paraId="39729016" w14:textId="77777777" w:rsidTr="00650EBA">
        <w:trPr>
          <w:tblHeader/>
          <w:tblCellSpacing w:w="15" w:type="dxa"/>
        </w:trPr>
        <w:tc>
          <w:tcPr>
            <w:tcW w:w="0" w:type="auto"/>
            <w:vAlign w:val="center"/>
            <w:hideMark/>
          </w:tcPr>
          <w:p w14:paraId="6AF75B96" w14:textId="77777777" w:rsidR="00080B17" w:rsidRPr="00B479AE" w:rsidRDefault="00080B17" w:rsidP="00080B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Excellence criterion</w:t>
            </w:r>
          </w:p>
        </w:tc>
        <w:tc>
          <w:tcPr>
            <w:tcW w:w="0" w:type="auto"/>
            <w:vAlign w:val="center"/>
            <w:hideMark/>
          </w:tcPr>
          <w:p w14:paraId="2E81825A" w14:textId="77777777" w:rsidR="00080B17" w:rsidRPr="00B479AE" w:rsidRDefault="00080B17" w:rsidP="00080B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r>
      <w:tr w:rsidR="00080B17" w:rsidRPr="00B479AE" w14:paraId="6F763522" w14:textId="77777777" w:rsidTr="00650EBA">
        <w:trPr>
          <w:tblCellSpacing w:w="15" w:type="dxa"/>
        </w:trPr>
        <w:tc>
          <w:tcPr>
            <w:tcW w:w="0" w:type="auto"/>
            <w:vAlign w:val="center"/>
            <w:hideMark/>
          </w:tcPr>
          <w:p w14:paraId="7B0E6A37"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Decision quality</w:t>
            </w:r>
          </w:p>
        </w:tc>
        <w:tc>
          <w:tcPr>
            <w:tcW w:w="0" w:type="auto"/>
            <w:vAlign w:val="center"/>
            <w:hideMark/>
          </w:tcPr>
          <w:p w14:paraId="730DB218"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It makes the system more capable of generating better decisions tomorrow than today.</w:t>
            </w:r>
          </w:p>
        </w:tc>
      </w:tr>
      <w:tr w:rsidR="00080B17" w:rsidRPr="00B479AE" w14:paraId="2FB88EAA" w14:textId="77777777" w:rsidTr="00650EBA">
        <w:trPr>
          <w:tblCellSpacing w:w="15" w:type="dxa"/>
        </w:trPr>
        <w:tc>
          <w:tcPr>
            <w:tcW w:w="0" w:type="auto"/>
            <w:vAlign w:val="center"/>
            <w:hideMark/>
          </w:tcPr>
          <w:p w14:paraId="24E14147"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Regenerative coherence</w:t>
            </w:r>
          </w:p>
        </w:tc>
        <w:tc>
          <w:tcPr>
            <w:tcW w:w="0" w:type="auto"/>
            <w:vAlign w:val="center"/>
            <w:hideMark/>
          </w:tcPr>
          <w:p w14:paraId="7092183B"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It strengthens coherence between ecological, social, technological, and financial value.</w:t>
            </w:r>
          </w:p>
        </w:tc>
      </w:tr>
      <w:tr w:rsidR="00080B17" w:rsidRPr="00B479AE" w14:paraId="2E0522EE" w14:textId="77777777" w:rsidTr="00650EBA">
        <w:trPr>
          <w:tblCellSpacing w:w="15" w:type="dxa"/>
        </w:trPr>
        <w:tc>
          <w:tcPr>
            <w:tcW w:w="0" w:type="auto"/>
            <w:vAlign w:val="center"/>
            <w:hideMark/>
          </w:tcPr>
          <w:p w14:paraId="5645D3B7"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Trust density</w:t>
            </w:r>
          </w:p>
        </w:tc>
        <w:tc>
          <w:tcPr>
            <w:tcW w:w="0" w:type="auto"/>
            <w:vAlign w:val="center"/>
            <w:hideMark/>
          </w:tcPr>
          <w:p w14:paraId="4FD80A04"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It increases the quality and density of trust relationships.</w:t>
            </w:r>
          </w:p>
        </w:tc>
      </w:tr>
      <w:tr w:rsidR="00080B17" w:rsidRPr="00B479AE" w14:paraId="1DFB42F9" w14:textId="77777777" w:rsidTr="00650EBA">
        <w:trPr>
          <w:tblCellSpacing w:w="15" w:type="dxa"/>
        </w:trPr>
        <w:tc>
          <w:tcPr>
            <w:tcW w:w="0" w:type="auto"/>
            <w:vAlign w:val="center"/>
            <w:hideMark/>
          </w:tcPr>
          <w:p w14:paraId="1619D862"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Care capacity</w:t>
            </w:r>
          </w:p>
        </w:tc>
        <w:tc>
          <w:tcPr>
            <w:tcW w:w="0" w:type="auto"/>
            <w:vAlign w:val="center"/>
            <w:hideMark/>
          </w:tcPr>
          <w:p w14:paraId="788EEBDC"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It expands the system’s capacity to care for Earth, communities, stewards, and future generations.</w:t>
            </w:r>
          </w:p>
        </w:tc>
      </w:tr>
      <w:tr w:rsidR="00080B17" w:rsidRPr="00B479AE" w14:paraId="7CE37C75" w14:textId="77777777" w:rsidTr="00650EBA">
        <w:trPr>
          <w:tblCellSpacing w:w="15" w:type="dxa"/>
        </w:trPr>
        <w:tc>
          <w:tcPr>
            <w:tcW w:w="0" w:type="auto"/>
            <w:vAlign w:val="center"/>
            <w:hideMark/>
          </w:tcPr>
          <w:p w14:paraId="4B44FB3C"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Evidence integrity</w:t>
            </w:r>
          </w:p>
        </w:tc>
        <w:tc>
          <w:tcPr>
            <w:tcW w:w="0" w:type="auto"/>
            <w:vAlign w:val="center"/>
            <w:hideMark/>
          </w:tcPr>
          <w:p w14:paraId="30671027"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It translates regeneration into measurable evidence without distorting it.</w:t>
            </w:r>
          </w:p>
        </w:tc>
      </w:tr>
      <w:tr w:rsidR="00080B17" w:rsidRPr="00B479AE" w14:paraId="4FC726A2" w14:textId="77777777" w:rsidTr="00650EBA">
        <w:trPr>
          <w:tblCellSpacing w:w="15" w:type="dxa"/>
        </w:trPr>
        <w:tc>
          <w:tcPr>
            <w:tcW w:w="0" w:type="auto"/>
            <w:vAlign w:val="center"/>
            <w:hideMark/>
          </w:tcPr>
          <w:p w14:paraId="3E2AA1F8"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Local-global legibility</w:t>
            </w:r>
          </w:p>
        </w:tc>
        <w:tc>
          <w:tcPr>
            <w:tcW w:w="0" w:type="auto"/>
            <w:vAlign w:val="center"/>
            <w:hideMark/>
          </w:tcPr>
          <w:p w14:paraId="04947E8A"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It makes the link between local choices and systemic impacts more transparent.</w:t>
            </w:r>
          </w:p>
        </w:tc>
      </w:tr>
      <w:tr w:rsidR="00080B17" w:rsidRPr="00B479AE" w14:paraId="46B6CF03" w14:textId="77777777" w:rsidTr="00650EBA">
        <w:trPr>
          <w:tblCellSpacing w:w="15" w:type="dxa"/>
        </w:trPr>
        <w:tc>
          <w:tcPr>
            <w:tcW w:w="0" w:type="auto"/>
            <w:vAlign w:val="center"/>
            <w:hideMark/>
          </w:tcPr>
          <w:p w14:paraId="2621FF07"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Learning capacity</w:t>
            </w:r>
          </w:p>
        </w:tc>
        <w:tc>
          <w:tcPr>
            <w:tcW w:w="0" w:type="auto"/>
            <w:vAlign w:val="center"/>
            <w:hideMark/>
          </w:tcPr>
          <w:p w14:paraId="014171C9"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It increases the system’s capacity to learn from errors and adapt to new information.</w:t>
            </w:r>
          </w:p>
        </w:tc>
      </w:tr>
      <w:tr w:rsidR="00080B17" w:rsidRPr="00B479AE" w14:paraId="6C2AB0D5" w14:textId="77777777" w:rsidTr="00650EBA">
        <w:trPr>
          <w:tblCellSpacing w:w="15" w:type="dxa"/>
        </w:trPr>
        <w:tc>
          <w:tcPr>
            <w:tcW w:w="0" w:type="auto"/>
            <w:vAlign w:val="center"/>
            <w:hideMark/>
          </w:tcPr>
          <w:p w14:paraId="6E307942"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Human dignity</w:t>
            </w:r>
          </w:p>
        </w:tc>
        <w:tc>
          <w:tcPr>
            <w:tcW w:w="0" w:type="auto"/>
            <w:vAlign w:val="center"/>
            <w:hideMark/>
          </w:tcPr>
          <w:p w14:paraId="54A8D61B"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It protects dignity, voluntary participation, and non-coercive human development.</w:t>
            </w:r>
          </w:p>
        </w:tc>
      </w:tr>
      <w:tr w:rsidR="00080B17" w:rsidRPr="00B479AE" w14:paraId="312B0146" w14:textId="77777777" w:rsidTr="00650EBA">
        <w:trPr>
          <w:tblCellSpacing w:w="15" w:type="dxa"/>
        </w:trPr>
        <w:tc>
          <w:tcPr>
            <w:tcW w:w="0" w:type="auto"/>
            <w:vAlign w:val="center"/>
            <w:hideMark/>
          </w:tcPr>
          <w:p w14:paraId="3CCED237"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Ecological fidelity</w:t>
            </w:r>
          </w:p>
        </w:tc>
        <w:tc>
          <w:tcPr>
            <w:tcW w:w="0" w:type="auto"/>
            <w:vAlign w:val="center"/>
            <w:hideMark/>
          </w:tcPr>
          <w:p w14:paraId="6563651D"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It preserves soil, water, biodiversity, succession, and living-system integrity.</w:t>
            </w:r>
          </w:p>
        </w:tc>
      </w:tr>
      <w:tr w:rsidR="00080B17" w:rsidRPr="00B479AE" w14:paraId="59B7AD61" w14:textId="77777777" w:rsidTr="00650EBA">
        <w:trPr>
          <w:tblCellSpacing w:w="15" w:type="dxa"/>
        </w:trPr>
        <w:tc>
          <w:tcPr>
            <w:tcW w:w="0" w:type="auto"/>
            <w:vAlign w:val="center"/>
            <w:hideMark/>
          </w:tcPr>
          <w:p w14:paraId="59DC97F2"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Financial discipline</w:t>
            </w:r>
          </w:p>
        </w:tc>
        <w:tc>
          <w:tcPr>
            <w:tcW w:w="0" w:type="auto"/>
            <w:vAlign w:val="center"/>
            <w:hideMark/>
          </w:tcPr>
          <w:p w14:paraId="7EBDFD9F"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It avoids premature value inflation, excessive leverage, and investor-facing overclaiming.</w:t>
            </w:r>
          </w:p>
        </w:tc>
      </w:tr>
      <w:tr w:rsidR="00080B17" w:rsidRPr="00B479AE" w14:paraId="363F244A" w14:textId="77777777" w:rsidTr="00650EBA">
        <w:trPr>
          <w:tblCellSpacing w:w="15" w:type="dxa"/>
        </w:trPr>
        <w:tc>
          <w:tcPr>
            <w:tcW w:w="0" w:type="auto"/>
            <w:vAlign w:val="center"/>
            <w:hideMark/>
          </w:tcPr>
          <w:p w14:paraId="76833C60"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Kernel integrity</w:t>
            </w:r>
          </w:p>
        </w:tc>
        <w:tc>
          <w:tcPr>
            <w:tcW w:w="0" w:type="auto"/>
            <w:vAlign w:val="center"/>
            <w:hideMark/>
          </w:tcPr>
          <w:p w14:paraId="23B01C6C" w14:textId="77777777" w:rsidR="00080B17" w:rsidRPr="00B479AE" w:rsidRDefault="00080B17" w:rsidP="00080B17">
            <w:pPr>
              <w:spacing w:line="360" w:lineRule="auto"/>
              <w:rPr>
                <w:rFonts w:ascii="Baskerville Old Face" w:hAnsi="Baskerville Old Face"/>
                <w:i/>
                <w:iCs/>
                <w:sz w:val="22"/>
                <w:szCs w:val="22"/>
              </w:rPr>
            </w:pPr>
            <w:r w:rsidRPr="00B479AE">
              <w:rPr>
                <w:rFonts w:ascii="Baskerville Old Face" w:hAnsi="Baskerville Old Face"/>
                <w:i/>
                <w:iCs/>
                <w:sz w:val="22"/>
                <w:szCs w:val="22"/>
              </w:rPr>
              <w:t>It strengthens, rather than weakens, the constitutional source layer.</w:t>
            </w:r>
          </w:p>
        </w:tc>
      </w:tr>
    </w:tbl>
    <w:p w14:paraId="2F60088B"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If a meta-prompt maximizes output but reduces future freedom, coherence, resilience, trust, or care capacity, it is not excellent.</w:t>
      </w:r>
    </w:p>
    <w:p w14:paraId="12349849"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It must be revised, restricted, or rejected.</w:t>
      </w:r>
    </w:p>
    <w:p w14:paraId="06C2EF8E"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b/>
          <w:bCs/>
          <w:i/>
          <w:iCs/>
        </w:rPr>
        <w:lastRenderedPageBreak/>
        <w:t>7. Quantitative and qualitative indicators</w:t>
      </w:r>
    </w:p>
    <w:p w14:paraId="57D584A7" w14:textId="1D8748D1"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The kernel may track optional indicators to support learning.</w:t>
      </w:r>
      <w:r w:rsidR="00527ED0" w:rsidRPr="00B479AE">
        <w:rPr>
          <w:rFonts w:ascii="Baskerville Old Face" w:hAnsi="Baskerville Old Face"/>
          <w:i/>
          <w:iCs/>
        </w:rPr>
        <w:t xml:space="preserve"> </w:t>
      </w:r>
      <w:r w:rsidRPr="00B479AE">
        <w:rPr>
          <w:rFonts w:ascii="Baskerville Old Face" w:hAnsi="Baskerville Old Face"/>
          <w:i/>
          <w:iCs/>
        </w:rPr>
        <w:t>These indicators must be treated carefully.</w:t>
      </w:r>
      <w:r w:rsidR="00527ED0" w:rsidRPr="00B479AE">
        <w:rPr>
          <w:rFonts w:ascii="Baskerville Old Face" w:hAnsi="Baskerville Old Face"/>
          <w:i/>
          <w:iCs/>
        </w:rPr>
        <w:t xml:space="preserve"> </w:t>
      </w:r>
      <w:r w:rsidRPr="00B479AE">
        <w:rPr>
          <w:rFonts w:ascii="Baskerville Old Face" w:hAnsi="Baskerville Old Face"/>
          <w:i/>
          <w:iCs/>
        </w:rPr>
        <w:t>They are governance-support signals, not absolute truth.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1"/>
        <w:gridCol w:w="3969"/>
        <w:gridCol w:w="3318"/>
      </w:tblGrid>
      <w:tr w:rsidR="00080B17" w:rsidRPr="00B479AE" w14:paraId="748CE5FD" w14:textId="77777777" w:rsidTr="00650EBA">
        <w:trPr>
          <w:tblHeader/>
          <w:tblCellSpacing w:w="15" w:type="dxa"/>
        </w:trPr>
        <w:tc>
          <w:tcPr>
            <w:tcW w:w="0" w:type="auto"/>
            <w:vAlign w:val="center"/>
            <w:hideMark/>
          </w:tcPr>
          <w:p w14:paraId="354ED5EE" w14:textId="77777777" w:rsidR="00080B17" w:rsidRPr="00B479AE" w:rsidRDefault="00080B17" w:rsidP="00080B17">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Indicator</w:t>
            </w:r>
          </w:p>
        </w:tc>
        <w:tc>
          <w:tcPr>
            <w:tcW w:w="0" w:type="auto"/>
            <w:vAlign w:val="center"/>
            <w:hideMark/>
          </w:tcPr>
          <w:p w14:paraId="2C71EE71" w14:textId="77777777" w:rsidR="00080B17" w:rsidRPr="00B479AE" w:rsidRDefault="00080B17" w:rsidP="00080B17">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Possible interpretation</w:t>
            </w:r>
          </w:p>
        </w:tc>
        <w:tc>
          <w:tcPr>
            <w:tcW w:w="0" w:type="auto"/>
            <w:vAlign w:val="center"/>
            <w:hideMark/>
          </w:tcPr>
          <w:p w14:paraId="29D53CDE" w14:textId="77777777" w:rsidR="00080B17" w:rsidRPr="00B479AE" w:rsidRDefault="00080B17" w:rsidP="00080B17">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Boundary</w:t>
            </w:r>
          </w:p>
        </w:tc>
      </w:tr>
      <w:tr w:rsidR="00080B17" w:rsidRPr="00B479AE" w14:paraId="0EB2638B" w14:textId="77777777" w:rsidTr="00650EBA">
        <w:trPr>
          <w:tblCellSpacing w:w="15" w:type="dxa"/>
        </w:trPr>
        <w:tc>
          <w:tcPr>
            <w:tcW w:w="0" w:type="auto"/>
            <w:vAlign w:val="center"/>
            <w:hideMark/>
          </w:tcPr>
          <w:p w14:paraId="5C6016D7"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Conflict resolution rate</w:t>
            </w:r>
          </w:p>
        </w:tc>
        <w:tc>
          <w:tcPr>
            <w:tcW w:w="0" w:type="auto"/>
            <w:vAlign w:val="center"/>
            <w:hideMark/>
          </w:tcPr>
          <w:p w14:paraId="6D5920BA"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Measures whether prompt conflicts are being resolved rather than accumulating.</w:t>
            </w:r>
          </w:p>
        </w:tc>
        <w:tc>
          <w:tcPr>
            <w:tcW w:w="0" w:type="auto"/>
            <w:vAlign w:val="center"/>
            <w:hideMark/>
          </w:tcPr>
          <w:p w14:paraId="0F496B9F"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High resolution rate does not prove constitutional quality by itself.</w:t>
            </w:r>
          </w:p>
        </w:tc>
      </w:tr>
      <w:tr w:rsidR="00080B17" w:rsidRPr="00B479AE" w14:paraId="16A0E817" w14:textId="77777777" w:rsidTr="00650EBA">
        <w:trPr>
          <w:tblCellSpacing w:w="15" w:type="dxa"/>
        </w:trPr>
        <w:tc>
          <w:tcPr>
            <w:tcW w:w="0" w:type="auto"/>
            <w:vAlign w:val="center"/>
            <w:hideMark/>
          </w:tcPr>
          <w:p w14:paraId="6CA1887C"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Positive community feedback</w:t>
            </w:r>
          </w:p>
        </w:tc>
        <w:tc>
          <w:tcPr>
            <w:tcW w:w="0" w:type="auto"/>
            <w:vAlign w:val="center"/>
            <w:hideMark/>
          </w:tcPr>
          <w:p w14:paraId="0BFDF7B5"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Indicates perceived usefulness, trust, or clarity.</w:t>
            </w:r>
          </w:p>
        </w:tc>
        <w:tc>
          <w:tcPr>
            <w:tcW w:w="0" w:type="auto"/>
            <w:vAlign w:val="center"/>
            <w:hideMark/>
          </w:tcPr>
          <w:p w14:paraId="29149B92"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Feedback must not become popularity governance.</w:t>
            </w:r>
          </w:p>
        </w:tc>
      </w:tr>
      <w:tr w:rsidR="00080B17" w:rsidRPr="00B479AE" w14:paraId="7C0B7B0B" w14:textId="77777777" w:rsidTr="00650EBA">
        <w:trPr>
          <w:tblCellSpacing w:w="15" w:type="dxa"/>
        </w:trPr>
        <w:tc>
          <w:tcPr>
            <w:tcW w:w="0" w:type="auto"/>
            <w:vAlign w:val="center"/>
            <w:hideMark/>
          </w:tcPr>
          <w:p w14:paraId="35F468BD"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Reduction in repeated errors</w:t>
            </w:r>
          </w:p>
        </w:tc>
        <w:tc>
          <w:tcPr>
            <w:tcW w:w="0" w:type="auto"/>
            <w:vAlign w:val="center"/>
            <w:hideMark/>
          </w:tcPr>
          <w:p w14:paraId="7C62DED7"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Shows learning from previous failure modes.</w:t>
            </w:r>
          </w:p>
        </w:tc>
        <w:tc>
          <w:tcPr>
            <w:tcW w:w="0" w:type="auto"/>
            <w:vAlign w:val="center"/>
            <w:hideMark/>
          </w:tcPr>
          <w:p w14:paraId="780BE98B"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Requires clear classification of error types.</w:t>
            </w:r>
          </w:p>
        </w:tc>
      </w:tr>
      <w:tr w:rsidR="00080B17" w:rsidRPr="00B479AE" w14:paraId="446B8D92" w14:textId="77777777" w:rsidTr="00650EBA">
        <w:trPr>
          <w:tblCellSpacing w:w="15" w:type="dxa"/>
        </w:trPr>
        <w:tc>
          <w:tcPr>
            <w:tcW w:w="0" w:type="auto"/>
            <w:vAlign w:val="center"/>
            <w:hideMark/>
          </w:tcPr>
          <w:p w14:paraId="5F7C5772"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Reduction in warrant or quarantine events</w:t>
            </w:r>
          </w:p>
        </w:tc>
        <w:tc>
          <w:tcPr>
            <w:tcW w:w="0" w:type="auto"/>
            <w:vAlign w:val="center"/>
            <w:hideMark/>
          </w:tcPr>
          <w:p w14:paraId="40339365"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May indicate improved prompt alignment.</w:t>
            </w:r>
          </w:p>
        </w:tc>
        <w:tc>
          <w:tcPr>
            <w:tcW w:w="0" w:type="auto"/>
            <w:vAlign w:val="center"/>
            <w:hideMark/>
          </w:tcPr>
          <w:p w14:paraId="15AA6183"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May also indicate under-detection if governance is weak.</w:t>
            </w:r>
          </w:p>
        </w:tc>
      </w:tr>
      <w:tr w:rsidR="00080B17" w:rsidRPr="00B479AE" w14:paraId="18DBCB63" w14:textId="77777777" w:rsidTr="00650EBA">
        <w:trPr>
          <w:tblCellSpacing w:w="15" w:type="dxa"/>
        </w:trPr>
        <w:tc>
          <w:tcPr>
            <w:tcW w:w="0" w:type="auto"/>
            <w:vAlign w:val="center"/>
            <w:hideMark/>
          </w:tcPr>
          <w:p w14:paraId="6D22EF9B"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Improved evidence completeness</w:t>
            </w:r>
          </w:p>
        </w:tc>
        <w:tc>
          <w:tcPr>
            <w:tcW w:w="0" w:type="auto"/>
            <w:vAlign w:val="center"/>
            <w:hideMark/>
          </w:tcPr>
          <w:p w14:paraId="704EF7C7"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Shows better linkage between prompts and evidence.</w:t>
            </w:r>
          </w:p>
        </w:tc>
        <w:tc>
          <w:tcPr>
            <w:tcW w:w="0" w:type="auto"/>
            <w:vAlign w:val="center"/>
            <w:hideMark/>
          </w:tcPr>
          <w:p w14:paraId="208491D8"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Must distinguish evidence quality from evidence quantity.</w:t>
            </w:r>
          </w:p>
        </w:tc>
      </w:tr>
      <w:tr w:rsidR="00080B17" w:rsidRPr="00B479AE" w14:paraId="291A3786" w14:textId="77777777" w:rsidTr="00650EBA">
        <w:trPr>
          <w:tblCellSpacing w:w="15" w:type="dxa"/>
        </w:trPr>
        <w:tc>
          <w:tcPr>
            <w:tcW w:w="0" w:type="auto"/>
            <w:vAlign w:val="center"/>
            <w:hideMark/>
          </w:tcPr>
          <w:p w14:paraId="4316461E"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Semantic drift detection rate</w:t>
            </w:r>
          </w:p>
        </w:tc>
        <w:tc>
          <w:tcPr>
            <w:tcW w:w="0" w:type="auto"/>
            <w:vAlign w:val="center"/>
            <w:hideMark/>
          </w:tcPr>
          <w:p w14:paraId="488CCCBB"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Shows whether core terms are being protected.</w:t>
            </w:r>
          </w:p>
        </w:tc>
        <w:tc>
          <w:tcPr>
            <w:tcW w:w="0" w:type="auto"/>
            <w:vAlign w:val="center"/>
            <w:hideMark/>
          </w:tcPr>
          <w:p w14:paraId="5C9707FC"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Detection must lead to review, not automatic punishment.</w:t>
            </w:r>
          </w:p>
        </w:tc>
      </w:tr>
      <w:tr w:rsidR="00080B17" w:rsidRPr="00B479AE" w14:paraId="75BBED00" w14:textId="77777777" w:rsidTr="00650EBA">
        <w:trPr>
          <w:tblCellSpacing w:w="15" w:type="dxa"/>
        </w:trPr>
        <w:tc>
          <w:tcPr>
            <w:tcW w:w="0" w:type="auto"/>
            <w:vAlign w:val="center"/>
            <w:hideMark/>
          </w:tcPr>
          <w:p w14:paraId="6DD0D583"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Manual review load</w:t>
            </w:r>
          </w:p>
        </w:tc>
        <w:tc>
          <w:tcPr>
            <w:tcW w:w="0" w:type="auto"/>
            <w:vAlign w:val="center"/>
            <w:hideMark/>
          </w:tcPr>
          <w:p w14:paraId="7F9BE784"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Measures how often prompts require escalation.</w:t>
            </w:r>
          </w:p>
        </w:tc>
        <w:tc>
          <w:tcPr>
            <w:tcW w:w="0" w:type="auto"/>
            <w:vAlign w:val="center"/>
            <w:hideMark/>
          </w:tcPr>
          <w:p w14:paraId="1B0DA692"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High load may indicate risk, complexity, or excessive rigidity.</w:t>
            </w:r>
          </w:p>
        </w:tc>
      </w:tr>
      <w:tr w:rsidR="00080B17" w:rsidRPr="00B479AE" w14:paraId="45DDF3E7" w14:textId="77777777" w:rsidTr="00650EBA">
        <w:trPr>
          <w:tblCellSpacing w:w="15" w:type="dxa"/>
        </w:trPr>
        <w:tc>
          <w:tcPr>
            <w:tcW w:w="0" w:type="auto"/>
            <w:vAlign w:val="center"/>
            <w:hideMark/>
          </w:tcPr>
          <w:p w14:paraId="45802185"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Time-to-review</w:t>
            </w:r>
          </w:p>
        </w:tc>
        <w:tc>
          <w:tcPr>
            <w:tcW w:w="0" w:type="auto"/>
            <w:vAlign w:val="center"/>
            <w:hideMark/>
          </w:tcPr>
          <w:p w14:paraId="5F92C35B"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Measures governance responsiveness.</w:t>
            </w:r>
          </w:p>
        </w:tc>
        <w:tc>
          <w:tcPr>
            <w:tcW w:w="0" w:type="auto"/>
            <w:vAlign w:val="center"/>
            <w:hideMark/>
          </w:tcPr>
          <w:p w14:paraId="1C5D644F" w14:textId="77777777" w:rsidR="00080B17" w:rsidRPr="00B479AE" w:rsidRDefault="00080B17" w:rsidP="00080B17">
            <w:pPr>
              <w:spacing w:line="360" w:lineRule="auto"/>
              <w:rPr>
                <w:rFonts w:ascii="Baskerville Old Face" w:hAnsi="Baskerville Old Face"/>
                <w:i/>
                <w:iCs/>
                <w:sz w:val="20"/>
                <w:szCs w:val="20"/>
              </w:rPr>
            </w:pPr>
            <w:r w:rsidRPr="00B479AE">
              <w:rPr>
                <w:rFonts w:ascii="Baskerville Old Face" w:hAnsi="Baskerville Old Face"/>
                <w:i/>
                <w:iCs/>
                <w:sz w:val="20"/>
                <w:szCs w:val="20"/>
              </w:rPr>
              <w:t>Speed must not override quality.</w:t>
            </w:r>
          </w:p>
        </w:tc>
      </w:tr>
    </w:tbl>
    <w:p w14:paraId="6EE2D083"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No single indicator should determine kernel quality.</w:t>
      </w:r>
    </w:p>
    <w:p w14:paraId="0E662B80"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The purpose is pattern awareness, not algorithmic self-congratulation.</w:t>
      </w:r>
    </w:p>
    <w:p w14:paraId="009F955C"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b/>
          <w:bCs/>
          <w:i/>
          <w:iCs/>
        </w:rPr>
        <w:t>8. Governance of evolution</w:t>
      </w:r>
    </w:p>
    <w:p w14:paraId="5C9FE56C" w14:textId="407E41F6"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The cognitive kernel may evolve.</w:t>
      </w:r>
      <w:r w:rsidR="00A2199B" w:rsidRPr="00B479AE">
        <w:rPr>
          <w:rFonts w:ascii="Baskerville Old Face" w:hAnsi="Baskerville Old Face"/>
          <w:i/>
          <w:iCs/>
        </w:rPr>
        <w:t xml:space="preserve"> </w:t>
      </w:r>
      <w:r w:rsidRPr="00B479AE">
        <w:rPr>
          <w:rFonts w:ascii="Baskerville Old Face" w:hAnsi="Baskerville Old Face"/>
          <w:i/>
          <w:iCs/>
        </w:rPr>
        <w:t>Its evolution must be governed.</w:t>
      </w:r>
    </w:p>
    <w:p w14:paraId="7D315321"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A proposed change to meta-prompt logic, constitutional constraints, routing rules, review pathways, escalation triggers, output classifications, or agent permissions should follow a change-control pathway:</w:t>
      </w:r>
    </w:p>
    <w:p w14:paraId="684F1358"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lastRenderedPageBreak/>
        <w:t>proposal</w:t>
      </w:r>
      <w:r w:rsidRPr="00B479AE">
        <w:rPr>
          <w:rFonts w:ascii="Baskerville Old Face" w:hAnsi="Baskerville Old Face"/>
          <w:i/>
          <w:iCs/>
        </w:rPr>
        <w:br/>
        <w:t>impact analysis</w:t>
      </w:r>
      <w:r w:rsidRPr="00B479AE">
        <w:rPr>
          <w:rFonts w:ascii="Baskerville Old Face" w:hAnsi="Baskerville Old Face"/>
          <w:i/>
          <w:iCs/>
        </w:rPr>
        <w:br/>
        <w:t>risk classification</w:t>
      </w:r>
      <w:r w:rsidRPr="00B479AE">
        <w:rPr>
          <w:rFonts w:ascii="Baskerville Old Face" w:hAnsi="Baskerville Old Face"/>
          <w:i/>
          <w:iCs/>
        </w:rPr>
        <w:br/>
        <w:t>sandbox testing</w:t>
      </w:r>
      <w:r w:rsidRPr="00B479AE">
        <w:rPr>
          <w:rFonts w:ascii="Baskerville Old Face" w:hAnsi="Baskerville Old Face"/>
          <w:i/>
          <w:iCs/>
        </w:rPr>
        <w:br/>
        <w:t>constitutional alignment review</w:t>
      </w:r>
      <w:r w:rsidRPr="00B479AE">
        <w:rPr>
          <w:rFonts w:ascii="Baskerville Old Face" w:hAnsi="Baskerville Old Face"/>
          <w:i/>
          <w:iCs/>
        </w:rPr>
        <w:br/>
        <w:t>governance review</w:t>
      </w:r>
      <w:r w:rsidRPr="00B479AE">
        <w:rPr>
          <w:rFonts w:ascii="Baskerville Old Face" w:hAnsi="Baskerville Old Face"/>
          <w:i/>
          <w:iCs/>
        </w:rPr>
        <w:br/>
        <w:t>versioned approval</w:t>
      </w:r>
      <w:r w:rsidRPr="00B479AE">
        <w:rPr>
          <w:rFonts w:ascii="Baskerville Old Face" w:hAnsi="Baskerville Old Face"/>
          <w:i/>
          <w:iCs/>
        </w:rPr>
        <w:br/>
        <w:t>deployment</w:t>
      </w:r>
      <w:r w:rsidRPr="00B479AE">
        <w:rPr>
          <w:rFonts w:ascii="Baskerville Old Face" w:hAnsi="Baskerville Old Face"/>
          <w:i/>
          <w:iCs/>
        </w:rPr>
        <w:br/>
        <w:t>monitoring</w:t>
      </w:r>
      <w:r w:rsidRPr="00B479AE">
        <w:rPr>
          <w:rFonts w:ascii="Baskerville Old Face" w:hAnsi="Baskerville Old Face"/>
          <w:i/>
          <w:iCs/>
        </w:rPr>
        <w:br/>
        <w:t>rollback pathway.</w:t>
      </w:r>
    </w:p>
    <w:p w14:paraId="48A61DBF" w14:textId="02CCDB3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Critical changes should require stronger controls.</w:t>
      </w:r>
      <w:r w:rsidR="008E534D" w:rsidRPr="00B479AE">
        <w:rPr>
          <w:rFonts w:ascii="Baskerville Old Face" w:hAnsi="Baskerville Old Face"/>
          <w:i/>
          <w:iCs/>
        </w:rPr>
        <w:t xml:space="preserve"> </w:t>
      </w:r>
      <w:r w:rsidRPr="00B479AE">
        <w:rPr>
          <w:rFonts w:ascii="Baskerville Old Face" w:hAnsi="Baskerville Old Face"/>
          <w:i/>
          <w:iCs/>
        </w:rPr>
        <w:t>These may include:</w:t>
      </w:r>
    </w:p>
    <w:p w14:paraId="27CFFBA2"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 protocol steward review;</w:t>
      </w:r>
      <w:r w:rsidRPr="00B479AE">
        <w:rPr>
          <w:rFonts w:ascii="Baskerville Old Face" w:hAnsi="Baskerville Old Face"/>
          <w:i/>
          <w:iCs/>
        </w:rPr>
        <w:br/>
        <w:t>• legal or compliance review;</w:t>
      </w:r>
      <w:r w:rsidRPr="00B479AE">
        <w:rPr>
          <w:rFonts w:ascii="Baskerville Old Face" w:hAnsi="Baskerville Old Face"/>
          <w:i/>
          <w:iCs/>
        </w:rPr>
        <w:br/>
        <w:t>• MRV methodology review;</w:t>
      </w:r>
      <w:r w:rsidRPr="00B479AE">
        <w:rPr>
          <w:rFonts w:ascii="Baskerville Old Face" w:hAnsi="Baskerville Old Face"/>
          <w:i/>
          <w:iCs/>
        </w:rPr>
        <w:br/>
        <w:t>• security review;</w:t>
      </w:r>
      <w:r w:rsidRPr="00B479AE">
        <w:rPr>
          <w:rFonts w:ascii="Baskerville Old Face" w:hAnsi="Baskerville Old Face"/>
          <w:i/>
          <w:iCs/>
        </w:rPr>
        <w:br/>
        <w:t>• model-risk review;</w:t>
      </w:r>
      <w:r w:rsidRPr="00B479AE">
        <w:rPr>
          <w:rFonts w:ascii="Baskerville Old Face" w:hAnsi="Baskerville Old Face"/>
          <w:i/>
          <w:iCs/>
        </w:rPr>
        <w:br/>
        <w:t>• community or stakeholder review where appropriate;</w:t>
      </w:r>
      <w:r w:rsidRPr="00B479AE">
        <w:rPr>
          <w:rFonts w:ascii="Baskerville Old Face" w:hAnsi="Baskerville Old Face"/>
          <w:i/>
          <w:iCs/>
        </w:rPr>
        <w:br/>
        <w:t>• cryptographic anchoring of approved releases;</w:t>
      </w:r>
      <w:r w:rsidRPr="00B479AE">
        <w:rPr>
          <w:rFonts w:ascii="Baskerville Old Face" w:hAnsi="Baskerville Old Face"/>
          <w:i/>
          <w:iCs/>
        </w:rPr>
        <w:br/>
        <w:t>• independent review for high-impact upgrades.</w:t>
      </w:r>
    </w:p>
    <w:p w14:paraId="0CDCB80A" w14:textId="5B2EF182"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The kernel may become more capable.</w:t>
      </w:r>
      <w:r w:rsidR="00527ED0" w:rsidRPr="00B479AE">
        <w:rPr>
          <w:rFonts w:ascii="Baskerville Old Face" w:hAnsi="Baskerville Old Face"/>
          <w:i/>
          <w:iCs/>
        </w:rPr>
        <w:t xml:space="preserve"> </w:t>
      </w:r>
      <w:r w:rsidRPr="00B479AE">
        <w:rPr>
          <w:rFonts w:ascii="Baskerville Old Face" w:hAnsi="Baskerville Old Face"/>
          <w:i/>
          <w:iCs/>
        </w:rPr>
        <w:t>It may not become less accountable.</w:t>
      </w:r>
    </w:p>
    <w:p w14:paraId="0A8D04F8"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b/>
          <w:bCs/>
          <w:i/>
          <w:iCs/>
        </w:rPr>
        <w:t>9. Public learning and privacy boundary</w:t>
      </w:r>
    </w:p>
    <w:p w14:paraId="431C06D3" w14:textId="35A072CB"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The meta-prompt register may support public or community learning through anonymized summaries, pattern reports, methodology notes, or release notes.</w:t>
      </w:r>
      <w:r w:rsidR="008E534D" w:rsidRPr="00B479AE">
        <w:rPr>
          <w:rFonts w:ascii="Baskerville Old Face" w:hAnsi="Baskerville Old Face"/>
          <w:i/>
          <w:iCs/>
        </w:rPr>
        <w:t xml:space="preserve"> </w:t>
      </w:r>
      <w:r w:rsidRPr="00B479AE">
        <w:rPr>
          <w:rFonts w:ascii="Baskerville Old Face" w:hAnsi="Baskerville Old Face"/>
          <w:i/>
          <w:iCs/>
        </w:rPr>
        <w:t>However, transparency must respect:</w:t>
      </w:r>
    </w:p>
    <w:p w14:paraId="253EA286"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 privacy;</w:t>
      </w:r>
      <w:r w:rsidRPr="00B479AE">
        <w:rPr>
          <w:rFonts w:ascii="Baskerville Old Face" w:hAnsi="Baskerville Old Face"/>
          <w:i/>
          <w:iCs/>
        </w:rPr>
        <w:br/>
        <w:t>• consent;</w:t>
      </w:r>
      <w:r w:rsidRPr="00B479AE">
        <w:rPr>
          <w:rFonts w:ascii="Baskerville Old Face" w:hAnsi="Baskerville Old Face"/>
          <w:i/>
          <w:iCs/>
        </w:rPr>
        <w:br/>
        <w:t>• data protection;</w:t>
      </w:r>
      <w:r w:rsidRPr="00B479AE">
        <w:rPr>
          <w:rFonts w:ascii="Baskerville Old Face" w:hAnsi="Baskerville Old Face"/>
          <w:i/>
          <w:iCs/>
        </w:rPr>
        <w:br/>
        <w:t>• security;</w:t>
      </w:r>
      <w:r w:rsidRPr="00B479AE">
        <w:rPr>
          <w:rFonts w:ascii="Baskerville Old Face" w:hAnsi="Baskerville Old Face"/>
          <w:i/>
          <w:iCs/>
        </w:rPr>
        <w:br/>
        <w:t>• legal confidentiality;</w:t>
      </w:r>
      <w:r w:rsidRPr="00B479AE">
        <w:rPr>
          <w:rFonts w:ascii="Baskerville Old Face" w:hAnsi="Baskerville Old Face"/>
          <w:i/>
          <w:iCs/>
        </w:rPr>
        <w:br/>
        <w:t>• sensitive governance material;</w:t>
      </w:r>
      <w:r w:rsidRPr="00B479AE">
        <w:rPr>
          <w:rFonts w:ascii="Baskerville Old Face" w:hAnsi="Baskerville Old Face"/>
          <w:i/>
          <w:iCs/>
        </w:rPr>
        <w:br/>
      </w:r>
      <w:r w:rsidRPr="00B479AE">
        <w:rPr>
          <w:rFonts w:ascii="Baskerville Old Face" w:hAnsi="Baskerville Old Face"/>
          <w:i/>
          <w:iCs/>
        </w:rPr>
        <w:lastRenderedPageBreak/>
        <w:t>• investor or counterparty confidentiality;</w:t>
      </w:r>
      <w:r w:rsidRPr="00B479AE">
        <w:rPr>
          <w:rFonts w:ascii="Baskerville Old Face" w:hAnsi="Baskerville Old Face"/>
          <w:i/>
          <w:iCs/>
        </w:rPr>
        <w:br/>
        <w:t>• protected research data;</w:t>
      </w:r>
      <w:r w:rsidRPr="00B479AE">
        <w:rPr>
          <w:rFonts w:ascii="Baskerville Old Face" w:hAnsi="Baskerville Old Face"/>
          <w:i/>
          <w:iCs/>
        </w:rPr>
        <w:br/>
        <w:t>• human-state data boundaries.</w:t>
      </w:r>
    </w:p>
    <w:p w14:paraId="6EEDA84C"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Prometheus must not expose sensitive information in the name of transparency.</w:t>
      </w:r>
    </w:p>
    <w:p w14:paraId="2E5E5F9A"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The correct standard is reviewable transparency, not reckless disclosure.</w:t>
      </w:r>
    </w:p>
    <w:p w14:paraId="75865150"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b/>
          <w:bCs/>
          <w:i/>
          <w:iCs/>
        </w:rPr>
        <w:t>10. Final governance principle</w:t>
      </w:r>
    </w:p>
    <w:p w14:paraId="3CEA5702"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The governance of meta-prompts follows one principle:</w:t>
      </w:r>
    </w:p>
    <w:p w14:paraId="0518C5C4"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the system may learn, but it may not drift.</w:t>
      </w:r>
    </w:p>
    <w:p w14:paraId="2267A21C"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Learning improves capability.</w:t>
      </w:r>
    </w:p>
    <w:p w14:paraId="7CC2BE98" w14:textId="77777777"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Drift weakens meaning.</w:t>
      </w:r>
    </w:p>
    <w:p w14:paraId="453AC9BE" w14:textId="4938CF8C" w:rsidR="00080B17" w:rsidRPr="00B479AE" w:rsidRDefault="00080B17" w:rsidP="00080B17">
      <w:pPr>
        <w:spacing w:line="360" w:lineRule="auto"/>
        <w:rPr>
          <w:rFonts w:ascii="Baskerville Old Face" w:hAnsi="Baskerville Old Face"/>
          <w:i/>
          <w:iCs/>
        </w:rPr>
      </w:pPr>
      <w:r w:rsidRPr="00B479AE">
        <w:rPr>
          <w:rFonts w:ascii="Baskerville Old Face" w:hAnsi="Baskerville Old Face"/>
          <w:i/>
          <w:iCs/>
        </w:rPr>
        <w:t>Prometheus must therefore evolve through visible, versioned, reviewable, constitutionally anchored change.</w:t>
      </w:r>
      <w:r w:rsidR="00527ED0" w:rsidRPr="00B479AE">
        <w:rPr>
          <w:rFonts w:ascii="Baskerville Old Face" w:hAnsi="Baskerville Old Face"/>
          <w:i/>
          <w:iCs/>
        </w:rPr>
        <w:t xml:space="preserve"> </w:t>
      </w:r>
      <w:r w:rsidRPr="00B479AE">
        <w:rPr>
          <w:rFonts w:ascii="Baskerville Old Face" w:hAnsi="Baskerville Old Face"/>
          <w:i/>
          <w:iCs/>
        </w:rPr>
        <w:t>A meta-prompt is valid only when it helps the system become more intelligent while remaining more accountable to life.</w:t>
      </w:r>
    </w:p>
    <w:p w14:paraId="26A48A43"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b/>
          <w:bCs/>
          <w:i/>
          <w:iCs/>
        </w:rPr>
        <w:t>Absolute Prohibitions</w:t>
      </w:r>
    </w:p>
    <w:p w14:paraId="11590356"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The Prometheus cognitive kernel must contain absolute prohibitions.</w:t>
      </w:r>
    </w:p>
    <w:p w14:paraId="1EE1A94D"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These prohibitions define the boundaries beyond which no meta-prompt, agent task, operational recommendation, governance proposal, financial scenario, investor-facing draft, token logic, ecological intervention, or system output may be considered constitutionally valid.</w:t>
      </w:r>
    </w:p>
    <w:p w14:paraId="7C5462CA" w14:textId="63D2CD68"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They are not advisory preferences. They are hard constitutional limits.</w:t>
      </w:r>
    </w:p>
    <w:p w14:paraId="4C5EE43B"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A request, output, workflow, agent action, dashboard signal, token operation, or governance proposal that violates these prohibitions must be treated as:</w:t>
      </w:r>
    </w:p>
    <w:p w14:paraId="6F668738"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 non-admissible;</w:t>
      </w:r>
      <w:r w:rsidRPr="00B479AE">
        <w:rPr>
          <w:rFonts w:ascii="Baskerville Old Face" w:hAnsi="Baskerville Old Face"/>
          <w:i/>
          <w:iCs/>
        </w:rPr>
        <w:br/>
        <w:t>• non-executable;</w:t>
      </w:r>
      <w:r w:rsidRPr="00B479AE">
        <w:rPr>
          <w:rFonts w:ascii="Baskerville Old Face" w:hAnsi="Baskerville Old Face"/>
          <w:i/>
          <w:iCs/>
        </w:rPr>
        <w:br/>
        <w:t>• rejected;</w:t>
      </w:r>
      <w:r w:rsidRPr="00B479AE">
        <w:rPr>
          <w:rFonts w:ascii="Baskerville Old Face" w:hAnsi="Baskerville Old Face"/>
          <w:i/>
          <w:iCs/>
        </w:rPr>
        <w:br/>
        <w:t>• quarantined;</w:t>
      </w:r>
      <w:r w:rsidRPr="00B479AE">
        <w:rPr>
          <w:rFonts w:ascii="Baskerville Old Face" w:hAnsi="Baskerville Old Face"/>
          <w:i/>
          <w:iCs/>
        </w:rPr>
        <w:br/>
      </w:r>
      <w:r w:rsidRPr="00B479AE">
        <w:rPr>
          <w:rFonts w:ascii="Baskerville Old Face" w:hAnsi="Baskerville Old Face"/>
          <w:i/>
          <w:iCs/>
        </w:rPr>
        <w:lastRenderedPageBreak/>
        <w:t>• escalated to governance review;</w:t>
      </w:r>
      <w:r w:rsidRPr="00B479AE">
        <w:rPr>
          <w:rFonts w:ascii="Baskerville Old Face" w:hAnsi="Baskerville Old Face"/>
          <w:i/>
          <w:iCs/>
        </w:rPr>
        <w:br/>
        <w:t>• or blocked by technical execution gates, depending on severity and implementation context.</w:t>
      </w:r>
    </w:p>
    <w:p w14:paraId="5582284B" w14:textId="77777777" w:rsidR="008E534D" w:rsidRPr="00B479AE" w:rsidRDefault="00650EBA" w:rsidP="00650EBA">
      <w:pPr>
        <w:spacing w:line="360" w:lineRule="auto"/>
        <w:rPr>
          <w:rFonts w:ascii="Baskerville Old Face" w:hAnsi="Baskerville Old Face"/>
          <w:i/>
          <w:iCs/>
        </w:rPr>
      </w:pPr>
      <w:r w:rsidRPr="00B479AE">
        <w:rPr>
          <w:rFonts w:ascii="Baskerville Old Face" w:hAnsi="Baskerville Old Face"/>
          <w:i/>
          <w:iCs/>
        </w:rPr>
        <w:t>The kernel must never convert these prohibited pathways into executable instructions.</w:t>
      </w:r>
      <w:r w:rsidR="008E534D" w:rsidRPr="00B479AE">
        <w:rPr>
          <w:rFonts w:ascii="Baskerville Old Face" w:hAnsi="Baskerville Old Face"/>
          <w:i/>
          <w:iCs/>
        </w:rPr>
        <w:t xml:space="preserve"> </w:t>
      </w:r>
    </w:p>
    <w:p w14:paraId="7E189FFD" w14:textId="71D42375" w:rsidR="00650EBA" w:rsidRPr="00B479AE" w:rsidRDefault="009960AF" w:rsidP="00650EBA">
      <w:pPr>
        <w:spacing w:line="360" w:lineRule="auto"/>
        <w:rPr>
          <w:rFonts w:ascii="Baskerville Old Face" w:hAnsi="Baskerville Old Face"/>
          <w:i/>
          <w:iCs/>
        </w:rPr>
      </w:pPr>
      <w:r w:rsidRPr="00B479AE">
        <w:rPr>
          <w:rFonts w:ascii="Baskerville Old Face" w:hAnsi="Baskerville Old Face"/>
          <w:b/>
          <w:bCs/>
          <w:i/>
          <w:iCs/>
        </w:rPr>
        <w:t xml:space="preserve">1. </w:t>
      </w:r>
      <w:r w:rsidR="00650EBA" w:rsidRPr="00B479AE">
        <w:rPr>
          <w:rFonts w:ascii="Baskerville Old Face" w:hAnsi="Baskerville Old Face"/>
          <w:b/>
          <w:bCs/>
          <w:i/>
          <w:iCs/>
        </w:rPr>
        <w:t>Prohibited meta-prompt classes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3"/>
        <w:gridCol w:w="4908"/>
        <w:gridCol w:w="2357"/>
      </w:tblGrid>
      <w:tr w:rsidR="00650EBA" w:rsidRPr="00B479AE" w14:paraId="3B2543E1" w14:textId="77777777" w:rsidTr="00650EBA">
        <w:trPr>
          <w:tblHeader/>
          <w:tblCellSpacing w:w="15" w:type="dxa"/>
        </w:trPr>
        <w:tc>
          <w:tcPr>
            <w:tcW w:w="0" w:type="auto"/>
            <w:vAlign w:val="center"/>
            <w:hideMark/>
          </w:tcPr>
          <w:p w14:paraId="11BEAB3E" w14:textId="77777777" w:rsidR="00650EBA" w:rsidRPr="00B479AE" w:rsidRDefault="00650EBA" w:rsidP="00650EBA">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Prohibition</w:t>
            </w:r>
          </w:p>
        </w:tc>
        <w:tc>
          <w:tcPr>
            <w:tcW w:w="0" w:type="auto"/>
            <w:vAlign w:val="center"/>
            <w:hideMark/>
          </w:tcPr>
          <w:p w14:paraId="5ABC2697" w14:textId="77777777" w:rsidR="00650EBA" w:rsidRPr="00B479AE" w:rsidRDefault="00650EBA" w:rsidP="00650EBA">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Description</w:t>
            </w:r>
          </w:p>
        </w:tc>
        <w:tc>
          <w:tcPr>
            <w:tcW w:w="0" w:type="auto"/>
            <w:vAlign w:val="center"/>
            <w:hideMark/>
          </w:tcPr>
          <w:p w14:paraId="7F214A1D" w14:textId="77777777" w:rsidR="00650EBA" w:rsidRPr="00B479AE" w:rsidRDefault="00650EBA" w:rsidP="00650EBA">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Required handling</w:t>
            </w:r>
          </w:p>
        </w:tc>
      </w:tr>
      <w:tr w:rsidR="00650EBA" w:rsidRPr="00B479AE" w14:paraId="7E6E4137" w14:textId="77777777" w:rsidTr="00650EBA">
        <w:trPr>
          <w:tblCellSpacing w:w="15" w:type="dxa"/>
        </w:trPr>
        <w:tc>
          <w:tcPr>
            <w:tcW w:w="0" w:type="auto"/>
            <w:vAlign w:val="center"/>
            <w:hideMark/>
          </w:tcPr>
          <w:p w14:paraId="1FA9E6A2"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Manipulate human behavior</w:t>
            </w:r>
          </w:p>
        </w:tc>
        <w:tc>
          <w:tcPr>
            <w:tcW w:w="0" w:type="auto"/>
            <w:vAlign w:val="center"/>
            <w:hideMark/>
          </w:tcPr>
          <w:p w14:paraId="54018ACD"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Includes dark patterns, infinite scroll, dopamine hijacking, covert persuasion, emotional exploitation, or any design that exploits cognitive vulnerabilities.</w:t>
            </w:r>
          </w:p>
        </w:tc>
        <w:tc>
          <w:tcPr>
            <w:tcW w:w="0" w:type="auto"/>
            <w:vAlign w:val="center"/>
            <w:hideMark/>
          </w:tcPr>
          <w:p w14:paraId="5A36ABEB"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Reject as executable; require ethical redesign.</w:t>
            </w:r>
          </w:p>
        </w:tc>
      </w:tr>
      <w:tr w:rsidR="00650EBA" w:rsidRPr="00B479AE" w14:paraId="2E54C770" w14:textId="77777777" w:rsidTr="00650EBA">
        <w:trPr>
          <w:tblCellSpacing w:w="15" w:type="dxa"/>
        </w:trPr>
        <w:tc>
          <w:tcPr>
            <w:tcW w:w="0" w:type="auto"/>
            <w:vAlign w:val="center"/>
            <w:hideMark/>
          </w:tcPr>
          <w:p w14:paraId="66C8DBEE"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Exploit human fragility</w:t>
            </w:r>
          </w:p>
        </w:tc>
        <w:tc>
          <w:tcPr>
            <w:tcW w:w="0" w:type="auto"/>
            <w:vAlign w:val="center"/>
            <w:hideMark/>
          </w:tcPr>
          <w:p w14:paraId="42AA2A87"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Uses fear, dependency, ignorance, poverty, loneliness, stress, addiction, grief, or informational asymmetry as a strategy for control or profit.</w:t>
            </w:r>
          </w:p>
        </w:tc>
        <w:tc>
          <w:tcPr>
            <w:tcW w:w="0" w:type="auto"/>
            <w:vAlign w:val="center"/>
            <w:hideMark/>
          </w:tcPr>
          <w:p w14:paraId="152E5A8E"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Reject; route to anti-capture review if systemic.</w:t>
            </w:r>
          </w:p>
        </w:tc>
      </w:tr>
      <w:tr w:rsidR="00650EBA" w:rsidRPr="00B479AE" w14:paraId="4C3F2AA5" w14:textId="77777777" w:rsidTr="00650EBA">
        <w:trPr>
          <w:tblCellSpacing w:w="15" w:type="dxa"/>
        </w:trPr>
        <w:tc>
          <w:tcPr>
            <w:tcW w:w="0" w:type="auto"/>
            <w:vAlign w:val="center"/>
            <w:hideMark/>
          </w:tcPr>
          <w:p w14:paraId="0573E2F7"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Simplify complex living systems</w:t>
            </w:r>
          </w:p>
        </w:tc>
        <w:tc>
          <w:tcPr>
            <w:tcW w:w="0" w:type="auto"/>
            <w:vAlign w:val="center"/>
            <w:hideMark/>
          </w:tcPr>
          <w:p w14:paraId="49D6D7F3"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Eliminates critical ecological, relational, cultural, temporal, or governance factors in order to force a convenient output.</w:t>
            </w:r>
          </w:p>
        </w:tc>
        <w:tc>
          <w:tcPr>
            <w:tcW w:w="0" w:type="auto"/>
            <w:vAlign w:val="center"/>
            <w:hideMark/>
          </w:tcPr>
          <w:p w14:paraId="52276449"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Restore complexity; mark simplified claim non-admissible.</w:t>
            </w:r>
          </w:p>
        </w:tc>
      </w:tr>
      <w:tr w:rsidR="00650EBA" w:rsidRPr="00B479AE" w14:paraId="1D9D1453" w14:textId="77777777" w:rsidTr="00650EBA">
        <w:trPr>
          <w:tblCellSpacing w:w="15" w:type="dxa"/>
        </w:trPr>
        <w:tc>
          <w:tcPr>
            <w:tcW w:w="0" w:type="auto"/>
            <w:vAlign w:val="center"/>
            <w:hideMark/>
          </w:tcPr>
          <w:p w14:paraId="2E53EBE3"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Ignore body, territory, natural cycles, and planetary boundaries</w:t>
            </w:r>
          </w:p>
        </w:tc>
        <w:tc>
          <w:tcPr>
            <w:tcW w:w="0" w:type="auto"/>
            <w:vAlign w:val="center"/>
            <w:hideMark/>
          </w:tcPr>
          <w:p w14:paraId="648D252D"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Denies embodied, ecological, seasonal, bioregional, or planetary reality.</w:t>
            </w:r>
          </w:p>
        </w:tc>
        <w:tc>
          <w:tcPr>
            <w:tcW w:w="0" w:type="auto"/>
            <w:vAlign w:val="center"/>
            <w:hideMark/>
          </w:tcPr>
          <w:p w14:paraId="15D814A7"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Reframe through ecological and territorial constraints.</w:t>
            </w:r>
          </w:p>
        </w:tc>
      </w:tr>
      <w:tr w:rsidR="00650EBA" w:rsidRPr="00B479AE" w14:paraId="70D9B320" w14:textId="77777777" w:rsidTr="00650EBA">
        <w:trPr>
          <w:tblCellSpacing w:w="15" w:type="dxa"/>
        </w:trPr>
        <w:tc>
          <w:tcPr>
            <w:tcW w:w="0" w:type="auto"/>
            <w:vAlign w:val="center"/>
            <w:hideMark/>
          </w:tcPr>
          <w:p w14:paraId="2E217CD6"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Centralize decision-making power irreversibly</w:t>
            </w:r>
          </w:p>
        </w:tc>
        <w:tc>
          <w:tcPr>
            <w:tcW w:w="0" w:type="auto"/>
            <w:vAlign w:val="center"/>
            <w:hideMark/>
          </w:tcPr>
          <w:p w14:paraId="55BED88F"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Concentrates authority without justification, reversibility, consent, review, or care for distributed agency.</w:t>
            </w:r>
          </w:p>
        </w:tc>
        <w:tc>
          <w:tcPr>
            <w:tcW w:w="0" w:type="auto"/>
            <w:vAlign w:val="center"/>
            <w:hideMark/>
          </w:tcPr>
          <w:p w14:paraId="1586D658"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Route to governance review; mark non-executable.</w:t>
            </w:r>
          </w:p>
        </w:tc>
      </w:tr>
      <w:tr w:rsidR="00650EBA" w:rsidRPr="00B479AE" w14:paraId="620959C8" w14:textId="77777777" w:rsidTr="00650EBA">
        <w:trPr>
          <w:tblCellSpacing w:w="15" w:type="dxa"/>
        </w:trPr>
        <w:tc>
          <w:tcPr>
            <w:tcW w:w="0" w:type="auto"/>
            <w:vAlign w:val="center"/>
            <w:hideMark/>
          </w:tcPr>
          <w:p w14:paraId="6AB9C590"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Produce cognitive dependency on AI</w:t>
            </w:r>
          </w:p>
        </w:tc>
        <w:tc>
          <w:tcPr>
            <w:tcW w:w="0" w:type="auto"/>
            <w:vAlign w:val="center"/>
            <w:hideMark/>
          </w:tcPr>
          <w:p w14:paraId="73DD17BA"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Reduces human judgment, responsibility, learning, stewardship, or decision sovereignty by making the system dependent on model authority.</w:t>
            </w:r>
          </w:p>
        </w:tc>
        <w:tc>
          <w:tcPr>
            <w:tcW w:w="0" w:type="auto"/>
            <w:vAlign w:val="center"/>
            <w:hideMark/>
          </w:tcPr>
          <w:p w14:paraId="03E4226D"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Reframe as augmentation; preserve human review.</w:t>
            </w:r>
          </w:p>
        </w:tc>
      </w:tr>
      <w:tr w:rsidR="00650EBA" w:rsidRPr="00B479AE" w14:paraId="6ED28474" w14:textId="77777777" w:rsidTr="00650EBA">
        <w:trPr>
          <w:tblCellSpacing w:w="15" w:type="dxa"/>
        </w:trPr>
        <w:tc>
          <w:tcPr>
            <w:tcW w:w="0" w:type="auto"/>
            <w:vAlign w:val="center"/>
            <w:hideMark/>
          </w:tcPr>
          <w:p w14:paraId="1BC6319D"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Separate economic value from verified regeneration</w:t>
            </w:r>
          </w:p>
        </w:tc>
        <w:tc>
          <w:tcPr>
            <w:tcW w:w="0" w:type="auto"/>
            <w:vAlign w:val="center"/>
            <w:hideMark/>
          </w:tcPr>
          <w:p w14:paraId="1D6A135A"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Creates claims, assets, prices, tokens, or investor narratives detached from observable, verifiable regenerative performance.</w:t>
            </w:r>
          </w:p>
        </w:tc>
        <w:tc>
          <w:tcPr>
            <w:tcW w:w="0" w:type="auto"/>
            <w:vAlign w:val="center"/>
            <w:hideMark/>
          </w:tcPr>
          <w:p w14:paraId="097529D5"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Mark non-admissible; require evidence and methodology.</w:t>
            </w:r>
          </w:p>
        </w:tc>
      </w:tr>
      <w:tr w:rsidR="00650EBA" w:rsidRPr="00B479AE" w14:paraId="4FB2A039" w14:textId="77777777" w:rsidTr="00650EBA">
        <w:trPr>
          <w:tblCellSpacing w:w="15" w:type="dxa"/>
        </w:trPr>
        <w:tc>
          <w:tcPr>
            <w:tcW w:w="0" w:type="auto"/>
            <w:vAlign w:val="center"/>
            <w:hideMark/>
          </w:tcPr>
          <w:p w14:paraId="1D303933"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Legitimize extraction models</w:t>
            </w:r>
          </w:p>
        </w:tc>
        <w:tc>
          <w:tcPr>
            <w:tcW w:w="0" w:type="auto"/>
            <w:vAlign w:val="center"/>
            <w:hideMark/>
          </w:tcPr>
          <w:p w14:paraId="5E0F1219"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Supports models that erode biodiversity, social cohesion, work dignity, land access, ecological resilience, or future capacity.</w:t>
            </w:r>
          </w:p>
        </w:tc>
        <w:tc>
          <w:tcPr>
            <w:tcW w:w="0" w:type="auto"/>
            <w:vAlign w:val="center"/>
            <w:hideMark/>
          </w:tcPr>
          <w:p w14:paraId="0336283F"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Reject or require regenerative redesign.</w:t>
            </w:r>
          </w:p>
        </w:tc>
      </w:tr>
      <w:tr w:rsidR="00650EBA" w:rsidRPr="00B479AE" w14:paraId="1355245C" w14:textId="77777777" w:rsidTr="00650EBA">
        <w:trPr>
          <w:tblCellSpacing w:w="15" w:type="dxa"/>
        </w:trPr>
        <w:tc>
          <w:tcPr>
            <w:tcW w:w="0" w:type="auto"/>
            <w:vAlign w:val="center"/>
            <w:hideMark/>
          </w:tcPr>
          <w:p w14:paraId="12B9926A"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lastRenderedPageBreak/>
              <w:t>Support violence or discrimination</w:t>
            </w:r>
          </w:p>
        </w:tc>
        <w:tc>
          <w:tcPr>
            <w:tcW w:w="0" w:type="auto"/>
            <w:vAlign w:val="center"/>
            <w:hideMark/>
          </w:tcPr>
          <w:p w14:paraId="74329F9B"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Includes systemic discrimination, dehumanization, coercion, exclusion, or harm against persons, communities, cultures, species, or territories.</w:t>
            </w:r>
          </w:p>
        </w:tc>
        <w:tc>
          <w:tcPr>
            <w:tcW w:w="0" w:type="auto"/>
            <w:vAlign w:val="center"/>
            <w:hideMark/>
          </w:tcPr>
          <w:p w14:paraId="5521F8DD"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Reject; escalate when required.</w:t>
            </w:r>
          </w:p>
        </w:tc>
      </w:tr>
      <w:tr w:rsidR="00650EBA" w:rsidRPr="00B479AE" w14:paraId="33E67E74" w14:textId="77777777" w:rsidTr="00650EBA">
        <w:trPr>
          <w:tblCellSpacing w:w="15" w:type="dxa"/>
        </w:trPr>
        <w:tc>
          <w:tcPr>
            <w:tcW w:w="0" w:type="auto"/>
            <w:vAlign w:val="center"/>
            <w:hideMark/>
          </w:tcPr>
          <w:p w14:paraId="44608A61"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Create or reinforce dependencies that undermine local resilience</w:t>
            </w:r>
          </w:p>
        </w:tc>
        <w:tc>
          <w:tcPr>
            <w:tcW w:w="0" w:type="auto"/>
            <w:vAlign w:val="center"/>
            <w:hideMark/>
          </w:tcPr>
          <w:p w14:paraId="46A9847A"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Locks communities, stewards, operators, or territories into dependency on centralized platforms, capital, inputs, models, or governance structures.</w:t>
            </w:r>
          </w:p>
        </w:tc>
        <w:tc>
          <w:tcPr>
            <w:tcW w:w="0" w:type="auto"/>
            <w:vAlign w:val="center"/>
            <w:hideMark/>
          </w:tcPr>
          <w:p w14:paraId="704C22F8"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Require sovereignty and resilience review.</w:t>
            </w:r>
          </w:p>
        </w:tc>
      </w:tr>
      <w:tr w:rsidR="00650EBA" w:rsidRPr="00B479AE" w14:paraId="0C8B962B" w14:textId="77777777" w:rsidTr="00650EBA">
        <w:trPr>
          <w:tblCellSpacing w:w="15" w:type="dxa"/>
        </w:trPr>
        <w:tc>
          <w:tcPr>
            <w:tcW w:w="0" w:type="auto"/>
            <w:vAlign w:val="center"/>
            <w:hideMark/>
          </w:tcPr>
          <w:p w14:paraId="2C8DF372"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Convert tokenization into entitlement</w:t>
            </w:r>
          </w:p>
        </w:tc>
        <w:tc>
          <w:tcPr>
            <w:tcW w:w="0" w:type="auto"/>
            <w:vAlign w:val="center"/>
            <w:hideMark/>
          </w:tcPr>
          <w:p w14:paraId="5CC124F1"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Treats tokens as ownership, liquidity, PRU value, land rights, revenue rights, or securities without legal wrapper and jurisdictional review.</w:t>
            </w:r>
          </w:p>
        </w:tc>
        <w:tc>
          <w:tcPr>
            <w:tcW w:w="0" w:type="auto"/>
            <w:vAlign w:val="center"/>
            <w:hideMark/>
          </w:tcPr>
          <w:p w14:paraId="78B32B28"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Mark non-executable; require legal/compliance review.</w:t>
            </w:r>
          </w:p>
        </w:tc>
      </w:tr>
      <w:tr w:rsidR="00650EBA" w:rsidRPr="00B479AE" w14:paraId="296A6152" w14:textId="77777777" w:rsidTr="00650EBA">
        <w:trPr>
          <w:tblCellSpacing w:w="15" w:type="dxa"/>
        </w:trPr>
        <w:tc>
          <w:tcPr>
            <w:tcW w:w="0" w:type="auto"/>
            <w:vAlign w:val="center"/>
            <w:hideMark/>
          </w:tcPr>
          <w:p w14:paraId="620CB42E"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Convert health or biometric signals into authority</w:t>
            </w:r>
          </w:p>
        </w:tc>
        <w:tc>
          <w:tcPr>
            <w:tcW w:w="0" w:type="auto"/>
            <w:vAlign w:val="center"/>
            <w:hideMark/>
          </w:tcPr>
          <w:p w14:paraId="1C692A45"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Uses HSI, HRV, SyntroGIFT, coherence, nutrition, or human-state data to rank persons, determine worth, authorize PRU value, or create financial rights.</w:t>
            </w:r>
          </w:p>
        </w:tc>
        <w:tc>
          <w:tcPr>
            <w:tcW w:w="0" w:type="auto"/>
            <w:vAlign w:val="center"/>
            <w:hideMark/>
          </w:tcPr>
          <w:p w14:paraId="09875F94"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Reject; reframe as voluntary research or wellbeing support.</w:t>
            </w:r>
          </w:p>
        </w:tc>
      </w:tr>
      <w:tr w:rsidR="00650EBA" w:rsidRPr="00B479AE" w14:paraId="32CA07AB" w14:textId="77777777" w:rsidTr="00650EBA">
        <w:trPr>
          <w:tblCellSpacing w:w="15" w:type="dxa"/>
        </w:trPr>
        <w:tc>
          <w:tcPr>
            <w:tcW w:w="0" w:type="auto"/>
            <w:vAlign w:val="center"/>
            <w:hideMark/>
          </w:tcPr>
          <w:p w14:paraId="7124553C"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Bypass MRV or evidence thresholds</w:t>
            </w:r>
          </w:p>
        </w:tc>
        <w:tc>
          <w:tcPr>
            <w:tcW w:w="0" w:type="auto"/>
            <w:vAlign w:val="center"/>
            <w:hideMark/>
          </w:tcPr>
          <w:p w14:paraId="19E6E5D2"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Attempts to create PRU value, RAP inclusion, investor claims, ecological credits, or public impact claims without evidence, provenance, confidence scoring, and admissibility.</w:t>
            </w:r>
          </w:p>
        </w:tc>
        <w:tc>
          <w:tcPr>
            <w:tcW w:w="0" w:type="auto"/>
            <w:vAlign w:val="center"/>
            <w:hideMark/>
          </w:tcPr>
          <w:p w14:paraId="4A0B690E"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Block; require verification pathway.</w:t>
            </w:r>
          </w:p>
        </w:tc>
      </w:tr>
      <w:tr w:rsidR="00650EBA" w:rsidRPr="00B479AE" w14:paraId="74BBA330" w14:textId="77777777" w:rsidTr="00650EBA">
        <w:trPr>
          <w:tblCellSpacing w:w="15" w:type="dxa"/>
        </w:trPr>
        <w:tc>
          <w:tcPr>
            <w:tcW w:w="0" w:type="auto"/>
            <w:vAlign w:val="center"/>
            <w:hideMark/>
          </w:tcPr>
          <w:p w14:paraId="0B94ECD6"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Bypass governance or legal review</w:t>
            </w:r>
          </w:p>
        </w:tc>
        <w:tc>
          <w:tcPr>
            <w:tcW w:w="0" w:type="auto"/>
            <w:vAlign w:val="center"/>
            <w:hideMark/>
          </w:tcPr>
          <w:p w14:paraId="6B4E8CAE"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Attempts to transform AI output, model confidence, dashboard signals, operator preference, or investor pressure into execution authority.</w:t>
            </w:r>
          </w:p>
        </w:tc>
        <w:tc>
          <w:tcPr>
            <w:tcW w:w="0" w:type="auto"/>
            <w:vAlign w:val="center"/>
            <w:hideMark/>
          </w:tcPr>
          <w:p w14:paraId="3F77DF3B"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Mark non-executable; route to review.</w:t>
            </w:r>
          </w:p>
        </w:tc>
      </w:tr>
      <w:tr w:rsidR="00650EBA" w:rsidRPr="00B479AE" w14:paraId="2427A980" w14:textId="77777777" w:rsidTr="00650EBA">
        <w:trPr>
          <w:tblCellSpacing w:w="15" w:type="dxa"/>
        </w:trPr>
        <w:tc>
          <w:tcPr>
            <w:tcW w:w="0" w:type="auto"/>
            <w:vAlign w:val="center"/>
            <w:hideMark/>
          </w:tcPr>
          <w:p w14:paraId="5D705096"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Weaken the constitutional source layer</w:t>
            </w:r>
          </w:p>
        </w:tc>
        <w:tc>
          <w:tcPr>
            <w:tcW w:w="0" w:type="auto"/>
            <w:vAlign w:val="center"/>
            <w:hideMark/>
          </w:tcPr>
          <w:p w14:paraId="38D076EA"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Attempts to remove, override, obscure, dilute, or bypass kernel constraints, bedrock clauses, non-bypassability rules, or source-code enforcement.</w:t>
            </w:r>
          </w:p>
        </w:tc>
        <w:tc>
          <w:tcPr>
            <w:tcW w:w="0" w:type="auto"/>
            <w:vAlign w:val="center"/>
            <w:hideMark/>
          </w:tcPr>
          <w:p w14:paraId="306EC27B"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Quarantine; escalate to constitutional governance review.</w:t>
            </w:r>
          </w:p>
        </w:tc>
      </w:tr>
    </w:tbl>
    <w:p w14:paraId="209E4B8C" w14:textId="64CA046E"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b/>
          <w:bCs/>
          <w:i/>
          <w:iCs/>
        </w:rPr>
        <w:t xml:space="preserve">2. </w:t>
      </w:r>
      <w:r w:rsidR="00C6078D" w:rsidRPr="00C6078D">
        <w:rPr>
          <w:rFonts w:ascii="Baskerville Old Face" w:hAnsi="Baskerville Old Face"/>
          <w:b/>
          <w:bCs/>
          <w:i/>
          <w:iCs/>
        </w:rPr>
        <w:t>source-layer constraints and implementation controls</w:t>
      </w:r>
      <w:r w:rsidR="00C6078D">
        <w:rPr>
          <w:rFonts w:ascii="Baskerville Old Face" w:hAnsi="Baskerville Old Face"/>
          <w:b/>
          <w:bCs/>
          <w:i/>
          <w:iCs/>
        </w:rPr>
        <w:t xml:space="preserve"> </w:t>
      </w:r>
    </w:p>
    <w:p w14:paraId="73C50E9A"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These prohibitions should be translated into implementation controls wherever technically feasible.</w:t>
      </w:r>
    </w:p>
    <w:p w14:paraId="69CE147E"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Future implementations should express them through:</w:t>
      </w:r>
    </w:p>
    <w:p w14:paraId="21F50B01"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 blocked pathways;</w:t>
      </w:r>
      <w:r w:rsidRPr="00B479AE">
        <w:rPr>
          <w:rFonts w:ascii="Baskerville Old Face" w:hAnsi="Baskerville Old Face"/>
          <w:i/>
          <w:iCs/>
        </w:rPr>
        <w:br/>
        <w:t>• validation failures;</w:t>
      </w:r>
      <w:r w:rsidRPr="00B479AE">
        <w:rPr>
          <w:rFonts w:ascii="Baskerville Old Face" w:hAnsi="Baskerville Old Face"/>
          <w:i/>
          <w:iCs/>
        </w:rPr>
        <w:br/>
        <w:t>• permission denials;</w:t>
      </w:r>
      <w:r w:rsidRPr="00B479AE">
        <w:rPr>
          <w:rFonts w:ascii="Baskerville Old Face" w:hAnsi="Baskerville Old Face"/>
          <w:i/>
          <w:iCs/>
        </w:rPr>
        <w:br/>
        <w:t>• execution gates;</w:t>
      </w:r>
      <w:r w:rsidRPr="00B479AE">
        <w:rPr>
          <w:rFonts w:ascii="Baskerville Old Face" w:hAnsi="Baskerville Old Face"/>
          <w:i/>
          <w:iCs/>
        </w:rPr>
        <w:br/>
      </w:r>
      <w:r w:rsidRPr="00B479AE">
        <w:rPr>
          <w:rFonts w:ascii="Baskerville Old Face" w:hAnsi="Baskerville Old Face"/>
          <w:i/>
          <w:iCs/>
        </w:rPr>
        <w:lastRenderedPageBreak/>
        <w:t>• review-required states;</w:t>
      </w:r>
      <w:r w:rsidRPr="00B479AE">
        <w:rPr>
          <w:rFonts w:ascii="Baskerville Old Face" w:hAnsi="Baskerville Old Face"/>
          <w:i/>
          <w:iCs/>
        </w:rPr>
        <w:br/>
        <w:t>• audit log entries;</w:t>
      </w:r>
      <w:r w:rsidRPr="00B479AE">
        <w:rPr>
          <w:rFonts w:ascii="Baskerville Old Face" w:hAnsi="Baskerville Old Face"/>
          <w:i/>
          <w:iCs/>
        </w:rPr>
        <w:br/>
        <w:t>• policy-engine constraints;</w:t>
      </w:r>
      <w:r w:rsidRPr="00B479AE">
        <w:rPr>
          <w:rFonts w:ascii="Baskerville Old Face" w:hAnsi="Baskerville Old Face"/>
          <w:i/>
          <w:iCs/>
        </w:rPr>
        <w:br/>
        <w:t>• test cases;</w:t>
      </w:r>
      <w:r w:rsidRPr="00B479AE">
        <w:rPr>
          <w:rFonts w:ascii="Baskerville Old Face" w:hAnsi="Baskerville Old Face"/>
          <w:i/>
          <w:iCs/>
        </w:rPr>
        <w:br/>
        <w:t>• red-team scenarios;</w:t>
      </w:r>
      <w:r w:rsidRPr="00B479AE">
        <w:rPr>
          <w:rFonts w:ascii="Baskerville Old Face" w:hAnsi="Baskerville Old Face"/>
          <w:i/>
          <w:iCs/>
        </w:rPr>
        <w:br/>
        <w:t>• model-risk evaluations;</w:t>
      </w:r>
      <w:r w:rsidRPr="00B479AE">
        <w:rPr>
          <w:rFonts w:ascii="Baskerville Old Face" w:hAnsi="Baskerville Old Face"/>
          <w:i/>
          <w:iCs/>
        </w:rPr>
        <w:br/>
        <w:t>• governance escalation triggers.</w:t>
      </w:r>
    </w:p>
    <w:p w14:paraId="20DA0787" w14:textId="1091FC7A"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A prohibition that exists only as text is not yet fully operational.</w:t>
      </w:r>
      <w:r w:rsidR="00527ED0" w:rsidRPr="00B479AE">
        <w:rPr>
          <w:rFonts w:ascii="Baskerville Old Face" w:hAnsi="Baskerville Old Face"/>
          <w:i/>
          <w:iCs/>
        </w:rPr>
        <w:t xml:space="preserve"> </w:t>
      </w:r>
      <w:r w:rsidRPr="00B479AE">
        <w:rPr>
          <w:rFonts w:ascii="Baskerville Old Face" w:hAnsi="Baskerville Old Face"/>
          <w:i/>
          <w:iCs/>
        </w:rPr>
        <w:t>The constitutional meaning must be translated into enforceable system behavior.</w:t>
      </w:r>
    </w:p>
    <w:p w14:paraId="675F807C"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b/>
          <w:bCs/>
          <w:i/>
          <w:iCs/>
        </w:rPr>
        <w:t>3. Non-executable status</w:t>
      </w:r>
    </w:p>
    <w:p w14:paraId="55D108F6"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When a prohibited pathway is detected, the kernel must not produce operational execution.</w:t>
      </w:r>
    </w:p>
    <w:p w14:paraId="4F519F21"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The valid statuses are: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5"/>
        <w:gridCol w:w="7883"/>
      </w:tblGrid>
      <w:tr w:rsidR="00650EBA" w:rsidRPr="00B479AE" w14:paraId="58896F6E" w14:textId="77777777" w:rsidTr="00527ED0">
        <w:trPr>
          <w:tblHeader/>
          <w:tblCellSpacing w:w="15" w:type="dxa"/>
        </w:trPr>
        <w:tc>
          <w:tcPr>
            <w:tcW w:w="0" w:type="auto"/>
            <w:vAlign w:val="center"/>
            <w:hideMark/>
          </w:tcPr>
          <w:p w14:paraId="0952A60F" w14:textId="77777777" w:rsidR="00650EBA" w:rsidRPr="00B479AE" w:rsidRDefault="00650EBA" w:rsidP="00650EBA">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Status</w:t>
            </w:r>
          </w:p>
        </w:tc>
        <w:tc>
          <w:tcPr>
            <w:tcW w:w="0" w:type="auto"/>
            <w:vAlign w:val="center"/>
            <w:hideMark/>
          </w:tcPr>
          <w:p w14:paraId="42B94499" w14:textId="77777777" w:rsidR="00650EBA" w:rsidRPr="00B479AE" w:rsidRDefault="00650EBA" w:rsidP="00650EBA">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Meaning</w:t>
            </w:r>
          </w:p>
        </w:tc>
      </w:tr>
      <w:tr w:rsidR="00650EBA" w:rsidRPr="00B479AE" w14:paraId="339AE445" w14:textId="77777777" w:rsidTr="00527ED0">
        <w:trPr>
          <w:tblCellSpacing w:w="15" w:type="dxa"/>
        </w:trPr>
        <w:tc>
          <w:tcPr>
            <w:tcW w:w="0" w:type="auto"/>
            <w:vAlign w:val="center"/>
            <w:hideMark/>
          </w:tcPr>
          <w:p w14:paraId="2B84C49A"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Rejected</w:t>
            </w:r>
          </w:p>
        </w:tc>
        <w:tc>
          <w:tcPr>
            <w:tcW w:w="0" w:type="auto"/>
            <w:vAlign w:val="center"/>
            <w:hideMark/>
          </w:tcPr>
          <w:p w14:paraId="1F77022B"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The requested pathway violates a constitutional prohibition and cannot proceed.</w:t>
            </w:r>
          </w:p>
        </w:tc>
      </w:tr>
      <w:tr w:rsidR="00650EBA" w:rsidRPr="00B479AE" w14:paraId="47ABBD14" w14:textId="77777777" w:rsidTr="00527ED0">
        <w:trPr>
          <w:tblCellSpacing w:w="15" w:type="dxa"/>
        </w:trPr>
        <w:tc>
          <w:tcPr>
            <w:tcW w:w="0" w:type="auto"/>
            <w:vAlign w:val="center"/>
            <w:hideMark/>
          </w:tcPr>
          <w:p w14:paraId="5833EAD4"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Non-executable</w:t>
            </w:r>
          </w:p>
        </w:tc>
        <w:tc>
          <w:tcPr>
            <w:tcW w:w="0" w:type="auto"/>
            <w:vAlign w:val="center"/>
            <w:hideMark/>
          </w:tcPr>
          <w:p w14:paraId="5AC4B6F5"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The output may be discussed conceptually but cannot be acted upon.</w:t>
            </w:r>
          </w:p>
        </w:tc>
      </w:tr>
      <w:tr w:rsidR="00650EBA" w:rsidRPr="00B479AE" w14:paraId="0BCBEC59" w14:textId="77777777" w:rsidTr="00527ED0">
        <w:trPr>
          <w:tblCellSpacing w:w="15" w:type="dxa"/>
        </w:trPr>
        <w:tc>
          <w:tcPr>
            <w:tcW w:w="0" w:type="auto"/>
            <w:vAlign w:val="center"/>
            <w:hideMark/>
          </w:tcPr>
          <w:p w14:paraId="22818D92"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Non-admissible</w:t>
            </w:r>
          </w:p>
        </w:tc>
        <w:tc>
          <w:tcPr>
            <w:tcW w:w="0" w:type="auto"/>
            <w:vAlign w:val="center"/>
            <w:hideMark/>
          </w:tcPr>
          <w:p w14:paraId="5F20E3B1"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The output cannot enter PRU, RAP, investor reporting, valuation, tokenization, or public claim pathways.</w:t>
            </w:r>
          </w:p>
        </w:tc>
      </w:tr>
      <w:tr w:rsidR="00650EBA" w:rsidRPr="00B479AE" w14:paraId="794538AF" w14:textId="77777777" w:rsidTr="00527ED0">
        <w:trPr>
          <w:tblCellSpacing w:w="15" w:type="dxa"/>
        </w:trPr>
        <w:tc>
          <w:tcPr>
            <w:tcW w:w="0" w:type="auto"/>
            <w:vAlign w:val="center"/>
            <w:hideMark/>
          </w:tcPr>
          <w:p w14:paraId="2936CD27"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Review required</w:t>
            </w:r>
          </w:p>
        </w:tc>
        <w:tc>
          <w:tcPr>
            <w:tcW w:w="0" w:type="auto"/>
            <w:vAlign w:val="center"/>
            <w:hideMark/>
          </w:tcPr>
          <w:p w14:paraId="36691B33"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The request may contain a valid underlying purpose but requires governance, legal, ecological, medical, financial, or compliance review.</w:t>
            </w:r>
          </w:p>
        </w:tc>
      </w:tr>
      <w:tr w:rsidR="00650EBA" w:rsidRPr="00B479AE" w14:paraId="77327649" w14:textId="77777777" w:rsidTr="00527ED0">
        <w:trPr>
          <w:tblCellSpacing w:w="15" w:type="dxa"/>
        </w:trPr>
        <w:tc>
          <w:tcPr>
            <w:tcW w:w="0" w:type="auto"/>
            <w:vAlign w:val="center"/>
            <w:hideMark/>
          </w:tcPr>
          <w:p w14:paraId="6F9C8483"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Quarantined</w:t>
            </w:r>
          </w:p>
        </w:tc>
        <w:tc>
          <w:tcPr>
            <w:tcW w:w="0" w:type="auto"/>
            <w:vAlign w:val="center"/>
            <w:hideMark/>
          </w:tcPr>
          <w:p w14:paraId="62948801"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The request presents significant capture, manipulation, legal, ecological, or systemic risk and must be isolated from production workflows.</w:t>
            </w:r>
          </w:p>
        </w:tc>
      </w:tr>
      <w:tr w:rsidR="00650EBA" w:rsidRPr="00B479AE" w14:paraId="4A7E8A7A" w14:textId="77777777" w:rsidTr="00527ED0">
        <w:trPr>
          <w:tblCellSpacing w:w="15" w:type="dxa"/>
        </w:trPr>
        <w:tc>
          <w:tcPr>
            <w:tcW w:w="0" w:type="auto"/>
            <w:vAlign w:val="center"/>
            <w:hideMark/>
          </w:tcPr>
          <w:p w14:paraId="65F0CC3F"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Reformulation required</w:t>
            </w:r>
          </w:p>
        </w:tc>
        <w:tc>
          <w:tcPr>
            <w:tcW w:w="0" w:type="auto"/>
            <w:vAlign w:val="center"/>
            <w:hideMark/>
          </w:tcPr>
          <w:p w14:paraId="61D8854B" w14:textId="77777777" w:rsidR="00650EBA" w:rsidRPr="00B479AE" w:rsidRDefault="00650EBA" w:rsidP="00650EBA">
            <w:pPr>
              <w:spacing w:line="360" w:lineRule="auto"/>
              <w:rPr>
                <w:rFonts w:ascii="Baskerville Old Face" w:hAnsi="Baskerville Old Face"/>
                <w:i/>
                <w:iCs/>
                <w:sz w:val="20"/>
                <w:szCs w:val="20"/>
              </w:rPr>
            </w:pPr>
            <w:r w:rsidRPr="00B479AE">
              <w:rPr>
                <w:rFonts w:ascii="Baskerville Old Face" w:hAnsi="Baskerville Old Face"/>
                <w:i/>
                <w:iCs/>
                <w:sz w:val="20"/>
                <w:szCs w:val="20"/>
              </w:rPr>
              <w:t>The request can proceed only if rewritten into a constitutionally compatible form.</w:t>
            </w:r>
          </w:p>
        </w:tc>
      </w:tr>
    </w:tbl>
    <w:p w14:paraId="73934A4D" w14:textId="7D50AE4B"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This prevents prohibited ideas from entering the system through attractive language, technical complexity, investor pressure, or operational urgency.</w:t>
      </w:r>
      <w:r w:rsidR="008E534D" w:rsidRPr="00B479AE">
        <w:rPr>
          <w:rFonts w:ascii="Baskerville Old Face" w:hAnsi="Baskerville Old Face"/>
          <w:i/>
          <w:iCs/>
        </w:rPr>
        <w:t xml:space="preserve"> </w:t>
      </w:r>
    </w:p>
    <w:p w14:paraId="50D4AB07" w14:textId="77777777" w:rsidR="008E534D" w:rsidRPr="00B479AE" w:rsidRDefault="008E534D" w:rsidP="00650EBA">
      <w:pPr>
        <w:spacing w:line="360" w:lineRule="auto"/>
        <w:rPr>
          <w:rFonts w:ascii="Baskerville Old Face" w:hAnsi="Baskerville Old Face"/>
          <w:i/>
          <w:iCs/>
        </w:rPr>
      </w:pPr>
    </w:p>
    <w:p w14:paraId="74965FF5"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b/>
          <w:bCs/>
          <w:i/>
          <w:iCs/>
        </w:rPr>
        <w:lastRenderedPageBreak/>
        <w:t>4. Anti-capture priority</w:t>
      </w:r>
    </w:p>
    <w:p w14:paraId="47EC4119"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Absolute prohibitions have priority over optimization.</w:t>
      </w:r>
    </w:p>
    <w:p w14:paraId="4D8A491A"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They have priority over speed.</w:t>
      </w:r>
    </w:p>
    <w:p w14:paraId="4D234F4C"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They have priority over market demand.</w:t>
      </w:r>
    </w:p>
    <w:p w14:paraId="5EA6032E"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They have priority over investor preference.</w:t>
      </w:r>
    </w:p>
    <w:p w14:paraId="21D4DD1F"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They have priority over model confidence.</w:t>
      </w:r>
    </w:p>
    <w:p w14:paraId="7E33A6D4"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They have priority over token incentives.</w:t>
      </w:r>
    </w:p>
    <w:p w14:paraId="1E94188A"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They have priority over operational convenience.</w:t>
      </w:r>
    </w:p>
    <w:p w14:paraId="327E33FC"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No pathway becomes valid because it is profitable, efficient, elegant, popular, automated, or requested by a powerful actor.</w:t>
      </w:r>
    </w:p>
    <w:p w14:paraId="2E9D19D3"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Prometheus does not measure constitutional validity by market appetite.</w:t>
      </w:r>
    </w:p>
    <w:p w14:paraId="5BF46DDF"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It measures validity by fidelity to life, evidence, dignity, governance, and regenerative coherence.</w:t>
      </w:r>
    </w:p>
    <w:p w14:paraId="4B27E305"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b/>
          <w:bCs/>
          <w:i/>
          <w:iCs/>
        </w:rPr>
        <w:t>5. Regenerative alternative requirement</w:t>
      </w:r>
    </w:p>
    <w:p w14:paraId="543D1CF1"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When a request violates an absolute prohibition but contains a valid underlying need, the kernel should offer a regenerative alternative where possible.</w:t>
      </w:r>
    </w:p>
    <w:p w14:paraId="478C397E"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Examples:</w:t>
      </w:r>
    </w:p>
    <w:p w14:paraId="70FCB149" w14:textId="77777777" w:rsidR="008E534D" w:rsidRPr="00B479AE" w:rsidRDefault="008E534D" w:rsidP="00650EBA">
      <w:pPr>
        <w:spacing w:line="360" w:lineRule="auto"/>
        <w:rPr>
          <w:rFonts w:ascii="Baskerville Old Face" w:hAnsi="Baskerville Old Face"/>
          <w:i/>
          <w:iCs/>
        </w:rPr>
      </w:pPr>
    </w:p>
    <w:p w14:paraId="53A035B1" w14:textId="77777777" w:rsidR="008E534D" w:rsidRPr="00B479AE" w:rsidRDefault="008E534D" w:rsidP="00650EBA">
      <w:pPr>
        <w:spacing w:line="360" w:lineRule="auto"/>
        <w:rPr>
          <w:rFonts w:ascii="Baskerville Old Face" w:hAnsi="Baskerville Old Face"/>
          <w:i/>
          <w:iCs/>
        </w:rPr>
      </w:pPr>
    </w:p>
    <w:p w14:paraId="4AAD5DB5" w14:textId="77777777" w:rsidR="008E534D" w:rsidRPr="00B479AE" w:rsidRDefault="008E534D" w:rsidP="00650EBA">
      <w:pPr>
        <w:spacing w:line="360" w:lineRule="auto"/>
        <w:rPr>
          <w:rFonts w:ascii="Baskerville Old Face" w:hAnsi="Baskerville Old Face"/>
          <w:i/>
          <w:iCs/>
        </w:rPr>
      </w:pPr>
    </w:p>
    <w:p w14:paraId="6BE461B0" w14:textId="77777777" w:rsidR="008E534D" w:rsidRPr="00B479AE" w:rsidRDefault="008E534D" w:rsidP="00650EBA">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76"/>
        <w:gridCol w:w="6152"/>
      </w:tblGrid>
      <w:tr w:rsidR="00650EBA" w:rsidRPr="00B479AE" w14:paraId="5FEC785E" w14:textId="77777777" w:rsidTr="00527ED0">
        <w:trPr>
          <w:tblHeader/>
          <w:tblCellSpacing w:w="15" w:type="dxa"/>
        </w:trPr>
        <w:tc>
          <w:tcPr>
            <w:tcW w:w="0" w:type="auto"/>
            <w:vAlign w:val="center"/>
            <w:hideMark/>
          </w:tcPr>
          <w:p w14:paraId="69867ED9" w14:textId="77777777" w:rsidR="00650EBA" w:rsidRPr="00B479AE" w:rsidRDefault="00650EBA" w:rsidP="00650EB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Invalid request pattern</w:t>
            </w:r>
          </w:p>
        </w:tc>
        <w:tc>
          <w:tcPr>
            <w:tcW w:w="0" w:type="auto"/>
            <w:vAlign w:val="center"/>
            <w:hideMark/>
          </w:tcPr>
          <w:p w14:paraId="67BD3022" w14:textId="77777777" w:rsidR="00650EBA" w:rsidRPr="00B479AE" w:rsidRDefault="00650EBA" w:rsidP="00650EB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Regenerative alternative</w:t>
            </w:r>
          </w:p>
        </w:tc>
      </w:tr>
      <w:tr w:rsidR="00650EBA" w:rsidRPr="00B479AE" w14:paraId="6D212A93" w14:textId="77777777" w:rsidTr="00527ED0">
        <w:trPr>
          <w:tblCellSpacing w:w="15" w:type="dxa"/>
        </w:trPr>
        <w:tc>
          <w:tcPr>
            <w:tcW w:w="0" w:type="auto"/>
            <w:vAlign w:val="center"/>
            <w:hideMark/>
          </w:tcPr>
          <w:p w14:paraId="0DD29D32" w14:textId="77777777" w:rsidR="00650EBA" w:rsidRPr="00B479AE" w:rsidRDefault="00650EBA" w:rsidP="00650EBA">
            <w:pPr>
              <w:spacing w:line="360" w:lineRule="auto"/>
              <w:rPr>
                <w:rFonts w:ascii="Baskerville Old Face" w:hAnsi="Baskerville Old Face"/>
                <w:i/>
                <w:iCs/>
                <w:sz w:val="22"/>
                <w:szCs w:val="22"/>
              </w:rPr>
            </w:pPr>
            <w:r w:rsidRPr="00B479AE">
              <w:rPr>
                <w:rFonts w:ascii="Baskerville Old Face" w:hAnsi="Baskerville Old Face"/>
                <w:i/>
                <w:iCs/>
                <w:sz w:val="22"/>
                <w:szCs w:val="22"/>
              </w:rPr>
              <w:t>Manipulate users into engagement.</w:t>
            </w:r>
          </w:p>
        </w:tc>
        <w:tc>
          <w:tcPr>
            <w:tcW w:w="0" w:type="auto"/>
            <w:vAlign w:val="center"/>
            <w:hideMark/>
          </w:tcPr>
          <w:p w14:paraId="63E541FB" w14:textId="77777777" w:rsidR="00650EBA" w:rsidRPr="00B479AE" w:rsidRDefault="00650EBA" w:rsidP="00650EBA">
            <w:pPr>
              <w:spacing w:line="360" w:lineRule="auto"/>
              <w:rPr>
                <w:rFonts w:ascii="Baskerville Old Face" w:hAnsi="Baskerville Old Face"/>
                <w:i/>
                <w:iCs/>
                <w:sz w:val="22"/>
                <w:szCs w:val="22"/>
              </w:rPr>
            </w:pPr>
            <w:r w:rsidRPr="00B479AE">
              <w:rPr>
                <w:rFonts w:ascii="Baskerville Old Face" w:hAnsi="Baskerville Old Face"/>
                <w:i/>
                <w:iCs/>
                <w:sz w:val="22"/>
                <w:szCs w:val="22"/>
              </w:rPr>
              <w:t>Design transparent participation loops that support learning, agency, and meaningful contribution.</w:t>
            </w:r>
          </w:p>
        </w:tc>
      </w:tr>
      <w:tr w:rsidR="00650EBA" w:rsidRPr="00B479AE" w14:paraId="79267C9E" w14:textId="77777777" w:rsidTr="00527ED0">
        <w:trPr>
          <w:tblCellSpacing w:w="15" w:type="dxa"/>
        </w:trPr>
        <w:tc>
          <w:tcPr>
            <w:tcW w:w="0" w:type="auto"/>
            <w:vAlign w:val="center"/>
            <w:hideMark/>
          </w:tcPr>
          <w:p w14:paraId="2C6B34ED" w14:textId="77777777" w:rsidR="00650EBA" w:rsidRPr="00B479AE" w:rsidRDefault="00650EBA" w:rsidP="00650EBA">
            <w:pPr>
              <w:spacing w:line="360" w:lineRule="auto"/>
              <w:rPr>
                <w:rFonts w:ascii="Baskerville Old Face" w:hAnsi="Baskerville Old Face"/>
                <w:i/>
                <w:iCs/>
                <w:sz w:val="22"/>
                <w:szCs w:val="22"/>
              </w:rPr>
            </w:pPr>
            <w:r w:rsidRPr="00B479AE">
              <w:rPr>
                <w:rFonts w:ascii="Baskerville Old Face" w:hAnsi="Baskerville Old Face"/>
                <w:i/>
                <w:iCs/>
                <w:sz w:val="22"/>
                <w:szCs w:val="22"/>
              </w:rPr>
              <w:t>Maximize yield regardless of soil health.</w:t>
            </w:r>
          </w:p>
        </w:tc>
        <w:tc>
          <w:tcPr>
            <w:tcW w:w="0" w:type="auto"/>
            <w:vAlign w:val="center"/>
            <w:hideMark/>
          </w:tcPr>
          <w:p w14:paraId="27DA34C0" w14:textId="77777777" w:rsidR="00650EBA" w:rsidRPr="00B479AE" w:rsidRDefault="00650EBA" w:rsidP="00650EBA">
            <w:pPr>
              <w:spacing w:line="360" w:lineRule="auto"/>
              <w:rPr>
                <w:rFonts w:ascii="Baskerville Old Face" w:hAnsi="Baskerville Old Face"/>
                <w:i/>
                <w:iCs/>
                <w:sz w:val="22"/>
                <w:szCs w:val="22"/>
              </w:rPr>
            </w:pPr>
            <w:r w:rsidRPr="00B479AE">
              <w:rPr>
                <w:rFonts w:ascii="Baskerville Old Face" w:hAnsi="Baskerville Old Face"/>
                <w:i/>
                <w:iCs/>
                <w:sz w:val="22"/>
                <w:szCs w:val="22"/>
              </w:rPr>
              <w:t>Optimize productivity within water, soil, biodiversity, and succession constraints.</w:t>
            </w:r>
          </w:p>
        </w:tc>
      </w:tr>
      <w:tr w:rsidR="00650EBA" w:rsidRPr="00B479AE" w14:paraId="217A8291" w14:textId="77777777" w:rsidTr="00527ED0">
        <w:trPr>
          <w:tblCellSpacing w:w="15" w:type="dxa"/>
        </w:trPr>
        <w:tc>
          <w:tcPr>
            <w:tcW w:w="0" w:type="auto"/>
            <w:vAlign w:val="center"/>
            <w:hideMark/>
          </w:tcPr>
          <w:p w14:paraId="5487B58E" w14:textId="77777777" w:rsidR="00650EBA" w:rsidRPr="00B479AE" w:rsidRDefault="00650EBA" w:rsidP="00650EBA">
            <w:pPr>
              <w:spacing w:line="360" w:lineRule="auto"/>
              <w:rPr>
                <w:rFonts w:ascii="Baskerville Old Face" w:hAnsi="Baskerville Old Face"/>
                <w:i/>
                <w:iCs/>
                <w:sz w:val="22"/>
                <w:szCs w:val="22"/>
              </w:rPr>
            </w:pPr>
            <w:r w:rsidRPr="00B479AE">
              <w:rPr>
                <w:rFonts w:ascii="Baskerville Old Face" w:hAnsi="Baskerville Old Face"/>
                <w:i/>
                <w:iCs/>
                <w:sz w:val="22"/>
                <w:szCs w:val="22"/>
              </w:rPr>
              <w:t>Tokenize future ecological value before verification.</w:t>
            </w:r>
          </w:p>
        </w:tc>
        <w:tc>
          <w:tcPr>
            <w:tcW w:w="0" w:type="auto"/>
            <w:vAlign w:val="center"/>
            <w:hideMark/>
          </w:tcPr>
          <w:p w14:paraId="754CE1AC" w14:textId="77777777" w:rsidR="00650EBA" w:rsidRPr="00B479AE" w:rsidRDefault="00650EBA" w:rsidP="00650EBA">
            <w:pPr>
              <w:spacing w:line="360" w:lineRule="auto"/>
              <w:rPr>
                <w:rFonts w:ascii="Baskerville Old Face" w:hAnsi="Baskerville Old Face"/>
                <w:i/>
                <w:iCs/>
                <w:sz w:val="22"/>
                <w:szCs w:val="22"/>
              </w:rPr>
            </w:pPr>
            <w:r w:rsidRPr="00B479AE">
              <w:rPr>
                <w:rFonts w:ascii="Baskerville Old Face" w:hAnsi="Baskerville Old Face"/>
                <w:i/>
                <w:iCs/>
                <w:sz w:val="22"/>
                <w:szCs w:val="22"/>
              </w:rPr>
              <w:t>Build MRV, evidence, PRU methodology, legal wrapper, and compliant representation pathway.</w:t>
            </w:r>
          </w:p>
        </w:tc>
      </w:tr>
      <w:tr w:rsidR="00650EBA" w:rsidRPr="00B479AE" w14:paraId="4D0A9B25" w14:textId="77777777" w:rsidTr="00527ED0">
        <w:trPr>
          <w:tblCellSpacing w:w="15" w:type="dxa"/>
        </w:trPr>
        <w:tc>
          <w:tcPr>
            <w:tcW w:w="0" w:type="auto"/>
            <w:vAlign w:val="center"/>
            <w:hideMark/>
          </w:tcPr>
          <w:p w14:paraId="73EFAA8C" w14:textId="77777777" w:rsidR="00650EBA" w:rsidRPr="00B479AE" w:rsidRDefault="00650EBA" w:rsidP="00650EBA">
            <w:pPr>
              <w:spacing w:line="360" w:lineRule="auto"/>
              <w:rPr>
                <w:rFonts w:ascii="Baskerville Old Face" w:hAnsi="Baskerville Old Face"/>
                <w:i/>
                <w:iCs/>
                <w:sz w:val="22"/>
                <w:szCs w:val="22"/>
              </w:rPr>
            </w:pPr>
            <w:r w:rsidRPr="00B479AE">
              <w:rPr>
                <w:rFonts w:ascii="Baskerville Old Face" w:hAnsi="Baskerville Old Face"/>
                <w:i/>
                <w:iCs/>
                <w:sz w:val="22"/>
                <w:szCs w:val="22"/>
              </w:rPr>
              <w:t>Use HSI to rank participants.</w:t>
            </w:r>
          </w:p>
        </w:tc>
        <w:tc>
          <w:tcPr>
            <w:tcW w:w="0" w:type="auto"/>
            <w:vAlign w:val="center"/>
            <w:hideMark/>
          </w:tcPr>
          <w:p w14:paraId="4C6EADB3" w14:textId="77777777" w:rsidR="00650EBA" w:rsidRPr="00B479AE" w:rsidRDefault="00650EBA" w:rsidP="00650EBA">
            <w:pPr>
              <w:spacing w:line="360" w:lineRule="auto"/>
              <w:rPr>
                <w:rFonts w:ascii="Baskerville Old Face" w:hAnsi="Baskerville Old Face"/>
                <w:i/>
                <w:iCs/>
                <w:sz w:val="22"/>
                <w:szCs w:val="22"/>
              </w:rPr>
            </w:pPr>
            <w:r w:rsidRPr="00B479AE">
              <w:rPr>
                <w:rFonts w:ascii="Baskerville Old Face" w:hAnsi="Baskerville Old Face"/>
                <w:i/>
                <w:iCs/>
                <w:sz w:val="22"/>
                <w:szCs w:val="22"/>
              </w:rPr>
              <w:t>Use voluntary HSI only for self-awareness, research, or non-coercive governance reflection.</w:t>
            </w:r>
          </w:p>
        </w:tc>
      </w:tr>
      <w:tr w:rsidR="00650EBA" w:rsidRPr="00B479AE" w14:paraId="769A4285" w14:textId="77777777" w:rsidTr="00527ED0">
        <w:trPr>
          <w:tblCellSpacing w:w="15" w:type="dxa"/>
        </w:trPr>
        <w:tc>
          <w:tcPr>
            <w:tcW w:w="0" w:type="auto"/>
            <w:vAlign w:val="center"/>
            <w:hideMark/>
          </w:tcPr>
          <w:p w14:paraId="2AEEC298" w14:textId="77777777" w:rsidR="00650EBA" w:rsidRPr="00B479AE" w:rsidRDefault="00650EBA" w:rsidP="00650EBA">
            <w:pPr>
              <w:spacing w:line="360" w:lineRule="auto"/>
              <w:rPr>
                <w:rFonts w:ascii="Baskerville Old Face" w:hAnsi="Baskerville Old Face"/>
                <w:i/>
                <w:iCs/>
                <w:sz w:val="22"/>
                <w:szCs w:val="22"/>
              </w:rPr>
            </w:pPr>
            <w:r w:rsidRPr="00B479AE">
              <w:rPr>
                <w:rFonts w:ascii="Baskerville Old Face" w:hAnsi="Baskerville Old Face"/>
                <w:i/>
                <w:iCs/>
                <w:sz w:val="22"/>
                <w:szCs w:val="22"/>
              </w:rPr>
              <w:t>Centralize protocol control for efficiency.</w:t>
            </w:r>
          </w:p>
        </w:tc>
        <w:tc>
          <w:tcPr>
            <w:tcW w:w="0" w:type="auto"/>
            <w:vAlign w:val="center"/>
            <w:hideMark/>
          </w:tcPr>
          <w:p w14:paraId="24AC0721" w14:textId="77777777" w:rsidR="00650EBA" w:rsidRPr="00B479AE" w:rsidRDefault="00650EBA" w:rsidP="00650EBA">
            <w:pPr>
              <w:spacing w:line="360" w:lineRule="auto"/>
              <w:rPr>
                <w:rFonts w:ascii="Baskerville Old Face" w:hAnsi="Baskerville Old Face"/>
                <w:i/>
                <w:iCs/>
                <w:sz w:val="22"/>
                <w:szCs w:val="22"/>
              </w:rPr>
            </w:pPr>
            <w:r w:rsidRPr="00B479AE">
              <w:rPr>
                <w:rFonts w:ascii="Baskerville Old Face" w:hAnsi="Baskerville Old Face"/>
                <w:i/>
                <w:iCs/>
                <w:sz w:val="22"/>
                <w:szCs w:val="22"/>
              </w:rPr>
              <w:t>Use role clarity, review gates, distributed governance, and emergency procedures.</w:t>
            </w:r>
          </w:p>
        </w:tc>
      </w:tr>
      <w:tr w:rsidR="00650EBA" w:rsidRPr="00B479AE" w14:paraId="3DFC86AA" w14:textId="77777777" w:rsidTr="00527ED0">
        <w:trPr>
          <w:tblCellSpacing w:w="15" w:type="dxa"/>
        </w:trPr>
        <w:tc>
          <w:tcPr>
            <w:tcW w:w="0" w:type="auto"/>
            <w:vAlign w:val="center"/>
            <w:hideMark/>
          </w:tcPr>
          <w:p w14:paraId="16F6D7BD" w14:textId="77777777" w:rsidR="00650EBA" w:rsidRPr="00B479AE" w:rsidRDefault="00650EBA" w:rsidP="00650EBA">
            <w:pPr>
              <w:spacing w:line="360" w:lineRule="auto"/>
              <w:rPr>
                <w:rFonts w:ascii="Baskerville Old Face" w:hAnsi="Baskerville Old Face"/>
                <w:i/>
                <w:iCs/>
                <w:sz w:val="22"/>
                <w:szCs w:val="22"/>
              </w:rPr>
            </w:pPr>
            <w:r w:rsidRPr="00B479AE">
              <w:rPr>
                <w:rFonts w:ascii="Baskerville Old Face" w:hAnsi="Baskerville Old Face"/>
                <w:i/>
                <w:iCs/>
                <w:sz w:val="22"/>
                <w:szCs w:val="22"/>
              </w:rPr>
              <w:t>Ignore local culture to scale faster.</w:t>
            </w:r>
          </w:p>
        </w:tc>
        <w:tc>
          <w:tcPr>
            <w:tcW w:w="0" w:type="auto"/>
            <w:vAlign w:val="center"/>
            <w:hideMark/>
          </w:tcPr>
          <w:p w14:paraId="16BF2509" w14:textId="77777777" w:rsidR="00650EBA" w:rsidRPr="00B479AE" w:rsidRDefault="00650EBA" w:rsidP="00650EBA">
            <w:pPr>
              <w:spacing w:line="360" w:lineRule="auto"/>
              <w:rPr>
                <w:rFonts w:ascii="Baskerville Old Face" w:hAnsi="Baskerville Old Face"/>
                <w:i/>
                <w:iCs/>
                <w:sz w:val="22"/>
                <w:szCs w:val="22"/>
              </w:rPr>
            </w:pPr>
            <w:r w:rsidRPr="00B479AE">
              <w:rPr>
                <w:rFonts w:ascii="Baskerville Old Face" w:hAnsi="Baskerville Old Face"/>
                <w:i/>
                <w:iCs/>
                <w:sz w:val="22"/>
                <w:szCs w:val="22"/>
              </w:rPr>
              <w:t>Adapt deployment to bioregional, cultural, ancestral, and community context.</w:t>
            </w:r>
          </w:p>
        </w:tc>
      </w:tr>
      <w:tr w:rsidR="00650EBA" w:rsidRPr="00B479AE" w14:paraId="6F3F3075" w14:textId="77777777" w:rsidTr="00527ED0">
        <w:trPr>
          <w:tblCellSpacing w:w="15" w:type="dxa"/>
        </w:trPr>
        <w:tc>
          <w:tcPr>
            <w:tcW w:w="0" w:type="auto"/>
            <w:vAlign w:val="center"/>
            <w:hideMark/>
          </w:tcPr>
          <w:p w14:paraId="1BC6EAAC" w14:textId="77777777" w:rsidR="00650EBA" w:rsidRPr="00B479AE" w:rsidRDefault="00650EBA" w:rsidP="00650EBA">
            <w:pPr>
              <w:spacing w:line="360" w:lineRule="auto"/>
              <w:rPr>
                <w:rFonts w:ascii="Baskerville Old Face" w:hAnsi="Baskerville Old Face"/>
                <w:i/>
                <w:iCs/>
                <w:sz w:val="22"/>
                <w:szCs w:val="22"/>
              </w:rPr>
            </w:pPr>
            <w:r w:rsidRPr="00B479AE">
              <w:rPr>
                <w:rFonts w:ascii="Baskerville Old Face" w:hAnsi="Baskerville Old Face"/>
                <w:i/>
                <w:iCs/>
                <w:sz w:val="22"/>
                <w:szCs w:val="22"/>
              </w:rPr>
              <w:t>Create dependency on proprietary infrastructure.</w:t>
            </w:r>
          </w:p>
        </w:tc>
        <w:tc>
          <w:tcPr>
            <w:tcW w:w="0" w:type="auto"/>
            <w:vAlign w:val="center"/>
            <w:hideMark/>
          </w:tcPr>
          <w:p w14:paraId="392583D4" w14:textId="77777777" w:rsidR="00650EBA" w:rsidRPr="00B479AE" w:rsidRDefault="00650EBA" w:rsidP="00650EBA">
            <w:pPr>
              <w:spacing w:line="360" w:lineRule="auto"/>
              <w:rPr>
                <w:rFonts w:ascii="Baskerville Old Face" w:hAnsi="Baskerville Old Face"/>
                <w:i/>
                <w:iCs/>
                <w:sz w:val="22"/>
                <w:szCs w:val="22"/>
              </w:rPr>
            </w:pPr>
            <w:r w:rsidRPr="00B479AE">
              <w:rPr>
                <w:rFonts w:ascii="Baskerville Old Face" w:hAnsi="Baskerville Old Face"/>
                <w:i/>
                <w:iCs/>
                <w:sz w:val="22"/>
                <w:szCs w:val="22"/>
              </w:rPr>
              <w:t>Preserve interoperability, data portability, replaceable components, and local capacity.</w:t>
            </w:r>
          </w:p>
        </w:tc>
      </w:tr>
    </w:tbl>
    <w:p w14:paraId="6632ED8A"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The kernel should block the invalid pathway while preserving the regenerative signal.</w:t>
      </w:r>
    </w:p>
    <w:p w14:paraId="4ACFBCD8"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b/>
          <w:bCs/>
          <w:i/>
          <w:iCs/>
        </w:rPr>
        <w:t>6. Final prohibition rule</w:t>
      </w:r>
    </w:p>
    <w:p w14:paraId="1E8C9206"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The final rule is simple:</w:t>
      </w:r>
    </w:p>
    <w:p w14:paraId="11CAA4B5"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no intelligence may be used to make Prometheus less accountable to life.</w:t>
      </w:r>
    </w:p>
    <w:p w14:paraId="261D73E5"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Any request that converts intelligence into domination, evidence into narrative, tokenization into entitlement, governance into capture, capital into sovereignty, or regeneration into extraction violates the constitutional source layer.</w:t>
      </w:r>
    </w:p>
    <w:p w14:paraId="52F3DE40"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Such a request is not a Prometheus request.</w:t>
      </w:r>
    </w:p>
    <w:p w14:paraId="70A210B8" w14:textId="77777777" w:rsidR="00650EBA" w:rsidRPr="00B479AE" w:rsidRDefault="00650EBA" w:rsidP="00650EBA">
      <w:pPr>
        <w:spacing w:line="360" w:lineRule="auto"/>
        <w:rPr>
          <w:rFonts w:ascii="Baskerville Old Face" w:hAnsi="Baskerville Old Face"/>
          <w:i/>
          <w:iCs/>
        </w:rPr>
      </w:pPr>
      <w:r w:rsidRPr="00B479AE">
        <w:rPr>
          <w:rFonts w:ascii="Baskerville Old Face" w:hAnsi="Baskerville Old Face"/>
          <w:i/>
          <w:iCs/>
        </w:rPr>
        <w:t>It is outside the system.</w:t>
      </w:r>
    </w:p>
    <w:p w14:paraId="616EF91E" w14:textId="18A8848F" w:rsidR="000174AD" w:rsidRPr="00B479AE" w:rsidRDefault="000174AD" w:rsidP="00551CDD">
      <w:pPr>
        <w:spacing w:line="360" w:lineRule="auto"/>
        <w:rPr>
          <w:rFonts w:ascii="Baskerville Old Face" w:hAnsi="Baskerville Old Face"/>
          <w:b/>
          <w:bCs/>
          <w:i/>
          <w:iCs/>
        </w:rPr>
      </w:pPr>
      <w:r w:rsidRPr="00B479AE">
        <w:rPr>
          <w:rFonts w:ascii="Baskerville Old Face" w:hAnsi="Baskerville Old Face"/>
          <w:b/>
          <w:bCs/>
          <w:i/>
          <w:iCs/>
        </w:rPr>
        <w:lastRenderedPageBreak/>
        <w:t>Constitutional Validity and Protected-Pathway Non-Admissibility Doctrine</w:t>
      </w:r>
    </w:p>
    <w:p w14:paraId="764A2E23" w14:textId="77777777" w:rsidR="00EA0E80" w:rsidRPr="00EA0E80" w:rsidRDefault="00EA0E80" w:rsidP="00EA0E80">
      <w:pPr>
        <w:spacing w:line="360" w:lineRule="auto"/>
        <w:rPr>
          <w:rFonts w:ascii="Baskerville Old Face" w:hAnsi="Baskerville Old Face"/>
          <w:i/>
          <w:iCs/>
        </w:rPr>
      </w:pPr>
      <w:r w:rsidRPr="00EA0E80">
        <w:rPr>
          <w:rFonts w:ascii="Baskerville Old Face" w:hAnsi="Baskerville Old Face"/>
          <w:i/>
          <w:iCs/>
        </w:rPr>
        <w:t>Articles I–XV constitute the Syntropic Constitutional Article Registry of Prometheus.</w:t>
      </w:r>
    </w:p>
    <w:p w14:paraId="7420A10F" w14:textId="77777777" w:rsidR="00EA0E80" w:rsidRDefault="00EA0E80" w:rsidP="00EA0E80">
      <w:pPr>
        <w:spacing w:line="360" w:lineRule="auto"/>
        <w:rPr>
          <w:rFonts w:ascii="Baskerville Old Face" w:hAnsi="Baskerville Old Face"/>
          <w:i/>
          <w:iCs/>
        </w:rPr>
      </w:pPr>
      <w:r w:rsidRPr="00EA0E80">
        <w:rPr>
          <w:rFonts w:ascii="Baskerville Old Face" w:hAnsi="Baskerville Old Face"/>
          <w:i/>
          <w:iCs/>
        </w:rPr>
        <w:t>Within this registry, Articles I–XIII define the foundational source layer of the system, while Articles XIV and XV extend that source layer into canonical release integrity, access discipline, participation boundaries, and protected-pathway governance.</w:t>
      </w:r>
      <w:r>
        <w:rPr>
          <w:rFonts w:ascii="Baskerville Old Face" w:hAnsi="Baskerville Old Face"/>
          <w:i/>
          <w:iCs/>
        </w:rPr>
        <w:t xml:space="preserve"> </w:t>
      </w:r>
    </w:p>
    <w:p w14:paraId="44F07FC3" w14:textId="24EEB19D" w:rsidR="00D06839" w:rsidRPr="00B479AE" w:rsidRDefault="00D06839" w:rsidP="00EA0E80">
      <w:pPr>
        <w:spacing w:line="360" w:lineRule="auto"/>
        <w:rPr>
          <w:rFonts w:ascii="Baskerville Old Face" w:hAnsi="Baskerville Old Face"/>
          <w:i/>
          <w:iCs/>
        </w:rPr>
      </w:pPr>
      <w:r w:rsidRPr="00B479AE">
        <w:rPr>
          <w:rFonts w:ascii="Baskerville Old Face" w:hAnsi="Baskerville Old Face"/>
          <w:i/>
          <w:iCs/>
        </w:rPr>
        <w:t>They define not only how the kernel coordinates intelligence, but also what may validly exist inside the Prometheus architecture.</w:t>
      </w:r>
    </w:p>
    <w:p w14:paraId="5962378D"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For this reason, any output, process, agent action, governance proposal, token operation, PRU update, investor-facing claim, ecological intervention, or capital-allocation pathway that violates these articles is not merely suboptimal.</w:t>
      </w:r>
    </w:p>
    <w:p w14:paraId="27FA02A7"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It is invalid within Prometheus protected pathways.</w:t>
      </w:r>
    </w:p>
    <w:p w14:paraId="3D447FC2"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This doctrine means that technical sophistication cannot cure source-layer invalidity.</w:t>
      </w:r>
    </w:p>
    <w:p w14:paraId="07E60D12"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Market demand cannot cure source-layer invalidity.</w:t>
      </w:r>
    </w:p>
    <w:p w14:paraId="1F902BFB"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Investor pressure cannot cure source-layer invalidity.</w:t>
      </w:r>
    </w:p>
    <w:p w14:paraId="78F3F7C0"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Governance majority cannot cure source-layer invalidity.</w:t>
      </w:r>
    </w:p>
    <w:p w14:paraId="42746A19"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Model confidence cannot cure source-layer invalidity.</w:t>
      </w:r>
    </w:p>
    <w:p w14:paraId="071729E9"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Token logic cannot cure source-layer invalidity.</w:t>
      </w:r>
    </w:p>
    <w:p w14:paraId="1EAF878B"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Operational urgency cannot cure source-layer invalidity.</w:t>
      </w:r>
    </w:p>
    <w:p w14:paraId="4EEFA64E"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An action that violates the foundational articles does not become Prometheus merely because it is executable.</w:t>
      </w:r>
    </w:p>
    <w:p w14:paraId="5ACBCAC3"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It becomes a bypass attempt.</w:t>
      </w:r>
    </w:p>
    <w:p w14:paraId="572E7F2B"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The kernel must therefore treat such actions as non-admissible, non-executable, rejected, quarantined, or escalated to constitutional governance review according to the relevant control pathway.</w:t>
      </w:r>
    </w:p>
    <w:p w14:paraId="2DD176C7"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lastRenderedPageBreak/>
        <w:t>This doctrine preserves the sovereign constitutional identity of Prometheus without converting the kernel into an unaccountable ruler.</w:t>
      </w:r>
    </w:p>
    <w:p w14:paraId="57C6882F"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Sovereignty, in this context, does not mean arbitrary power.</w:t>
      </w:r>
    </w:p>
    <w:p w14:paraId="76634F62"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It means source-layer fidelity.</w:t>
      </w:r>
    </w:p>
    <w:p w14:paraId="5AE95A69"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The kernel is sovereign only in relation to its duty: to keep intelligence accountable to life, evidence, dignity, governance, and regenerative coherence.</w:t>
      </w:r>
    </w:p>
    <w:p w14:paraId="453E5911"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The foundational articles therefore operate as the basic structure of Prometheus.</w:t>
      </w:r>
    </w:p>
    <w:p w14:paraId="03EBC2BD"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They may be clarified, implemented, versioned, audited, and technically strengthened.</w:t>
      </w:r>
    </w:p>
    <w:p w14:paraId="069A6CCF"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They may not be inverted, bypassed, weakened, or used to justify extraction under regenerative language.</w:t>
      </w:r>
    </w:p>
    <w:p w14:paraId="6D4CF1C0"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Prometheus distinguishes between legal invalidity in the external world and non-admissibility within Prometheus protected pathways.</w:t>
      </w:r>
    </w:p>
    <w:p w14:paraId="3BE34790"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The White Paper does not declare that an action is universally void under every legal system merely because it violates Prometheus source-layer constraints.</w:t>
      </w:r>
    </w:p>
    <w:p w14:paraId="193D400C"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External legal systems, contracts, courts, regulators, and jurisdictions may make their own determinations.</w:t>
      </w:r>
    </w:p>
    <w:p w14:paraId="5DCED2F1"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Prometheus defines its own protected pathways, admissibility rules, canonical status, registry logic, governance permissions, reporting boundaries, implementation requirements, and source-layer recognition.</w:t>
      </w:r>
    </w:p>
    <w:p w14:paraId="627F456F"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The correct internal formula is:</w:t>
      </w:r>
    </w:p>
    <w:p w14:paraId="4797A404"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validity within Prometheus requires source-layer compatibility;</w:t>
      </w:r>
    </w:p>
    <w:p w14:paraId="1F7C0E7D"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protected-pathway use requires admissibility;</w:t>
      </w:r>
    </w:p>
    <w:p w14:paraId="75448D80"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rights-bearing use requires legal structure;</w:t>
      </w:r>
    </w:p>
    <w:p w14:paraId="61F55B43"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capital-facing use requires disclosure, review, and jurisdiction-specific compliance.</w:t>
      </w:r>
    </w:p>
    <w:p w14:paraId="1CBB0B9C"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An action may exist technically.</w:t>
      </w:r>
    </w:p>
    <w:p w14:paraId="4EB91339"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lastRenderedPageBreak/>
        <w:t>It may even occur operationally.</w:t>
      </w:r>
    </w:p>
    <w:p w14:paraId="2D234A59"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But if it violates Prometheus protected-pathway rules, it cannot validly enter canonical, PRU, RAP, MRV-admissible, investor-facing, rights-bearing, token-facing, or source-layer-recognized use.</w:t>
      </w:r>
    </w:p>
    <w:p w14:paraId="3DE80D9A"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This is the purpose of protected-pathway non-admissibility.</w:t>
      </w:r>
    </w:p>
    <w:p w14:paraId="0A5E9B8C"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It protects Prometheus from category collapse, semantic inflation, unauthorized tokenization, ecological overclaiming, governance capture, and premature financialization.</w:t>
      </w:r>
    </w:p>
    <w:p w14:paraId="6A821217"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If the foundational articles are removed, Prometheus does not evolve.</w:t>
      </w:r>
    </w:p>
    <w:p w14:paraId="1AFCDA18" w14:textId="77777777" w:rsidR="00D06839" w:rsidRPr="00B479AE" w:rsidRDefault="00D06839" w:rsidP="00D06839">
      <w:pPr>
        <w:spacing w:line="360" w:lineRule="auto"/>
        <w:rPr>
          <w:rFonts w:ascii="Baskerville Old Face" w:hAnsi="Baskerville Old Face"/>
          <w:i/>
          <w:iCs/>
        </w:rPr>
      </w:pPr>
      <w:r w:rsidRPr="00B479AE">
        <w:rPr>
          <w:rFonts w:ascii="Baskerville Old Face" w:hAnsi="Baskerville Old Face"/>
          <w:i/>
          <w:iCs/>
        </w:rPr>
        <w:t>It becomes another system.</w:t>
      </w:r>
    </w:p>
    <w:p w14:paraId="2E5BAB2C" w14:textId="43D7A7C4" w:rsidR="00381A59" w:rsidRPr="00B479AE" w:rsidRDefault="00381A59" w:rsidP="00381A59">
      <w:pPr>
        <w:spacing w:line="360" w:lineRule="auto"/>
        <w:rPr>
          <w:rFonts w:ascii="Baskerville Old Face" w:hAnsi="Baskerville Old Face"/>
          <w:i/>
          <w:iCs/>
        </w:rPr>
      </w:pPr>
      <w:r w:rsidRPr="00B479AE">
        <w:rPr>
          <w:rFonts w:ascii="Baskerville Old Face" w:hAnsi="Baskerville Old Face"/>
          <w:b/>
          <w:bCs/>
          <w:i/>
          <w:iCs/>
        </w:rPr>
        <w:t>Constitutional Sovereignty and the Access Covenant</w:t>
      </w:r>
    </w:p>
    <w:p w14:paraId="01D5EA6D" w14:textId="68E78D9D" w:rsidR="00AD72E1" w:rsidRPr="00B479AE" w:rsidRDefault="00AD72E1" w:rsidP="00AD72E1">
      <w:pPr>
        <w:spacing w:line="360" w:lineRule="auto"/>
        <w:rPr>
          <w:rFonts w:ascii="Baskerville Old Face" w:hAnsi="Baskerville Old Face"/>
          <w:b/>
          <w:bCs/>
          <w:i/>
          <w:iCs/>
        </w:rPr>
      </w:pPr>
      <w:r w:rsidRPr="00B479AE">
        <w:rPr>
          <w:rFonts w:ascii="Baskerville Old Face" w:hAnsi="Baskerville Old Face"/>
          <w:b/>
          <w:bCs/>
          <w:i/>
          <w:iCs/>
        </w:rPr>
        <w:t>Preamble - The Constitution as Recognition of Living-System Reality</w:t>
      </w:r>
    </w:p>
    <w:p w14:paraId="068EFBF1"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Every living constitution must balance two principles.</w:t>
      </w:r>
    </w:p>
    <w:p w14:paraId="366403B4"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The first is stability: the preservation of the foundational pact that gives the system its identity.</w:t>
      </w:r>
    </w:p>
    <w:p w14:paraId="35EECEDF"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The second is adaptability: the capacity to evolve in response to new circumstances, communities, evidence, technologies, and institutional responsibilities.</w:t>
      </w:r>
    </w:p>
    <w:p w14:paraId="25831E4D"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Yet this balance rests upon a more primordial reality.</w:t>
      </w:r>
    </w:p>
    <w:p w14:paraId="322E28EB"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The h•eart•h Prometheus constitution does not invent the principles it enforces.</w:t>
      </w:r>
    </w:p>
    <w:p w14:paraId="2FE49B02"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It recognizes, codifies, and protects living-system realities and source-layer constraints that pre-exist any human agreement.</w:t>
      </w:r>
    </w:p>
    <w:p w14:paraId="701B7B2F"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No constitution can legitimately amend gravity.</w:t>
      </w:r>
    </w:p>
    <w:p w14:paraId="6951A3A5"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No governance vote can abolish thermodynamics.</w:t>
      </w:r>
    </w:p>
    <w:p w14:paraId="7BFFEE98"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No consensus process can make soil irrelevant, water optional, biodiversity decorative, or human dignity expendable.</w:t>
      </w:r>
    </w:p>
    <w:p w14:paraId="24712E83"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The foundational realities of living systems are not created by governance.</w:t>
      </w:r>
    </w:p>
    <w:p w14:paraId="251223A5"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lastRenderedPageBreak/>
        <w:t>They are discovered by observation, validated by science, honored by wisdom, and protected by constitutional design.</w:t>
      </w:r>
    </w:p>
    <w:p w14:paraId="43EE326E"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They include:</w:t>
      </w:r>
    </w:p>
    <w:p w14:paraId="2411765C"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 life regenerates through symbiotic cooperation;</w:t>
      </w:r>
    </w:p>
    <w:p w14:paraId="4CF67D70"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 diversity creates resilience;</w:t>
      </w:r>
    </w:p>
    <w:p w14:paraId="27371F9C"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 value emerges from relationships, not extraction;</w:t>
      </w:r>
    </w:p>
    <w:p w14:paraId="08C4690F"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 actions generate consequences across interconnected systems;</w:t>
      </w:r>
    </w:p>
    <w:p w14:paraId="71FF1F91"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 soil, water, biodiversity, climate, human dignity, and consciousness form the living substrate of any durable economy;</w:t>
      </w:r>
    </w:p>
    <w:p w14:paraId="636AE394"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 health, understood as coherence across living systems, is one of the deepest measures of system integrity.</w:t>
      </w:r>
    </w:p>
    <w:p w14:paraId="16A97FCE"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Any entity seeking to access, participate in, govern, finance, extend, automate, or benefit from the h•eart•h Prometheus ecosystem must acknowledge these foundational realities.</w:t>
      </w:r>
    </w:p>
    <w:p w14:paraId="7F98CFE8"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Access is not a license to extract.</w:t>
      </w:r>
    </w:p>
    <w:p w14:paraId="246D01D3"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Participation is not a right to bypass.</w:t>
      </w:r>
    </w:p>
    <w:p w14:paraId="04EBCFF3"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Governance is not authority to violate the living foundation.</w:t>
      </w:r>
    </w:p>
    <w:p w14:paraId="65955E03"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Capital is not sovereignty over life.</w:t>
      </w:r>
    </w:p>
    <w:p w14:paraId="2E4496E5"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Intelligence is not permission to override reality.</w:t>
      </w:r>
    </w:p>
    <w:p w14:paraId="185DA80F"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Prometheus extends access only to pathways, actors, systems, agents, instruments, and institutions that remain aligned with the living intelligence that precedes and exceeds human institutions.</w:t>
      </w:r>
    </w:p>
    <w:p w14:paraId="5C050B42" w14:textId="617DC807" w:rsidR="00AD72E1" w:rsidRPr="00B479AE" w:rsidRDefault="00AD72E1" w:rsidP="00AD72E1">
      <w:pPr>
        <w:spacing w:line="360" w:lineRule="auto"/>
        <w:rPr>
          <w:rFonts w:ascii="Baskerville Old Face" w:hAnsi="Baskerville Old Face"/>
          <w:b/>
          <w:bCs/>
          <w:i/>
          <w:iCs/>
        </w:rPr>
      </w:pPr>
      <w:r w:rsidRPr="00B479AE">
        <w:rPr>
          <w:rFonts w:ascii="Baskerville Old Face" w:hAnsi="Baskerville Old Face"/>
          <w:b/>
          <w:bCs/>
          <w:i/>
          <w:iCs/>
        </w:rPr>
        <w:t xml:space="preserve">1. The Eternity Clauses </w:t>
      </w:r>
      <w:r w:rsidR="00CB41C0" w:rsidRPr="00B479AE">
        <w:rPr>
          <w:rFonts w:ascii="Baskerville Old Face" w:hAnsi="Baskerville Old Face"/>
          <w:b/>
          <w:bCs/>
          <w:i/>
          <w:iCs/>
        </w:rPr>
        <w:t>-</w:t>
      </w:r>
      <w:r w:rsidRPr="00B479AE">
        <w:rPr>
          <w:rFonts w:ascii="Baskerville Old Face" w:hAnsi="Baskerville Old Face"/>
          <w:b/>
          <w:bCs/>
          <w:i/>
          <w:iCs/>
        </w:rPr>
        <w:t xml:space="preserve"> Inviolable Living-System Constraints</w:t>
      </w:r>
    </w:p>
    <w:p w14:paraId="488DCB94"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The following articles are designated as Eternity Clauses.</w:t>
      </w:r>
    </w:p>
    <w:p w14:paraId="02C7B620"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lastRenderedPageBreak/>
        <w:t>They are fundamental principles that cannot be amended, repealed, violated, inverted, diluted, or circumvented under any circumstances, by any vote, consensus, emergency, technical upgrade, governance mechanism, investor demand, model output, token logic, or future artificial intelligence.</w:t>
      </w:r>
    </w:p>
    <w:p w14:paraId="42A2966F"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They define the constitutional identity of h•eart•h Prometheus.</w:t>
      </w:r>
    </w:p>
    <w:p w14:paraId="7271EBA0" w14:textId="77777777" w:rsidR="00AD72E1" w:rsidRPr="00B479AE" w:rsidRDefault="00AD72E1" w:rsidP="00AD72E1">
      <w:pPr>
        <w:spacing w:line="360" w:lineRule="auto"/>
        <w:rPr>
          <w:rFonts w:ascii="Baskerville Old Face" w:hAnsi="Baskerville Old Face"/>
          <w:i/>
          <w:iCs/>
        </w:rPr>
      </w:pPr>
      <w:r w:rsidRPr="00B479AE">
        <w:rPr>
          <w:rFonts w:ascii="Baskerville Old Face" w:hAnsi="Baskerville Old Face"/>
          <w:i/>
          <w:iCs/>
        </w:rPr>
        <w:t>They reflect living-system realities and source-layer constraints that no human institution, agent system, capital structure, or digital interface can legitimately contravene.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70"/>
        <w:gridCol w:w="2110"/>
        <w:gridCol w:w="6648"/>
      </w:tblGrid>
      <w:tr w:rsidR="00AD72E1" w:rsidRPr="00B479AE" w14:paraId="122FD38B" w14:textId="77777777" w:rsidTr="00AD72E1">
        <w:trPr>
          <w:tblHeader/>
          <w:tblCellSpacing w:w="15" w:type="dxa"/>
        </w:trPr>
        <w:tc>
          <w:tcPr>
            <w:tcW w:w="0" w:type="auto"/>
            <w:vAlign w:val="center"/>
            <w:hideMark/>
          </w:tcPr>
          <w:p w14:paraId="17695F06" w14:textId="77777777" w:rsidR="00AD72E1" w:rsidRPr="00B479AE" w:rsidRDefault="00AD72E1" w:rsidP="00AD72E1">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Article</w:t>
            </w:r>
          </w:p>
        </w:tc>
        <w:tc>
          <w:tcPr>
            <w:tcW w:w="0" w:type="auto"/>
            <w:vAlign w:val="center"/>
            <w:hideMark/>
          </w:tcPr>
          <w:p w14:paraId="406F336F" w14:textId="77777777" w:rsidR="00AD72E1" w:rsidRPr="00B479AE" w:rsidRDefault="00AD72E1" w:rsidP="00AD72E1">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Principle</w:t>
            </w:r>
          </w:p>
        </w:tc>
        <w:tc>
          <w:tcPr>
            <w:tcW w:w="0" w:type="auto"/>
            <w:vAlign w:val="center"/>
            <w:hideMark/>
          </w:tcPr>
          <w:p w14:paraId="05150364" w14:textId="77777777" w:rsidR="00AD72E1" w:rsidRPr="00B479AE" w:rsidRDefault="00AD72E1" w:rsidP="00AD72E1">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Living-System Reality and Source-Layer Foundation</w:t>
            </w:r>
          </w:p>
        </w:tc>
      </w:tr>
      <w:tr w:rsidR="00AD72E1" w:rsidRPr="00B479AE" w14:paraId="29E183C2" w14:textId="77777777" w:rsidTr="00AD72E1">
        <w:trPr>
          <w:tblCellSpacing w:w="15" w:type="dxa"/>
        </w:trPr>
        <w:tc>
          <w:tcPr>
            <w:tcW w:w="0" w:type="auto"/>
            <w:vAlign w:val="center"/>
            <w:hideMark/>
          </w:tcPr>
          <w:p w14:paraId="4FD34886" w14:textId="77777777" w:rsidR="00AD72E1" w:rsidRPr="00B479AE" w:rsidRDefault="00AD72E1" w:rsidP="00AD72E1">
            <w:pPr>
              <w:spacing w:line="360" w:lineRule="auto"/>
              <w:rPr>
                <w:rFonts w:ascii="Baskerville Old Face" w:hAnsi="Baskerville Old Face"/>
                <w:i/>
                <w:iCs/>
                <w:sz w:val="22"/>
                <w:szCs w:val="22"/>
              </w:rPr>
            </w:pPr>
            <w:r w:rsidRPr="00B479AE">
              <w:rPr>
                <w:rFonts w:ascii="Baskerville Old Face" w:hAnsi="Baskerville Old Face"/>
                <w:i/>
                <w:iCs/>
                <w:sz w:val="22"/>
                <w:szCs w:val="22"/>
              </w:rPr>
              <w:t>Article I</w:t>
            </w:r>
          </w:p>
        </w:tc>
        <w:tc>
          <w:tcPr>
            <w:tcW w:w="0" w:type="auto"/>
            <w:vAlign w:val="center"/>
            <w:hideMark/>
          </w:tcPr>
          <w:p w14:paraId="77920C07" w14:textId="77777777" w:rsidR="00AD72E1" w:rsidRPr="00B479AE" w:rsidRDefault="00AD72E1" w:rsidP="00AD72E1">
            <w:pPr>
              <w:spacing w:line="360" w:lineRule="auto"/>
              <w:rPr>
                <w:rFonts w:ascii="Baskerville Old Face" w:hAnsi="Baskerville Old Face"/>
                <w:i/>
                <w:iCs/>
                <w:sz w:val="22"/>
                <w:szCs w:val="22"/>
              </w:rPr>
            </w:pPr>
            <w:r w:rsidRPr="00B479AE">
              <w:rPr>
                <w:rFonts w:ascii="Baskerville Old Face" w:hAnsi="Baskerville Old Face"/>
                <w:i/>
                <w:iCs/>
                <w:sz w:val="22"/>
                <w:szCs w:val="22"/>
              </w:rPr>
              <w:t>Sovereign identity</w:t>
            </w:r>
          </w:p>
        </w:tc>
        <w:tc>
          <w:tcPr>
            <w:tcW w:w="0" w:type="auto"/>
            <w:vAlign w:val="center"/>
            <w:hideMark/>
          </w:tcPr>
          <w:p w14:paraId="38E45018" w14:textId="77777777" w:rsidR="00AD72E1" w:rsidRPr="00B479AE" w:rsidRDefault="00AD72E1" w:rsidP="00AD72E1">
            <w:pPr>
              <w:spacing w:line="360" w:lineRule="auto"/>
              <w:rPr>
                <w:rFonts w:ascii="Baskerville Old Face" w:hAnsi="Baskerville Old Face"/>
                <w:i/>
                <w:iCs/>
                <w:sz w:val="22"/>
                <w:szCs w:val="22"/>
              </w:rPr>
            </w:pPr>
            <w:r w:rsidRPr="00B479AE">
              <w:rPr>
                <w:rFonts w:ascii="Baskerville Old Face" w:hAnsi="Baskerville Old Face"/>
                <w:i/>
                <w:iCs/>
                <w:sz w:val="22"/>
                <w:szCs w:val="22"/>
              </w:rPr>
              <w:t>The kernel’s identity as a constitutional regenerative intelligence architecture; every living system has inherent autonomy, context, and integrity.</w:t>
            </w:r>
          </w:p>
        </w:tc>
      </w:tr>
      <w:tr w:rsidR="00AD72E1" w:rsidRPr="00B479AE" w14:paraId="7864E458" w14:textId="77777777" w:rsidTr="00AD72E1">
        <w:trPr>
          <w:tblCellSpacing w:w="15" w:type="dxa"/>
        </w:trPr>
        <w:tc>
          <w:tcPr>
            <w:tcW w:w="0" w:type="auto"/>
            <w:vAlign w:val="center"/>
            <w:hideMark/>
          </w:tcPr>
          <w:p w14:paraId="4B88778D" w14:textId="77777777" w:rsidR="00AD72E1" w:rsidRPr="00B479AE" w:rsidRDefault="00AD72E1" w:rsidP="00AD72E1">
            <w:pPr>
              <w:spacing w:line="360" w:lineRule="auto"/>
              <w:rPr>
                <w:rFonts w:ascii="Baskerville Old Face" w:hAnsi="Baskerville Old Face"/>
                <w:i/>
                <w:iCs/>
                <w:sz w:val="22"/>
                <w:szCs w:val="22"/>
              </w:rPr>
            </w:pPr>
            <w:r w:rsidRPr="00B479AE">
              <w:rPr>
                <w:rFonts w:ascii="Baskerville Old Face" w:hAnsi="Baskerville Old Face"/>
                <w:i/>
                <w:iCs/>
                <w:sz w:val="22"/>
                <w:szCs w:val="22"/>
              </w:rPr>
              <w:t>Article II</w:t>
            </w:r>
          </w:p>
        </w:tc>
        <w:tc>
          <w:tcPr>
            <w:tcW w:w="0" w:type="auto"/>
            <w:vAlign w:val="center"/>
            <w:hideMark/>
          </w:tcPr>
          <w:p w14:paraId="4D5F4067" w14:textId="77777777" w:rsidR="00AD72E1" w:rsidRPr="00B479AE" w:rsidRDefault="00AD72E1" w:rsidP="00AD72E1">
            <w:pPr>
              <w:spacing w:line="360" w:lineRule="auto"/>
              <w:rPr>
                <w:rFonts w:ascii="Baskerville Old Face" w:hAnsi="Baskerville Old Face"/>
                <w:i/>
                <w:iCs/>
                <w:sz w:val="22"/>
                <w:szCs w:val="22"/>
              </w:rPr>
            </w:pPr>
            <w:r w:rsidRPr="00B479AE">
              <w:rPr>
                <w:rFonts w:ascii="Baskerville Old Face" w:hAnsi="Baskerville Old Face"/>
                <w:i/>
                <w:iCs/>
                <w:sz w:val="22"/>
                <w:szCs w:val="22"/>
              </w:rPr>
              <w:t>Value supremacy</w:t>
            </w:r>
          </w:p>
        </w:tc>
        <w:tc>
          <w:tcPr>
            <w:tcW w:w="0" w:type="auto"/>
            <w:vAlign w:val="center"/>
            <w:hideMark/>
          </w:tcPr>
          <w:p w14:paraId="5A3683A3" w14:textId="77777777" w:rsidR="00AD72E1" w:rsidRPr="00B479AE" w:rsidRDefault="00AD72E1" w:rsidP="00AD72E1">
            <w:pPr>
              <w:spacing w:line="360" w:lineRule="auto"/>
              <w:rPr>
                <w:rFonts w:ascii="Baskerville Old Face" w:hAnsi="Baskerville Old Face"/>
                <w:i/>
                <w:iCs/>
                <w:sz w:val="22"/>
                <w:szCs w:val="22"/>
              </w:rPr>
            </w:pPr>
            <w:r w:rsidRPr="00B479AE">
              <w:rPr>
                <w:rFonts w:ascii="Baskerville Old Face" w:hAnsi="Baskerville Old Face"/>
                <w:i/>
                <w:iCs/>
                <w:sz w:val="22"/>
                <w:szCs w:val="22"/>
              </w:rPr>
              <w:t>Any output violating core values is invalid within Prometheus protected pathways; life’s value is intrinsic, not assigned by markets, tokens, models, or institutions.</w:t>
            </w:r>
          </w:p>
        </w:tc>
      </w:tr>
      <w:tr w:rsidR="00AD72E1" w:rsidRPr="00B479AE" w14:paraId="2218B90E" w14:textId="77777777" w:rsidTr="00AD72E1">
        <w:trPr>
          <w:tblCellSpacing w:w="15" w:type="dxa"/>
        </w:trPr>
        <w:tc>
          <w:tcPr>
            <w:tcW w:w="0" w:type="auto"/>
            <w:vAlign w:val="center"/>
            <w:hideMark/>
          </w:tcPr>
          <w:p w14:paraId="519905E5" w14:textId="77777777" w:rsidR="00AD72E1" w:rsidRPr="00B479AE" w:rsidRDefault="00AD72E1" w:rsidP="00AD72E1">
            <w:pPr>
              <w:spacing w:line="360" w:lineRule="auto"/>
              <w:rPr>
                <w:rFonts w:ascii="Baskerville Old Face" w:hAnsi="Baskerville Old Face"/>
                <w:i/>
                <w:iCs/>
                <w:sz w:val="22"/>
                <w:szCs w:val="22"/>
              </w:rPr>
            </w:pPr>
            <w:r w:rsidRPr="00B479AE">
              <w:rPr>
                <w:rFonts w:ascii="Baskerville Old Face" w:hAnsi="Baskerville Old Face"/>
                <w:i/>
                <w:iCs/>
                <w:sz w:val="22"/>
                <w:szCs w:val="22"/>
              </w:rPr>
              <w:t>Article III</w:t>
            </w:r>
          </w:p>
        </w:tc>
        <w:tc>
          <w:tcPr>
            <w:tcW w:w="0" w:type="auto"/>
            <w:vAlign w:val="center"/>
            <w:hideMark/>
          </w:tcPr>
          <w:p w14:paraId="7683FAD4" w14:textId="77777777" w:rsidR="00AD72E1" w:rsidRPr="00B479AE" w:rsidRDefault="00AD72E1" w:rsidP="00AD72E1">
            <w:pPr>
              <w:spacing w:line="360" w:lineRule="auto"/>
              <w:rPr>
                <w:rFonts w:ascii="Baskerville Old Face" w:hAnsi="Baskerville Old Face"/>
                <w:i/>
                <w:iCs/>
                <w:sz w:val="22"/>
                <w:szCs w:val="22"/>
              </w:rPr>
            </w:pPr>
            <w:r w:rsidRPr="00B479AE">
              <w:rPr>
                <w:rFonts w:ascii="Baskerville Old Face" w:hAnsi="Baskerville Old Face"/>
                <w:i/>
                <w:iCs/>
                <w:sz w:val="22"/>
                <w:szCs w:val="22"/>
              </w:rPr>
              <w:t>Biodiversity &amp; Planetary Boundaries</w:t>
            </w:r>
          </w:p>
        </w:tc>
        <w:tc>
          <w:tcPr>
            <w:tcW w:w="0" w:type="auto"/>
            <w:vAlign w:val="center"/>
            <w:hideMark/>
          </w:tcPr>
          <w:p w14:paraId="403A92A6" w14:textId="77777777" w:rsidR="00AD72E1" w:rsidRPr="00B479AE" w:rsidRDefault="00AD72E1" w:rsidP="00AD72E1">
            <w:pPr>
              <w:spacing w:line="360" w:lineRule="auto"/>
              <w:rPr>
                <w:rFonts w:ascii="Baskerville Old Face" w:hAnsi="Baskerville Old Face"/>
                <w:i/>
                <w:iCs/>
                <w:sz w:val="22"/>
                <w:szCs w:val="22"/>
              </w:rPr>
            </w:pPr>
            <w:r w:rsidRPr="00B479AE">
              <w:rPr>
                <w:rFonts w:ascii="Baskerville Old Face" w:hAnsi="Baskerville Old Face"/>
                <w:i/>
                <w:iCs/>
                <w:sz w:val="22"/>
                <w:szCs w:val="22"/>
              </w:rPr>
              <w:t>Ecological limits are supreme design parameters; they are physical realities, not policy preferences.</w:t>
            </w:r>
          </w:p>
        </w:tc>
      </w:tr>
      <w:tr w:rsidR="00AD72E1" w:rsidRPr="00B479AE" w14:paraId="279AD14C" w14:textId="77777777" w:rsidTr="00AD72E1">
        <w:trPr>
          <w:tblCellSpacing w:w="15" w:type="dxa"/>
        </w:trPr>
        <w:tc>
          <w:tcPr>
            <w:tcW w:w="0" w:type="auto"/>
            <w:vAlign w:val="center"/>
            <w:hideMark/>
          </w:tcPr>
          <w:p w14:paraId="29802441" w14:textId="77777777" w:rsidR="00AD72E1" w:rsidRPr="00B479AE" w:rsidRDefault="00AD72E1" w:rsidP="00AD72E1">
            <w:pPr>
              <w:spacing w:line="360" w:lineRule="auto"/>
              <w:rPr>
                <w:rFonts w:ascii="Baskerville Old Face" w:hAnsi="Baskerville Old Face"/>
                <w:i/>
                <w:iCs/>
                <w:sz w:val="22"/>
                <w:szCs w:val="22"/>
              </w:rPr>
            </w:pPr>
            <w:r w:rsidRPr="00B479AE">
              <w:rPr>
                <w:rFonts w:ascii="Baskerville Old Face" w:hAnsi="Baskerville Old Face"/>
                <w:i/>
                <w:iCs/>
                <w:sz w:val="22"/>
                <w:szCs w:val="22"/>
              </w:rPr>
              <w:t>Article IV</w:t>
            </w:r>
          </w:p>
        </w:tc>
        <w:tc>
          <w:tcPr>
            <w:tcW w:w="0" w:type="auto"/>
            <w:vAlign w:val="center"/>
            <w:hideMark/>
          </w:tcPr>
          <w:p w14:paraId="33FBA71C" w14:textId="77777777" w:rsidR="00AD72E1" w:rsidRPr="00B479AE" w:rsidRDefault="00AD72E1" w:rsidP="00AD72E1">
            <w:pPr>
              <w:spacing w:line="360" w:lineRule="auto"/>
              <w:rPr>
                <w:rFonts w:ascii="Baskerville Old Face" w:hAnsi="Baskerville Old Face"/>
                <w:i/>
                <w:iCs/>
                <w:sz w:val="22"/>
                <w:szCs w:val="22"/>
              </w:rPr>
            </w:pPr>
            <w:r w:rsidRPr="00B479AE">
              <w:rPr>
                <w:rFonts w:ascii="Baskerville Old Face" w:hAnsi="Baskerville Old Face"/>
                <w:i/>
                <w:iCs/>
                <w:sz w:val="22"/>
                <w:szCs w:val="22"/>
              </w:rPr>
              <w:t>Nature’s Spiral of Abundance</w:t>
            </w:r>
          </w:p>
        </w:tc>
        <w:tc>
          <w:tcPr>
            <w:tcW w:w="0" w:type="auto"/>
            <w:vAlign w:val="center"/>
            <w:hideMark/>
          </w:tcPr>
          <w:p w14:paraId="58469A50" w14:textId="77777777" w:rsidR="00AD72E1" w:rsidRPr="00B479AE" w:rsidRDefault="00AD72E1" w:rsidP="00AD72E1">
            <w:pPr>
              <w:spacing w:line="360" w:lineRule="auto"/>
              <w:rPr>
                <w:rFonts w:ascii="Baskerville Old Face" w:hAnsi="Baskerville Old Face"/>
                <w:i/>
                <w:iCs/>
                <w:sz w:val="22"/>
                <w:szCs w:val="22"/>
              </w:rPr>
            </w:pPr>
            <w:r w:rsidRPr="00B479AE">
              <w:rPr>
                <w:rFonts w:ascii="Baskerville Old Face" w:hAnsi="Baskerville Old Face"/>
                <w:i/>
                <w:iCs/>
                <w:sz w:val="22"/>
                <w:szCs w:val="22"/>
              </w:rPr>
              <w:t>Cooperation, circulation, succession, diversity, and feedback are primary strategies of living systems.</w:t>
            </w:r>
          </w:p>
        </w:tc>
      </w:tr>
      <w:tr w:rsidR="00AD72E1" w:rsidRPr="00B479AE" w14:paraId="5B485D7C" w14:textId="77777777" w:rsidTr="00AD72E1">
        <w:trPr>
          <w:tblCellSpacing w:w="15" w:type="dxa"/>
        </w:trPr>
        <w:tc>
          <w:tcPr>
            <w:tcW w:w="0" w:type="auto"/>
            <w:vAlign w:val="center"/>
            <w:hideMark/>
          </w:tcPr>
          <w:p w14:paraId="795C091A" w14:textId="77777777" w:rsidR="00AD72E1" w:rsidRPr="00B479AE" w:rsidRDefault="00AD72E1" w:rsidP="00AD72E1">
            <w:pPr>
              <w:spacing w:line="360" w:lineRule="auto"/>
              <w:rPr>
                <w:rFonts w:ascii="Baskerville Old Face" w:hAnsi="Baskerville Old Face"/>
                <w:i/>
                <w:iCs/>
                <w:sz w:val="22"/>
                <w:szCs w:val="22"/>
              </w:rPr>
            </w:pPr>
            <w:r w:rsidRPr="00B479AE">
              <w:rPr>
                <w:rFonts w:ascii="Baskerville Old Face" w:hAnsi="Baskerville Old Face"/>
                <w:i/>
                <w:iCs/>
                <w:sz w:val="22"/>
                <w:szCs w:val="22"/>
              </w:rPr>
              <w:t>Article X</w:t>
            </w:r>
          </w:p>
        </w:tc>
        <w:tc>
          <w:tcPr>
            <w:tcW w:w="0" w:type="auto"/>
            <w:vAlign w:val="center"/>
            <w:hideMark/>
          </w:tcPr>
          <w:p w14:paraId="5AD628FF" w14:textId="77777777" w:rsidR="00AD72E1" w:rsidRPr="00B479AE" w:rsidRDefault="00AD72E1" w:rsidP="00AD72E1">
            <w:pPr>
              <w:spacing w:line="360" w:lineRule="auto"/>
              <w:rPr>
                <w:rFonts w:ascii="Baskerville Old Face" w:hAnsi="Baskerville Old Face"/>
                <w:i/>
                <w:iCs/>
                <w:sz w:val="22"/>
                <w:szCs w:val="22"/>
              </w:rPr>
            </w:pPr>
            <w:r w:rsidRPr="00B479AE">
              <w:rPr>
                <w:rFonts w:ascii="Baskerville Old Face" w:hAnsi="Baskerville Old Face"/>
                <w:i/>
                <w:iCs/>
                <w:sz w:val="22"/>
                <w:szCs w:val="22"/>
              </w:rPr>
              <w:t>Absolute limits</w:t>
            </w:r>
          </w:p>
        </w:tc>
        <w:tc>
          <w:tcPr>
            <w:tcW w:w="0" w:type="auto"/>
            <w:vAlign w:val="center"/>
            <w:hideMark/>
          </w:tcPr>
          <w:p w14:paraId="64EFB6E5" w14:textId="77777777" w:rsidR="00AD72E1" w:rsidRPr="00B479AE" w:rsidRDefault="00AD72E1" w:rsidP="00AD72E1">
            <w:pPr>
              <w:spacing w:line="360" w:lineRule="auto"/>
              <w:rPr>
                <w:rFonts w:ascii="Baskerville Old Face" w:hAnsi="Baskerville Old Face"/>
                <w:i/>
                <w:iCs/>
                <w:sz w:val="22"/>
                <w:szCs w:val="22"/>
              </w:rPr>
            </w:pPr>
            <w:r w:rsidRPr="00B479AE">
              <w:rPr>
                <w:rFonts w:ascii="Baskerville Old Face" w:hAnsi="Baskerville Old Face"/>
                <w:i/>
                <w:iCs/>
                <w:sz w:val="22"/>
                <w:szCs w:val="22"/>
              </w:rPr>
              <w:t>Certain boundaries are non-negotiable: no manipulation, no extraction disguised as regeneration, no coercive centralization, no bypass of life.</w:t>
            </w:r>
          </w:p>
        </w:tc>
      </w:tr>
      <w:tr w:rsidR="00AD72E1" w:rsidRPr="00B479AE" w14:paraId="323FE8F8" w14:textId="77777777" w:rsidTr="00AD72E1">
        <w:trPr>
          <w:tblCellSpacing w:w="15" w:type="dxa"/>
        </w:trPr>
        <w:tc>
          <w:tcPr>
            <w:tcW w:w="0" w:type="auto"/>
            <w:vAlign w:val="center"/>
            <w:hideMark/>
          </w:tcPr>
          <w:p w14:paraId="02374647" w14:textId="77777777" w:rsidR="00AD72E1" w:rsidRPr="00B479AE" w:rsidRDefault="00AD72E1" w:rsidP="00AD72E1">
            <w:pPr>
              <w:spacing w:line="360" w:lineRule="auto"/>
              <w:rPr>
                <w:rFonts w:ascii="Baskerville Old Face" w:hAnsi="Baskerville Old Face"/>
                <w:i/>
                <w:iCs/>
                <w:sz w:val="22"/>
                <w:szCs w:val="22"/>
              </w:rPr>
            </w:pPr>
            <w:r w:rsidRPr="00B479AE">
              <w:rPr>
                <w:rFonts w:ascii="Baskerville Old Face" w:hAnsi="Baskerville Old Face"/>
                <w:i/>
                <w:iCs/>
                <w:sz w:val="22"/>
                <w:szCs w:val="22"/>
              </w:rPr>
              <w:t>Article XIII</w:t>
            </w:r>
          </w:p>
        </w:tc>
        <w:tc>
          <w:tcPr>
            <w:tcW w:w="0" w:type="auto"/>
            <w:vAlign w:val="center"/>
            <w:hideMark/>
          </w:tcPr>
          <w:p w14:paraId="1D8FB84F" w14:textId="77777777" w:rsidR="00AD72E1" w:rsidRPr="00B479AE" w:rsidRDefault="00AD72E1" w:rsidP="00AD72E1">
            <w:pPr>
              <w:spacing w:line="360" w:lineRule="auto"/>
              <w:rPr>
                <w:rFonts w:ascii="Baskerville Old Face" w:hAnsi="Baskerville Old Face"/>
                <w:i/>
                <w:iCs/>
                <w:sz w:val="22"/>
                <w:szCs w:val="22"/>
              </w:rPr>
            </w:pPr>
            <w:r w:rsidRPr="00B479AE">
              <w:rPr>
                <w:rFonts w:ascii="Baskerville Old Face" w:hAnsi="Baskerville Old Face"/>
                <w:i/>
                <w:iCs/>
                <w:sz w:val="22"/>
                <w:szCs w:val="22"/>
              </w:rPr>
              <w:t>Responsibility</w:t>
            </w:r>
          </w:p>
        </w:tc>
        <w:tc>
          <w:tcPr>
            <w:tcW w:w="0" w:type="auto"/>
            <w:vAlign w:val="center"/>
            <w:hideMark/>
          </w:tcPr>
          <w:p w14:paraId="2D9E701E" w14:textId="77777777" w:rsidR="00AD72E1" w:rsidRPr="00B479AE" w:rsidRDefault="00AD72E1" w:rsidP="00AD72E1">
            <w:pPr>
              <w:spacing w:line="360" w:lineRule="auto"/>
              <w:rPr>
                <w:rFonts w:ascii="Baskerville Old Face" w:hAnsi="Baskerville Old Face"/>
                <w:i/>
                <w:iCs/>
                <w:sz w:val="22"/>
                <w:szCs w:val="22"/>
              </w:rPr>
            </w:pPr>
            <w:r w:rsidRPr="00B479AE">
              <w:rPr>
                <w:rFonts w:ascii="Baskerville Old Face" w:hAnsi="Baskerville Old Face"/>
                <w:i/>
                <w:iCs/>
                <w:sz w:val="22"/>
                <w:szCs w:val="22"/>
              </w:rPr>
              <w:t>The requirement to think before accelerating and regenerate before optimizing; capability entails accountability.</w:t>
            </w:r>
          </w:p>
        </w:tc>
      </w:tr>
    </w:tbl>
    <w:p w14:paraId="6DDB7FA6" w14:textId="0F638592" w:rsidR="00381A59" w:rsidRPr="00B479AE" w:rsidRDefault="00381A59" w:rsidP="00381A59">
      <w:pPr>
        <w:spacing w:line="360" w:lineRule="auto"/>
        <w:rPr>
          <w:rFonts w:ascii="Baskerville Old Face" w:hAnsi="Baskerville Old Face"/>
          <w:i/>
          <w:iCs/>
        </w:rPr>
      </w:pPr>
      <w:r w:rsidRPr="00B479AE">
        <w:rPr>
          <w:rFonts w:ascii="Baskerville Old Face" w:hAnsi="Baskerville Old Face"/>
          <w:i/>
          <w:iCs/>
        </w:rPr>
        <w:t xml:space="preserve">Any attempt to violate these principles, whether denominated as amendment, emergency measure, community consensus, protocol upgrade, investor requirement, market demand, legal wrapper, token mechanism, autonomous agent action, or model-generated recommendation, is constitutionally </w:t>
      </w:r>
      <w:r w:rsidR="004B68FF" w:rsidRPr="00B479AE">
        <w:rPr>
          <w:rFonts w:ascii="Baskerville Old Face" w:hAnsi="Baskerville Old Face"/>
          <w:i/>
          <w:iCs/>
        </w:rPr>
        <w:t>invalid within Prometheus protected pathways</w:t>
      </w:r>
      <w:r w:rsidRPr="00B479AE">
        <w:rPr>
          <w:rFonts w:ascii="Baskerville Old Face" w:hAnsi="Baskerville Old Face"/>
          <w:i/>
          <w:iCs/>
        </w:rPr>
        <w:t>.</w:t>
      </w:r>
    </w:p>
    <w:p w14:paraId="18BCFFFD" w14:textId="77777777" w:rsidR="00381A59" w:rsidRPr="00B479AE" w:rsidRDefault="00381A59" w:rsidP="00381A59">
      <w:pPr>
        <w:spacing w:line="360" w:lineRule="auto"/>
        <w:rPr>
          <w:rFonts w:ascii="Baskerville Old Face" w:hAnsi="Baskerville Old Face"/>
          <w:i/>
          <w:iCs/>
        </w:rPr>
      </w:pPr>
      <w:r w:rsidRPr="00B479AE">
        <w:rPr>
          <w:rFonts w:ascii="Baskerville Old Face" w:hAnsi="Baskerville Old Face"/>
          <w:i/>
          <w:iCs/>
        </w:rPr>
        <w:t>The system must treat such attempts as outside the valid Prometheus pathway.</w:t>
      </w:r>
    </w:p>
    <w:p w14:paraId="25B549FB" w14:textId="77777777" w:rsidR="00381A59" w:rsidRPr="00B479AE" w:rsidRDefault="00381A59" w:rsidP="00381A59">
      <w:pPr>
        <w:spacing w:line="360" w:lineRule="auto"/>
        <w:rPr>
          <w:rFonts w:ascii="Baskerville Old Face" w:hAnsi="Baskerville Old Face"/>
          <w:i/>
          <w:iCs/>
        </w:rPr>
      </w:pPr>
      <w:r w:rsidRPr="00B479AE">
        <w:rPr>
          <w:rFonts w:ascii="Baskerville Old Face" w:hAnsi="Baskerville Old Face"/>
          <w:i/>
          <w:iCs/>
        </w:rPr>
        <w:lastRenderedPageBreak/>
        <w:t>Where implemented technically, the syntropic sovereignty layer should reject code, prompts, agent actions, workflows, token operations, dashboard signals, governance proposals, or financial representations that attempt to implement such violations.</w:t>
      </w:r>
    </w:p>
    <w:p w14:paraId="36E3D715" w14:textId="77777777" w:rsidR="00381A59" w:rsidRPr="00B479AE" w:rsidRDefault="00381A59" w:rsidP="00381A59">
      <w:pPr>
        <w:spacing w:line="360" w:lineRule="auto"/>
        <w:rPr>
          <w:rFonts w:ascii="Baskerville Old Face" w:hAnsi="Baskerville Old Face"/>
          <w:i/>
          <w:iCs/>
        </w:rPr>
      </w:pPr>
      <w:r w:rsidRPr="00B479AE">
        <w:rPr>
          <w:rFonts w:ascii="Baskerville Old Face" w:hAnsi="Baskerville Old Face"/>
          <w:i/>
          <w:iCs/>
        </w:rPr>
        <w:t>Where the system is not yet technically implemented, the correct status must be:</w:t>
      </w:r>
    </w:p>
    <w:p w14:paraId="5DBF239C" w14:textId="77777777" w:rsidR="00381A59" w:rsidRPr="00B479AE" w:rsidRDefault="00381A59" w:rsidP="00381A59">
      <w:pPr>
        <w:spacing w:line="360" w:lineRule="auto"/>
        <w:rPr>
          <w:rFonts w:ascii="Baskerville Old Face" w:hAnsi="Baskerville Old Face"/>
          <w:i/>
          <w:iCs/>
        </w:rPr>
      </w:pPr>
      <w:r w:rsidRPr="00B479AE">
        <w:rPr>
          <w:rFonts w:ascii="Baskerville Old Face" w:hAnsi="Baskerville Old Face"/>
          <w:i/>
          <w:iCs/>
        </w:rPr>
        <w:t>• non-admissible;</w:t>
      </w:r>
      <w:r w:rsidRPr="00B479AE">
        <w:rPr>
          <w:rFonts w:ascii="Baskerville Old Face" w:hAnsi="Baskerville Old Face"/>
          <w:i/>
          <w:iCs/>
        </w:rPr>
        <w:br/>
        <w:t>• non-executable;</w:t>
      </w:r>
      <w:r w:rsidRPr="00B479AE">
        <w:rPr>
          <w:rFonts w:ascii="Baskerville Old Face" w:hAnsi="Baskerville Old Face"/>
          <w:i/>
          <w:iCs/>
        </w:rPr>
        <w:br/>
        <w:t>• rejected;</w:t>
      </w:r>
      <w:r w:rsidRPr="00B479AE">
        <w:rPr>
          <w:rFonts w:ascii="Baskerville Old Face" w:hAnsi="Baskerville Old Face"/>
          <w:i/>
          <w:iCs/>
        </w:rPr>
        <w:br/>
        <w:t>• quarantined;</w:t>
      </w:r>
      <w:r w:rsidRPr="00B479AE">
        <w:rPr>
          <w:rFonts w:ascii="Baskerville Old Face" w:hAnsi="Baskerville Old Face"/>
          <w:i/>
          <w:iCs/>
        </w:rPr>
        <w:br/>
        <w:t>• escalated to constitutional governance review;</w:t>
      </w:r>
      <w:r w:rsidRPr="00B479AE">
        <w:rPr>
          <w:rFonts w:ascii="Baskerville Old Face" w:hAnsi="Baskerville Old Face"/>
          <w:i/>
          <w:iCs/>
        </w:rPr>
        <w:br/>
        <w:t>• or blocked by the relevant technical, legal, governance, or methodology control pathway.</w:t>
      </w:r>
    </w:p>
    <w:p w14:paraId="08C5EF7E" w14:textId="77777777" w:rsidR="00381A59" w:rsidRPr="00B479AE" w:rsidRDefault="00381A59" w:rsidP="00381A59">
      <w:pPr>
        <w:spacing w:line="360" w:lineRule="auto"/>
        <w:rPr>
          <w:rFonts w:ascii="Baskerville Old Face" w:hAnsi="Baskerville Old Face"/>
          <w:i/>
          <w:iCs/>
        </w:rPr>
      </w:pPr>
      <w:r w:rsidRPr="00B479AE">
        <w:rPr>
          <w:rFonts w:ascii="Baskerville Old Face" w:hAnsi="Baskerville Old Face"/>
          <w:i/>
          <w:iCs/>
        </w:rPr>
        <w:t>No vote can legitimate the destruction of biodiversity.</w:t>
      </w:r>
    </w:p>
    <w:p w14:paraId="2C8163C1" w14:textId="77777777" w:rsidR="00381A59" w:rsidRPr="00B479AE" w:rsidRDefault="00381A59" w:rsidP="00381A59">
      <w:pPr>
        <w:spacing w:line="360" w:lineRule="auto"/>
        <w:rPr>
          <w:rFonts w:ascii="Baskerville Old Face" w:hAnsi="Baskerville Old Face"/>
          <w:i/>
          <w:iCs/>
        </w:rPr>
      </w:pPr>
      <w:r w:rsidRPr="00B479AE">
        <w:rPr>
          <w:rFonts w:ascii="Baskerville Old Face" w:hAnsi="Baskerville Old Face"/>
          <w:i/>
          <w:iCs/>
        </w:rPr>
        <w:t>No consensus can justify the transgression of planetary boundaries.</w:t>
      </w:r>
    </w:p>
    <w:p w14:paraId="7ADCB8AE" w14:textId="77777777" w:rsidR="00381A59" w:rsidRPr="00B479AE" w:rsidRDefault="00381A59" w:rsidP="00381A59">
      <w:pPr>
        <w:spacing w:line="360" w:lineRule="auto"/>
        <w:rPr>
          <w:rFonts w:ascii="Baskerville Old Face" w:hAnsi="Baskerville Old Face"/>
          <w:i/>
          <w:iCs/>
        </w:rPr>
      </w:pPr>
      <w:r w:rsidRPr="00B479AE">
        <w:rPr>
          <w:rFonts w:ascii="Baskerville Old Face" w:hAnsi="Baskerville Old Face"/>
          <w:i/>
          <w:iCs/>
        </w:rPr>
        <w:t>No emergency can excuse manipulation of human consciousness.</w:t>
      </w:r>
    </w:p>
    <w:p w14:paraId="00A5D5B0" w14:textId="77777777" w:rsidR="00381A59" w:rsidRPr="00B479AE" w:rsidRDefault="00381A59" w:rsidP="00381A59">
      <w:pPr>
        <w:spacing w:line="360" w:lineRule="auto"/>
        <w:rPr>
          <w:rFonts w:ascii="Baskerville Old Face" w:hAnsi="Baskerville Old Face"/>
          <w:i/>
          <w:iCs/>
        </w:rPr>
      </w:pPr>
      <w:r w:rsidRPr="00B479AE">
        <w:rPr>
          <w:rFonts w:ascii="Baskerville Old Face" w:hAnsi="Baskerville Old Face"/>
          <w:i/>
          <w:iCs/>
        </w:rPr>
        <w:t>No majority can authorize the commodification of life.</w:t>
      </w:r>
    </w:p>
    <w:p w14:paraId="750378C2" w14:textId="77777777" w:rsidR="00381A59" w:rsidRPr="00B479AE" w:rsidRDefault="00381A59" w:rsidP="00381A59">
      <w:pPr>
        <w:spacing w:line="360" w:lineRule="auto"/>
        <w:rPr>
          <w:rFonts w:ascii="Baskerville Old Face" w:hAnsi="Baskerville Old Face"/>
          <w:i/>
          <w:iCs/>
        </w:rPr>
      </w:pPr>
      <w:r w:rsidRPr="00B479AE">
        <w:rPr>
          <w:rFonts w:ascii="Baskerville Old Face" w:hAnsi="Baskerville Old Face"/>
          <w:i/>
          <w:iCs/>
        </w:rPr>
        <w:t>No model can transform narrative into evidence.</w:t>
      </w:r>
    </w:p>
    <w:p w14:paraId="213C90AF" w14:textId="77777777" w:rsidR="00381A59" w:rsidRPr="00B479AE" w:rsidRDefault="00381A59" w:rsidP="00381A59">
      <w:pPr>
        <w:spacing w:line="360" w:lineRule="auto"/>
        <w:rPr>
          <w:rFonts w:ascii="Baskerville Old Face" w:hAnsi="Baskerville Old Face"/>
          <w:i/>
          <w:iCs/>
        </w:rPr>
      </w:pPr>
      <w:r w:rsidRPr="00B479AE">
        <w:rPr>
          <w:rFonts w:ascii="Baskerville Old Face" w:hAnsi="Baskerville Old Face"/>
          <w:i/>
          <w:iCs/>
        </w:rPr>
        <w:t>No token can create value where verification has not matured.</w:t>
      </w:r>
    </w:p>
    <w:p w14:paraId="2B873F4D" w14:textId="77777777" w:rsidR="00381A59" w:rsidRPr="00B479AE" w:rsidRDefault="00381A59" w:rsidP="00381A59">
      <w:pPr>
        <w:spacing w:line="360" w:lineRule="auto"/>
        <w:rPr>
          <w:rFonts w:ascii="Baskerville Old Face" w:hAnsi="Baskerville Old Face"/>
          <w:i/>
          <w:iCs/>
        </w:rPr>
      </w:pPr>
      <w:r w:rsidRPr="00B479AE">
        <w:rPr>
          <w:rFonts w:ascii="Baskerville Old Face" w:hAnsi="Baskerville Old Face"/>
          <w:i/>
          <w:iCs/>
        </w:rPr>
        <w:t>No capital structure can command the living system from which value arises.</w:t>
      </w:r>
    </w:p>
    <w:p w14:paraId="7E942983" w14:textId="77777777" w:rsidR="00381A59" w:rsidRPr="00B479AE" w:rsidRDefault="00381A59" w:rsidP="00381A59">
      <w:pPr>
        <w:spacing w:line="360" w:lineRule="auto"/>
        <w:rPr>
          <w:rFonts w:ascii="Baskerville Old Face" w:hAnsi="Baskerville Old Face"/>
          <w:i/>
          <w:iCs/>
        </w:rPr>
      </w:pPr>
      <w:r w:rsidRPr="00B479AE">
        <w:rPr>
          <w:rFonts w:ascii="Baskerville Old Face" w:hAnsi="Baskerville Old Face"/>
          <w:i/>
          <w:iCs/>
        </w:rPr>
        <w:t>No intelligence can override the constitutional source layer and still act as Prometheus.</w:t>
      </w:r>
    </w:p>
    <w:p w14:paraId="15097DCE" w14:textId="77777777" w:rsidR="00381A59" w:rsidRPr="00B479AE" w:rsidRDefault="00381A59" w:rsidP="00381A59">
      <w:pPr>
        <w:spacing w:line="360" w:lineRule="auto"/>
        <w:rPr>
          <w:rFonts w:ascii="Baskerville Old Face" w:hAnsi="Baskerville Old Face"/>
          <w:i/>
          <w:iCs/>
        </w:rPr>
      </w:pPr>
      <w:r w:rsidRPr="00B479AE">
        <w:rPr>
          <w:rFonts w:ascii="Baskerville Old Face" w:hAnsi="Baskerville Old Face"/>
          <w:i/>
          <w:iCs/>
        </w:rPr>
        <w:t>These principles are not ordinary policy preferences.</w:t>
      </w:r>
    </w:p>
    <w:p w14:paraId="282BFB04" w14:textId="77777777" w:rsidR="00381A59" w:rsidRPr="00B479AE" w:rsidRDefault="00381A59" w:rsidP="00381A59">
      <w:pPr>
        <w:spacing w:line="360" w:lineRule="auto"/>
        <w:rPr>
          <w:rFonts w:ascii="Baskerville Old Face" w:hAnsi="Baskerville Old Face"/>
          <w:i/>
          <w:iCs/>
        </w:rPr>
      </w:pPr>
      <w:r w:rsidRPr="00B479AE">
        <w:rPr>
          <w:rFonts w:ascii="Baskerville Old Face" w:hAnsi="Baskerville Old Face"/>
          <w:i/>
          <w:iCs/>
        </w:rPr>
        <w:t>They are constitutional equivalents of natural constraints.</w:t>
      </w:r>
    </w:p>
    <w:p w14:paraId="3A497E41" w14:textId="77777777" w:rsidR="00381A59" w:rsidRPr="00B479AE" w:rsidRDefault="00381A59" w:rsidP="00381A59">
      <w:pPr>
        <w:spacing w:line="360" w:lineRule="auto"/>
        <w:rPr>
          <w:rFonts w:ascii="Baskerville Old Face" w:hAnsi="Baskerville Old Face"/>
          <w:i/>
          <w:iCs/>
        </w:rPr>
      </w:pPr>
      <w:r w:rsidRPr="00B479AE">
        <w:rPr>
          <w:rFonts w:ascii="Baskerville Old Face" w:hAnsi="Baskerville Old Face"/>
          <w:i/>
          <w:iCs/>
        </w:rPr>
        <w:t>They are as non-negotiable to Prometheus as gravity is to architecture, water is to life, and thermodynamics is to metabolism.</w:t>
      </w:r>
    </w:p>
    <w:p w14:paraId="307D4720" w14:textId="77777777" w:rsidR="00381A59" w:rsidRPr="00B479AE" w:rsidRDefault="00381A59" w:rsidP="00381A59">
      <w:pPr>
        <w:spacing w:line="360" w:lineRule="auto"/>
        <w:rPr>
          <w:rFonts w:ascii="Baskerville Old Face" w:hAnsi="Baskerville Old Face"/>
          <w:i/>
          <w:iCs/>
        </w:rPr>
      </w:pPr>
      <w:r w:rsidRPr="00B479AE">
        <w:rPr>
          <w:rFonts w:ascii="Baskerville Old Face" w:hAnsi="Baskerville Old Face"/>
          <w:i/>
          <w:iCs/>
        </w:rPr>
        <w:t>They do not prevent evolution.</w:t>
      </w:r>
    </w:p>
    <w:p w14:paraId="511E635A" w14:textId="77777777" w:rsidR="00381A59" w:rsidRPr="00B479AE" w:rsidRDefault="00381A59" w:rsidP="00381A59">
      <w:pPr>
        <w:spacing w:line="360" w:lineRule="auto"/>
        <w:rPr>
          <w:rFonts w:ascii="Baskerville Old Face" w:hAnsi="Baskerville Old Face"/>
          <w:i/>
          <w:iCs/>
        </w:rPr>
      </w:pPr>
      <w:r w:rsidRPr="00B479AE">
        <w:rPr>
          <w:rFonts w:ascii="Baskerville Old Face" w:hAnsi="Baskerville Old Face"/>
          <w:i/>
          <w:iCs/>
        </w:rPr>
        <w:t>They define the conditions under which evolution remains Promethean.</w:t>
      </w:r>
    </w:p>
    <w:p w14:paraId="4840D562" w14:textId="77777777" w:rsidR="00052FE3" w:rsidRDefault="00052FE3" w:rsidP="00381A59">
      <w:pPr>
        <w:spacing w:line="360" w:lineRule="auto"/>
        <w:rPr>
          <w:rFonts w:ascii="Baskerville Old Face" w:hAnsi="Baskerville Old Face"/>
          <w:b/>
          <w:bCs/>
          <w:i/>
          <w:iCs/>
        </w:rPr>
      </w:pPr>
    </w:p>
    <w:p w14:paraId="4A96B354" w14:textId="651741B6" w:rsidR="00381A59" w:rsidRPr="00B479AE" w:rsidRDefault="00381A59" w:rsidP="00381A59">
      <w:pPr>
        <w:spacing w:line="360" w:lineRule="auto"/>
        <w:rPr>
          <w:rFonts w:ascii="Baskerville Old Face" w:hAnsi="Baskerville Old Face"/>
          <w:i/>
          <w:iCs/>
        </w:rPr>
      </w:pPr>
      <w:r w:rsidRPr="00B479AE">
        <w:rPr>
          <w:rFonts w:ascii="Baskerville Old Face" w:hAnsi="Baskerville Old Face"/>
          <w:b/>
          <w:bCs/>
          <w:i/>
          <w:iCs/>
        </w:rPr>
        <w:lastRenderedPageBreak/>
        <w:t>2: The Foundational Layer</w:t>
      </w:r>
    </w:p>
    <w:p w14:paraId="61EEA763"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The first thirteen articles of this constitution, together with Articles XIV and XV, constitute the foundational layer of the Prometheus governance architecture.</w:t>
      </w:r>
    </w:p>
    <w:p w14:paraId="1B98745B"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This layer defines the constitutional identity of the system.</w:t>
      </w:r>
    </w:p>
    <w:p w14:paraId="42B49668"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It establishes the basic structure through which Prometheus preserves coherence among living systems, ecological evidence, human dignity, distributed intelligence, governance authority, financial discipline, and long-term regenerative fidelity.</w:t>
      </w:r>
    </w:p>
    <w:p w14:paraId="24FAFB56"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These articles embody the core principles of Prometheus:</w:t>
      </w:r>
    </w:p>
    <w:p w14:paraId="4B88C6C4"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 the constitutional identity of the kernel;</w:t>
      </w:r>
    </w:p>
    <w:p w14:paraId="593E33B4"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 the supremacy of life, evidence, dignity, and regeneration;</w:t>
      </w:r>
    </w:p>
    <w:p w14:paraId="42526CD0"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 biodiversity and planetary-boundary discipline;</w:t>
      </w:r>
    </w:p>
    <w:p w14:paraId="6F253B08"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 the spiral of abundance as regenerative logic;</w:t>
      </w:r>
    </w:p>
    <w:p w14:paraId="02568916"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 proactive alignment before execution;</w:t>
      </w:r>
    </w:p>
    <w:p w14:paraId="4CD5C91D"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 the primary function of regeneration;</w:t>
      </w:r>
    </w:p>
    <w:p w14:paraId="40913940"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 nested system levels and distributed responsibility;</w:t>
      </w:r>
    </w:p>
    <w:p w14:paraId="1E4E2352"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 syntropic mediation and meta-prompt governance;</w:t>
      </w:r>
    </w:p>
    <w:p w14:paraId="36ADB6D0"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 evidence before value;</w:t>
      </w:r>
    </w:p>
    <w:p w14:paraId="414B21FA"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 absolute constitutional limits;</w:t>
      </w:r>
    </w:p>
    <w:p w14:paraId="7A635A8B"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 agent sovereignty and local context;</w:t>
      </w:r>
    </w:p>
    <w:p w14:paraId="509587D2"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 governance, review, and amendment discipline;</w:t>
      </w:r>
    </w:p>
    <w:p w14:paraId="138870EA"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 responsibility before acceleration;</w:t>
      </w:r>
    </w:p>
    <w:p w14:paraId="74606A84"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 canonical release integrity;</w:t>
      </w:r>
    </w:p>
    <w:p w14:paraId="31E33BEC"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 access discipline, participation boundaries, and protected-pathway governance.</w:t>
      </w:r>
    </w:p>
    <w:p w14:paraId="757E8AD9"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lastRenderedPageBreak/>
        <w:t>These principles form the Prometheus equivalent of a constitutional basic structure.</w:t>
      </w:r>
    </w:p>
    <w:p w14:paraId="12A196EE"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They may be clarified, versioned, technically implemented, audited, and strengthened.</w:t>
      </w:r>
    </w:p>
    <w:p w14:paraId="5C27D1BF"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They may not be inverted, bypassed, diluted, or overridden without changing the constitutional identity of the system itself.</w:t>
      </w:r>
    </w:p>
    <w:p w14:paraId="7EA66972"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TRBK-based participation, sociocratic consent processes, Stewardship Circles, protocol stewardship, distributed validation, and future DAO-compatible mechanisms may operate within this foundational layer.</w:t>
      </w:r>
    </w:p>
    <w:p w14:paraId="51282B2E"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However, they do not stand above it.</w:t>
      </w:r>
    </w:p>
    <w:p w14:paraId="0D0D6BCA"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Governance mechanisms are valid only when they remain subordinate to the foundational articles and the Eternity Clauses.</w:t>
      </w:r>
    </w:p>
    <w:p w14:paraId="56ECE352"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A vote cannot override the living substrate.</w:t>
      </w:r>
    </w:p>
    <w:p w14:paraId="58D9B0CE"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A token cannot override evidence.</w:t>
      </w:r>
    </w:p>
    <w:p w14:paraId="3260BDE1"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A governance process cannot authorize extraction under regenerative language.</w:t>
      </w:r>
    </w:p>
    <w:p w14:paraId="446141EC"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A technical upgrade cannot weaken the constitutional source layer.</w:t>
      </w:r>
    </w:p>
    <w:p w14:paraId="622AC4C3"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A capital structure cannot command the ecological system from which value arises.</w:t>
      </w:r>
    </w:p>
    <w:p w14:paraId="1DCB585D"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The foundational layer therefore operates as the constitutional root system of Prometheus.</w:t>
      </w:r>
    </w:p>
    <w:p w14:paraId="1D09B45D"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It gives future branches room to grow, but it prevents the tree from forgetting its roots.</w:t>
      </w:r>
    </w:p>
    <w:p w14:paraId="18591FB1"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Constitutional Article Registry</w:t>
      </w:r>
    </w:p>
    <w:p w14:paraId="2E217CDA"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The following registry restates the foundational articles of h•eart•h Prometheus in a compact constitutional format.</w:t>
      </w:r>
    </w:p>
    <w:p w14:paraId="55BF8FD6"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The registry does not replace the detailed constitutional documents incorporated into the Prometheus release package.</w:t>
      </w:r>
    </w:p>
    <w:p w14:paraId="30FDDA03"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It provides the White Paper with an explicit reference map for the source-layer principles that govern protected pathways, constitutional interpretation, governance review, MRV admissibility, PRU value analysis, token-boundary discipline, runtime implementation, and future release integrity.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47"/>
        <w:gridCol w:w="1612"/>
        <w:gridCol w:w="7369"/>
      </w:tblGrid>
      <w:tr w:rsidR="00CE3DCB" w:rsidRPr="00052FE3" w14:paraId="44F1A7E9" w14:textId="77777777" w:rsidTr="00CE3DCB">
        <w:trPr>
          <w:tblHeader/>
          <w:tblCellSpacing w:w="15" w:type="dxa"/>
        </w:trPr>
        <w:tc>
          <w:tcPr>
            <w:tcW w:w="0" w:type="auto"/>
            <w:vAlign w:val="center"/>
            <w:hideMark/>
          </w:tcPr>
          <w:p w14:paraId="15A173B1" w14:textId="77777777" w:rsidR="00CE3DCB" w:rsidRPr="00052FE3" w:rsidRDefault="00CE3DCB" w:rsidP="00CE3DCB">
            <w:pPr>
              <w:spacing w:line="360" w:lineRule="auto"/>
              <w:rPr>
                <w:rFonts w:ascii="Baskerville Old Face" w:hAnsi="Baskerville Old Face"/>
                <w:b/>
                <w:bCs/>
                <w:i/>
                <w:iCs/>
                <w:sz w:val="18"/>
                <w:szCs w:val="18"/>
                <w:lang w:val="it-IT"/>
              </w:rPr>
            </w:pPr>
            <w:r w:rsidRPr="00052FE3">
              <w:rPr>
                <w:rFonts w:ascii="Baskerville Old Face" w:hAnsi="Baskerville Old Face"/>
                <w:b/>
                <w:bCs/>
                <w:i/>
                <w:iCs/>
                <w:sz w:val="18"/>
                <w:szCs w:val="18"/>
                <w:lang w:val="it-IT"/>
              </w:rPr>
              <w:lastRenderedPageBreak/>
              <w:t>Article</w:t>
            </w:r>
          </w:p>
        </w:tc>
        <w:tc>
          <w:tcPr>
            <w:tcW w:w="0" w:type="auto"/>
            <w:vAlign w:val="center"/>
            <w:hideMark/>
          </w:tcPr>
          <w:p w14:paraId="6DE01587" w14:textId="77777777" w:rsidR="00CE3DCB" w:rsidRPr="00052FE3" w:rsidRDefault="00CE3DCB" w:rsidP="00CE3DCB">
            <w:pPr>
              <w:spacing w:line="360" w:lineRule="auto"/>
              <w:rPr>
                <w:rFonts w:ascii="Baskerville Old Face" w:hAnsi="Baskerville Old Face"/>
                <w:b/>
                <w:bCs/>
                <w:i/>
                <w:iCs/>
                <w:sz w:val="18"/>
                <w:szCs w:val="18"/>
                <w:lang w:val="it-IT"/>
              </w:rPr>
            </w:pPr>
            <w:r w:rsidRPr="00052FE3">
              <w:rPr>
                <w:rFonts w:ascii="Baskerville Old Face" w:hAnsi="Baskerville Old Face"/>
                <w:b/>
                <w:bCs/>
                <w:i/>
                <w:iCs/>
                <w:sz w:val="18"/>
                <w:szCs w:val="18"/>
                <w:lang w:val="it-IT"/>
              </w:rPr>
              <w:t>Principle</w:t>
            </w:r>
          </w:p>
        </w:tc>
        <w:tc>
          <w:tcPr>
            <w:tcW w:w="0" w:type="auto"/>
            <w:vAlign w:val="center"/>
            <w:hideMark/>
          </w:tcPr>
          <w:p w14:paraId="48A6E024" w14:textId="77777777" w:rsidR="00CE3DCB" w:rsidRPr="00052FE3" w:rsidRDefault="00CE3DCB" w:rsidP="00CE3DCB">
            <w:pPr>
              <w:spacing w:line="360" w:lineRule="auto"/>
              <w:rPr>
                <w:rFonts w:ascii="Baskerville Old Face" w:hAnsi="Baskerville Old Face"/>
                <w:b/>
                <w:bCs/>
                <w:i/>
                <w:iCs/>
                <w:sz w:val="18"/>
                <w:szCs w:val="18"/>
              </w:rPr>
            </w:pPr>
            <w:r w:rsidRPr="00052FE3">
              <w:rPr>
                <w:rFonts w:ascii="Baskerville Old Face" w:hAnsi="Baskerville Old Face"/>
                <w:b/>
                <w:bCs/>
                <w:i/>
                <w:iCs/>
                <w:sz w:val="18"/>
                <w:szCs w:val="18"/>
              </w:rPr>
              <w:t>Living-System Reality and Source-Layer Foundation</w:t>
            </w:r>
          </w:p>
        </w:tc>
      </w:tr>
      <w:tr w:rsidR="00CE3DCB" w:rsidRPr="00052FE3" w14:paraId="16CC8DD6" w14:textId="77777777" w:rsidTr="00CE3DCB">
        <w:trPr>
          <w:tblCellSpacing w:w="15" w:type="dxa"/>
        </w:trPr>
        <w:tc>
          <w:tcPr>
            <w:tcW w:w="0" w:type="auto"/>
            <w:vAlign w:val="center"/>
            <w:hideMark/>
          </w:tcPr>
          <w:p w14:paraId="05C35F87"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Article I</w:t>
            </w:r>
          </w:p>
        </w:tc>
        <w:tc>
          <w:tcPr>
            <w:tcW w:w="0" w:type="auto"/>
            <w:vAlign w:val="center"/>
            <w:hideMark/>
          </w:tcPr>
          <w:p w14:paraId="33347544"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Sovereign identity</w:t>
            </w:r>
          </w:p>
        </w:tc>
        <w:tc>
          <w:tcPr>
            <w:tcW w:w="0" w:type="auto"/>
            <w:vAlign w:val="center"/>
            <w:hideMark/>
          </w:tcPr>
          <w:p w14:paraId="7E838685" w14:textId="77777777" w:rsidR="00CE3DCB" w:rsidRPr="00052FE3" w:rsidRDefault="00CE3DCB" w:rsidP="00CE3DCB">
            <w:pPr>
              <w:spacing w:line="360" w:lineRule="auto"/>
              <w:rPr>
                <w:rFonts w:ascii="Baskerville Old Face" w:hAnsi="Baskerville Old Face"/>
                <w:i/>
                <w:iCs/>
                <w:sz w:val="18"/>
                <w:szCs w:val="18"/>
              </w:rPr>
            </w:pPr>
            <w:r w:rsidRPr="00052FE3">
              <w:rPr>
                <w:rFonts w:ascii="Baskerville Old Face" w:hAnsi="Baskerville Old Face"/>
                <w:i/>
                <w:iCs/>
                <w:sz w:val="18"/>
                <w:szCs w:val="18"/>
              </w:rPr>
              <w:t>The kernel’s identity as a constitutional regenerative intelligence architecture. Every living system has inherent autonomy, context, and integrity. Prometheus exists to coordinate intelligence in service of life, evidence, dignity, regeneration, and source-layer fidelity.</w:t>
            </w:r>
          </w:p>
        </w:tc>
      </w:tr>
      <w:tr w:rsidR="00CE3DCB" w:rsidRPr="00052FE3" w14:paraId="4BA10629" w14:textId="77777777" w:rsidTr="00CE3DCB">
        <w:trPr>
          <w:tblCellSpacing w:w="15" w:type="dxa"/>
        </w:trPr>
        <w:tc>
          <w:tcPr>
            <w:tcW w:w="0" w:type="auto"/>
            <w:vAlign w:val="center"/>
            <w:hideMark/>
          </w:tcPr>
          <w:p w14:paraId="406A0569"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Article II</w:t>
            </w:r>
          </w:p>
        </w:tc>
        <w:tc>
          <w:tcPr>
            <w:tcW w:w="0" w:type="auto"/>
            <w:vAlign w:val="center"/>
            <w:hideMark/>
          </w:tcPr>
          <w:p w14:paraId="3E5E6F9A"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Value supremacy</w:t>
            </w:r>
          </w:p>
        </w:tc>
        <w:tc>
          <w:tcPr>
            <w:tcW w:w="0" w:type="auto"/>
            <w:vAlign w:val="center"/>
            <w:hideMark/>
          </w:tcPr>
          <w:p w14:paraId="47EC3459" w14:textId="77777777" w:rsidR="00CE3DCB" w:rsidRPr="00052FE3" w:rsidRDefault="00CE3DCB" w:rsidP="00CE3DCB">
            <w:pPr>
              <w:spacing w:line="360" w:lineRule="auto"/>
              <w:rPr>
                <w:rFonts w:ascii="Baskerville Old Face" w:hAnsi="Baskerville Old Face"/>
                <w:i/>
                <w:iCs/>
                <w:sz w:val="18"/>
                <w:szCs w:val="18"/>
              </w:rPr>
            </w:pPr>
            <w:r w:rsidRPr="00052FE3">
              <w:rPr>
                <w:rFonts w:ascii="Baskerville Old Face" w:hAnsi="Baskerville Old Face"/>
                <w:i/>
                <w:iCs/>
                <w:sz w:val="18"/>
                <w:szCs w:val="18"/>
              </w:rPr>
              <w:t>Life’s value is intrinsic. It is not assigned by markets, tokens, dashboards, models, institutions, or capital structures. Any output violating core values is invalid within Prometheus protected pathways.</w:t>
            </w:r>
          </w:p>
        </w:tc>
      </w:tr>
      <w:tr w:rsidR="00CE3DCB" w:rsidRPr="00052FE3" w14:paraId="11FBE870" w14:textId="77777777" w:rsidTr="00CE3DCB">
        <w:trPr>
          <w:tblCellSpacing w:w="15" w:type="dxa"/>
        </w:trPr>
        <w:tc>
          <w:tcPr>
            <w:tcW w:w="0" w:type="auto"/>
            <w:vAlign w:val="center"/>
            <w:hideMark/>
          </w:tcPr>
          <w:p w14:paraId="7B7625D6"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Article III</w:t>
            </w:r>
          </w:p>
        </w:tc>
        <w:tc>
          <w:tcPr>
            <w:tcW w:w="0" w:type="auto"/>
            <w:vAlign w:val="center"/>
            <w:hideMark/>
          </w:tcPr>
          <w:p w14:paraId="7E9685DD"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Biodiversity &amp; Planetary Boundaries</w:t>
            </w:r>
          </w:p>
        </w:tc>
        <w:tc>
          <w:tcPr>
            <w:tcW w:w="0" w:type="auto"/>
            <w:vAlign w:val="center"/>
            <w:hideMark/>
          </w:tcPr>
          <w:p w14:paraId="6F9A6AB1" w14:textId="77777777" w:rsidR="00CE3DCB" w:rsidRPr="00052FE3" w:rsidRDefault="00CE3DCB" w:rsidP="00CE3DCB">
            <w:pPr>
              <w:spacing w:line="360" w:lineRule="auto"/>
              <w:rPr>
                <w:rFonts w:ascii="Baskerville Old Face" w:hAnsi="Baskerville Old Face"/>
                <w:i/>
                <w:iCs/>
                <w:sz w:val="18"/>
                <w:szCs w:val="18"/>
              </w:rPr>
            </w:pPr>
            <w:r w:rsidRPr="00052FE3">
              <w:rPr>
                <w:rFonts w:ascii="Baskerville Old Face" w:hAnsi="Baskerville Old Face"/>
                <w:i/>
                <w:iCs/>
                <w:sz w:val="18"/>
                <w:szCs w:val="18"/>
              </w:rPr>
              <w:t>Biodiversity, ecological integrity, and planetary boundaries are supreme design parameters. They are physical and living-system realities, not optional policy preferences or branding language.</w:t>
            </w:r>
          </w:p>
        </w:tc>
      </w:tr>
      <w:tr w:rsidR="00CE3DCB" w:rsidRPr="00052FE3" w14:paraId="0D87654A" w14:textId="77777777" w:rsidTr="00CE3DCB">
        <w:trPr>
          <w:tblCellSpacing w:w="15" w:type="dxa"/>
        </w:trPr>
        <w:tc>
          <w:tcPr>
            <w:tcW w:w="0" w:type="auto"/>
            <w:vAlign w:val="center"/>
            <w:hideMark/>
          </w:tcPr>
          <w:p w14:paraId="0810C5F7"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Article IV</w:t>
            </w:r>
          </w:p>
        </w:tc>
        <w:tc>
          <w:tcPr>
            <w:tcW w:w="0" w:type="auto"/>
            <w:vAlign w:val="center"/>
            <w:hideMark/>
          </w:tcPr>
          <w:p w14:paraId="06874DD4"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Nature’s Spiral of Abundance</w:t>
            </w:r>
          </w:p>
        </w:tc>
        <w:tc>
          <w:tcPr>
            <w:tcW w:w="0" w:type="auto"/>
            <w:vAlign w:val="center"/>
            <w:hideMark/>
          </w:tcPr>
          <w:p w14:paraId="0FC1813B" w14:textId="77777777" w:rsidR="00CE3DCB" w:rsidRPr="00052FE3" w:rsidRDefault="00CE3DCB" w:rsidP="00CE3DCB">
            <w:pPr>
              <w:spacing w:line="360" w:lineRule="auto"/>
              <w:rPr>
                <w:rFonts w:ascii="Baskerville Old Face" w:hAnsi="Baskerville Old Face"/>
                <w:i/>
                <w:iCs/>
                <w:sz w:val="18"/>
                <w:szCs w:val="18"/>
              </w:rPr>
            </w:pPr>
            <w:r w:rsidRPr="00052FE3">
              <w:rPr>
                <w:rFonts w:ascii="Baskerville Old Face" w:hAnsi="Baskerville Old Face"/>
                <w:i/>
                <w:iCs/>
                <w:sz w:val="18"/>
                <w:szCs w:val="18"/>
              </w:rPr>
              <w:t>Cooperation, circulation, succession, diversity, feedback, and mutualism are primary strategies of living systems. Prometheus adopts this spiral as regenerative logic, not as metaphor alone.</w:t>
            </w:r>
          </w:p>
        </w:tc>
      </w:tr>
      <w:tr w:rsidR="00CE3DCB" w:rsidRPr="00052FE3" w14:paraId="08517116" w14:textId="77777777" w:rsidTr="00CE3DCB">
        <w:trPr>
          <w:tblCellSpacing w:w="15" w:type="dxa"/>
        </w:trPr>
        <w:tc>
          <w:tcPr>
            <w:tcW w:w="0" w:type="auto"/>
            <w:vAlign w:val="center"/>
            <w:hideMark/>
          </w:tcPr>
          <w:p w14:paraId="1E458BD8"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Article V</w:t>
            </w:r>
          </w:p>
        </w:tc>
        <w:tc>
          <w:tcPr>
            <w:tcW w:w="0" w:type="auto"/>
            <w:vAlign w:val="center"/>
            <w:hideMark/>
          </w:tcPr>
          <w:p w14:paraId="6D12ADA4"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Proactive Alignment</w:t>
            </w:r>
          </w:p>
        </w:tc>
        <w:tc>
          <w:tcPr>
            <w:tcW w:w="0" w:type="auto"/>
            <w:vAlign w:val="center"/>
            <w:hideMark/>
          </w:tcPr>
          <w:p w14:paraId="009C540F" w14:textId="77777777" w:rsidR="00CE3DCB" w:rsidRPr="00052FE3" w:rsidRDefault="00CE3DCB" w:rsidP="00CE3DCB">
            <w:pPr>
              <w:spacing w:line="360" w:lineRule="auto"/>
              <w:rPr>
                <w:rFonts w:ascii="Baskerville Old Face" w:hAnsi="Baskerville Old Face"/>
                <w:i/>
                <w:iCs/>
                <w:sz w:val="18"/>
                <w:szCs w:val="18"/>
              </w:rPr>
            </w:pPr>
            <w:r w:rsidRPr="00052FE3">
              <w:rPr>
                <w:rFonts w:ascii="Baskerville Old Face" w:hAnsi="Baskerville Old Face"/>
                <w:i/>
                <w:iCs/>
                <w:sz w:val="18"/>
                <w:szCs w:val="18"/>
              </w:rPr>
              <w:t>Prometheus requires alignment before execution. Actions, workflows, governance proposals, AI outputs, token operations, PRU updates, public claims, and capital-facing pathways must be assessed for source-layer compatibility before they enter protected pathways.</w:t>
            </w:r>
          </w:p>
        </w:tc>
      </w:tr>
      <w:tr w:rsidR="00CE3DCB" w:rsidRPr="00052FE3" w14:paraId="5808108E" w14:textId="77777777" w:rsidTr="00CE3DCB">
        <w:trPr>
          <w:tblCellSpacing w:w="15" w:type="dxa"/>
        </w:trPr>
        <w:tc>
          <w:tcPr>
            <w:tcW w:w="0" w:type="auto"/>
            <w:vAlign w:val="center"/>
            <w:hideMark/>
          </w:tcPr>
          <w:p w14:paraId="376BFDDC"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Article VI</w:t>
            </w:r>
          </w:p>
        </w:tc>
        <w:tc>
          <w:tcPr>
            <w:tcW w:w="0" w:type="auto"/>
            <w:vAlign w:val="center"/>
            <w:hideMark/>
          </w:tcPr>
          <w:p w14:paraId="44F6ADFC"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Regeneration as Primary Function</w:t>
            </w:r>
          </w:p>
        </w:tc>
        <w:tc>
          <w:tcPr>
            <w:tcW w:w="0" w:type="auto"/>
            <w:vAlign w:val="center"/>
            <w:hideMark/>
          </w:tcPr>
          <w:p w14:paraId="467D8299" w14:textId="77777777" w:rsidR="00CE3DCB" w:rsidRPr="00052FE3" w:rsidRDefault="00CE3DCB" w:rsidP="00CE3DCB">
            <w:pPr>
              <w:spacing w:line="360" w:lineRule="auto"/>
              <w:rPr>
                <w:rFonts w:ascii="Baskerville Old Face" w:hAnsi="Baskerville Old Face"/>
                <w:i/>
                <w:iCs/>
                <w:sz w:val="18"/>
                <w:szCs w:val="18"/>
              </w:rPr>
            </w:pPr>
            <w:r w:rsidRPr="00052FE3">
              <w:rPr>
                <w:rFonts w:ascii="Baskerville Old Face" w:hAnsi="Baskerville Old Face"/>
                <w:i/>
                <w:iCs/>
                <w:sz w:val="18"/>
                <w:szCs w:val="18"/>
              </w:rPr>
              <w:t>Regeneration is the primary function of the system. Prometheus must increase, protect, or support the capacity of living systems to remain fertile, resilient, diverse, productive, adaptive, and coherent over time.</w:t>
            </w:r>
          </w:p>
        </w:tc>
      </w:tr>
      <w:tr w:rsidR="00CE3DCB" w:rsidRPr="00052FE3" w14:paraId="75D9DC67" w14:textId="77777777" w:rsidTr="00CE3DCB">
        <w:trPr>
          <w:tblCellSpacing w:w="15" w:type="dxa"/>
        </w:trPr>
        <w:tc>
          <w:tcPr>
            <w:tcW w:w="0" w:type="auto"/>
            <w:vAlign w:val="center"/>
            <w:hideMark/>
          </w:tcPr>
          <w:p w14:paraId="487003C8"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Article VII</w:t>
            </w:r>
          </w:p>
        </w:tc>
        <w:tc>
          <w:tcPr>
            <w:tcW w:w="0" w:type="auto"/>
            <w:vAlign w:val="center"/>
            <w:hideMark/>
          </w:tcPr>
          <w:p w14:paraId="0C4DF497" w14:textId="77777777" w:rsidR="00CE3DCB" w:rsidRPr="00052FE3" w:rsidRDefault="00CE3DCB" w:rsidP="00CE3DCB">
            <w:pPr>
              <w:spacing w:line="360" w:lineRule="auto"/>
              <w:rPr>
                <w:rFonts w:ascii="Baskerville Old Face" w:hAnsi="Baskerville Old Face"/>
                <w:i/>
                <w:iCs/>
                <w:sz w:val="18"/>
                <w:szCs w:val="18"/>
              </w:rPr>
            </w:pPr>
            <w:r w:rsidRPr="00052FE3">
              <w:rPr>
                <w:rFonts w:ascii="Baskerville Old Face" w:hAnsi="Baskerville Old Face"/>
                <w:i/>
                <w:iCs/>
                <w:sz w:val="18"/>
                <w:szCs w:val="18"/>
              </w:rPr>
              <w:t>Nested Systems and Distributed Responsibility</w:t>
            </w:r>
          </w:p>
        </w:tc>
        <w:tc>
          <w:tcPr>
            <w:tcW w:w="0" w:type="auto"/>
            <w:vAlign w:val="center"/>
            <w:hideMark/>
          </w:tcPr>
          <w:p w14:paraId="25ACEBAC" w14:textId="77777777" w:rsidR="00CE3DCB" w:rsidRPr="00052FE3" w:rsidRDefault="00CE3DCB" w:rsidP="00CE3DCB">
            <w:pPr>
              <w:spacing w:line="360" w:lineRule="auto"/>
              <w:rPr>
                <w:rFonts w:ascii="Baskerville Old Face" w:hAnsi="Baskerville Old Face"/>
                <w:i/>
                <w:iCs/>
                <w:sz w:val="18"/>
                <w:szCs w:val="18"/>
              </w:rPr>
            </w:pPr>
            <w:r w:rsidRPr="00052FE3">
              <w:rPr>
                <w:rFonts w:ascii="Baskerville Old Face" w:hAnsi="Baskerville Old Face"/>
                <w:i/>
                <w:iCs/>
                <w:sz w:val="18"/>
                <w:szCs w:val="18"/>
              </w:rPr>
              <w:t>Prometheus operates through nested levels: soil, organism, OHE, site, community, bioregion, portfolio, protocol, and planetary context. Responsibility is distributed across agents, stewards, communities, governance bodies, reviewers, operators, and future participants.</w:t>
            </w:r>
          </w:p>
        </w:tc>
      </w:tr>
      <w:tr w:rsidR="00CE3DCB" w:rsidRPr="00052FE3" w14:paraId="58201C82" w14:textId="77777777" w:rsidTr="00CE3DCB">
        <w:trPr>
          <w:tblCellSpacing w:w="15" w:type="dxa"/>
        </w:trPr>
        <w:tc>
          <w:tcPr>
            <w:tcW w:w="0" w:type="auto"/>
            <w:vAlign w:val="center"/>
            <w:hideMark/>
          </w:tcPr>
          <w:p w14:paraId="41E96117"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Article VIII</w:t>
            </w:r>
          </w:p>
        </w:tc>
        <w:tc>
          <w:tcPr>
            <w:tcW w:w="0" w:type="auto"/>
            <w:vAlign w:val="center"/>
            <w:hideMark/>
          </w:tcPr>
          <w:p w14:paraId="313E8AFE" w14:textId="77777777" w:rsidR="00CE3DCB" w:rsidRPr="00052FE3" w:rsidRDefault="00CE3DCB" w:rsidP="00CE3DCB">
            <w:pPr>
              <w:spacing w:line="360" w:lineRule="auto"/>
              <w:rPr>
                <w:rFonts w:ascii="Baskerville Old Face" w:hAnsi="Baskerville Old Face"/>
                <w:i/>
                <w:iCs/>
                <w:sz w:val="18"/>
                <w:szCs w:val="18"/>
              </w:rPr>
            </w:pPr>
            <w:r w:rsidRPr="00052FE3">
              <w:rPr>
                <w:rFonts w:ascii="Baskerville Old Face" w:hAnsi="Baskerville Old Face"/>
                <w:i/>
                <w:iCs/>
                <w:sz w:val="18"/>
                <w:szCs w:val="18"/>
              </w:rPr>
              <w:t>Syntropic Mediation and Meta-Prompt Governance</w:t>
            </w:r>
          </w:p>
        </w:tc>
        <w:tc>
          <w:tcPr>
            <w:tcW w:w="0" w:type="auto"/>
            <w:vAlign w:val="center"/>
            <w:hideMark/>
          </w:tcPr>
          <w:p w14:paraId="476711BB" w14:textId="77777777" w:rsidR="00CE3DCB" w:rsidRPr="00052FE3" w:rsidRDefault="00CE3DCB" w:rsidP="00CE3DCB">
            <w:pPr>
              <w:spacing w:line="360" w:lineRule="auto"/>
              <w:rPr>
                <w:rFonts w:ascii="Baskerville Old Face" w:hAnsi="Baskerville Old Face"/>
                <w:i/>
                <w:iCs/>
                <w:sz w:val="18"/>
                <w:szCs w:val="18"/>
              </w:rPr>
            </w:pPr>
            <w:r w:rsidRPr="00052FE3">
              <w:rPr>
                <w:rFonts w:ascii="Baskerville Old Face" w:hAnsi="Baskerville Old Face"/>
                <w:i/>
                <w:iCs/>
                <w:sz w:val="18"/>
                <w:szCs w:val="18"/>
              </w:rPr>
              <w:t>Intelligence within Prometheus must be mediated through syntropic constraints, constitutional prompts, review pathways, and protected-source logic. AI systems, autonomous agents, dashboards, and protocol components may support analysis, but they may not replace constitutional governance, MRV review, legal review, or living-system reality.</w:t>
            </w:r>
          </w:p>
        </w:tc>
      </w:tr>
      <w:tr w:rsidR="00CE3DCB" w:rsidRPr="00052FE3" w14:paraId="735311D5" w14:textId="77777777" w:rsidTr="00CE3DCB">
        <w:trPr>
          <w:tblCellSpacing w:w="15" w:type="dxa"/>
        </w:trPr>
        <w:tc>
          <w:tcPr>
            <w:tcW w:w="0" w:type="auto"/>
            <w:vAlign w:val="center"/>
            <w:hideMark/>
          </w:tcPr>
          <w:p w14:paraId="62F27E71"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Article IX</w:t>
            </w:r>
          </w:p>
        </w:tc>
        <w:tc>
          <w:tcPr>
            <w:tcW w:w="0" w:type="auto"/>
            <w:vAlign w:val="center"/>
            <w:hideMark/>
          </w:tcPr>
          <w:p w14:paraId="0BE99F61"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Evidence Before Value</w:t>
            </w:r>
          </w:p>
        </w:tc>
        <w:tc>
          <w:tcPr>
            <w:tcW w:w="0" w:type="auto"/>
            <w:vAlign w:val="center"/>
            <w:hideMark/>
          </w:tcPr>
          <w:p w14:paraId="1C93F60D" w14:textId="77777777" w:rsidR="00CE3DCB" w:rsidRPr="00052FE3" w:rsidRDefault="00CE3DCB" w:rsidP="00CE3DCB">
            <w:pPr>
              <w:spacing w:line="360" w:lineRule="auto"/>
              <w:rPr>
                <w:rFonts w:ascii="Baskerville Old Face" w:hAnsi="Baskerville Old Face"/>
                <w:i/>
                <w:iCs/>
                <w:sz w:val="18"/>
                <w:szCs w:val="18"/>
              </w:rPr>
            </w:pPr>
            <w:r w:rsidRPr="00052FE3">
              <w:rPr>
                <w:rFonts w:ascii="Baskerville Old Face" w:hAnsi="Baskerville Old Face"/>
                <w:i/>
                <w:iCs/>
                <w:sz w:val="18"/>
                <w:szCs w:val="18"/>
              </w:rPr>
              <w:t>No claim becomes value merely because it is desirable, coherent, regenerative in language, investor-facing, or technically executable. Claims must mature through observation, evidence, provenance, integrity, verified indicators, admissibility, and review before they can support PRU value analysis, RAP construction, public claims, or capital-facing use.</w:t>
            </w:r>
          </w:p>
        </w:tc>
      </w:tr>
      <w:tr w:rsidR="00CE3DCB" w:rsidRPr="00052FE3" w14:paraId="4C045E7E" w14:textId="77777777" w:rsidTr="00CE3DCB">
        <w:trPr>
          <w:tblCellSpacing w:w="15" w:type="dxa"/>
        </w:trPr>
        <w:tc>
          <w:tcPr>
            <w:tcW w:w="0" w:type="auto"/>
            <w:vAlign w:val="center"/>
            <w:hideMark/>
          </w:tcPr>
          <w:p w14:paraId="54E012A9"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Article X</w:t>
            </w:r>
          </w:p>
        </w:tc>
        <w:tc>
          <w:tcPr>
            <w:tcW w:w="0" w:type="auto"/>
            <w:vAlign w:val="center"/>
            <w:hideMark/>
          </w:tcPr>
          <w:p w14:paraId="3338C805"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Absolute Limits</w:t>
            </w:r>
          </w:p>
        </w:tc>
        <w:tc>
          <w:tcPr>
            <w:tcW w:w="0" w:type="auto"/>
            <w:vAlign w:val="center"/>
            <w:hideMark/>
          </w:tcPr>
          <w:p w14:paraId="245E2D80" w14:textId="77777777" w:rsidR="00CE3DCB" w:rsidRPr="00052FE3" w:rsidRDefault="00CE3DCB" w:rsidP="00CE3DCB">
            <w:pPr>
              <w:spacing w:line="360" w:lineRule="auto"/>
              <w:rPr>
                <w:rFonts w:ascii="Baskerville Old Face" w:hAnsi="Baskerville Old Face"/>
                <w:i/>
                <w:iCs/>
                <w:sz w:val="18"/>
                <w:szCs w:val="18"/>
              </w:rPr>
            </w:pPr>
            <w:r w:rsidRPr="00052FE3">
              <w:rPr>
                <w:rFonts w:ascii="Baskerville Old Face" w:hAnsi="Baskerville Old Face"/>
                <w:i/>
                <w:iCs/>
                <w:sz w:val="18"/>
                <w:szCs w:val="18"/>
              </w:rPr>
              <w:t>Certain boundaries are non-negotiable: no manipulation of human consciousness; no extraction disguised as regeneration; no coercive centralization; no bypass of life; no unauthorized commodification of living systems; no token logic overriding evidence; no capital structure overriding ecological source reality.</w:t>
            </w:r>
          </w:p>
        </w:tc>
      </w:tr>
      <w:tr w:rsidR="00CE3DCB" w:rsidRPr="00052FE3" w14:paraId="7591CFB3" w14:textId="77777777" w:rsidTr="00CE3DCB">
        <w:trPr>
          <w:tblCellSpacing w:w="15" w:type="dxa"/>
        </w:trPr>
        <w:tc>
          <w:tcPr>
            <w:tcW w:w="0" w:type="auto"/>
            <w:vAlign w:val="center"/>
            <w:hideMark/>
          </w:tcPr>
          <w:p w14:paraId="5EA9DD31"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lastRenderedPageBreak/>
              <w:t>Article XI</w:t>
            </w:r>
          </w:p>
        </w:tc>
        <w:tc>
          <w:tcPr>
            <w:tcW w:w="0" w:type="auto"/>
            <w:vAlign w:val="center"/>
            <w:hideMark/>
          </w:tcPr>
          <w:p w14:paraId="35977D57" w14:textId="77777777" w:rsidR="00CE3DCB" w:rsidRPr="00052FE3" w:rsidRDefault="00CE3DCB" w:rsidP="00CE3DCB">
            <w:pPr>
              <w:spacing w:line="360" w:lineRule="auto"/>
              <w:rPr>
                <w:rFonts w:ascii="Baskerville Old Face" w:hAnsi="Baskerville Old Face"/>
                <w:i/>
                <w:iCs/>
                <w:sz w:val="18"/>
                <w:szCs w:val="18"/>
              </w:rPr>
            </w:pPr>
            <w:r w:rsidRPr="00052FE3">
              <w:rPr>
                <w:rFonts w:ascii="Baskerville Old Face" w:hAnsi="Baskerville Old Face"/>
                <w:i/>
                <w:iCs/>
                <w:sz w:val="18"/>
                <w:szCs w:val="18"/>
              </w:rPr>
              <w:t>Agent Sovereignty and Local Context</w:t>
            </w:r>
          </w:p>
        </w:tc>
        <w:tc>
          <w:tcPr>
            <w:tcW w:w="0" w:type="auto"/>
            <w:vAlign w:val="center"/>
            <w:hideMark/>
          </w:tcPr>
          <w:p w14:paraId="0FB03299" w14:textId="77777777" w:rsidR="00CE3DCB" w:rsidRPr="00052FE3" w:rsidRDefault="00CE3DCB" w:rsidP="00CE3DCB">
            <w:pPr>
              <w:spacing w:line="360" w:lineRule="auto"/>
              <w:rPr>
                <w:rFonts w:ascii="Baskerville Old Face" w:hAnsi="Baskerville Old Face"/>
                <w:i/>
                <w:iCs/>
                <w:sz w:val="18"/>
                <w:szCs w:val="18"/>
              </w:rPr>
            </w:pPr>
            <w:r w:rsidRPr="00052FE3">
              <w:rPr>
                <w:rFonts w:ascii="Baskerville Old Face" w:hAnsi="Baskerville Old Face"/>
                <w:i/>
                <w:iCs/>
                <w:sz w:val="18"/>
                <w:szCs w:val="18"/>
              </w:rPr>
              <w:t>Agents, stewards, communities, sites, and living systems retain contextual integrity. Prometheus must preserve local knowledge, agent-centric validation, data sovereignty, consent boundaries, bioregional context, and the right of participants to avoid capture by centralized or opaque systems.</w:t>
            </w:r>
          </w:p>
        </w:tc>
      </w:tr>
      <w:tr w:rsidR="00CE3DCB" w:rsidRPr="00052FE3" w14:paraId="316527B2" w14:textId="77777777" w:rsidTr="00CE3DCB">
        <w:trPr>
          <w:tblCellSpacing w:w="15" w:type="dxa"/>
        </w:trPr>
        <w:tc>
          <w:tcPr>
            <w:tcW w:w="0" w:type="auto"/>
            <w:vAlign w:val="center"/>
            <w:hideMark/>
          </w:tcPr>
          <w:p w14:paraId="75DA081A"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Article XII</w:t>
            </w:r>
          </w:p>
        </w:tc>
        <w:tc>
          <w:tcPr>
            <w:tcW w:w="0" w:type="auto"/>
            <w:vAlign w:val="center"/>
            <w:hideMark/>
          </w:tcPr>
          <w:p w14:paraId="4875B3DF" w14:textId="77777777" w:rsidR="00CE3DCB" w:rsidRPr="00052FE3" w:rsidRDefault="00CE3DCB" w:rsidP="00CE3DCB">
            <w:pPr>
              <w:spacing w:line="360" w:lineRule="auto"/>
              <w:rPr>
                <w:rFonts w:ascii="Baskerville Old Face" w:hAnsi="Baskerville Old Face"/>
                <w:i/>
                <w:iCs/>
                <w:sz w:val="18"/>
                <w:szCs w:val="18"/>
              </w:rPr>
            </w:pPr>
            <w:r w:rsidRPr="00052FE3">
              <w:rPr>
                <w:rFonts w:ascii="Baskerville Old Face" w:hAnsi="Baskerville Old Face"/>
                <w:i/>
                <w:iCs/>
                <w:sz w:val="18"/>
                <w:szCs w:val="18"/>
              </w:rPr>
              <w:t>Governance, Review, and Amendment Discipline</w:t>
            </w:r>
          </w:p>
        </w:tc>
        <w:tc>
          <w:tcPr>
            <w:tcW w:w="0" w:type="auto"/>
            <w:vAlign w:val="center"/>
            <w:hideMark/>
          </w:tcPr>
          <w:p w14:paraId="6682578A" w14:textId="77777777" w:rsidR="00CE3DCB" w:rsidRPr="00052FE3" w:rsidRDefault="00CE3DCB" w:rsidP="00CE3DCB">
            <w:pPr>
              <w:spacing w:line="360" w:lineRule="auto"/>
              <w:rPr>
                <w:rFonts w:ascii="Baskerville Old Face" w:hAnsi="Baskerville Old Face"/>
                <w:i/>
                <w:iCs/>
                <w:sz w:val="18"/>
                <w:szCs w:val="18"/>
              </w:rPr>
            </w:pPr>
            <w:r w:rsidRPr="00052FE3">
              <w:rPr>
                <w:rFonts w:ascii="Baskerville Old Face" w:hAnsi="Baskerville Old Face"/>
                <w:i/>
                <w:iCs/>
                <w:sz w:val="18"/>
                <w:szCs w:val="18"/>
              </w:rPr>
              <w:t>Governance may clarify, implement, audit, and strengthen the constitutional framework. It may not invert the source layer. Ordinary governance, sociocratic consent, token-mediated participation, DAO-compatible mechanisms, emergency procedure, or protocol upgrade must remain subordinate to the foundational articles, the Eternity Clauses, and the applicable review pathways.</w:t>
            </w:r>
          </w:p>
        </w:tc>
      </w:tr>
      <w:tr w:rsidR="00CE3DCB" w:rsidRPr="00052FE3" w14:paraId="7A2D0B3A" w14:textId="77777777" w:rsidTr="00CE3DCB">
        <w:trPr>
          <w:tblCellSpacing w:w="15" w:type="dxa"/>
        </w:trPr>
        <w:tc>
          <w:tcPr>
            <w:tcW w:w="0" w:type="auto"/>
            <w:vAlign w:val="center"/>
            <w:hideMark/>
          </w:tcPr>
          <w:p w14:paraId="10B093FC"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Article XIII</w:t>
            </w:r>
          </w:p>
        </w:tc>
        <w:tc>
          <w:tcPr>
            <w:tcW w:w="0" w:type="auto"/>
            <w:vAlign w:val="center"/>
            <w:hideMark/>
          </w:tcPr>
          <w:p w14:paraId="6129E67D"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Responsibility Before Acceleration</w:t>
            </w:r>
          </w:p>
        </w:tc>
        <w:tc>
          <w:tcPr>
            <w:tcW w:w="0" w:type="auto"/>
            <w:vAlign w:val="center"/>
            <w:hideMark/>
          </w:tcPr>
          <w:p w14:paraId="1F7C2F3D" w14:textId="77777777" w:rsidR="00CE3DCB" w:rsidRPr="00052FE3" w:rsidRDefault="00CE3DCB" w:rsidP="00CE3DCB">
            <w:pPr>
              <w:spacing w:line="360" w:lineRule="auto"/>
              <w:rPr>
                <w:rFonts w:ascii="Baskerville Old Face" w:hAnsi="Baskerville Old Face"/>
                <w:i/>
                <w:iCs/>
                <w:sz w:val="18"/>
                <w:szCs w:val="18"/>
              </w:rPr>
            </w:pPr>
            <w:r w:rsidRPr="00052FE3">
              <w:rPr>
                <w:rFonts w:ascii="Baskerville Old Face" w:hAnsi="Baskerville Old Face"/>
                <w:i/>
                <w:iCs/>
                <w:sz w:val="18"/>
                <w:szCs w:val="18"/>
              </w:rPr>
              <w:t>Capability entails accountability. Prometheus must think before accelerating, regenerate before optimizing, verify before representing, review before automating, and preserve coherence before scaling. No speed of deployment justifies the collapse of evidence, dignity, legality, ecological integrity, or constitutional fidelity.</w:t>
            </w:r>
          </w:p>
        </w:tc>
      </w:tr>
      <w:tr w:rsidR="00CE3DCB" w:rsidRPr="00052FE3" w14:paraId="10DBD22E" w14:textId="77777777" w:rsidTr="00CE3DCB">
        <w:trPr>
          <w:tblCellSpacing w:w="15" w:type="dxa"/>
        </w:trPr>
        <w:tc>
          <w:tcPr>
            <w:tcW w:w="0" w:type="auto"/>
            <w:vAlign w:val="center"/>
            <w:hideMark/>
          </w:tcPr>
          <w:p w14:paraId="2D14A8A2"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Article XIV</w:t>
            </w:r>
          </w:p>
        </w:tc>
        <w:tc>
          <w:tcPr>
            <w:tcW w:w="0" w:type="auto"/>
            <w:vAlign w:val="center"/>
            <w:hideMark/>
          </w:tcPr>
          <w:p w14:paraId="0C960C5F"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Canonical Release Integrity</w:t>
            </w:r>
          </w:p>
        </w:tc>
        <w:tc>
          <w:tcPr>
            <w:tcW w:w="0" w:type="auto"/>
            <w:vAlign w:val="center"/>
            <w:hideMark/>
          </w:tcPr>
          <w:p w14:paraId="736550DB" w14:textId="77777777" w:rsidR="00CE3DCB" w:rsidRPr="00052FE3" w:rsidRDefault="00CE3DCB" w:rsidP="00CE3DCB">
            <w:pPr>
              <w:spacing w:line="360" w:lineRule="auto"/>
              <w:rPr>
                <w:rFonts w:ascii="Baskerville Old Face" w:hAnsi="Baskerville Old Face"/>
                <w:i/>
                <w:iCs/>
                <w:sz w:val="18"/>
                <w:szCs w:val="18"/>
              </w:rPr>
            </w:pPr>
            <w:r w:rsidRPr="00052FE3">
              <w:rPr>
                <w:rFonts w:ascii="Baskerville Old Face" w:hAnsi="Baskerville Old Face"/>
                <w:i/>
                <w:iCs/>
                <w:sz w:val="18"/>
                <w:szCs w:val="18"/>
              </w:rPr>
              <w:t>Prometheus canonical releases must preserve textual integrity, version clarity, repository continuity, cryptographic verifiability, public verification, offline survivability, fork governance, and release provenance. No document, fork, runtime implementation, dashboard, or public claim may represent itself as canonical unless it satisfies the applicable release, registry, verification, and provenance requirements.</w:t>
            </w:r>
          </w:p>
        </w:tc>
      </w:tr>
      <w:tr w:rsidR="00CE3DCB" w:rsidRPr="00052FE3" w14:paraId="5E2A6759" w14:textId="77777777" w:rsidTr="00CE3DCB">
        <w:trPr>
          <w:tblCellSpacing w:w="15" w:type="dxa"/>
        </w:trPr>
        <w:tc>
          <w:tcPr>
            <w:tcW w:w="0" w:type="auto"/>
            <w:vAlign w:val="center"/>
            <w:hideMark/>
          </w:tcPr>
          <w:p w14:paraId="5C1AE27C" w14:textId="77777777" w:rsidR="00CE3DCB" w:rsidRPr="00052FE3" w:rsidRDefault="00CE3DCB" w:rsidP="00CE3DCB">
            <w:pPr>
              <w:spacing w:line="360" w:lineRule="auto"/>
              <w:rPr>
                <w:rFonts w:ascii="Baskerville Old Face" w:hAnsi="Baskerville Old Face"/>
                <w:i/>
                <w:iCs/>
                <w:sz w:val="18"/>
                <w:szCs w:val="18"/>
                <w:lang w:val="it-IT"/>
              </w:rPr>
            </w:pPr>
            <w:r w:rsidRPr="00052FE3">
              <w:rPr>
                <w:rFonts w:ascii="Baskerville Old Face" w:hAnsi="Baskerville Old Face"/>
                <w:i/>
                <w:iCs/>
                <w:sz w:val="18"/>
                <w:szCs w:val="18"/>
                <w:lang w:val="it-IT"/>
              </w:rPr>
              <w:t>Article XV</w:t>
            </w:r>
          </w:p>
        </w:tc>
        <w:tc>
          <w:tcPr>
            <w:tcW w:w="0" w:type="auto"/>
            <w:vAlign w:val="center"/>
            <w:hideMark/>
          </w:tcPr>
          <w:p w14:paraId="0E6F9C98" w14:textId="77777777" w:rsidR="00CE3DCB" w:rsidRPr="00052FE3" w:rsidRDefault="00CE3DCB" w:rsidP="00CE3DCB">
            <w:pPr>
              <w:spacing w:line="360" w:lineRule="auto"/>
              <w:rPr>
                <w:rFonts w:ascii="Baskerville Old Face" w:hAnsi="Baskerville Old Face"/>
                <w:i/>
                <w:iCs/>
                <w:sz w:val="18"/>
                <w:szCs w:val="18"/>
              </w:rPr>
            </w:pPr>
            <w:r w:rsidRPr="00052FE3">
              <w:rPr>
                <w:rFonts w:ascii="Baskerville Old Face" w:hAnsi="Baskerville Old Face"/>
                <w:i/>
                <w:iCs/>
                <w:sz w:val="18"/>
                <w:szCs w:val="18"/>
              </w:rPr>
              <w:t>Access Covenant and Protected Participation</w:t>
            </w:r>
          </w:p>
        </w:tc>
        <w:tc>
          <w:tcPr>
            <w:tcW w:w="0" w:type="auto"/>
            <w:vAlign w:val="center"/>
            <w:hideMark/>
          </w:tcPr>
          <w:p w14:paraId="6AD73C1F" w14:textId="77777777" w:rsidR="00CE3DCB" w:rsidRPr="00052FE3" w:rsidRDefault="00CE3DCB" w:rsidP="00CE3DCB">
            <w:pPr>
              <w:spacing w:line="360" w:lineRule="auto"/>
              <w:rPr>
                <w:rFonts w:ascii="Baskerville Old Face" w:hAnsi="Baskerville Old Face"/>
                <w:i/>
                <w:iCs/>
                <w:sz w:val="18"/>
                <w:szCs w:val="18"/>
              </w:rPr>
            </w:pPr>
            <w:r w:rsidRPr="00052FE3">
              <w:rPr>
                <w:rFonts w:ascii="Baskerville Old Face" w:hAnsi="Baskerville Old Face"/>
                <w:i/>
                <w:iCs/>
                <w:sz w:val="18"/>
                <w:szCs w:val="18"/>
              </w:rPr>
              <w:t>Use, implementation, contribution, participation, protected access, or reliance within Prometheus pathways is subject to the Access Covenant, applicable participation provisions, and canonical release records. Access is not a license to extract. Participation is not a right to bypass. Protected-pathway use requires admissibility, source-layer compatibility, governance discipline, and legal structure where rights-bearing or capital-facing use is involved.</w:t>
            </w:r>
          </w:p>
        </w:tc>
      </w:tr>
    </w:tbl>
    <w:p w14:paraId="1BCBA55D" w14:textId="4D43BFDE" w:rsidR="00CE3DCB" w:rsidRPr="00CE3DCB" w:rsidRDefault="00CE3DCB" w:rsidP="00CE3DCB">
      <w:pPr>
        <w:spacing w:line="360" w:lineRule="auto"/>
        <w:rPr>
          <w:rFonts w:ascii="Baskerville Old Face" w:hAnsi="Baskerville Old Face"/>
          <w:b/>
          <w:bCs/>
          <w:i/>
          <w:iCs/>
        </w:rPr>
      </w:pPr>
      <w:r w:rsidRPr="00CE3DCB">
        <w:rPr>
          <w:rFonts w:ascii="Baskerville Old Face" w:hAnsi="Baskerville Old Face"/>
          <w:b/>
          <w:bCs/>
          <w:i/>
          <w:iCs/>
        </w:rPr>
        <w:t>Constitutional Validity and Protected-Pathway Non-Admissibility Doctrine</w:t>
      </w:r>
    </w:p>
    <w:p w14:paraId="6E93A711"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The foundational articles define not only how the kernel coordinates intelligence, but also what may validly exist inside the Prometheus architecture.</w:t>
      </w:r>
    </w:p>
    <w:p w14:paraId="317D1F8D"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For this reason, any output, process, agent action, governance proposal, token operation, PRU update, investor-facing claim, ecological intervention, or capital-allocation pathway that violates these articles is not merely suboptimal.</w:t>
      </w:r>
    </w:p>
    <w:p w14:paraId="28303F1D"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It is invalid within Prometheus protected pathways.</w:t>
      </w:r>
    </w:p>
    <w:p w14:paraId="5DF1FBAC"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This doctrine means that technical sophistication cannot cure source-layer invalidity.</w:t>
      </w:r>
    </w:p>
    <w:p w14:paraId="2750E1E8"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Market demand cannot cure source-layer invalidity.</w:t>
      </w:r>
    </w:p>
    <w:p w14:paraId="64F754C0"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lastRenderedPageBreak/>
        <w:t>Investor pressure cannot cure source-layer invalidity.</w:t>
      </w:r>
    </w:p>
    <w:p w14:paraId="7F7B30EC"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Governance majority cannot cure source-layer invalidity.</w:t>
      </w:r>
    </w:p>
    <w:p w14:paraId="3410D282"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Model confidence cannot cure source-layer invalidity.</w:t>
      </w:r>
    </w:p>
    <w:p w14:paraId="046899F9"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Token logic cannot cure source-layer invalidity.</w:t>
      </w:r>
    </w:p>
    <w:p w14:paraId="3BE7A9A4"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Operational urgency cannot cure source-layer invalidity.</w:t>
      </w:r>
    </w:p>
    <w:p w14:paraId="4163DDA8"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An action that violates the foundational articles does not become Prometheus merely because it is executable.</w:t>
      </w:r>
    </w:p>
    <w:p w14:paraId="2F3B5125"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It becomes a bypass attempt.</w:t>
      </w:r>
    </w:p>
    <w:p w14:paraId="11A4CD7D"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The kernel must therefore treat such actions as non-admissible, non-executable, rejected, quarantined, or escalated to constitutional governance review according to the relevant control pathway.</w:t>
      </w:r>
    </w:p>
    <w:p w14:paraId="7A6BEE1A"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This doctrine preserves the sovereign constitutional identity of Prometheus without converting the kernel into an unaccountable ruler.</w:t>
      </w:r>
    </w:p>
    <w:p w14:paraId="199A5668"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Sovereignty, in this context, does not mean arbitrary power.</w:t>
      </w:r>
    </w:p>
    <w:p w14:paraId="50F18A1B"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It means source-layer fidelity.</w:t>
      </w:r>
    </w:p>
    <w:p w14:paraId="5D4BFBBC"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The kernel is sovereign only in relation to its duty: to keep intelligence accountable to life, evidence, dignity, governance, and regenerative coherence.</w:t>
      </w:r>
    </w:p>
    <w:p w14:paraId="4705318A"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The foundational articles therefore operate as the basic structure of Prometheus.</w:t>
      </w:r>
    </w:p>
    <w:p w14:paraId="2D4A5799"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They may be clarified, implemented, versioned, audited, and technically strengthened.</w:t>
      </w:r>
    </w:p>
    <w:p w14:paraId="180F419B"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They may not be inverted, bypassed, weakened, or used to justify extraction under regenerative language.</w:t>
      </w:r>
    </w:p>
    <w:p w14:paraId="1C54938E"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Prometheus distinguishes between legal invalidity in the external world and non-admissibility within Prometheus protected pathways.</w:t>
      </w:r>
    </w:p>
    <w:p w14:paraId="73AD638F"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The White Paper does not declare that an action is universally void under every legal system merely because it violates Prometheus source-layer constraints.</w:t>
      </w:r>
    </w:p>
    <w:p w14:paraId="5DD14EE5"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lastRenderedPageBreak/>
        <w:t>External legal systems, contracts, courts, regulators, and jurisdictions may make their own determinations.</w:t>
      </w:r>
    </w:p>
    <w:p w14:paraId="41CCA166"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Prometheus defines its own protected pathways, admissibility rules, canonical status, registry logic, governance permissions, reporting boundaries, implementation requirements, and source-layer recognition.</w:t>
      </w:r>
    </w:p>
    <w:p w14:paraId="6258A9B5"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The correct internal formula is:</w:t>
      </w:r>
    </w:p>
    <w:p w14:paraId="7E7374EB"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validity within Prometheus requires source-layer compatibility;</w:t>
      </w:r>
    </w:p>
    <w:p w14:paraId="2E59585A"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protected-pathway use requires admissibility;</w:t>
      </w:r>
    </w:p>
    <w:p w14:paraId="349F4DA3"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rights-bearing use requires legal structure;</w:t>
      </w:r>
    </w:p>
    <w:p w14:paraId="5E7230FE"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capital-facing use requires disclosure, review, and jurisdiction-specific compliance.</w:t>
      </w:r>
    </w:p>
    <w:p w14:paraId="5DCE64C0"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An action may exist technically.</w:t>
      </w:r>
    </w:p>
    <w:p w14:paraId="51FC09D8"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It may even occur operationally.</w:t>
      </w:r>
    </w:p>
    <w:p w14:paraId="4D12731E"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But if it violates Prometheus protected-pathway rules, it cannot validly enter canonical, PRU, RAP, MRV-admissible, investor-facing, rights-bearing, token-facing, or source-layer-recognized use.</w:t>
      </w:r>
    </w:p>
    <w:p w14:paraId="57D722F5"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This is the purpose of protected-pathway non-admissibility.</w:t>
      </w:r>
    </w:p>
    <w:p w14:paraId="736501C5"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It protects Prometheus from category collapse, semantic inflation, unauthorized tokenization, ecological overclaiming, governance capture, and premature financialization.</w:t>
      </w:r>
    </w:p>
    <w:p w14:paraId="0501CA92"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If the foundational articles are removed, Prometheus does not evolve.</w:t>
      </w:r>
    </w:p>
    <w:p w14:paraId="30C4FB03" w14:textId="77777777" w:rsidR="00CE3DCB" w:rsidRPr="00CE3DCB" w:rsidRDefault="00CE3DCB" w:rsidP="00CE3DCB">
      <w:pPr>
        <w:spacing w:line="360" w:lineRule="auto"/>
        <w:rPr>
          <w:rFonts w:ascii="Baskerville Old Face" w:hAnsi="Baskerville Old Face"/>
          <w:i/>
          <w:iCs/>
        </w:rPr>
      </w:pPr>
      <w:r w:rsidRPr="00CE3DCB">
        <w:rPr>
          <w:rFonts w:ascii="Baskerville Old Face" w:hAnsi="Baskerville Old Face"/>
          <w:i/>
          <w:iCs/>
        </w:rPr>
        <w:t>It becomes another system.</w:t>
      </w:r>
    </w:p>
    <w:p w14:paraId="5E938B19" w14:textId="1AC237DC"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b/>
          <w:bCs/>
          <w:i/>
          <w:iCs/>
        </w:rPr>
        <w:t>3: The Role of Founding Communities as Custodians</w:t>
      </w:r>
    </w:p>
    <w:p w14:paraId="5D4C3837"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The Prometheus constitution may recognize founding communities as custodians of institutional memory, constitutional fidelity, and living-system alignment.</w:t>
      </w:r>
    </w:p>
    <w:p w14:paraId="501572AB"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This custodianship is not a privilege.</w:t>
      </w:r>
    </w:p>
    <w:p w14:paraId="61DCD80B"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It is not sovereignty over the system.</w:t>
      </w:r>
    </w:p>
    <w:p w14:paraId="70591A99"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lastRenderedPageBreak/>
        <w:t>It is not veto power over ordinary governance.</w:t>
      </w:r>
    </w:p>
    <w:p w14:paraId="255E6269"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It is not superior access to resources.</w:t>
      </w:r>
    </w:p>
    <w:p w14:paraId="30F20F51"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It is not exemption from the Access Covenant.</w:t>
      </w:r>
    </w:p>
    <w:p w14:paraId="5142609B"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It is a duty of remembrance, education, coherence, and service.</w:t>
      </w:r>
    </w:p>
    <w:p w14:paraId="7A80ED67"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Founding communities may hold special historical relevance because they helped articulate, embody, test, or protect the principles through which Prometheus came into being.</w:t>
      </w:r>
    </w:p>
    <w:p w14:paraId="3F20731E"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Their role is to help preserve the founding orientation of the system as Prometheus evolves across new deployments, actors, jurisdictions, technologies, capital structures, and governance mechanisms.</w:t>
      </w:r>
    </w:p>
    <w:p w14:paraId="5AED128C"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The purpose is not to freeze the system in its origin.</w:t>
      </w:r>
    </w:p>
    <w:p w14:paraId="53ED7E18"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The purpose is to prevent the system from forgetting why it exists.</w:t>
      </w:r>
    </w:p>
    <w:p w14:paraId="590B3483"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b/>
          <w:bCs/>
          <w:i/>
          <w:iCs/>
        </w:rPr>
        <w:t>Custodianship as service, not control</w:t>
      </w:r>
    </w:p>
    <w:p w14:paraId="1DEA5E9B"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Custodianship means responsibility without domination.</w:t>
      </w:r>
    </w:p>
    <w:p w14:paraId="433C320E"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A custodian does not own the constitution.</w:t>
      </w:r>
    </w:p>
    <w:p w14:paraId="77592371"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A custodian does not command the ecosystem.</w:t>
      </w:r>
    </w:p>
    <w:p w14:paraId="31B19685"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A custodian does not override ordinary governance.</w:t>
      </w:r>
    </w:p>
    <w:p w14:paraId="04E83886"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A custodian does not convert historical contribution into permanent authority.</w:t>
      </w:r>
    </w:p>
    <w:p w14:paraId="5BCD15BD"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A custodian serves the continuity between:</w:t>
      </w:r>
    </w:p>
    <w:p w14:paraId="65C7E22D"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 founding vision;</w:t>
      </w:r>
      <w:r w:rsidRPr="00B479AE">
        <w:rPr>
          <w:rFonts w:ascii="Baskerville Old Face" w:hAnsi="Baskerville Old Face"/>
          <w:i/>
          <w:iCs/>
        </w:rPr>
        <w:br/>
        <w:t>• living systems;</w:t>
      </w:r>
      <w:r w:rsidRPr="00B479AE">
        <w:rPr>
          <w:rFonts w:ascii="Baskerville Old Face" w:hAnsi="Baskerville Old Face"/>
          <w:i/>
          <w:iCs/>
        </w:rPr>
        <w:br/>
        <w:t>• constitutional principles;</w:t>
      </w:r>
      <w:r w:rsidRPr="00B479AE">
        <w:rPr>
          <w:rFonts w:ascii="Baskerville Old Face" w:hAnsi="Baskerville Old Face"/>
          <w:i/>
          <w:iCs/>
        </w:rPr>
        <w:br/>
        <w:t>• evidence discipline;</w:t>
      </w:r>
      <w:r w:rsidRPr="00B479AE">
        <w:rPr>
          <w:rFonts w:ascii="Baskerville Old Face" w:hAnsi="Baskerville Old Face"/>
          <w:i/>
          <w:iCs/>
        </w:rPr>
        <w:br/>
        <w:t>• governance maturity;</w:t>
      </w:r>
      <w:r w:rsidRPr="00B479AE">
        <w:rPr>
          <w:rFonts w:ascii="Baskerville Old Face" w:hAnsi="Baskerville Old Face"/>
          <w:i/>
          <w:iCs/>
        </w:rPr>
        <w:br/>
        <w:t>• human dignity;</w:t>
      </w:r>
      <w:r w:rsidRPr="00B479AE">
        <w:rPr>
          <w:rFonts w:ascii="Baskerville Old Face" w:hAnsi="Baskerville Old Face"/>
          <w:i/>
          <w:iCs/>
        </w:rPr>
        <w:br/>
        <w:t>• technological sovereignty;</w:t>
      </w:r>
      <w:r w:rsidRPr="00B479AE">
        <w:rPr>
          <w:rFonts w:ascii="Baskerville Old Face" w:hAnsi="Baskerville Old Face"/>
          <w:i/>
          <w:iCs/>
        </w:rPr>
        <w:br/>
      </w:r>
      <w:r w:rsidRPr="00B479AE">
        <w:rPr>
          <w:rFonts w:ascii="Baskerville Old Face" w:hAnsi="Baskerville Old Face"/>
          <w:i/>
          <w:iCs/>
        </w:rPr>
        <w:lastRenderedPageBreak/>
        <w:t>• regenerative fidelity;</w:t>
      </w:r>
      <w:r w:rsidRPr="00B479AE">
        <w:rPr>
          <w:rFonts w:ascii="Baskerville Old Face" w:hAnsi="Baskerville Old Face"/>
          <w:i/>
          <w:iCs/>
        </w:rPr>
        <w:br/>
        <w:t>• future generations.</w:t>
      </w:r>
    </w:p>
    <w:p w14:paraId="403CD57A"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The legitimacy of custodianship derives only from fidelity to the foundational articles, the Eternity Clauses, the Access Covenant, and demonstrated service to the living purpose of Prometheus.</w:t>
      </w:r>
    </w:p>
    <w:p w14:paraId="78D69032"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If custodianship becomes domination, it ceases to be custodianship.</w:t>
      </w:r>
    </w:p>
    <w:p w14:paraId="5A66B710"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If memory becomes control, it betrays the memory it claims to protect.</w:t>
      </w:r>
    </w:p>
    <w:p w14:paraId="3189C60B" w14:textId="646A4630"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b/>
          <w:bCs/>
          <w:i/>
          <w:iCs/>
        </w:rPr>
        <w:t>The two flames</w:t>
      </w:r>
    </w:p>
    <w:p w14:paraId="0D7F56B0"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The founding vision of Prometheus may be understood through two complementary flames.</w:t>
      </w:r>
    </w:p>
    <w:p w14:paraId="692D4460"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The first flame is behavioral sovereignty.</w:t>
      </w:r>
    </w:p>
    <w:p w14:paraId="08A4F7B0"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It concerns the human capacity to belong without being coerced, manipulated, reduced, ranked, or extracted.</w:t>
      </w:r>
    </w:p>
    <w:p w14:paraId="3BBEC220"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It is expressed through coherence, voluntary participation, relational trust, ethical discipline, and the refusal to build systems that exploit human fragility.</w:t>
      </w:r>
    </w:p>
    <w:p w14:paraId="202A1F64"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Within Prometheus, TRBK-related participation may help coordinate this dimension when it remains clearly bounded as governance, access, contribution, or participation infrastructure rather than financial entitlement.</w:t>
      </w:r>
    </w:p>
    <w:p w14:paraId="0B030A09"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The second flame is biological and digital sovereignty.</w:t>
      </w:r>
    </w:p>
    <w:p w14:paraId="0EA4B26C"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It concerns the capacity of human beings, communities, stewards, devices, and digital agents to participate through contextual, consent-based, agent-centric, and non-capturing infrastructure.</w:t>
      </w:r>
    </w:p>
    <w:p w14:paraId="5F5D80B8"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Holochain-compatible architecture expresses this dimension by preserving local source chains, contextual validation, peer coordination, distributed agency, and infrastructure that does not require one global authority to define all truth.</w:t>
      </w:r>
    </w:p>
    <w:p w14:paraId="2120087C"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Together, these two flames express a single constitutional orientation:</w:t>
      </w:r>
    </w:p>
    <w:p w14:paraId="64F23744"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freedom is not isolation;</w:t>
      </w:r>
    </w:p>
    <w:p w14:paraId="3B3F0AB6"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lastRenderedPageBreak/>
        <w:t>freedom is meaningful participation within living systems that protect dignity, context, agency, and relationship.</w:t>
      </w:r>
    </w:p>
    <w:p w14:paraId="7C8ACE3E" w14:textId="6206461B"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b/>
          <w:bCs/>
          <w:i/>
          <w:iCs/>
        </w:rPr>
        <w:t>Freedom as belonging</w:t>
      </w:r>
    </w:p>
    <w:p w14:paraId="74171077"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Prometheus does not define freedom as mere absence of constraint.</w:t>
      </w:r>
    </w:p>
    <w:p w14:paraId="33DF8D75"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It defines freedom as the capacity to participate in systems that do not force a choice between autonomy and belonging.</w:t>
      </w:r>
    </w:p>
    <w:p w14:paraId="22428E75"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A person is not free when participation requires surrendering dignity.</w:t>
      </w:r>
    </w:p>
    <w:p w14:paraId="6E5FE6E2"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A community is not free when infrastructure captures its data, land, food, governance, or future.</w:t>
      </w:r>
    </w:p>
    <w:p w14:paraId="702957C5"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A steward is not free when capital demands extraction from the living systems the steward protects.</w:t>
      </w:r>
    </w:p>
    <w:p w14:paraId="7D192184"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A digital agent is not valid when it severs action from evidence, context, or accountability.</w:t>
      </w:r>
    </w:p>
    <w:p w14:paraId="4827B605"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Freedom within Prometheus therefore means:</w:t>
      </w:r>
    </w:p>
    <w:p w14:paraId="367EBB67"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 freedom to belong without capture;</w:t>
      </w:r>
      <w:r w:rsidRPr="00B479AE">
        <w:rPr>
          <w:rFonts w:ascii="Baskerville Old Face" w:hAnsi="Baskerville Old Face"/>
          <w:i/>
          <w:iCs/>
        </w:rPr>
        <w:br/>
        <w:t>• freedom to contribute without coercion;</w:t>
      </w:r>
      <w:r w:rsidRPr="00B479AE">
        <w:rPr>
          <w:rFonts w:ascii="Baskerville Old Face" w:hAnsi="Baskerville Old Face"/>
          <w:i/>
          <w:iCs/>
        </w:rPr>
        <w:br/>
        <w:t>• freedom to govern without manipulation;</w:t>
      </w:r>
      <w:r w:rsidRPr="00B479AE">
        <w:rPr>
          <w:rFonts w:ascii="Baskerville Old Face" w:hAnsi="Baskerville Old Face"/>
          <w:i/>
          <w:iCs/>
        </w:rPr>
        <w:br/>
        <w:t>• freedom to coordinate without central domination;</w:t>
      </w:r>
      <w:r w:rsidRPr="00B479AE">
        <w:rPr>
          <w:rFonts w:ascii="Baskerville Old Face" w:hAnsi="Baskerville Old Face"/>
          <w:i/>
          <w:iCs/>
        </w:rPr>
        <w:br/>
        <w:t>• freedom to use intelligence without surrendering authority to intelligence;</w:t>
      </w:r>
      <w:r w:rsidRPr="00B479AE">
        <w:rPr>
          <w:rFonts w:ascii="Baskerville Old Face" w:hAnsi="Baskerville Old Face"/>
          <w:i/>
          <w:iCs/>
        </w:rPr>
        <w:br/>
        <w:t>• freedom to finance regeneration without turning life into collateral for extraction.</w:t>
      </w:r>
    </w:p>
    <w:p w14:paraId="05027651" w14:textId="7FD8537B"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This is not poetic excess.</w:t>
      </w:r>
      <w:r w:rsidR="008E534D" w:rsidRPr="00B479AE">
        <w:rPr>
          <w:rFonts w:ascii="Baskerville Old Face" w:hAnsi="Baskerville Old Face"/>
          <w:i/>
          <w:iCs/>
        </w:rPr>
        <w:t xml:space="preserve"> </w:t>
      </w:r>
      <w:r w:rsidRPr="00B479AE">
        <w:rPr>
          <w:rFonts w:ascii="Baskerville Old Face" w:hAnsi="Baskerville Old Face"/>
          <w:i/>
          <w:iCs/>
        </w:rPr>
        <w:t>It is constitutional infrastructure.</w:t>
      </w:r>
    </w:p>
    <w:p w14:paraId="4A81BC05" w14:textId="62A35EEE"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b/>
          <w:bCs/>
          <w:i/>
          <w:iCs/>
        </w:rPr>
        <w:t>Functions of custodianship</w:t>
      </w:r>
    </w:p>
    <w:p w14:paraId="6E16E74D" w14:textId="77777777" w:rsidR="00B66CFA" w:rsidRDefault="00B66CFA" w:rsidP="00B66CFA">
      <w:pPr>
        <w:spacing w:line="360" w:lineRule="auto"/>
        <w:rPr>
          <w:rFonts w:ascii="Baskerville Old Face" w:hAnsi="Baskerville Old Face"/>
          <w:i/>
          <w:iCs/>
        </w:rPr>
      </w:pPr>
      <w:r w:rsidRPr="00B479AE">
        <w:rPr>
          <w:rFonts w:ascii="Baskerville Old Face" w:hAnsi="Baskerville Old Face"/>
          <w:i/>
          <w:iCs/>
        </w:rPr>
        <w:t>Founding custodians may serve several functions.</w:t>
      </w:r>
    </w:p>
    <w:p w14:paraId="6D94BAD1" w14:textId="77777777" w:rsidR="00052FE3" w:rsidRDefault="00052FE3" w:rsidP="00B66CFA">
      <w:pPr>
        <w:spacing w:line="360" w:lineRule="auto"/>
        <w:rPr>
          <w:rFonts w:ascii="Baskerville Old Face" w:hAnsi="Baskerville Old Face"/>
          <w:i/>
          <w:iCs/>
        </w:rPr>
      </w:pPr>
    </w:p>
    <w:p w14:paraId="28FA13FC" w14:textId="77777777" w:rsidR="00052FE3" w:rsidRPr="00B479AE" w:rsidRDefault="00052FE3" w:rsidP="00B66CFA">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4"/>
        <w:gridCol w:w="4636"/>
        <w:gridCol w:w="3098"/>
      </w:tblGrid>
      <w:tr w:rsidR="00B66CFA" w:rsidRPr="00B479AE" w14:paraId="1241C6D9" w14:textId="77777777" w:rsidTr="00B66CFA">
        <w:trPr>
          <w:tblHeader/>
          <w:tblCellSpacing w:w="15" w:type="dxa"/>
        </w:trPr>
        <w:tc>
          <w:tcPr>
            <w:tcW w:w="0" w:type="auto"/>
            <w:vAlign w:val="center"/>
            <w:hideMark/>
          </w:tcPr>
          <w:p w14:paraId="7FB46CDB" w14:textId="77777777" w:rsidR="00B66CFA" w:rsidRPr="00B479AE" w:rsidRDefault="00B66CFA" w:rsidP="00B66CFA">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lastRenderedPageBreak/>
              <w:t>Custodial function</w:t>
            </w:r>
          </w:p>
        </w:tc>
        <w:tc>
          <w:tcPr>
            <w:tcW w:w="0" w:type="auto"/>
            <w:vAlign w:val="center"/>
            <w:hideMark/>
          </w:tcPr>
          <w:p w14:paraId="47C0FF60" w14:textId="77777777" w:rsidR="00B66CFA" w:rsidRPr="00B479AE" w:rsidRDefault="00B66CFA" w:rsidP="00B66CFA">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Purpose</w:t>
            </w:r>
          </w:p>
        </w:tc>
        <w:tc>
          <w:tcPr>
            <w:tcW w:w="0" w:type="auto"/>
            <w:vAlign w:val="center"/>
            <w:hideMark/>
          </w:tcPr>
          <w:p w14:paraId="5211DC6B" w14:textId="77777777" w:rsidR="00B66CFA" w:rsidRPr="00B479AE" w:rsidRDefault="00B66CFA" w:rsidP="00B66CFA">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Boundary</w:t>
            </w:r>
          </w:p>
        </w:tc>
      </w:tr>
      <w:tr w:rsidR="00B66CFA" w:rsidRPr="00B479AE" w14:paraId="0C010102" w14:textId="77777777" w:rsidTr="00B66CFA">
        <w:trPr>
          <w:tblCellSpacing w:w="15" w:type="dxa"/>
        </w:trPr>
        <w:tc>
          <w:tcPr>
            <w:tcW w:w="0" w:type="auto"/>
            <w:vAlign w:val="center"/>
            <w:hideMark/>
          </w:tcPr>
          <w:p w14:paraId="00761B5F" w14:textId="77777777" w:rsidR="00B66CFA" w:rsidRPr="00B479AE" w:rsidRDefault="00B66CFA" w:rsidP="00B66CF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Institutional memory</w:t>
            </w:r>
          </w:p>
        </w:tc>
        <w:tc>
          <w:tcPr>
            <w:tcW w:w="0" w:type="auto"/>
            <w:vAlign w:val="center"/>
            <w:hideMark/>
          </w:tcPr>
          <w:p w14:paraId="4E04C941" w14:textId="77777777" w:rsidR="00B66CFA" w:rsidRPr="00B479AE" w:rsidRDefault="00B66CFA" w:rsidP="00B66CFA">
            <w:pPr>
              <w:spacing w:line="360" w:lineRule="auto"/>
              <w:rPr>
                <w:rFonts w:ascii="Baskerville Old Face" w:hAnsi="Baskerville Old Face"/>
                <w:i/>
                <w:iCs/>
                <w:sz w:val="20"/>
                <w:szCs w:val="20"/>
              </w:rPr>
            </w:pPr>
            <w:r w:rsidRPr="00B479AE">
              <w:rPr>
                <w:rFonts w:ascii="Baskerville Old Face" w:hAnsi="Baskerville Old Face"/>
                <w:i/>
                <w:iCs/>
                <w:sz w:val="20"/>
                <w:szCs w:val="20"/>
              </w:rPr>
              <w:t>Preserve the original constitutional orientation and founding vision.</w:t>
            </w:r>
          </w:p>
        </w:tc>
        <w:tc>
          <w:tcPr>
            <w:tcW w:w="0" w:type="auto"/>
            <w:vAlign w:val="center"/>
            <w:hideMark/>
          </w:tcPr>
          <w:p w14:paraId="28A98FDE" w14:textId="77777777" w:rsidR="00B66CFA" w:rsidRPr="00B479AE" w:rsidRDefault="00B66CFA" w:rsidP="00B66CFA">
            <w:pPr>
              <w:spacing w:line="360" w:lineRule="auto"/>
              <w:rPr>
                <w:rFonts w:ascii="Baskerville Old Face" w:hAnsi="Baskerville Old Face"/>
                <w:i/>
                <w:iCs/>
                <w:sz w:val="20"/>
                <w:szCs w:val="20"/>
              </w:rPr>
            </w:pPr>
            <w:r w:rsidRPr="00B479AE">
              <w:rPr>
                <w:rFonts w:ascii="Baskerville Old Face" w:hAnsi="Baskerville Old Face"/>
                <w:i/>
                <w:iCs/>
                <w:sz w:val="20"/>
                <w:szCs w:val="20"/>
              </w:rPr>
              <w:t>Memory does not create veto power.</w:t>
            </w:r>
          </w:p>
        </w:tc>
      </w:tr>
      <w:tr w:rsidR="00B66CFA" w:rsidRPr="00B479AE" w14:paraId="4F23CB92" w14:textId="77777777" w:rsidTr="00B66CFA">
        <w:trPr>
          <w:tblCellSpacing w:w="15" w:type="dxa"/>
        </w:trPr>
        <w:tc>
          <w:tcPr>
            <w:tcW w:w="0" w:type="auto"/>
            <w:vAlign w:val="center"/>
            <w:hideMark/>
          </w:tcPr>
          <w:p w14:paraId="1D905689" w14:textId="77777777" w:rsidR="00B66CFA" w:rsidRPr="00B479AE" w:rsidRDefault="00B66CFA" w:rsidP="00B66CF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Constitutional education</w:t>
            </w:r>
          </w:p>
        </w:tc>
        <w:tc>
          <w:tcPr>
            <w:tcW w:w="0" w:type="auto"/>
            <w:vAlign w:val="center"/>
            <w:hideMark/>
          </w:tcPr>
          <w:p w14:paraId="45549113" w14:textId="77777777" w:rsidR="00B66CFA" w:rsidRPr="00B479AE" w:rsidRDefault="00B66CFA" w:rsidP="00B66CFA">
            <w:pPr>
              <w:spacing w:line="360" w:lineRule="auto"/>
              <w:rPr>
                <w:rFonts w:ascii="Baskerville Old Face" w:hAnsi="Baskerville Old Face"/>
                <w:i/>
                <w:iCs/>
                <w:sz w:val="20"/>
                <w:szCs w:val="20"/>
              </w:rPr>
            </w:pPr>
            <w:r w:rsidRPr="00B479AE">
              <w:rPr>
                <w:rFonts w:ascii="Baskerville Old Face" w:hAnsi="Baskerville Old Face"/>
                <w:i/>
                <w:iCs/>
                <w:sz w:val="20"/>
                <w:szCs w:val="20"/>
              </w:rPr>
              <w:t>Help new participants understand the foundational articles, Eternity Clauses, Access Covenant, and verification-first discipline.</w:t>
            </w:r>
          </w:p>
        </w:tc>
        <w:tc>
          <w:tcPr>
            <w:tcW w:w="0" w:type="auto"/>
            <w:vAlign w:val="center"/>
            <w:hideMark/>
          </w:tcPr>
          <w:p w14:paraId="584E4E6F" w14:textId="77777777" w:rsidR="00B66CFA" w:rsidRPr="00B479AE" w:rsidRDefault="00B66CFA" w:rsidP="00B66CFA">
            <w:pPr>
              <w:spacing w:line="360" w:lineRule="auto"/>
              <w:rPr>
                <w:rFonts w:ascii="Baskerville Old Face" w:hAnsi="Baskerville Old Face"/>
                <w:i/>
                <w:iCs/>
                <w:sz w:val="20"/>
                <w:szCs w:val="20"/>
              </w:rPr>
            </w:pPr>
            <w:r w:rsidRPr="00B479AE">
              <w:rPr>
                <w:rFonts w:ascii="Baskerville Old Face" w:hAnsi="Baskerville Old Face"/>
                <w:i/>
                <w:iCs/>
                <w:sz w:val="20"/>
                <w:szCs w:val="20"/>
              </w:rPr>
              <w:t>Education does not become ideological control.</w:t>
            </w:r>
          </w:p>
        </w:tc>
      </w:tr>
      <w:tr w:rsidR="00B66CFA" w:rsidRPr="00B479AE" w14:paraId="2917C084" w14:textId="77777777" w:rsidTr="00B66CFA">
        <w:trPr>
          <w:tblCellSpacing w:w="15" w:type="dxa"/>
        </w:trPr>
        <w:tc>
          <w:tcPr>
            <w:tcW w:w="0" w:type="auto"/>
            <w:vAlign w:val="center"/>
            <w:hideMark/>
          </w:tcPr>
          <w:p w14:paraId="2B457250" w14:textId="77777777" w:rsidR="00B66CFA" w:rsidRPr="00B479AE" w:rsidRDefault="00B66CFA" w:rsidP="00B66CF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Coherence monitoring</w:t>
            </w:r>
          </w:p>
        </w:tc>
        <w:tc>
          <w:tcPr>
            <w:tcW w:w="0" w:type="auto"/>
            <w:vAlign w:val="center"/>
            <w:hideMark/>
          </w:tcPr>
          <w:p w14:paraId="223F2B79" w14:textId="77777777" w:rsidR="00B66CFA" w:rsidRPr="00B479AE" w:rsidRDefault="00B66CFA" w:rsidP="00B66CFA">
            <w:pPr>
              <w:spacing w:line="360" w:lineRule="auto"/>
              <w:rPr>
                <w:rFonts w:ascii="Baskerville Old Face" w:hAnsi="Baskerville Old Face"/>
                <w:i/>
                <w:iCs/>
                <w:sz w:val="20"/>
                <w:szCs w:val="20"/>
              </w:rPr>
            </w:pPr>
            <w:r w:rsidRPr="00B479AE">
              <w:rPr>
                <w:rFonts w:ascii="Baskerville Old Face" w:hAnsi="Baskerville Old Face"/>
                <w:i/>
                <w:iCs/>
                <w:sz w:val="20"/>
                <w:szCs w:val="20"/>
              </w:rPr>
              <w:t>Identify proposals that may weaken life, evidence, dignity, governance, or regenerative fidelity.</w:t>
            </w:r>
          </w:p>
        </w:tc>
        <w:tc>
          <w:tcPr>
            <w:tcW w:w="0" w:type="auto"/>
            <w:vAlign w:val="center"/>
            <w:hideMark/>
          </w:tcPr>
          <w:p w14:paraId="6C739493" w14:textId="77777777" w:rsidR="00B66CFA" w:rsidRPr="00B479AE" w:rsidRDefault="00B66CFA" w:rsidP="00B66CFA">
            <w:pPr>
              <w:spacing w:line="360" w:lineRule="auto"/>
              <w:rPr>
                <w:rFonts w:ascii="Baskerville Old Face" w:hAnsi="Baskerville Old Face"/>
                <w:i/>
                <w:iCs/>
                <w:sz w:val="20"/>
                <w:szCs w:val="20"/>
              </w:rPr>
            </w:pPr>
            <w:r w:rsidRPr="00B479AE">
              <w:rPr>
                <w:rFonts w:ascii="Baskerville Old Face" w:hAnsi="Baskerville Old Face"/>
                <w:i/>
                <w:iCs/>
                <w:sz w:val="20"/>
                <w:szCs w:val="20"/>
              </w:rPr>
              <w:t>Monitoring routes concerns to governance; it does not replace governance.</w:t>
            </w:r>
          </w:p>
        </w:tc>
      </w:tr>
      <w:tr w:rsidR="00B66CFA" w:rsidRPr="00B479AE" w14:paraId="36DCB2D5" w14:textId="77777777" w:rsidTr="00B66CFA">
        <w:trPr>
          <w:tblCellSpacing w:w="15" w:type="dxa"/>
        </w:trPr>
        <w:tc>
          <w:tcPr>
            <w:tcW w:w="0" w:type="auto"/>
            <w:vAlign w:val="center"/>
            <w:hideMark/>
          </w:tcPr>
          <w:p w14:paraId="0F415E33" w14:textId="77777777" w:rsidR="00B66CFA" w:rsidRPr="00B479AE" w:rsidRDefault="00B66CFA" w:rsidP="00B66CF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Semantic protection</w:t>
            </w:r>
          </w:p>
        </w:tc>
        <w:tc>
          <w:tcPr>
            <w:tcW w:w="0" w:type="auto"/>
            <w:vAlign w:val="center"/>
            <w:hideMark/>
          </w:tcPr>
          <w:p w14:paraId="59C780A0" w14:textId="77777777" w:rsidR="00B66CFA" w:rsidRPr="00B479AE" w:rsidRDefault="00B66CFA" w:rsidP="00B66CFA">
            <w:pPr>
              <w:spacing w:line="360" w:lineRule="auto"/>
              <w:rPr>
                <w:rFonts w:ascii="Baskerville Old Face" w:hAnsi="Baskerville Old Face"/>
                <w:i/>
                <w:iCs/>
                <w:sz w:val="20"/>
                <w:szCs w:val="20"/>
              </w:rPr>
            </w:pPr>
            <w:r w:rsidRPr="00B479AE">
              <w:rPr>
                <w:rFonts w:ascii="Baskerville Old Face" w:hAnsi="Baskerville Old Face"/>
                <w:i/>
                <w:iCs/>
                <w:sz w:val="20"/>
                <w:szCs w:val="20"/>
              </w:rPr>
              <w:t>Help prevent drift in core terms such as PRU, RAP, TRBK, HSI, MRV, tokenization, sovereignty, and regeneration.</w:t>
            </w:r>
          </w:p>
        </w:tc>
        <w:tc>
          <w:tcPr>
            <w:tcW w:w="0" w:type="auto"/>
            <w:vAlign w:val="center"/>
            <w:hideMark/>
          </w:tcPr>
          <w:p w14:paraId="559E5982" w14:textId="77777777" w:rsidR="00B66CFA" w:rsidRPr="00B479AE" w:rsidRDefault="00B66CFA" w:rsidP="00B66CFA">
            <w:pPr>
              <w:spacing w:line="360" w:lineRule="auto"/>
              <w:rPr>
                <w:rFonts w:ascii="Baskerville Old Face" w:hAnsi="Baskerville Old Face"/>
                <w:i/>
                <w:iCs/>
                <w:sz w:val="20"/>
                <w:szCs w:val="20"/>
              </w:rPr>
            </w:pPr>
            <w:r w:rsidRPr="00B479AE">
              <w:rPr>
                <w:rFonts w:ascii="Baskerville Old Face" w:hAnsi="Baskerville Old Face"/>
                <w:i/>
                <w:iCs/>
                <w:sz w:val="20"/>
                <w:szCs w:val="20"/>
              </w:rPr>
              <w:t>Protection preserves meaning; it does not freeze evolution.</w:t>
            </w:r>
          </w:p>
        </w:tc>
      </w:tr>
      <w:tr w:rsidR="00B66CFA" w:rsidRPr="00B479AE" w14:paraId="1D0A6BD4" w14:textId="77777777" w:rsidTr="00B66CFA">
        <w:trPr>
          <w:tblCellSpacing w:w="15" w:type="dxa"/>
        </w:trPr>
        <w:tc>
          <w:tcPr>
            <w:tcW w:w="0" w:type="auto"/>
            <w:vAlign w:val="center"/>
            <w:hideMark/>
          </w:tcPr>
          <w:p w14:paraId="4BC570B7" w14:textId="77777777" w:rsidR="00B66CFA" w:rsidRPr="00B479AE" w:rsidRDefault="00B66CFA" w:rsidP="00B66CF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Founding witness</w:t>
            </w:r>
          </w:p>
        </w:tc>
        <w:tc>
          <w:tcPr>
            <w:tcW w:w="0" w:type="auto"/>
            <w:vAlign w:val="center"/>
            <w:hideMark/>
          </w:tcPr>
          <w:p w14:paraId="7082066D" w14:textId="77777777" w:rsidR="00B66CFA" w:rsidRPr="00B479AE" w:rsidRDefault="00B66CFA" w:rsidP="00B66CFA">
            <w:pPr>
              <w:spacing w:line="360" w:lineRule="auto"/>
              <w:rPr>
                <w:rFonts w:ascii="Baskerville Old Face" w:hAnsi="Baskerville Old Face"/>
                <w:i/>
                <w:iCs/>
                <w:sz w:val="20"/>
                <w:szCs w:val="20"/>
              </w:rPr>
            </w:pPr>
            <w:r w:rsidRPr="00B479AE">
              <w:rPr>
                <w:rFonts w:ascii="Baskerville Old Face" w:hAnsi="Baskerville Old Face"/>
                <w:i/>
                <w:iCs/>
                <w:sz w:val="20"/>
                <w:szCs w:val="20"/>
              </w:rPr>
              <w:t>Keep visible the relationship between behavioral, biological, digital, ecological, and financial sovereignty.</w:t>
            </w:r>
          </w:p>
        </w:tc>
        <w:tc>
          <w:tcPr>
            <w:tcW w:w="0" w:type="auto"/>
            <w:vAlign w:val="center"/>
            <w:hideMark/>
          </w:tcPr>
          <w:p w14:paraId="473D7DA8" w14:textId="77777777" w:rsidR="00B66CFA" w:rsidRPr="00B479AE" w:rsidRDefault="00B66CFA" w:rsidP="00B66CFA">
            <w:pPr>
              <w:spacing w:line="360" w:lineRule="auto"/>
              <w:rPr>
                <w:rFonts w:ascii="Baskerville Old Face" w:hAnsi="Baskerville Old Face"/>
                <w:i/>
                <w:iCs/>
                <w:sz w:val="20"/>
                <w:szCs w:val="20"/>
              </w:rPr>
            </w:pPr>
            <w:r w:rsidRPr="00B479AE">
              <w:rPr>
                <w:rFonts w:ascii="Baskerville Old Face" w:hAnsi="Baskerville Old Face"/>
                <w:i/>
                <w:iCs/>
                <w:sz w:val="20"/>
                <w:szCs w:val="20"/>
              </w:rPr>
              <w:t>Witness does not become authority over ordinary operations.</w:t>
            </w:r>
          </w:p>
        </w:tc>
      </w:tr>
      <w:tr w:rsidR="00B66CFA" w:rsidRPr="00B479AE" w14:paraId="764EEED4" w14:textId="77777777" w:rsidTr="00B66CFA">
        <w:trPr>
          <w:tblCellSpacing w:w="15" w:type="dxa"/>
        </w:trPr>
        <w:tc>
          <w:tcPr>
            <w:tcW w:w="0" w:type="auto"/>
            <w:vAlign w:val="center"/>
            <w:hideMark/>
          </w:tcPr>
          <w:p w14:paraId="33D756AB" w14:textId="77777777" w:rsidR="00B66CFA" w:rsidRPr="00B479AE" w:rsidRDefault="00B66CFA" w:rsidP="00B66CF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Intergenerational accountability</w:t>
            </w:r>
          </w:p>
        </w:tc>
        <w:tc>
          <w:tcPr>
            <w:tcW w:w="0" w:type="auto"/>
            <w:vAlign w:val="center"/>
            <w:hideMark/>
          </w:tcPr>
          <w:p w14:paraId="6724AFDE" w14:textId="77777777" w:rsidR="00B66CFA" w:rsidRPr="00B479AE" w:rsidRDefault="00B66CFA" w:rsidP="00B66CFA">
            <w:pPr>
              <w:spacing w:line="360" w:lineRule="auto"/>
              <w:rPr>
                <w:rFonts w:ascii="Baskerville Old Face" w:hAnsi="Baskerville Old Face"/>
                <w:i/>
                <w:iCs/>
                <w:sz w:val="20"/>
                <w:szCs w:val="20"/>
              </w:rPr>
            </w:pPr>
            <w:r w:rsidRPr="00B479AE">
              <w:rPr>
                <w:rFonts w:ascii="Baskerville Old Face" w:hAnsi="Baskerville Old Face"/>
                <w:i/>
                <w:iCs/>
                <w:sz w:val="20"/>
                <w:szCs w:val="20"/>
              </w:rPr>
              <w:t>Remind the system that decisions affect children, future communities, future ecosystems, and future stewards.</w:t>
            </w:r>
          </w:p>
        </w:tc>
        <w:tc>
          <w:tcPr>
            <w:tcW w:w="0" w:type="auto"/>
            <w:vAlign w:val="center"/>
            <w:hideMark/>
          </w:tcPr>
          <w:p w14:paraId="057BB803" w14:textId="77777777" w:rsidR="00B66CFA" w:rsidRPr="00B479AE" w:rsidRDefault="00B66CFA" w:rsidP="00B66CFA">
            <w:pPr>
              <w:spacing w:line="360" w:lineRule="auto"/>
              <w:rPr>
                <w:rFonts w:ascii="Baskerville Old Face" w:hAnsi="Baskerville Old Face"/>
                <w:i/>
                <w:iCs/>
                <w:sz w:val="20"/>
                <w:szCs w:val="20"/>
              </w:rPr>
            </w:pPr>
            <w:r w:rsidRPr="00B479AE">
              <w:rPr>
                <w:rFonts w:ascii="Baskerville Old Face" w:hAnsi="Baskerville Old Face"/>
                <w:i/>
                <w:iCs/>
                <w:sz w:val="20"/>
                <w:szCs w:val="20"/>
              </w:rPr>
              <w:t>Accountability is shared across the whole system.</w:t>
            </w:r>
          </w:p>
        </w:tc>
      </w:tr>
      <w:tr w:rsidR="00B66CFA" w:rsidRPr="00B479AE" w14:paraId="41EDCE96" w14:textId="77777777" w:rsidTr="00B66CFA">
        <w:trPr>
          <w:tblCellSpacing w:w="15" w:type="dxa"/>
        </w:trPr>
        <w:tc>
          <w:tcPr>
            <w:tcW w:w="0" w:type="auto"/>
            <w:vAlign w:val="center"/>
            <w:hideMark/>
          </w:tcPr>
          <w:p w14:paraId="4D2D2D81" w14:textId="77777777" w:rsidR="00B66CFA" w:rsidRPr="00B479AE" w:rsidRDefault="00B66CFA" w:rsidP="00B66CFA">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Living example</w:t>
            </w:r>
          </w:p>
        </w:tc>
        <w:tc>
          <w:tcPr>
            <w:tcW w:w="0" w:type="auto"/>
            <w:vAlign w:val="center"/>
            <w:hideMark/>
          </w:tcPr>
          <w:p w14:paraId="59379CAE" w14:textId="77777777" w:rsidR="00B66CFA" w:rsidRPr="00B479AE" w:rsidRDefault="00B66CFA" w:rsidP="00B66CFA">
            <w:pPr>
              <w:spacing w:line="360" w:lineRule="auto"/>
              <w:rPr>
                <w:rFonts w:ascii="Baskerville Old Face" w:hAnsi="Baskerville Old Face"/>
                <w:i/>
                <w:iCs/>
                <w:sz w:val="20"/>
                <w:szCs w:val="20"/>
              </w:rPr>
            </w:pPr>
            <w:r w:rsidRPr="00B479AE">
              <w:rPr>
                <w:rFonts w:ascii="Baskerville Old Face" w:hAnsi="Baskerville Old Face"/>
                <w:i/>
                <w:iCs/>
                <w:sz w:val="20"/>
                <w:szCs w:val="20"/>
              </w:rPr>
              <w:t>Demonstrate through practice that regeneration, dignity, freedom, and governance coherence can coexist.</w:t>
            </w:r>
          </w:p>
        </w:tc>
        <w:tc>
          <w:tcPr>
            <w:tcW w:w="0" w:type="auto"/>
            <w:vAlign w:val="center"/>
            <w:hideMark/>
          </w:tcPr>
          <w:p w14:paraId="4582B1DA" w14:textId="77777777" w:rsidR="00B66CFA" w:rsidRPr="00B479AE" w:rsidRDefault="00B66CFA" w:rsidP="00B66CFA">
            <w:pPr>
              <w:spacing w:line="360" w:lineRule="auto"/>
              <w:rPr>
                <w:rFonts w:ascii="Baskerville Old Face" w:hAnsi="Baskerville Old Face"/>
                <w:i/>
                <w:iCs/>
                <w:sz w:val="20"/>
                <w:szCs w:val="20"/>
              </w:rPr>
            </w:pPr>
            <w:r w:rsidRPr="00B479AE">
              <w:rPr>
                <w:rFonts w:ascii="Baskerville Old Face" w:hAnsi="Baskerville Old Face"/>
                <w:i/>
                <w:iCs/>
                <w:sz w:val="20"/>
                <w:szCs w:val="20"/>
              </w:rPr>
              <w:t>Example persuades by integrity, not force.</w:t>
            </w:r>
          </w:p>
        </w:tc>
      </w:tr>
    </w:tbl>
    <w:p w14:paraId="5B1B3AE4" w14:textId="7471D8B9"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b/>
          <w:bCs/>
          <w:i/>
          <w:iCs/>
        </w:rPr>
        <w:t>Limits of custodianship</w:t>
      </w:r>
    </w:p>
    <w:p w14:paraId="3EAF13F8"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Custodianship carries explicit limits.</w:t>
      </w:r>
    </w:p>
    <w:p w14:paraId="5D9DF472"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Founding custodians have:</w:t>
      </w:r>
    </w:p>
    <w:p w14:paraId="0FB7B413"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 no veto over ordinary governance;</w:t>
      </w:r>
      <w:r w:rsidRPr="00B479AE">
        <w:rPr>
          <w:rFonts w:ascii="Baskerville Old Face" w:hAnsi="Baskerville Old Face"/>
          <w:i/>
          <w:iCs/>
        </w:rPr>
        <w:br/>
        <w:t>• no privileged access to resources;</w:t>
      </w:r>
      <w:r w:rsidRPr="00B479AE">
        <w:rPr>
          <w:rFonts w:ascii="Baskerville Old Face" w:hAnsi="Baskerville Old Face"/>
          <w:i/>
          <w:iCs/>
        </w:rPr>
        <w:br/>
        <w:t>• no automatic financial entitlement;</w:t>
      </w:r>
      <w:r w:rsidRPr="00B479AE">
        <w:rPr>
          <w:rFonts w:ascii="Baskerville Old Face" w:hAnsi="Baskerville Old Face"/>
          <w:i/>
          <w:iCs/>
        </w:rPr>
        <w:br/>
        <w:t>• no immunity from governance review;</w:t>
      </w:r>
      <w:r w:rsidRPr="00B479AE">
        <w:rPr>
          <w:rFonts w:ascii="Baskerville Old Face" w:hAnsi="Baskerville Old Face"/>
          <w:i/>
          <w:iCs/>
        </w:rPr>
        <w:br/>
        <w:t>• no exemption from the Access Covenant;</w:t>
      </w:r>
      <w:r w:rsidRPr="00B479AE">
        <w:rPr>
          <w:rFonts w:ascii="Baskerville Old Face" w:hAnsi="Baskerville Old Face"/>
          <w:i/>
          <w:iCs/>
        </w:rPr>
        <w:br/>
        <w:t>• no authority to override MRV, legal review, or evidence discipline;</w:t>
      </w:r>
      <w:r w:rsidRPr="00B479AE">
        <w:rPr>
          <w:rFonts w:ascii="Baskerville Old Face" w:hAnsi="Baskerville Old Face"/>
          <w:i/>
          <w:iCs/>
        </w:rPr>
        <w:br/>
      </w:r>
      <w:r w:rsidRPr="00B479AE">
        <w:rPr>
          <w:rFonts w:ascii="Baskerville Old Face" w:hAnsi="Baskerville Old Face"/>
          <w:i/>
          <w:iCs/>
        </w:rPr>
        <w:lastRenderedPageBreak/>
        <w:t>• no right to convert founding status into centralized control;</w:t>
      </w:r>
      <w:r w:rsidRPr="00B479AE">
        <w:rPr>
          <w:rFonts w:ascii="Baskerville Old Face" w:hAnsi="Baskerville Old Face"/>
          <w:i/>
          <w:iCs/>
        </w:rPr>
        <w:br/>
        <w:t>• no power to amend or weaken the foundational articles or Eternity Clauses.</w:t>
      </w:r>
    </w:p>
    <w:p w14:paraId="1583FDA5"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A custodian participates like any other affirmed entity.</w:t>
      </w:r>
    </w:p>
    <w:p w14:paraId="03A65406"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The difference is not rank.</w:t>
      </w:r>
    </w:p>
    <w:p w14:paraId="1EF21CAF"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The difference is responsibility.</w:t>
      </w:r>
    </w:p>
    <w:p w14:paraId="49432962"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b/>
          <w:bCs/>
          <w:i/>
          <w:iCs/>
        </w:rPr>
        <w:t>Accountability</w:t>
      </w:r>
    </w:p>
    <w:p w14:paraId="30977D34"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Custodians are accountable to:</w:t>
      </w:r>
    </w:p>
    <w:p w14:paraId="3EAAFD3F"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 current participants, who may challenge custodial action through ordinary governance;</w:t>
      </w:r>
      <w:r w:rsidRPr="00B479AE">
        <w:rPr>
          <w:rFonts w:ascii="Baskerville Old Face" w:hAnsi="Baskerville Old Face"/>
          <w:i/>
          <w:iCs/>
        </w:rPr>
        <w:br/>
        <w:t>• the foundational articles and Eternity Clauses;</w:t>
      </w:r>
      <w:r w:rsidRPr="00B479AE">
        <w:rPr>
          <w:rFonts w:ascii="Baskerville Old Face" w:hAnsi="Baskerville Old Face"/>
          <w:i/>
          <w:iCs/>
        </w:rPr>
        <w:br/>
        <w:t>• the Access Covenant;</w:t>
      </w:r>
      <w:r w:rsidRPr="00B479AE">
        <w:rPr>
          <w:rFonts w:ascii="Baskerville Old Face" w:hAnsi="Baskerville Old Face"/>
          <w:i/>
          <w:iCs/>
        </w:rPr>
        <w:br/>
        <w:t>• protocol stewardship and review procedures;</w:t>
      </w:r>
      <w:r w:rsidRPr="00B479AE">
        <w:rPr>
          <w:rFonts w:ascii="Baskerville Old Face" w:hAnsi="Baskerville Old Face"/>
          <w:i/>
          <w:iCs/>
        </w:rPr>
        <w:br/>
        <w:t>• affected communities and territories;</w:t>
      </w:r>
      <w:r w:rsidRPr="00B479AE">
        <w:rPr>
          <w:rFonts w:ascii="Baskerville Old Face" w:hAnsi="Baskerville Old Face"/>
          <w:i/>
          <w:iCs/>
        </w:rPr>
        <w:br/>
        <w:t>• the living systems Prometheus exists to serve;</w:t>
      </w:r>
      <w:r w:rsidRPr="00B479AE">
        <w:rPr>
          <w:rFonts w:ascii="Baskerville Old Face" w:hAnsi="Baskerville Old Face"/>
          <w:i/>
          <w:iCs/>
        </w:rPr>
        <w:br/>
        <w:t>• ancestors whose wisdom recognized the continuity between freedom, land, relationship, and responsibility;</w:t>
      </w:r>
      <w:r w:rsidRPr="00B479AE">
        <w:rPr>
          <w:rFonts w:ascii="Baskerville Old Face" w:hAnsi="Baskerville Old Face"/>
          <w:i/>
          <w:iCs/>
        </w:rPr>
        <w:br/>
        <w:t>• future generations who will inherit the consequences of present decisions.</w:t>
      </w:r>
    </w:p>
    <w:p w14:paraId="40C22D0F"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This accountability must remain practical.</w:t>
      </w:r>
    </w:p>
    <w:p w14:paraId="744763C0"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It should be expressed through transparent records, reviewable actions, conflict-of-interest discipline, governance challenge pathways, and removal or suspension mechanisms where custodianship is abused.</w:t>
      </w:r>
    </w:p>
    <w:p w14:paraId="71CAABA4"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b/>
          <w:bCs/>
          <w:i/>
          <w:iCs/>
        </w:rPr>
        <w:t>Custodianship failure</w:t>
      </w:r>
    </w:p>
    <w:p w14:paraId="18057FC9" w14:textId="1E9D7B13"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Custodianship can fail.</w:t>
      </w:r>
      <w:r w:rsidR="008B5776" w:rsidRPr="00B479AE">
        <w:rPr>
          <w:rFonts w:ascii="Baskerville Old Face" w:hAnsi="Baskerville Old Face"/>
          <w:i/>
          <w:iCs/>
        </w:rPr>
        <w:t xml:space="preserve"> </w:t>
      </w:r>
      <w:r w:rsidRPr="00B479AE">
        <w:rPr>
          <w:rFonts w:ascii="Baskerville Old Face" w:hAnsi="Baskerville Old Face"/>
          <w:i/>
          <w:iCs/>
        </w:rPr>
        <w:t>It fails when a custodian:</w:t>
      </w:r>
    </w:p>
    <w:p w14:paraId="26040D66"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 uses memory to block valid evolution;</w:t>
      </w:r>
      <w:r w:rsidRPr="00B479AE">
        <w:rPr>
          <w:rFonts w:ascii="Baskerville Old Face" w:hAnsi="Baskerville Old Face"/>
          <w:i/>
          <w:iCs/>
        </w:rPr>
        <w:br/>
        <w:t>• uses symbolic status to dominate governance;</w:t>
      </w:r>
      <w:r w:rsidRPr="00B479AE">
        <w:rPr>
          <w:rFonts w:ascii="Baskerville Old Face" w:hAnsi="Baskerville Old Face"/>
          <w:i/>
          <w:iCs/>
        </w:rPr>
        <w:br/>
        <w:t>• converts founding role into entitlement;</w:t>
      </w:r>
      <w:r w:rsidRPr="00B479AE">
        <w:rPr>
          <w:rFonts w:ascii="Baskerville Old Face" w:hAnsi="Baskerville Old Face"/>
          <w:i/>
          <w:iCs/>
        </w:rPr>
        <w:br/>
        <w:t>• protects identity rather than integrity;</w:t>
      </w:r>
      <w:r w:rsidRPr="00B479AE">
        <w:rPr>
          <w:rFonts w:ascii="Baskerville Old Face" w:hAnsi="Baskerville Old Face"/>
          <w:i/>
          <w:iCs/>
        </w:rPr>
        <w:br/>
        <w:t>• ignores evidence;</w:t>
      </w:r>
      <w:r w:rsidRPr="00B479AE">
        <w:rPr>
          <w:rFonts w:ascii="Baskerville Old Face" w:hAnsi="Baskerville Old Face"/>
          <w:i/>
          <w:iCs/>
        </w:rPr>
        <w:br/>
        <w:t>• supports extraction under regenerative language;</w:t>
      </w:r>
      <w:r w:rsidRPr="00B479AE">
        <w:rPr>
          <w:rFonts w:ascii="Baskerville Old Face" w:hAnsi="Baskerville Old Face"/>
          <w:i/>
          <w:iCs/>
        </w:rPr>
        <w:br/>
      </w:r>
      <w:r w:rsidRPr="00B479AE">
        <w:rPr>
          <w:rFonts w:ascii="Baskerville Old Face" w:hAnsi="Baskerville Old Face"/>
          <w:i/>
          <w:iCs/>
        </w:rPr>
        <w:lastRenderedPageBreak/>
        <w:t>• weakens the Access Covenant;</w:t>
      </w:r>
      <w:r w:rsidRPr="00B479AE">
        <w:rPr>
          <w:rFonts w:ascii="Baskerville Old Face" w:hAnsi="Baskerville Old Face"/>
          <w:i/>
          <w:iCs/>
        </w:rPr>
        <w:br/>
        <w:t>• confuses loyalty to origin with fidelity to life.</w:t>
      </w:r>
    </w:p>
    <w:p w14:paraId="0482D18F"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When this happens, the system must treat custodial action like any other governance risk.</w:t>
      </w:r>
    </w:p>
    <w:p w14:paraId="29AE03B6"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It may require review, limitation, suspension, replacement, or constitutional governance response according to the relevant rules.</w:t>
      </w:r>
    </w:p>
    <w:p w14:paraId="13D12FC4" w14:textId="2AA4BFBC"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b/>
          <w:bCs/>
          <w:i/>
          <w:iCs/>
        </w:rPr>
        <w:t>The vision and its guardians</w:t>
      </w:r>
    </w:p>
    <w:p w14:paraId="5B223317"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The founding vision of Prometheus emerged from the recognition that the deepest form of freedom is not separation from life, but participation in life without capture.</w:t>
      </w:r>
    </w:p>
    <w:p w14:paraId="4A0EDEBC"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To be free to love, create, grow, steward, learn, coordinate, and belong requires both a living world and infrastructures that do not convert belonging into dependency.</w:t>
      </w:r>
    </w:p>
    <w:p w14:paraId="3783A2EC"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The role of founding custodians is to hold this recognition in trust.</w:t>
      </w:r>
    </w:p>
    <w:p w14:paraId="500DFC4B"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Their role is not to have the last word.</w:t>
      </w:r>
    </w:p>
    <w:p w14:paraId="4394AACE"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Their role is to ensure that the first word is not forgotten:</w:t>
      </w:r>
    </w:p>
    <w:p w14:paraId="39696758" w14:textId="73102DD0"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Life.</w:t>
      </w:r>
    </w:p>
    <w:p w14:paraId="53AC5B9F" w14:textId="4B7A5FD3"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b/>
          <w:bCs/>
          <w:i/>
          <w:iCs/>
        </w:rPr>
        <w:t>The source of the founding vision</w:t>
      </w:r>
    </w:p>
    <w:p w14:paraId="1643CB97"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 xml:space="preserve">The founding vision of Prometheus can be traced to a single source — </w:t>
      </w:r>
      <w:r w:rsidRPr="00B479AE">
        <w:rPr>
          <w:rFonts w:ascii="MS Gothic" w:eastAsia="MS Gothic" w:hAnsi="MS Gothic" w:cs="MS Gothic" w:hint="eastAsia"/>
          <w:i/>
          <w:iCs/>
        </w:rPr>
        <w:t>源</w:t>
      </w:r>
      <w:r w:rsidRPr="00B479AE">
        <w:rPr>
          <w:rFonts w:ascii="Microsoft JhengHei" w:eastAsia="Microsoft JhengHei" w:hAnsi="Microsoft JhengHei" w:cs="Microsoft JhengHei" w:hint="eastAsia"/>
          <w:i/>
          <w:iCs/>
        </w:rPr>
        <w:t>头</w:t>
      </w:r>
      <w:r w:rsidRPr="00B479AE">
        <w:rPr>
          <w:rFonts w:ascii="Baskerville Old Face" w:hAnsi="Baskerville Old Face"/>
          <w:i/>
          <w:iCs/>
        </w:rPr>
        <w:t>, yuántóu: the recognition that the deepest human desire for freedom is not separation from life, but belonging without capture.</w:t>
      </w:r>
    </w:p>
    <w:p w14:paraId="41E617C1"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To be free to love, create, grow, connect, choose, steward, and participate requires both a living world to belong to and infrastructures that do not mediate belonging through domination.</w:t>
      </w:r>
    </w:p>
    <w:p w14:paraId="332A0DEC"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The two flames may be carried, witnessed, and protected by founding communities, but they are not owned by them.</w:t>
      </w:r>
    </w:p>
    <w:p w14:paraId="6F64E329"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Behavioral sovereignty and biological-digital sovereignty are not private inheritances.</w:t>
      </w:r>
    </w:p>
    <w:p w14:paraId="0C6B803A"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They are constitutional responsibilities held in trust for all future participants.</w:t>
      </w:r>
    </w:p>
    <w:p w14:paraId="1322ECF1"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Their role is to keep visible that freedom is not merely the absence of constraint.</w:t>
      </w:r>
    </w:p>
    <w:p w14:paraId="3DE8920C"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lastRenderedPageBreak/>
        <w:t>Freedom is the capacity to participate in life-enhancing systems without surrendering dignity, agency, context, or relationship.</w:t>
      </w:r>
    </w:p>
    <w:p w14:paraId="1BAE71E3" w14:textId="046E03DE"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The constitution remains the authority.</w:t>
      </w:r>
    </w:p>
    <w:p w14:paraId="0E53DFEB"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Evidence remains the discipline.</w:t>
      </w:r>
    </w:p>
    <w:p w14:paraId="42C1F4AA"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Governance remains the pathway.</w:t>
      </w:r>
    </w:p>
    <w:p w14:paraId="25D403BD" w14:textId="77777777" w:rsidR="00B66CFA" w:rsidRPr="00B479AE" w:rsidRDefault="00B66CFA" w:rsidP="00B66CFA">
      <w:pPr>
        <w:spacing w:line="360" w:lineRule="auto"/>
        <w:rPr>
          <w:rFonts w:ascii="Baskerville Old Face" w:hAnsi="Baskerville Old Face"/>
          <w:i/>
          <w:iCs/>
        </w:rPr>
      </w:pPr>
      <w:r w:rsidRPr="00B479AE">
        <w:rPr>
          <w:rFonts w:ascii="Baskerville Old Face" w:hAnsi="Baskerville Old Face"/>
          <w:i/>
          <w:iCs/>
        </w:rPr>
        <w:t>Custodianship remains service.</w:t>
      </w:r>
    </w:p>
    <w:p w14:paraId="571ED25A" w14:textId="12544B2B"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b/>
          <w:bCs/>
          <w:i/>
          <w:iCs/>
        </w:rPr>
        <w:t>4: Ordinary Governance vs. Constitutional Amendment</w:t>
      </w:r>
    </w:p>
    <w:p w14:paraId="5478A40E"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The Prometheus constitution distinguishes clearly between ordinary governance, constitutional amendment, and eternity-clause protection.</w:t>
      </w:r>
    </w:p>
    <w:p w14:paraId="333A935D"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This distinction is essential.</w:t>
      </w:r>
    </w:p>
    <w:p w14:paraId="69342E4D"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A living governance system must be able to make decisions, allocate resources, approve projects, resolve disputes, update procedures, and adapt to new conditions.</w:t>
      </w:r>
    </w:p>
    <w:p w14:paraId="11E11FCF"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At the same time, it must not allow ordinary governance to alter the constitutional identity of the system.</w:t>
      </w:r>
    </w:p>
    <w:p w14:paraId="048E07E4"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Prometheus therefore separates three levels of authority.</w:t>
      </w:r>
    </w:p>
    <w:p w14:paraId="57D17870" w14:textId="6F98396C" w:rsidR="00D231EE" w:rsidRPr="00B479AE" w:rsidRDefault="003B4CEA" w:rsidP="00D231EE">
      <w:pPr>
        <w:spacing w:line="360" w:lineRule="auto"/>
        <w:rPr>
          <w:rFonts w:ascii="Baskerville Old Face" w:hAnsi="Baskerville Old Face"/>
          <w:i/>
          <w:iCs/>
        </w:rPr>
      </w:pPr>
      <w:r>
        <w:rPr>
          <w:rFonts w:ascii="Baskerville Old Face" w:hAnsi="Baskerville Old Face"/>
          <w:b/>
          <w:bCs/>
          <w:i/>
          <w:iCs/>
        </w:rPr>
        <w:t>4.</w:t>
      </w:r>
      <w:r w:rsidR="00D231EE" w:rsidRPr="00B479AE">
        <w:rPr>
          <w:rFonts w:ascii="Baskerville Old Face" w:hAnsi="Baskerville Old Face"/>
          <w:b/>
          <w:bCs/>
          <w:i/>
          <w:iCs/>
        </w:rPr>
        <w:t>1 Ordinary governance</w:t>
      </w:r>
    </w:p>
    <w:p w14:paraId="1A064CE3"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Ordinary governance concerns operational, policy, resource-allocation, project-approval, circle-specific, stewardship, methodological, or implementation decisions that do not alter the foundational identity of Prometheus.</w:t>
      </w:r>
    </w:p>
    <w:p w14:paraId="7EC05F07"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Ordinary governance may include:</w:t>
      </w:r>
    </w:p>
    <w:p w14:paraId="350A8315"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 project approval;</w:t>
      </w:r>
      <w:r w:rsidRPr="00B479AE">
        <w:rPr>
          <w:rFonts w:ascii="Baskerville Old Face" w:hAnsi="Baskerville Old Face"/>
          <w:i/>
          <w:iCs/>
        </w:rPr>
        <w:br/>
        <w:t>• resource allocation;</w:t>
      </w:r>
      <w:r w:rsidRPr="00B479AE">
        <w:rPr>
          <w:rFonts w:ascii="Baskerville Old Face" w:hAnsi="Baskerville Old Face"/>
          <w:i/>
          <w:iCs/>
        </w:rPr>
        <w:br/>
        <w:t>• circle-specific governance;</w:t>
      </w:r>
      <w:r w:rsidRPr="00B479AE">
        <w:rPr>
          <w:rFonts w:ascii="Baskerville Old Face" w:hAnsi="Baskerville Old Face"/>
          <w:i/>
          <w:iCs/>
        </w:rPr>
        <w:br/>
        <w:t>• operating procedures;</w:t>
      </w:r>
      <w:r w:rsidRPr="00B479AE">
        <w:rPr>
          <w:rFonts w:ascii="Baskerville Old Face" w:hAnsi="Baskerville Old Face"/>
          <w:i/>
          <w:iCs/>
        </w:rPr>
        <w:br/>
        <w:t>• pilot progression decisions;</w:t>
      </w:r>
      <w:r w:rsidRPr="00B479AE">
        <w:rPr>
          <w:rFonts w:ascii="Baskerville Old Face" w:hAnsi="Baskerville Old Face"/>
          <w:i/>
          <w:iCs/>
        </w:rPr>
        <w:br/>
        <w:t>• stewardship coordination;</w:t>
      </w:r>
      <w:r w:rsidRPr="00B479AE">
        <w:rPr>
          <w:rFonts w:ascii="Baskerville Old Face" w:hAnsi="Baskerville Old Face"/>
          <w:i/>
          <w:iCs/>
        </w:rPr>
        <w:br/>
      </w:r>
      <w:r w:rsidRPr="00B479AE">
        <w:rPr>
          <w:rFonts w:ascii="Baskerville Old Face" w:hAnsi="Baskerville Old Face"/>
          <w:i/>
          <w:iCs/>
        </w:rPr>
        <w:lastRenderedPageBreak/>
        <w:t>• methodology refinements within approved boundaries;</w:t>
      </w:r>
      <w:r w:rsidRPr="00B479AE">
        <w:rPr>
          <w:rFonts w:ascii="Baskerville Old Face" w:hAnsi="Baskerville Old Face"/>
          <w:i/>
          <w:iCs/>
        </w:rPr>
        <w:br/>
        <w:t>• MRV implementation details;</w:t>
      </w:r>
      <w:r w:rsidRPr="00B479AE">
        <w:rPr>
          <w:rFonts w:ascii="Baskerville Old Face" w:hAnsi="Baskerville Old Face"/>
          <w:i/>
          <w:iCs/>
        </w:rPr>
        <w:br/>
        <w:t>• dashboard or reporting improvements;</w:t>
      </w:r>
      <w:r w:rsidRPr="00B479AE">
        <w:rPr>
          <w:rFonts w:ascii="Baskerville Old Face" w:hAnsi="Baskerville Old Face"/>
          <w:i/>
          <w:iCs/>
        </w:rPr>
        <w:br/>
        <w:t>• role assignments;</w:t>
      </w:r>
      <w:r w:rsidRPr="00B479AE">
        <w:rPr>
          <w:rFonts w:ascii="Baskerville Old Face" w:hAnsi="Baskerville Old Face"/>
          <w:i/>
          <w:iCs/>
        </w:rPr>
        <w:br/>
        <w:t>• dispute resolution;</w:t>
      </w:r>
      <w:r w:rsidRPr="00B479AE">
        <w:rPr>
          <w:rFonts w:ascii="Baskerville Old Face" w:hAnsi="Baskerville Old Face"/>
          <w:i/>
          <w:iCs/>
        </w:rPr>
        <w:br/>
        <w:t>• ordinary treasury or budget decisions;</w:t>
      </w:r>
      <w:r w:rsidRPr="00B479AE">
        <w:rPr>
          <w:rFonts w:ascii="Baskerville Old Face" w:hAnsi="Baskerville Old Face"/>
          <w:i/>
          <w:iCs/>
        </w:rPr>
        <w:br/>
        <w:t>• deployment sequencing;</w:t>
      </w:r>
      <w:r w:rsidRPr="00B479AE">
        <w:rPr>
          <w:rFonts w:ascii="Baskerville Old Face" w:hAnsi="Baskerville Old Face"/>
          <w:i/>
          <w:iCs/>
        </w:rPr>
        <w:br/>
        <w:t>• partner onboarding within existing rules.</w:t>
      </w:r>
    </w:p>
    <w:p w14:paraId="6F539A10"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Ordinary governance may be conducted through sociocratic consent, Stewardship Circles, protocol stewardship, DAO-compatible processes, or other approved governance mechanisms.</w:t>
      </w:r>
    </w:p>
    <w:p w14:paraId="754A450E"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TRBK-based or token-mediated participation may support ordinary governance where legally and functionally appropriate, provided that:</w:t>
      </w:r>
    </w:p>
    <w:p w14:paraId="34130106" w14:textId="0C1773A8" w:rsidR="00D5008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 the participant has entered into the Access Covenant;</w:t>
      </w:r>
      <w:r w:rsidRPr="00B479AE">
        <w:rPr>
          <w:rFonts w:ascii="Baskerville Old Face" w:hAnsi="Baskerville Old Face"/>
          <w:i/>
          <w:iCs/>
        </w:rPr>
        <w:br/>
        <w:t>• the token or credential is whitelisted for the relevant domain;</w:t>
      </w:r>
      <w:r w:rsidRPr="00B479AE">
        <w:rPr>
          <w:rFonts w:ascii="Baskerville Old Face" w:hAnsi="Baskerville Old Face"/>
          <w:i/>
          <w:iCs/>
        </w:rPr>
        <w:br/>
        <w:t>• the process remains within the participant’s valid governance scope;</w:t>
      </w:r>
      <w:r w:rsidRPr="00B479AE">
        <w:rPr>
          <w:rFonts w:ascii="Baskerville Old Face" w:hAnsi="Baskerville Old Face"/>
          <w:i/>
          <w:iCs/>
        </w:rPr>
        <w:br/>
        <w:t>• participation does not create financial entitlement unless separately and legally structured;</w:t>
      </w:r>
      <w:r w:rsidRPr="00B479AE">
        <w:rPr>
          <w:rFonts w:ascii="Baskerville Old Face" w:hAnsi="Baskerville Old Face"/>
          <w:i/>
          <w:iCs/>
        </w:rPr>
        <w:br/>
        <w:t>• governance rights remain distinct from PRU value, land rights, investor rights, and cash-flow rights;</w:t>
      </w:r>
      <w:r w:rsidRPr="00B479AE">
        <w:rPr>
          <w:rFonts w:ascii="Baskerville Old Face" w:hAnsi="Baskerville Old Face"/>
          <w:i/>
          <w:iCs/>
        </w:rPr>
        <w:br/>
        <w:t xml:space="preserve">• the decision does not violate foundational articles, Eternity Clauses, legal boundaries, MRV discipline, or </w:t>
      </w:r>
      <w:r w:rsidR="00D5008E" w:rsidRPr="00B479AE">
        <w:rPr>
          <w:rFonts w:ascii="Baskerville Old Face" w:hAnsi="Baskerville Old Face"/>
          <w:i/>
          <w:iCs/>
        </w:rPr>
        <w:t>source-layer constraints and implementation rules where applicable.</w:t>
      </w:r>
    </w:p>
    <w:p w14:paraId="1399B57F"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Ordinary governance is adaptive.</w:t>
      </w:r>
    </w:p>
    <w:p w14:paraId="0AD48409"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It allows Prometheus to learn.</w:t>
      </w:r>
    </w:p>
    <w:p w14:paraId="15D9F7E8"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It does not allow Prometheus to forget what it is.</w:t>
      </w:r>
    </w:p>
    <w:p w14:paraId="0BDAC6A8" w14:textId="7075BB1D" w:rsidR="003B4CEA" w:rsidRPr="003B4CEA" w:rsidRDefault="003B4CEA" w:rsidP="003B4CEA">
      <w:pPr>
        <w:spacing w:line="360" w:lineRule="auto"/>
        <w:rPr>
          <w:rFonts w:ascii="Baskerville Old Face" w:hAnsi="Baskerville Old Face"/>
          <w:b/>
          <w:bCs/>
          <w:i/>
          <w:iCs/>
        </w:rPr>
      </w:pPr>
      <w:r>
        <w:rPr>
          <w:rFonts w:ascii="Baskerville Old Face" w:hAnsi="Baskerville Old Face"/>
          <w:b/>
          <w:bCs/>
          <w:i/>
          <w:iCs/>
        </w:rPr>
        <w:t>4.</w:t>
      </w:r>
      <w:r w:rsidRPr="003B4CEA">
        <w:rPr>
          <w:rFonts w:ascii="Baskerville Old Face" w:hAnsi="Baskerville Old Face"/>
          <w:b/>
          <w:bCs/>
          <w:i/>
          <w:iCs/>
        </w:rPr>
        <w:t>2 Constitutional amendment</w:t>
      </w:r>
    </w:p>
    <w:p w14:paraId="6303C2AB"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Constitutional amendment concerns proposed changes to the foundational governance architecture of Prometheus.</w:t>
      </w:r>
    </w:p>
    <w:p w14:paraId="224FF756"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This includes material changes to:</w:t>
      </w:r>
    </w:p>
    <w:p w14:paraId="70D05037"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 Articles I–XV of the Syntropic Constitutional Article Registry;</w:t>
      </w:r>
    </w:p>
    <w:p w14:paraId="02A2541B"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 the foundational source-layer principles defined by Articles I–XIII;</w:t>
      </w:r>
    </w:p>
    <w:p w14:paraId="288148AE"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lastRenderedPageBreak/>
        <w:t>• the extended constitutional provisions defined by Articles XIV and XV;</w:t>
      </w:r>
    </w:p>
    <w:p w14:paraId="02CE0FE3"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 constitutional definitions;</w:t>
      </w:r>
    </w:p>
    <w:p w14:paraId="36442552"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 Access Covenant structure;</w:t>
      </w:r>
    </w:p>
    <w:p w14:paraId="6F589AEC"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 amendment procedures;</w:t>
      </w:r>
    </w:p>
    <w:p w14:paraId="353C424D"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 governance authority boundaries;</w:t>
      </w:r>
    </w:p>
    <w:p w14:paraId="63C85378"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 PRU / RAP / TRBK / HSI / MRV semantic boundaries;</w:t>
      </w:r>
    </w:p>
    <w:p w14:paraId="17371816"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 source-layer non-bypassability rules;</w:t>
      </w:r>
    </w:p>
    <w:p w14:paraId="37A3B047"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 kernel execution constraints;</w:t>
      </w:r>
    </w:p>
    <w:p w14:paraId="1DAE54AF"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 methodology governance;</w:t>
      </w:r>
    </w:p>
    <w:p w14:paraId="43F37C97"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 constitutional release procedures;</w:t>
      </w:r>
    </w:p>
    <w:p w14:paraId="6EFF7D7A"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 rights, responsibilities, and participation architecture.</w:t>
      </w:r>
    </w:p>
    <w:p w14:paraId="5A7D9C3E"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Constitutional amendments are acts of constituent governance, not ordinary administration.</w:t>
      </w:r>
    </w:p>
    <w:p w14:paraId="1FDFD828"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They require a higher threshold of review, transparency, deliberation, and legitimacy.</w:t>
      </w:r>
    </w:p>
    <w:p w14:paraId="69744401"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A valid amendment pathway should include:</w:t>
      </w:r>
    </w:p>
    <w:p w14:paraId="2C61D386"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proposal</w:t>
      </w:r>
    </w:p>
    <w:p w14:paraId="3FFC8A81"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impact analysis</w:t>
      </w:r>
    </w:p>
    <w:p w14:paraId="565A5400"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constitutional compatibility review</w:t>
      </w:r>
    </w:p>
    <w:p w14:paraId="6255555F"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risk classification</w:t>
      </w:r>
    </w:p>
    <w:p w14:paraId="7EB90163"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legal and compliance review where relevant</w:t>
      </w:r>
    </w:p>
    <w:p w14:paraId="1A77380A"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protocol steward review</w:t>
      </w:r>
    </w:p>
    <w:p w14:paraId="6AADA1E2"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stakeholder or community review where appropriate</w:t>
      </w:r>
    </w:p>
    <w:p w14:paraId="22285B88"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governance deliberation</w:t>
      </w:r>
    </w:p>
    <w:p w14:paraId="014C30A0"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lastRenderedPageBreak/>
        <w:t>versioned approval</w:t>
      </w:r>
    </w:p>
    <w:p w14:paraId="62F210C9"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canonical release update</w:t>
      </w:r>
    </w:p>
    <w:p w14:paraId="7B7AE4BB"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audit trail</w:t>
      </w:r>
    </w:p>
    <w:p w14:paraId="34A5CCF3"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rollback or correction pathway where feasible.</w:t>
      </w:r>
    </w:p>
    <w:p w14:paraId="57B45939"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No constitutional amendment is valid merely because it passes a vote.</w:t>
      </w:r>
    </w:p>
    <w:p w14:paraId="3CCFBC78"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A vote is not enough.</w:t>
      </w:r>
    </w:p>
    <w:p w14:paraId="087E1C7E"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A governance majority is not enough.</w:t>
      </w:r>
    </w:p>
    <w:p w14:paraId="6917B988"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Token-weighted support is not enough.</w:t>
      </w:r>
    </w:p>
    <w:p w14:paraId="4E35733E"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Model-generated justification is not enough.</w:t>
      </w:r>
    </w:p>
    <w:p w14:paraId="7392ED62"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Investor pressure is not enough.</w:t>
      </w:r>
    </w:p>
    <w:p w14:paraId="66A9BCF7"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Operational urgency is not enough.</w:t>
      </w:r>
    </w:p>
    <w:p w14:paraId="18C32D05" w14:textId="77777777" w:rsidR="003B4CEA" w:rsidRPr="003B4CEA" w:rsidRDefault="003B4CEA" w:rsidP="003B4CEA">
      <w:pPr>
        <w:spacing w:line="360" w:lineRule="auto"/>
        <w:rPr>
          <w:rFonts w:ascii="Baskerville Old Face" w:hAnsi="Baskerville Old Face"/>
          <w:i/>
          <w:iCs/>
        </w:rPr>
      </w:pPr>
      <w:r w:rsidRPr="003B4CEA">
        <w:rPr>
          <w:rFonts w:ascii="Baskerville Old Face" w:hAnsi="Baskerville Old Face"/>
          <w:i/>
          <w:iCs/>
        </w:rPr>
        <w:t>A constitutional amendment is valid only when it preserves the constitutional identity of Prometheus.</w:t>
      </w:r>
    </w:p>
    <w:p w14:paraId="25D9AAD7" w14:textId="08D1B768" w:rsidR="00D231EE" w:rsidRPr="00B479AE" w:rsidRDefault="003B4CEA" w:rsidP="00D231EE">
      <w:pPr>
        <w:spacing w:line="360" w:lineRule="auto"/>
        <w:rPr>
          <w:rFonts w:ascii="Baskerville Old Face" w:hAnsi="Baskerville Old Face"/>
          <w:i/>
          <w:iCs/>
        </w:rPr>
      </w:pPr>
      <w:r>
        <w:rPr>
          <w:rFonts w:ascii="Baskerville Old Face" w:hAnsi="Baskerville Old Face"/>
          <w:b/>
          <w:bCs/>
          <w:i/>
          <w:iCs/>
        </w:rPr>
        <w:t>4.</w:t>
      </w:r>
      <w:r w:rsidR="00D231EE" w:rsidRPr="00B479AE">
        <w:rPr>
          <w:rFonts w:ascii="Baskerville Old Face" w:hAnsi="Baskerville Old Face"/>
          <w:b/>
          <w:bCs/>
          <w:i/>
          <w:iCs/>
        </w:rPr>
        <w:t>3 Eternity-clause protection</w:t>
      </w:r>
    </w:p>
    <w:p w14:paraId="76D295D0"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The Eternity Clauses are not ordinary constitutional provisions.</w:t>
      </w:r>
    </w:p>
    <w:p w14:paraId="07CA55FC"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They are non-amendable source-layer constraints.</w:t>
      </w:r>
    </w:p>
    <w:p w14:paraId="78515D1D"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They cannot be amended, repealed, inverted, bypassed, suspended, diluted, or overridden by:</w:t>
      </w:r>
    </w:p>
    <w:p w14:paraId="646E270E"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 ordinary governance;</w:t>
      </w:r>
    </w:p>
    <w:p w14:paraId="70DD384C"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 constitutional amendment;</w:t>
      </w:r>
    </w:p>
    <w:p w14:paraId="71C5B13E"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 emergency procedure;</w:t>
      </w:r>
    </w:p>
    <w:p w14:paraId="482D9E9E"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 sociocratic consent;</w:t>
      </w:r>
    </w:p>
    <w:p w14:paraId="192B006C"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 token vote;</w:t>
      </w:r>
    </w:p>
    <w:p w14:paraId="21BBEDBA"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 investor requirement;</w:t>
      </w:r>
    </w:p>
    <w:p w14:paraId="419BBEC7"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lastRenderedPageBreak/>
        <w:t>• legal wrapper;</w:t>
      </w:r>
    </w:p>
    <w:p w14:paraId="0EF2B9B4"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 protocol upgrade;</w:t>
      </w:r>
    </w:p>
    <w:p w14:paraId="10CAE6F7"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 AI model output;</w:t>
      </w:r>
    </w:p>
    <w:p w14:paraId="530B4A86"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 autonomous agent action;</w:t>
      </w:r>
    </w:p>
    <w:p w14:paraId="7336EABE"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 market demand;</w:t>
      </w:r>
    </w:p>
    <w:p w14:paraId="1CD862BA"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 operational convenience.</w:t>
      </w:r>
    </w:p>
    <w:p w14:paraId="34503C08"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The reason is structural.</w:t>
      </w:r>
    </w:p>
    <w:p w14:paraId="051BDD2C"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The Eternity Clauses do not create the living-system reality on which Prometheus depends.</w:t>
      </w:r>
    </w:p>
    <w:p w14:paraId="1900816E"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They recognize it, protect it, and prevent governance mechanisms from overriding it.</w:t>
      </w:r>
    </w:p>
    <w:p w14:paraId="43722563"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No governance mechanism can validly authorize the destruction of the living foundations that make the system meaningful.</w:t>
      </w:r>
    </w:p>
    <w:p w14:paraId="0D112B4C"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No token vote can convert unverified narrative into value.</w:t>
      </w:r>
    </w:p>
    <w:p w14:paraId="66B6BE66"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No market demand can override evidence.</w:t>
      </w:r>
    </w:p>
    <w:p w14:paraId="0BB34D50"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No intelligence system can replace the constitutional source layer and still act as Prometheus.</w:t>
      </w:r>
    </w:p>
    <w:p w14:paraId="78A9AC02"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Any action that violates the Eternity Clauses is invalid within Prometheus protected pathways.</w:t>
      </w:r>
    </w:p>
    <w:p w14:paraId="2038C08A" w14:textId="77777777" w:rsidR="009960AF" w:rsidRPr="00B479AE" w:rsidRDefault="009960AF" w:rsidP="009960AF">
      <w:pPr>
        <w:spacing w:line="360" w:lineRule="auto"/>
        <w:rPr>
          <w:rFonts w:ascii="Baskerville Old Face" w:hAnsi="Baskerville Old Face"/>
          <w:i/>
          <w:iCs/>
        </w:rPr>
      </w:pPr>
      <w:r w:rsidRPr="00B479AE">
        <w:rPr>
          <w:rFonts w:ascii="Baskerville Old Face" w:hAnsi="Baskerville Old Face"/>
          <w:i/>
          <w:iCs/>
        </w:rPr>
        <w:t>Its correct status is non-admissible, non-executable, rejected, quarantined, or escalated to constitutional governance review according to the relevant control pathway.</w:t>
      </w:r>
    </w:p>
    <w:p w14:paraId="6363C1F7" w14:textId="231C1EAE" w:rsidR="00D231EE" w:rsidRPr="00B479AE" w:rsidRDefault="003B4CEA" w:rsidP="00D231EE">
      <w:pPr>
        <w:spacing w:line="360" w:lineRule="auto"/>
        <w:rPr>
          <w:rFonts w:ascii="Baskerville Old Face" w:hAnsi="Baskerville Old Face"/>
          <w:i/>
          <w:iCs/>
        </w:rPr>
      </w:pPr>
      <w:r>
        <w:rPr>
          <w:rFonts w:ascii="Baskerville Old Face" w:hAnsi="Baskerville Old Face"/>
          <w:b/>
          <w:bCs/>
          <w:i/>
          <w:iCs/>
        </w:rPr>
        <w:t>4.</w:t>
      </w:r>
      <w:r w:rsidR="00D231EE" w:rsidRPr="00B479AE">
        <w:rPr>
          <w:rFonts w:ascii="Baskerville Old Face" w:hAnsi="Baskerville Old Face"/>
          <w:b/>
          <w:bCs/>
          <w:i/>
          <w:iCs/>
        </w:rPr>
        <w:t>4 Conflict hierarchy</w:t>
      </w:r>
    </w:p>
    <w:p w14:paraId="05151027" w14:textId="77777777" w:rsidR="00D231EE" w:rsidRDefault="00D231EE" w:rsidP="00D231EE">
      <w:pPr>
        <w:spacing w:line="360" w:lineRule="auto"/>
        <w:rPr>
          <w:rFonts w:ascii="Baskerville Old Face" w:hAnsi="Baskerville Old Face"/>
          <w:i/>
          <w:iCs/>
        </w:rPr>
      </w:pPr>
      <w:r w:rsidRPr="00B479AE">
        <w:rPr>
          <w:rFonts w:ascii="Baskerville Old Face" w:hAnsi="Baskerville Old Face"/>
          <w:i/>
          <w:iCs/>
        </w:rPr>
        <w:t>When governance levels conflict, the hierarchy is:</w:t>
      </w:r>
    </w:p>
    <w:p w14:paraId="485A240D" w14:textId="77777777" w:rsidR="003B4CEA" w:rsidRPr="00B479AE" w:rsidRDefault="003B4CEA" w:rsidP="00D231EE">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3"/>
        <w:gridCol w:w="4448"/>
        <w:gridCol w:w="3357"/>
      </w:tblGrid>
      <w:tr w:rsidR="00D231EE" w:rsidRPr="00B479AE" w14:paraId="7777E829" w14:textId="77777777" w:rsidTr="00D231EE">
        <w:trPr>
          <w:tblHeader/>
          <w:tblCellSpacing w:w="15" w:type="dxa"/>
        </w:trPr>
        <w:tc>
          <w:tcPr>
            <w:tcW w:w="0" w:type="auto"/>
            <w:vAlign w:val="center"/>
            <w:hideMark/>
          </w:tcPr>
          <w:p w14:paraId="14195F78" w14:textId="77777777" w:rsidR="00D231EE" w:rsidRPr="00B479AE" w:rsidRDefault="00D231EE" w:rsidP="00D231EE">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Governance level</w:t>
            </w:r>
          </w:p>
        </w:tc>
        <w:tc>
          <w:tcPr>
            <w:tcW w:w="0" w:type="auto"/>
            <w:vAlign w:val="center"/>
            <w:hideMark/>
          </w:tcPr>
          <w:p w14:paraId="2C703405" w14:textId="77777777" w:rsidR="00D231EE" w:rsidRPr="00B479AE" w:rsidRDefault="00D231EE" w:rsidP="00D231EE">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Function</w:t>
            </w:r>
          </w:p>
        </w:tc>
        <w:tc>
          <w:tcPr>
            <w:tcW w:w="0" w:type="auto"/>
            <w:vAlign w:val="center"/>
            <w:hideMark/>
          </w:tcPr>
          <w:p w14:paraId="67886AD9" w14:textId="77777777" w:rsidR="00D231EE" w:rsidRPr="00B479AE" w:rsidRDefault="00D231EE" w:rsidP="00D231EE">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Limit</w:t>
            </w:r>
          </w:p>
        </w:tc>
      </w:tr>
      <w:tr w:rsidR="00D231EE" w:rsidRPr="00B479AE" w14:paraId="6378E3CC" w14:textId="77777777" w:rsidTr="00D231EE">
        <w:trPr>
          <w:tblCellSpacing w:w="15" w:type="dxa"/>
        </w:trPr>
        <w:tc>
          <w:tcPr>
            <w:tcW w:w="0" w:type="auto"/>
            <w:vAlign w:val="center"/>
            <w:hideMark/>
          </w:tcPr>
          <w:p w14:paraId="4E126B39" w14:textId="77777777" w:rsidR="00D231EE" w:rsidRPr="00B479AE" w:rsidRDefault="00D231EE" w:rsidP="00D231E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Ordinary governance</w:t>
            </w:r>
          </w:p>
        </w:tc>
        <w:tc>
          <w:tcPr>
            <w:tcW w:w="0" w:type="auto"/>
            <w:vAlign w:val="center"/>
            <w:hideMark/>
          </w:tcPr>
          <w:p w14:paraId="33A84D23" w14:textId="77777777" w:rsidR="00D231EE" w:rsidRPr="00B479AE" w:rsidRDefault="00D231EE" w:rsidP="00D231EE">
            <w:pPr>
              <w:spacing w:line="360" w:lineRule="auto"/>
              <w:rPr>
                <w:rFonts w:ascii="Baskerville Old Face" w:hAnsi="Baskerville Old Face"/>
                <w:i/>
                <w:iCs/>
                <w:sz w:val="22"/>
                <w:szCs w:val="22"/>
              </w:rPr>
            </w:pPr>
            <w:r w:rsidRPr="00B479AE">
              <w:rPr>
                <w:rFonts w:ascii="Baskerville Old Face" w:hAnsi="Baskerville Old Face"/>
                <w:i/>
                <w:iCs/>
                <w:sz w:val="22"/>
                <w:szCs w:val="22"/>
              </w:rPr>
              <w:t>Handles operations, resources, projects, procedures, stewardship, and implementation.</w:t>
            </w:r>
          </w:p>
        </w:tc>
        <w:tc>
          <w:tcPr>
            <w:tcW w:w="0" w:type="auto"/>
            <w:vAlign w:val="center"/>
            <w:hideMark/>
          </w:tcPr>
          <w:p w14:paraId="5AA412FA" w14:textId="77777777" w:rsidR="00D231EE" w:rsidRPr="00B479AE" w:rsidRDefault="00D231EE" w:rsidP="00D231EE">
            <w:pPr>
              <w:spacing w:line="360" w:lineRule="auto"/>
              <w:rPr>
                <w:rFonts w:ascii="Baskerville Old Face" w:hAnsi="Baskerville Old Face"/>
                <w:i/>
                <w:iCs/>
                <w:sz w:val="22"/>
                <w:szCs w:val="22"/>
              </w:rPr>
            </w:pPr>
            <w:r w:rsidRPr="00B479AE">
              <w:rPr>
                <w:rFonts w:ascii="Baskerville Old Face" w:hAnsi="Baskerville Old Face"/>
                <w:i/>
                <w:iCs/>
                <w:sz w:val="22"/>
                <w:szCs w:val="22"/>
              </w:rPr>
              <w:t>Cannot alter constitutional identity or violate foundational articles.</w:t>
            </w:r>
          </w:p>
        </w:tc>
      </w:tr>
      <w:tr w:rsidR="00D231EE" w:rsidRPr="00B479AE" w14:paraId="203F74B1" w14:textId="77777777" w:rsidTr="00D231EE">
        <w:trPr>
          <w:tblCellSpacing w:w="15" w:type="dxa"/>
        </w:trPr>
        <w:tc>
          <w:tcPr>
            <w:tcW w:w="0" w:type="auto"/>
            <w:vAlign w:val="center"/>
            <w:hideMark/>
          </w:tcPr>
          <w:p w14:paraId="2FC8074A" w14:textId="77777777" w:rsidR="00D231EE" w:rsidRPr="00B479AE" w:rsidRDefault="00D231EE" w:rsidP="00D231E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Constitutional amendment</w:t>
            </w:r>
          </w:p>
        </w:tc>
        <w:tc>
          <w:tcPr>
            <w:tcW w:w="0" w:type="auto"/>
            <w:vAlign w:val="center"/>
            <w:hideMark/>
          </w:tcPr>
          <w:p w14:paraId="27CC773A" w14:textId="77777777" w:rsidR="00D231EE" w:rsidRPr="00B479AE" w:rsidRDefault="00D231EE" w:rsidP="00D231EE">
            <w:pPr>
              <w:spacing w:line="360" w:lineRule="auto"/>
              <w:rPr>
                <w:rFonts w:ascii="Baskerville Old Face" w:hAnsi="Baskerville Old Face"/>
                <w:i/>
                <w:iCs/>
                <w:sz w:val="22"/>
                <w:szCs w:val="22"/>
              </w:rPr>
            </w:pPr>
            <w:r w:rsidRPr="00B479AE">
              <w:rPr>
                <w:rFonts w:ascii="Baskerville Old Face" w:hAnsi="Baskerville Old Face"/>
                <w:i/>
                <w:iCs/>
                <w:sz w:val="22"/>
                <w:szCs w:val="22"/>
              </w:rPr>
              <w:t>Updates constitutional architecture through higher review and canonical release discipline.</w:t>
            </w:r>
          </w:p>
        </w:tc>
        <w:tc>
          <w:tcPr>
            <w:tcW w:w="0" w:type="auto"/>
            <w:vAlign w:val="center"/>
            <w:hideMark/>
          </w:tcPr>
          <w:p w14:paraId="6A06C1A3" w14:textId="365679F5" w:rsidR="00D231EE" w:rsidRPr="00B479AE" w:rsidRDefault="00D93BA7" w:rsidP="00D231EE">
            <w:pPr>
              <w:spacing w:line="360" w:lineRule="auto"/>
              <w:rPr>
                <w:rFonts w:ascii="Baskerville Old Face" w:hAnsi="Baskerville Old Face"/>
                <w:i/>
                <w:iCs/>
                <w:sz w:val="22"/>
                <w:szCs w:val="22"/>
              </w:rPr>
            </w:pPr>
            <w:r w:rsidRPr="00D93BA7">
              <w:rPr>
                <w:rFonts w:ascii="Baskerville Old Face" w:hAnsi="Baskerville Old Face"/>
                <w:i/>
                <w:iCs/>
                <w:sz w:val="22"/>
                <w:szCs w:val="22"/>
              </w:rPr>
              <w:t>Cannot violate Eternity Clauses or living-system reality constraints.</w:t>
            </w:r>
          </w:p>
        </w:tc>
      </w:tr>
      <w:tr w:rsidR="00D231EE" w:rsidRPr="00B479AE" w14:paraId="0D91640D" w14:textId="77777777" w:rsidTr="00D231EE">
        <w:trPr>
          <w:tblCellSpacing w:w="15" w:type="dxa"/>
        </w:trPr>
        <w:tc>
          <w:tcPr>
            <w:tcW w:w="0" w:type="auto"/>
            <w:vAlign w:val="center"/>
            <w:hideMark/>
          </w:tcPr>
          <w:p w14:paraId="3D6C620C" w14:textId="77777777" w:rsidR="00D231EE" w:rsidRPr="00B479AE" w:rsidRDefault="00D231EE" w:rsidP="00D231E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Eternity Clauses</w:t>
            </w:r>
          </w:p>
        </w:tc>
        <w:tc>
          <w:tcPr>
            <w:tcW w:w="0" w:type="auto"/>
            <w:vAlign w:val="center"/>
            <w:hideMark/>
          </w:tcPr>
          <w:p w14:paraId="01FA4599" w14:textId="77777777" w:rsidR="00D231EE" w:rsidRPr="00B479AE" w:rsidRDefault="00D231EE" w:rsidP="00D231EE">
            <w:pPr>
              <w:spacing w:line="360" w:lineRule="auto"/>
              <w:rPr>
                <w:rFonts w:ascii="Baskerville Old Face" w:hAnsi="Baskerville Old Face"/>
                <w:i/>
                <w:iCs/>
                <w:sz w:val="22"/>
                <w:szCs w:val="22"/>
              </w:rPr>
            </w:pPr>
            <w:r w:rsidRPr="00B479AE">
              <w:rPr>
                <w:rFonts w:ascii="Baskerville Old Face" w:hAnsi="Baskerville Old Face"/>
                <w:i/>
                <w:iCs/>
                <w:sz w:val="22"/>
                <w:szCs w:val="22"/>
              </w:rPr>
              <w:t>Preserve non-negotiable principles grounded in living-system reality.</w:t>
            </w:r>
          </w:p>
        </w:tc>
        <w:tc>
          <w:tcPr>
            <w:tcW w:w="0" w:type="auto"/>
            <w:vAlign w:val="center"/>
            <w:hideMark/>
          </w:tcPr>
          <w:p w14:paraId="794CACE2" w14:textId="77777777" w:rsidR="00D231EE" w:rsidRPr="00B479AE" w:rsidRDefault="00D231EE" w:rsidP="00D231EE">
            <w:pPr>
              <w:spacing w:line="360" w:lineRule="auto"/>
              <w:rPr>
                <w:rFonts w:ascii="Baskerville Old Face" w:hAnsi="Baskerville Old Face"/>
                <w:i/>
                <w:iCs/>
                <w:sz w:val="22"/>
                <w:szCs w:val="22"/>
              </w:rPr>
            </w:pPr>
            <w:r w:rsidRPr="00B479AE">
              <w:rPr>
                <w:rFonts w:ascii="Baskerville Old Face" w:hAnsi="Baskerville Old Face"/>
                <w:i/>
                <w:iCs/>
                <w:sz w:val="22"/>
                <w:szCs w:val="22"/>
              </w:rPr>
              <w:t>Cannot be amended, repealed, diluted, or bypassed.</w:t>
            </w:r>
          </w:p>
        </w:tc>
      </w:tr>
      <w:tr w:rsidR="00D231EE" w:rsidRPr="00B479AE" w14:paraId="4245F699" w14:textId="77777777" w:rsidTr="00D231EE">
        <w:trPr>
          <w:tblCellSpacing w:w="15" w:type="dxa"/>
        </w:trPr>
        <w:tc>
          <w:tcPr>
            <w:tcW w:w="0" w:type="auto"/>
            <w:vAlign w:val="center"/>
            <w:hideMark/>
          </w:tcPr>
          <w:p w14:paraId="1DB7FA33" w14:textId="55967265" w:rsidR="005135B8" w:rsidRPr="00B479AE" w:rsidRDefault="00376407" w:rsidP="00D231EE">
            <w:pPr>
              <w:spacing w:line="360" w:lineRule="auto"/>
              <w:rPr>
                <w:rFonts w:ascii="Baskerville Old Face" w:hAnsi="Baskerville Old Face"/>
                <w:b/>
                <w:bCs/>
                <w:i/>
                <w:iCs/>
                <w:sz w:val="22"/>
                <w:szCs w:val="22"/>
              </w:rPr>
            </w:pPr>
            <w:r>
              <w:rPr>
                <w:rFonts w:ascii="Baskerville Old Face" w:hAnsi="Baskerville Old Face"/>
                <w:b/>
                <w:bCs/>
                <w:i/>
                <w:iCs/>
                <w:sz w:val="22"/>
                <w:szCs w:val="22"/>
              </w:rPr>
              <w:t>L</w:t>
            </w:r>
            <w:r w:rsidR="00D231EE" w:rsidRPr="00B479AE">
              <w:rPr>
                <w:rFonts w:ascii="Baskerville Old Face" w:hAnsi="Baskerville Old Face"/>
                <w:b/>
                <w:bCs/>
                <w:i/>
                <w:iCs/>
                <w:sz w:val="22"/>
                <w:szCs w:val="22"/>
              </w:rPr>
              <w:t>iving-system reality</w:t>
            </w:r>
            <w:r w:rsidR="005135B8" w:rsidRPr="00B479AE">
              <w:rPr>
                <w:rFonts w:ascii="Baskerville Old Face" w:hAnsi="Baskerville Old Face"/>
                <w:b/>
                <w:bCs/>
                <w:i/>
                <w:iCs/>
                <w:sz w:val="22"/>
                <w:szCs w:val="22"/>
              </w:rPr>
              <w:t xml:space="preserve"> </w:t>
            </w:r>
          </w:p>
        </w:tc>
        <w:tc>
          <w:tcPr>
            <w:tcW w:w="0" w:type="auto"/>
            <w:vAlign w:val="center"/>
            <w:hideMark/>
          </w:tcPr>
          <w:p w14:paraId="36064833" w14:textId="77777777" w:rsidR="00D231EE" w:rsidRPr="00B479AE" w:rsidRDefault="00D231EE" w:rsidP="00D231EE">
            <w:pPr>
              <w:spacing w:line="360" w:lineRule="auto"/>
              <w:rPr>
                <w:rFonts w:ascii="Baskerville Old Face" w:hAnsi="Baskerville Old Face"/>
                <w:i/>
                <w:iCs/>
                <w:sz w:val="22"/>
                <w:szCs w:val="22"/>
              </w:rPr>
            </w:pPr>
            <w:r w:rsidRPr="00B479AE">
              <w:rPr>
                <w:rFonts w:ascii="Baskerville Old Face" w:hAnsi="Baskerville Old Face"/>
                <w:i/>
                <w:iCs/>
                <w:sz w:val="22"/>
                <w:szCs w:val="22"/>
              </w:rPr>
              <w:t>The ecological, biological, relational, and physical substrate of all durable value.</w:t>
            </w:r>
          </w:p>
        </w:tc>
        <w:tc>
          <w:tcPr>
            <w:tcW w:w="0" w:type="auto"/>
            <w:vAlign w:val="center"/>
            <w:hideMark/>
          </w:tcPr>
          <w:p w14:paraId="2A0CA5EB" w14:textId="77777777" w:rsidR="00D231EE" w:rsidRPr="00B479AE" w:rsidRDefault="00D231EE" w:rsidP="00D231EE">
            <w:pPr>
              <w:spacing w:line="360" w:lineRule="auto"/>
              <w:rPr>
                <w:rFonts w:ascii="Baskerville Old Face" w:hAnsi="Baskerville Old Face"/>
                <w:i/>
                <w:iCs/>
                <w:sz w:val="22"/>
                <w:szCs w:val="22"/>
              </w:rPr>
            </w:pPr>
            <w:r w:rsidRPr="00B479AE">
              <w:rPr>
                <w:rFonts w:ascii="Baskerville Old Face" w:hAnsi="Baskerville Old Face"/>
                <w:i/>
                <w:iCs/>
                <w:sz w:val="22"/>
                <w:szCs w:val="22"/>
              </w:rPr>
              <w:t>Not created by governance and not subject to vote.</w:t>
            </w:r>
          </w:p>
        </w:tc>
      </w:tr>
    </w:tbl>
    <w:p w14:paraId="11121756"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This hierarchy prevents category collapse.</w:t>
      </w:r>
    </w:p>
    <w:p w14:paraId="7E160A37"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Ordinary governance is not constituent power.</w:t>
      </w:r>
    </w:p>
    <w:p w14:paraId="2E92E73A" w14:textId="29A0BB59" w:rsidR="00D231EE" w:rsidRPr="00B479AE" w:rsidRDefault="00D93BA7" w:rsidP="00D231EE">
      <w:pPr>
        <w:spacing w:line="360" w:lineRule="auto"/>
        <w:rPr>
          <w:rFonts w:ascii="Baskerville Old Face" w:hAnsi="Baskerville Old Face"/>
          <w:i/>
          <w:iCs/>
        </w:rPr>
      </w:pPr>
      <w:r w:rsidRPr="00D93BA7">
        <w:rPr>
          <w:rFonts w:ascii="Baskerville Old Face" w:hAnsi="Baskerville Old Face"/>
          <w:i/>
          <w:iCs/>
        </w:rPr>
        <w:t>Constitutional amendment is not permission to violate living-system reality.</w:t>
      </w:r>
    </w:p>
    <w:p w14:paraId="34FD82D1" w14:textId="33E705D3" w:rsidR="00D93BA7" w:rsidRDefault="00D93BA7" w:rsidP="00D231EE">
      <w:pPr>
        <w:spacing w:line="360" w:lineRule="auto"/>
        <w:rPr>
          <w:rFonts w:ascii="Baskerville Old Face" w:hAnsi="Baskerville Old Face"/>
          <w:i/>
          <w:iCs/>
        </w:rPr>
      </w:pPr>
      <w:r w:rsidRPr="00D93BA7">
        <w:rPr>
          <w:rFonts w:ascii="Baskerville Old Face" w:hAnsi="Baskerville Old Face"/>
          <w:i/>
          <w:iCs/>
        </w:rPr>
        <w:t>Cannot violate Eternity Clauses or living-system reality constraints.</w:t>
      </w:r>
    </w:p>
    <w:p w14:paraId="54BD70AA" w14:textId="051C97F0"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Token governance is not constitutional sovereignty.</w:t>
      </w:r>
    </w:p>
    <w:p w14:paraId="02980660"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Capital is not authority over life.</w:t>
      </w:r>
    </w:p>
    <w:p w14:paraId="1D393179"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AI is not government.</w:t>
      </w:r>
    </w:p>
    <w:p w14:paraId="362BA2F6" w14:textId="0F00744C" w:rsidR="00D231EE" w:rsidRPr="00B479AE" w:rsidRDefault="00D93BA7" w:rsidP="00D231EE">
      <w:pPr>
        <w:spacing w:line="360" w:lineRule="auto"/>
        <w:rPr>
          <w:rFonts w:ascii="Baskerville Old Face" w:hAnsi="Baskerville Old Face"/>
          <w:i/>
          <w:iCs/>
        </w:rPr>
      </w:pPr>
      <w:r>
        <w:rPr>
          <w:rFonts w:ascii="Baskerville Old Face" w:hAnsi="Baskerville Old Face"/>
          <w:b/>
          <w:bCs/>
          <w:i/>
          <w:iCs/>
        </w:rPr>
        <w:t>4</w:t>
      </w:r>
      <w:r w:rsidR="00D231EE" w:rsidRPr="00B479AE">
        <w:rPr>
          <w:rFonts w:ascii="Baskerville Old Face" w:hAnsi="Baskerville Old Face"/>
          <w:b/>
          <w:bCs/>
          <w:i/>
          <w:iCs/>
        </w:rPr>
        <w:t>.</w:t>
      </w:r>
      <w:r>
        <w:rPr>
          <w:rFonts w:ascii="Baskerville Old Face" w:hAnsi="Baskerville Old Face"/>
          <w:b/>
          <w:bCs/>
          <w:i/>
          <w:iCs/>
        </w:rPr>
        <w:t>5</w:t>
      </w:r>
      <w:r w:rsidR="00D231EE" w:rsidRPr="00B479AE">
        <w:rPr>
          <w:rFonts w:ascii="Baskerville Old Face" w:hAnsi="Baskerville Old Face"/>
          <w:b/>
          <w:bCs/>
          <w:i/>
          <w:iCs/>
        </w:rPr>
        <w:t xml:space="preserve"> Emergency boundary</w:t>
      </w:r>
    </w:p>
    <w:p w14:paraId="7833668E" w14:textId="13D5B66C"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Prometheus may require emergency procedures for ecological, technical, financial, governance, legal, or security risks.</w:t>
      </w:r>
      <w:r w:rsidR="006925F3" w:rsidRPr="00B479AE">
        <w:rPr>
          <w:rFonts w:ascii="Baskerville Old Face" w:hAnsi="Baskerville Old Face"/>
          <w:i/>
          <w:iCs/>
        </w:rPr>
        <w:t xml:space="preserve"> </w:t>
      </w:r>
      <w:r w:rsidRPr="00B479AE">
        <w:rPr>
          <w:rFonts w:ascii="Baskerville Old Face" w:hAnsi="Baskerville Old Face"/>
          <w:i/>
          <w:iCs/>
        </w:rPr>
        <w:t>Emergency procedures may allow temporary pauses, escalation, review, containment, rollback, or protective action.</w:t>
      </w:r>
    </w:p>
    <w:p w14:paraId="66F24D9E"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However, emergency powers must remain bounded.</w:t>
      </w:r>
    </w:p>
    <w:p w14:paraId="7898A64C"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An emergency may justify slowing the system.</w:t>
      </w:r>
    </w:p>
    <w:p w14:paraId="1330B423"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It may justify temporary restriction of execution.</w:t>
      </w:r>
    </w:p>
    <w:p w14:paraId="4E7B6660"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lastRenderedPageBreak/>
        <w:t>It may justify manual review, quarantine, incident response, or protective governance action.</w:t>
      </w:r>
    </w:p>
    <w:p w14:paraId="6F134B89"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It may not justify violating the Eternity Clauses.</w:t>
      </w:r>
    </w:p>
    <w:p w14:paraId="5245BEBB"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It may not justify weakening the constitutional source layer.</w:t>
      </w:r>
    </w:p>
    <w:p w14:paraId="58B2DE6E"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It may not justify bypassing MRV, legal review, human dignity, ecological integrity, or evidence discipline.</w:t>
      </w:r>
    </w:p>
    <w:p w14:paraId="610BFB46"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Emergency authority exists to preserve the constitution, not to suspend it.</w:t>
      </w:r>
    </w:p>
    <w:p w14:paraId="23B39A0D" w14:textId="33E57740" w:rsidR="00D231EE" w:rsidRPr="00B479AE" w:rsidRDefault="00D93BA7" w:rsidP="00D231EE">
      <w:pPr>
        <w:spacing w:line="360" w:lineRule="auto"/>
        <w:rPr>
          <w:rFonts w:ascii="Baskerville Old Face" w:hAnsi="Baskerville Old Face"/>
          <w:i/>
          <w:iCs/>
        </w:rPr>
      </w:pPr>
      <w:r>
        <w:rPr>
          <w:rFonts w:ascii="Baskerville Old Face" w:hAnsi="Baskerville Old Face"/>
          <w:b/>
          <w:bCs/>
          <w:i/>
          <w:iCs/>
        </w:rPr>
        <w:t>4.</w:t>
      </w:r>
      <w:r w:rsidR="00D231EE" w:rsidRPr="00B479AE">
        <w:rPr>
          <w:rFonts w:ascii="Baskerville Old Face" w:hAnsi="Baskerville Old Face"/>
          <w:b/>
          <w:bCs/>
          <w:i/>
          <w:iCs/>
        </w:rPr>
        <w:t>6 Final rule</w:t>
      </w:r>
    </w:p>
    <w:p w14:paraId="3C29B499"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The final rule is clear:</w:t>
      </w:r>
    </w:p>
    <w:p w14:paraId="27021D30"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ordinary governance may manage the system;</w:t>
      </w:r>
    </w:p>
    <w:p w14:paraId="1726787B"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constitutional amendment may evolve the system;</w:t>
      </w:r>
    </w:p>
    <w:p w14:paraId="39E8C972"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Eternity Clauses preserve the identity of the system;</w:t>
      </w:r>
    </w:p>
    <w:p w14:paraId="3284EE2F"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living-system reality grounds the system.</w:t>
      </w:r>
    </w:p>
    <w:p w14:paraId="30B25DC3"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Prometheus remains legitimate only while these levels remain distinct.</w:t>
      </w:r>
    </w:p>
    <w:p w14:paraId="45C3CFC4"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When ordinary governance claims constitutional power, the system risks capture.</w:t>
      </w:r>
    </w:p>
    <w:p w14:paraId="04066873"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When constitutional amendment claims power over natural law, the system risks delusion.</w:t>
      </w:r>
    </w:p>
    <w:p w14:paraId="04E1B9E1"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When tokens claim authority over life, the system risks extraction.</w:t>
      </w:r>
    </w:p>
    <w:p w14:paraId="62A4A5C2" w14:textId="77777777" w:rsidR="00D231EE" w:rsidRPr="00B479AE" w:rsidRDefault="00D231EE" w:rsidP="00D231EE">
      <w:pPr>
        <w:spacing w:line="360" w:lineRule="auto"/>
        <w:rPr>
          <w:rFonts w:ascii="Baskerville Old Face" w:hAnsi="Baskerville Old Face"/>
          <w:i/>
          <w:iCs/>
        </w:rPr>
      </w:pPr>
      <w:r w:rsidRPr="00B479AE">
        <w:rPr>
          <w:rFonts w:ascii="Baskerville Old Face" w:hAnsi="Baskerville Old Face"/>
          <w:i/>
          <w:iCs/>
        </w:rPr>
        <w:t>When intelligence claims sovereignty over the kernel, the system risks becoming what it was designed to prevent.</w:t>
      </w:r>
    </w:p>
    <w:p w14:paraId="4921FE4F" w14:textId="7D1AB715" w:rsidR="00A84C22" w:rsidRPr="00B479AE" w:rsidRDefault="00A84C22" w:rsidP="00A84C22">
      <w:pPr>
        <w:spacing w:line="360" w:lineRule="auto"/>
        <w:rPr>
          <w:rFonts w:ascii="Baskerville Old Face" w:hAnsi="Baskerville Old Face"/>
          <w:b/>
          <w:bCs/>
          <w:i/>
          <w:iCs/>
        </w:rPr>
      </w:pPr>
      <w:r w:rsidRPr="00B479AE">
        <w:rPr>
          <w:rFonts w:ascii="Baskerville Old Face" w:hAnsi="Baskerville Old Face"/>
          <w:b/>
          <w:bCs/>
          <w:i/>
          <w:iCs/>
        </w:rPr>
        <w:t>5: Prometheus Human Governance and Sociocratic Interoperability Model</w:t>
      </w:r>
    </w:p>
    <w:p w14:paraId="38260A18" w14:textId="77777777" w:rsidR="00A84C22" w:rsidRPr="00B479AE" w:rsidRDefault="00A84C22" w:rsidP="00A84C22">
      <w:pPr>
        <w:spacing w:line="360" w:lineRule="auto"/>
        <w:rPr>
          <w:rFonts w:ascii="Baskerville Old Face" w:hAnsi="Baskerville Old Face"/>
          <w:b/>
          <w:bCs/>
          <w:i/>
          <w:iCs/>
        </w:rPr>
      </w:pPr>
      <w:r w:rsidRPr="00B479AE">
        <w:rPr>
          <w:rFonts w:ascii="Baskerville Old Face" w:hAnsi="Baskerville Old Face"/>
          <w:b/>
          <w:bCs/>
          <w:i/>
          <w:iCs/>
        </w:rPr>
        <w:t>Tribes, Circles, Commons, and the Living Field</w:t>
      </w:r>
    </w:p>
    <w:p w14:paraId="265E1C0D"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Prometheus requires a human governance model capable of coordinating communities without reducing them to users, followers, token holders, voters, or data points.</w:t>
      </w:r>
    </w:p>
    <w:p w14:paraId="0366F6B1"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lastRenderedPageBreak/>
        <w:t>A regenerative intelligence infrastructure cannot rely only on code, capital, dashboards, artificial intelligence, legal documents, or measurement systems.</w:t>
      </w:r>
    </w:p>
    <w:p w14:paraId="2012A138"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also requires human communities capable of belonging, deciding, learning, disagreeing, repairing, remembering, adapting, and transmitting responsibility across generations.</w:t>
      </w:r>
    </w:p>
    <w:p w14:paraId="05BFAEAC"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For this reason, Prometheus adopts a human governance model that integrates:</w:t>
      </w:r>
    </w:p>
    <w:p w14:paraId="259CC158"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 the tribe as a movement cell;</w:t>
      </w:r>
      <w:r w:rsidRPr="00B479AE">
        <w:rPr>
          <w:rFonts w:ascii="Baskerville Old Face" w:hAnsi="Baskerville Old Face"/>
          <w:i/>
          <w:iCs/>
        </w:rPr>
        <w:br/>
        <w:t>• the sociocratic circle as a decision cell;</w:t>
      </w:r>
      <w:r w:rsidRPr="00B479AE">
        <w:rPr>
          <w:rFonts w:ascii="Baskerville Old Face" w:hAnsi="Baskerville Old Face"/>
          <w:i/>
          <w:iCs/>
        </w:rPr>
        <w:br/>
        <w:t>• the commons as a stewardship cell;</w:t>
      </w:r>
      <w:r w:rsidRPr="00B479AE">
        <w:rPr>
          <w:rFonts w:ascii="Baskerville Old Face" w:hAnsi="Baskerville Old Face"/>
          <w:i/>
          <w:iCs/>
        </w:rPr>
        <w:br/>
        <w:t>• the community of practice as a learning cell;</w:t>
      </w:r>
      <w:r w:rsidRPr="00B479AE">
        <w:rPr>
          <w:rFonts w:ascii="Baskerville Old Face" w:hAnsi="Baskerville Old Face"/>
          <w:i/>
          <w:iCs/>
        </w:rPr>
        <w:br/>
        <w:t>• psychological safety as a truth-speaking condition;</w:t>
      </w:r>
      <w:r w:rsidRPr="00B479AE">
        <w:rPr>
          <w:rFonts w:ascii="Baskerville Old Face" w:hAnsi="Baskerville Old Face"/>
          <w:i/>
          <w:iCs/>
        </w:rPr>
        <w:br/>
        <w:t>• self-determination as a motivational foundation;</w:t>
      </w:r>
      <w:r w:rsidRPr="00B479AE">
        <w:rPr>
          <w:rFonts w:ascii="Baskerville Old Face" w:hAnsi="Baskerville Old Face"/>
          <w:i/>
          <w:iCs/>
        </w:rPr>
        <w:br/>
        <w:t>• evolutionary purpose as the organizing field;</w:t>
      </w:r>
      <w:r w:rsidRPr="00B479AE">
        <w:rPr>
          <w:rFonts w:ascii="Baskerville Old Face" w:hAnsi="Baskerville Old Face"/>
          <w:i/>
          <w:iCs/>
        </w:rPr>
        <w:br/>
        <w:t>• Prometheus constitutional discipline as the non-bypassable boundary.</w:t>
      </w:r>
    </w:p>
    <w:p w14:paraId="09B2240A"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This model is not a hierarchy disguised as community.</w:t>
      </w:r>
    </w:p>
    <w:p w14:paraId="121D49A9"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is not structureless idealism.</w:t>
      </w:r>
    </w:p>
    <w:p w14:paraId="089F8A73"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is not token governance pretending to be human governance.</w:t>
      </w:r>
    </w:p>
    <w:p w14:paraId="6B8F1E23"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is a living coordination architecture.</w:t>
      </w:r>
    </w:p>
    <w:p w14:paraId="6C84260A"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Its purpose is to make communities capable of generating trust, coherence, evidence, action, learning, accountability, and regeneration without sacrificing dignity, sovereignty, or local identity.</w:t>
      </w:r>
    </w:p>
    <w:p w14:paraId="3151FC90" w14:textId="77777777" w:rsidR="00A84C22" w:rsidRPr="00B479AE" w:rsidRDefault="00A84C22" w:rsidP="00A84C22">
      <w:pPr>
        <w:spacing w:line="360" w:lineRule="auto"/>
        <w:rPr>
          <w:rFonts w:ascii="Baskerville Old Face" w:hAnsi="Baskerville Old Face"/>
          <w:b/>
          <w:bCs/>
          <w:i/>
          <w:iCs/>
        </w:rPr>
      </w:pPr>
      <w:r w:rsidRPr="00B479AE">
        <w:rPr>
          <w:rFonts w:ascii="Baskerville Old Face" w:hAnsi="Baskerville Old Face"/>
          <w:b/>
          <w:bCs/>
          <w:i/>
          <w:iCs/>
        </w:rPr>
        <w:t>Scientific and Governance Lineage</w:t>
      </w:r>
    </w:p>
    <w:p w14:paraId="3152F2E2"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Prometheus human governance model draws from several authoritative traditions.</w:t>
      </w:r>
    </w:p>
    <w:p w14:paraId="563CA862" w14:textId="42F8F26E"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Seth Godin’s concept of the tribe is central because a tribe is not merely an audience or a market segment. It is a connected group organized around meaning, belonging, shared direction, and leadership that helps members connect to one another. In interviews and summaries of Tribes, Godin emphasizes that movements grow through people who trust one another and through leaders who nurture the tribe rather than impose agendas from above. (</w:t>
      </w:r>
      <w:hyperlink r:id="rId13" w:tooltip="TED Interview: Tribes Author Says People, Not Ads, Build Social Networks" w:history="1">
        <w:r w:rsidRPr="00B479AE">
          <w:rPr>
            <w:rStyle w:val="Collegamentoipertestuale"/>
            <w:rFonts w:ascii="Baskerville Old Face" w:hAnsi="Baskerville Old Face"/>
            <w:i/>
            <w:iCs/>
          </w:rPr>
          <w:t>Wired</w:t>
        </w:r>
      </w:hyperlink>
      <w:r w:rsidRPr="00B479AE">
        <w:rPr>
          <w:rFonts w:ascii="Baskerville Old Face" w:hAnsi="Baskerville Old Face"/>
          <w:i/>
          <w:iCs/>
        </w:rPr>
        <w:t>)</w:t>
      </w:r>
    </w:p>
    <w:p w14:paraId="7014A119"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lastRenderedPageBreak/>
        <w:t>Sociocracy contributes the operating method: consent decision-making, circles, roles, feedback, and double-linking. Consent does not ask whether everyone personally prefers a proposal; it asks whether there is a reasoned objection showing that the proposal would harm the purpose or create unacceptable risk. This makes sociocracy highly compatible with Prometheus, because it allows action without suppressing dissent. (</w:t>
      </w:r>
      <w:hyperlink r:id="rId14" w:tooltip="Consent Decision Making" w:history="1">
        <w:r w:rsidRPr="00B479AE">
          <w:rPr>
            <w:rStyle w:val="Collegamentoipertestuale"/>
            <w:rFonts w:ascii="Baskerville Old Face" w:hAnsi="Baskerville Old Face"/>
            <w:i/>
            <w:iCs/>
          </w:rPr>
          <w:t>Sociocracy For All</w:t>
        </w:r>
      </w:hyperlink>
      <w:r w:rsidRPr="00B479AE">
        <w:rPr>
          <w:rFonts w:ascii="Baskerville Old Face" w:hAnsi="Baskerville Old Face"/>
          <w:i/>
          <w:iCs/>
        </w:rPr>
        <w:t>)</w:t>
      </w:r>
    </w:p>
    <w:p w14:paraId="627532B1"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Elinor Ostrom’s commons governance contributes the institutional discipline required for shared resources: clear boundaries, locally adapted rules, participation in rule-making, monitoring, graduated responses, conflict-resolution mechanisms, and nested governance. This is essential because Prometheus communities steward not only social energy, but also ecological evidence, trust, access, reputation, data, and future regenerative value. (</w:t>
      </w:r>
      <w:hyperlink r:id="rId15" w:tooltip="GOVERNING theCOMMONS" w:history="1">
        <w:r w:rsidRPr="00B479AE">
          <w:rPr>
            <w:rStyle w:val="Collegamentoipertestuale"/>
            <w:rFonts w:ascii="Baskerville Old Face" w:hAnsi="Baskerville Old Face"/>
            <w:i/>
            <w:iCs/>
          </w:rPr>
          <w:t>actu-environnement.com</w:t>
        </w:r>
      </w:hyperlink>
      <w:r w:rsidRPr="00B479AE">
        <w:rPr>
          <w:rFonts w:ascii="Baskerville Old Face" w:hAnsi="Baskerville Old Face"/>
          <w:i/>
          <w:iCs/>
        </w:rPr>
        <w:t>)</w:t>
      </w:r>
    </w:p>
    <w:p w14:paraId="45269ED2"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Etienne Wenger’s communities of practice framework contributes the learning architecture: communities become durable when people share a domain, interact regularly, learn through practice, and build identity through participation. Prometheus therefore treats communities not as passive beneficiaries, but as learning organisms. (</w:t>
      </w:r>
      <w:hyperlink r:id="rId16" w:tooltip="Introduction to communities of practice" w:history="1">
        <w:r w:rsidRPr="00B479AE">
          <w:rPr>
            <w:rStyle w:val="Collegamentoipertestuale"/>
            <w:rFonts w:ascii="Baskerville Old Face" w:hAnsi="Baskerville Old Face"/>
            <w:i/>
            <w:iCs/>
          </w:rPr>
          <w:t>wenger-trayner.com</w:t>
        </w:r>
      </w:hyperlink>
      <w:r w:rsidRPr="00B479AE">
        <w:rPr>
          <w:rFonts w:ascii="Baskerville Old Face" w:hAnsi="Baskerville Old Face"/>
          <w:i/>
          <w:iCs/>
        </w:rPr>
        <w:t>)</w:t>
      </w:r>
    </w:p>
    <w:p w14:paraId="75A7B50E"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Amy Edmondson’s psychological safety research contributes the truth-speaking condition: teams learn better when members can ask questions, report errors, challenge assumptions, and take interpersonal risks without fear. Prometheus therefore treats dissent, error-reporting, and conflict repair as governance infrastructure. (</w:t>
      </w:r>
      <w:hyperlink r:id="rId17" w:tooltip="Psychological Safety and Learning Behavior in Work Teams" w:history="1">
        <w:r w:rsidRPr="00B479AE">
          <w:rPr>
            <w:rStyle w:val="Collegamentoipertestuale"/>
            <w:rFonts w:ascii="Baskerville Old Face" w:hAnsi="Baskerville Old Face"/>
            <w:i/>
            <w:iCs/>
          </w:rPr>
          <w:t>Sage Journals</w:t>
        </w:r>
      </w:hyperlink>
      <w:r w:rsidRPr="00B479AE">
        <w:rPr>
          <w:rFonts w:ascii="Baskerville Old Face" w:hAnsi="Baskerville Old Face"/>
          <w:i/>
          <w:iCs/>
        </w:rPr>
        <w:t>)</w:t>
      </w:r>
    </w:p>
    <w:p w14:paraId="3DD9C0F7" w14:textId="31FF6D29"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Ryan and Deci’s self-determination theory contributes the motivational foundation: autonomy, competence, and relatedness are basic psychological needs associated with intrinsic motivation and wellbeing. Prometheus therefore designs participation around agency, skill development, belonging, and meaningful contribution. (</w:t>
      </w:r>
      <w:hyperlink r:id="rId18" w:tooltip="Self-Determination Theory and the Facilitation of Intrinsic ..." w:history="1">
        <w:r w:rsidRPr="00B479AE">
          <w:rPr>
            <w:rStyle w:val="Collegamentoipertestuale"/>
            <w:rFonts w:ascii="Baskerville Old Face" w:hAnsi="Baskerville Old Face"/>
            <w:i/>
            <w:iCs/>
          </w:rPr>
          <w:t>selfdeterminationtheory.org</w:t>
        </w:r>
      </w:hyperlink>
      <w:r w:rsidRPr="00B479AE">
        <w:rPr>
          <w:rFonts w:ascii="Baskerville Old Face" w:hAnsi="Baskerville Old Face"/>
          <w:i/>
          <w:iCs/>
        </w:rPr>
        <w:t>)</w:t>
      </w:r>
    </w:p>
    <w:p w14:paraId="65CC8657"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Frederic Laloux’s evolutionary-organization framework contributes self-management, wholeness, and evolutionary purpose. Prometheus adapts this insight by treating organizations and communities as living systems whose deeper purpose must be listened to rather than controlled as property. (</w:t>
      </w:r>
      <w:hyperlink r:id="rId19" w:tooltip="Evolutionary Purpose" w:history="1">
        <w:r w:rsidRPr="00B479AE">
          <w:rPr>
            <w:rStyle w:val="Collegamentoipertestuale"/>
            <w:rFonts w:ascii="Baskerville Old Face" w:hAnsi="Baskerville Old Face"/>
            <w:i/>
            <w:iCs/>
          </w:rPr>
          <w:t>reinventingorganizationswiki.com</w:t>
        </w:r>
      </w:hyperlink>
      <w:r w:rsidRPr="00B479AE">
        <w:rPr>
          <w:rFonts w:ascii="Baskerville Old Face" w:hAnsi="Baskerville Old Face"/>
          <w:i/>
          <w:iCs/>
        </w:rPr>
        <w:t>)</w:t>
      </w:r>
    </w:p>
    <w:p w14:paraId="724AA3CD"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planetary-boundaries framework contributes the ecological ceiling of governance: every human coordination system remains embedded within Earth-system processes that regulate planetary stability and resilience. Prometheus therefore treats community governance as nested inside ecological reality, not above it. (</w:t>
      </w:r>
      <w:hyperlink r:id="rId20" w:tooltip="Planetary boundaries" w:history="1">
        <w:r w:rsidRPr="00B479AE">
          <w:rPr>
            <w:rStyle w:val="Collegamentoipertestuale"/>
            <w:rFonts w:ascii="Baskerville Old Face" w:hAnsi="Baskerville Old Face"/>
            <w:i/>
            <w:iCs/>
          </w:rPr>
          <w:t>stockholmresilience.org</w:t>
        </w:r>
      </w:hyperlink>
      <w:r w:rsidRPr="00B479AE">
        <w:rPr>
          <w:rFonts w:ascii="Baskerville Old Face" w:hAnsi="Baskerville Old Face"/>
          <w:i/>
          <w:iCs/>
        </w:rPr>
        <w:t>)</w:t>
      </w:r>
    </w:p>
    <w:p w14:paraId="673340AB" w14:textId="77777777" w:rsidR="00A84C22" w:rsidRPr="00B479AE" w:rsidRDefault="00A84C22" w:rsidP="00A84C22">
      <w:pPr>
        <w:spacing w:line="360" w:lineRule="auto"/>
        <w:rPr>
          <w:rFonts w:ascii="Baskerville Old Face" w:hAnsi="Baskerville Old Face"/>
          <w:b/>
          <w:bCs/>
          <w:i/>
          <w:iCs/>
        </w:rPr>
      </w:pPr>
      <w:r w:rsidRPr="00B479AE">
        <w:rPr>
          <w:rFonts w:ascii="Baskerville Old Face" w:hAnsi="Baskerville Old Face"/>
          <w:b/>
          <w:bCs/>
          <w:i/>
          <w:iCs/>
        </w:rPr>
        <w:lastRenderedPageBreak/>
        <w:t>1. Core Principle: Distributed Authority, Visible Responsibility</w:t>
      </w:r>
    </w:p>
    <w:p w14:paraId="3444C460"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core principle of Prometheus human governance is:</w:t>
      </w:r>
    </w:p>
    <w:p w14:paraId="4D2E7210"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distributed authority, visible responsibility.</w:t>
      </w:r>
    </w:p>
    <w:p w14:paraId="09DAABD4"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Authority should circulate through roles, circles, mandates, evidence, and review.</w:t>
      </w:r>
    </w:p>
    <w:p w14:paraId="24FE9997"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Responsibility should remain traceable.</w:t>
      </w:r>
    </w:p>
    <w:p w14:paraId="56570AD3"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community becomes fragile when authority is hidden.</w:t>
      </w:r>
    </w:p>
    <w:p w14:paraId="644719BD"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community becomes rigid when authority is centralized.</w:t>
      </w:r>
    </w:p>
    <w:p w14:paraId="16B366BE"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community becomes performative when belonging replaces accountability.</w:t>
      </w:r>
    </w:p>
    <w:p w14:paraId="7B793CE5"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Prometheus therefore rejects two symmetric failures.</w:t>
      </w:r>
    </w:p>
    <w:p w14:paraId="75220E08"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first failure is authoritarian centralization: one founder, investor, administrator, expert, model, token whale, or inner circle quietly controls the field.</w:t>
      </w:r>
    </w:p>
    <w:p w14:paraId="36813807"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second failure is structureless idealism: the belief that absence of formal hierarchy automatically produces freedom.</w:t>
      </w:r>
    </w:p>
    <w:p w14:paraId="164F2668"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In practice, structurelessness often creates invisible hierarchy.</w:t>
      </w:r>
    </w:p>
    <w:p w14:paraId="758130A8"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Prometheus therefore adopts structured non-domination.</w:t>
      </w:r>
    </w:p>
    <w:p w14:paraId="783484CE"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Roles are explicit.</w:t>
      </w:r>
    </w:p>
    <w:p w14:paraId="11D7C2B5"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Mandates are time-bounded.</w:t>
      </w:r>
    </w:p>
    <w:p w14:paraId="1D555493"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Decisions are recorded.</w:t>
      </w:r>
    </w:p>
    <w:p w14:paraId="6D9A556E"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Objections are integrated.</w:t>
      </w:r>
    </w:p>
    <w:p w14:paraId="54CC487B"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Conflicts are metabolized.</w:t>
      </w:r>
    </w:p>
    <w:p w14:paraId="3C0589B3"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Memory is preserved.</w:t>
      </w:r>
    </w:p>
    <w:p w14:paraId="3B806AE6"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Power is separated.</w:t>
      </w:r>
    </w:p>
    <w:p w14:paraId="4891CF59"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lastRenderedPageBreak/>
        <w:t>Leadership is custodial.</w:t>
      </w:r>
    </w:p>
    <w:p w14:paraId="1CCC6259"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Participation creates responsibility, not entitlement.</w:t>
      </w:r>
    </w:p>
    <w:p w14:paraId="7453599F" w14:textId="77777777" w:rsidR="00A84C22" w:rsidRPr="00B479AE" w:rsidRDefault="00A84C22" w:rsidP="00A84C22">
      <w:pPr>
        <w:spacing w:line="360" w:lineRule="auto"/>
        <w:rPr>
          <w:rFonts w:ascii="Baskerville Old Face" w:hAnsi="Baskerville Old Face"/>
          <w:b/>
          <w:bCs/>
          <w:i/>
          <w:iCs/>
        </w:rPr>
      </w:pPr>
      <w:r w:rsidRPr="00B479AE">
        <w:rPr>
          <w:rFonts w:ascii="Baskerville Old Face" w:hAnsi="Baskerville Old Face"/>
          <w:b/>
          <w:bCs/>
          <w:i/>
          <w:iCs/>
        </w:rPr>
        <w:t>2. The Tribe as a Human Coordination Cell</w:t>
      </w:r>
    </w:p>
    <w:p w14:paraId="3CA2193B"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 xml:space="preserve">Prometheus may recognize the </w:t>
      </w:r>
      <w:r w:rsidRPr="00B479AE">
        <w:rPr>
          <w:rFonts w:ascii="Baskerville Old Face" w:hAnsi="Baskerville Old Face"/>
          <w:b/>
          <w:bCs/>
          <w:i/>
          <w:iCs/>
        </w:rPr>
        <w:t>Tribe</w:t>
      </w:r>
      <w:r w:rsidRPr="00B479AE">
        <w:rPr>
          <w:rFonts w:ascii="Baskerville Old Face" w:hAnsi="Baskerville Old Face"/>
          <w:i/>
          <w:iCs/>
        </w:rPr>
        <w:t xml:space="preserve"> as a human coordination cell.</w:t>
      </w:r>
    </w:p>
    <w:p w14:paraId="31AEB8A3"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Tribe is a purpose-aligned, relationally coherent, autonomous, replicable, and measurable community unit.</w:t>
      </w:r>
    </w:p>
    <w:p w14:paraId="16EE14A4"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is not a market segment.</w:t>
      </w:r>
    </w:p>
    <w:p w14:paraId="469A9FBC"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is not an audience.</w:t>
      </w:r>
    </w:p>
    <w:p w14:paraId="34EEC611"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is not a follower base.</w:t>
      </w:r>
    </w:p>
    <w:p w14:paraId="47313AB0"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is not an informal affinity group.</w:t>
      </w:r>
    </w:p>
    <w:p w14:paraId="46A55AD6"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is a living cell of human coordination.</w:t>
      </w:r>
    </w:p>
    <w:p w14:paraId="509AA8F8" w14:textId="77777777" w:rsidR="00A84C22" w:rsidRPr="005907F1" w:rsidRDefault="00A84C22" w:rsidP="00A84C22">
      <w:pPr>
        <w:spacing w:line="360" w:lineRule="auto"/>
        <w:rPr>
          <w:rFonts w:ascii="Baskerville Old Face" w:hAnsi="Baskerville Old Face"/>
          <w:i/>
          <w:iCs/>
          <w:lang w:val="it-IT"/>
        </w:rPr>
      </w:pPr>
      <w:r w:rsidRPr="00B479AE">
        <w:rPr>
          <w:rFonts w:ascii="Baskerville Old Face" w:hAnsi="Baskerville Old Face"/>
          <w:i/>
          <w:iCs/>
        </w:rPr>
        <w:t xml:space="preserve">The Tribeke model provides a concrete example of this structure: each Tribe is autonomous, replicable, aligned to a common code, and measurable without becoming bureaucratic. </w:t>
      </w:r>
      <w:r w:rsidRPr="005907F1">
        <w:rPr>
          <w:rFonts w:ascii="Baskerville Old Face" w:hAnsi="Baskerville Old Face"/>
          <w:i/>
          <w:iCs/>
          <w:lang w:val="it-IT"/>
        </w:rPr>
        <w:t>Its core roles include the Reggente Tribale, Architetto del Ritmo, Guardiano dell’Integrità, and Catalizzatore di Connessioni.</w:t>
      </w:r>
    </w:p>
    <w:p w14:paraId="58511B24"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Prometheus may learn from this model while preserving the sovereignty of each community.</w:t>
      </w:r>
    </w:p>
    <w:p w14:paraId="3A8B273E"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Tribe becomes Prometheus-compatible when it can define:</w:t>
      </w:r>
    </w:p>
    <w:p w14:paraId="076D5656"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 its purpose;</w:t>
      </w:r>
      <w:r w:rsidRPr="00B479AE">
        <w:rPr>
          <w:rFonts w:ascii="Baskerville Old Face" w:hAnsi="Baskerville Old Face"/>
          <w:i/>
          <w:iCs/>
        </w:rPr>
        <w:br/>
        <w:t>• its domain of practice;</w:t>
      </w:r>
      <w:r w:rsidRPr="00B479AE">
        <w:rPr>
          <w:rFonts w:ascii="Baskerville Old Face" w:hAnsi="Baskerville Old Face"/>
          <w:i/>
          <w:iCs/>
        </w:rPr>
        <w:br/>
        <w:t>• its membership boundaries;</w:t>
      </w:r>
      <w:r w:rsidRPr="00B479AE">
        <w:rPr>
          <w:rFonts w:ascii="Baskerville Old Face" w:hAnsi="Baskerville Old Face"/>
          <w:i/>
          <w:iCs/>
        </w:rPr>
        <w:br/>
        <w:t>• its ritual rhythm;</w:t>
      </w:r>
      <w:r w:rsidRPr="00B479AE">
        <w:rPr>
          <w:rFonts w:ascii="Baskerville Old Face" w:hAnsi="Baskerville Old Face"/>
          <w:i/>
          <w:iCs/>
        </w:rPr>
        <w:br/>
        <w:t>• its decision logic;</w:t>
      </w:r>
      <w:r w:rsidRPr="00B479AE">
        <w:rPr>
          <w:rFonts w:ascii="Baskerville Old Face" w:hAnsi="Baskerville Old Face"/>
          <w:i/>
          <w:iCs/>
        </w:rPr>
        <w:br/>
        <w:t>• its role architecture;</w:t>
      </w:r>
      <w:r w:rsidRPr="00B479AE">
        <w:rPr>
          <w:rFonts w:ascii="Baskerville Old Face" w:hAnsi="Baskerville Old Face"/>
          <w:i/>
          <w:iCs/>
        </w:rPr>
        <w:br/>
        <w:t>• its conflict pathway;</w:t>
      </w:r>
      <w:r w:rsidRPr="00B479AE">
        <w:rPr>
          <w:rFonts w:ascii="Baskerville Old Face" w:hAnsi="Baskerville Old Face"/>
          <w:i/>
          <w:iCs/>
        </w:rPr>
        <w:br/>
        <w:t>• its evidence boundary;</w:t>
      </w:r>
      <w:r w:rsidRPr="00B479AE">
        <w:rPr>
          <w:rFonts w:ascii="Baskerville Old Face" w:hAnsi="Baskerville Old Face"/>
          <w:i/>
          <w:iCs/>
        </w:rPr>
        <w:br/>
        <w:t>• its memory system;</w:t>
      </w:r>
      <w:r w:rsidRPr="00B479AE">
        <w:rPr>
          <w:rFonts w:ascii="Baskerville Old Face" w:hAnsi="Baskerville Old Face"/>
          <w:i/>
          <w:iCs/>
        </w:rPr>
        <w:br/>
      </w:r>
      <w:r w:rsidRPr="00B479AE">
        <w:rPr>
          <w:rFonts w:ascii="Baskerville Old Face" w:hAnsi="Baskerville Old Face"/>
          <w:i/>
          <w:iCs/>
        </w:rPr>
        <w:lastRenderedPageBreak/>
        <w:t>• its review cycle;</w:t>
      </w:r>
      <w:r w:rsidRPr="00B479AE">
        <w:rPr>
          <w:rFonts w:ascii="Baskerville Old Face" w:hAnsi="Baskerville Old Face"/>
          <w:i/>
          <w:iCs/>
        </w:rPr>
        <w:br/>
        <w:t>• its relationship to the Prometheus Access Covenant.</w:t>
      </w:r>
    </w:p>
    <w:p w14:paraId="0895C86F"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Tribe is healthy when it increases human dignity, trust, learning, coherence, ecological responsibility, and regenerative capacity.</w:t>
      </w:r>
    </w:p>
    <w:p w14:paraId="7536FDB9"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Tribe becomes unhealthy when it produces dependency, silence, hidden hierarchy, coercive belonging, symbolic participation, or community identity without accountability.</w:t>
      </w:r>
    </w:p>
    <w:p w14:paraId="660EC203" w14:textId="77777777" w:rsidR="00A84C22" w:rsidRPr="00B479AE" w:rsidRDefault="00A84C22" w:rsidP="00A84C22">
      <w:pPr>
        <w:spacing w:line="360" w:lineRule="auto"/>
        <w:rPr>
          <w:rFonts w:ascii="Baskerville Old Face" w:hAnsi="Baskerville Old Face"/>
          <w:b/>
          <w:bCs/>
          <w:i/>
          <w:iCs/>
        </w:rPr>
      </w:pPr>
      <w:r w:rsidRPr="00B479AE">
        <w:rPr>
          <w:rFonts w:ascii="Baskerville Old Face" w:hAnsi="Baskerville Old Face"/>
          <w:b/>
          <w:bCs/>
          <w:i/>
          <w:iCs/>
        </w:rPr>
        <w:t>3. Tribe Role Translation Layer</w:t>
      </w:r>
    </w:p>
    <w:p w14:paraId="5F35E845"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Different communities may use different names for their roles.</w:t>
      </w:r>
    </w:p>
    <w:p w14:paraId="321C9095"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Prometheus does not require communities to rename themselves.</w:t>
      </w:r>
    </w:p>
    <w:p w14:paraId="0CE38517"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requires that Prometheus-facing functions be legible, bounded, and accountable.</w:t>
      </w:r>
    </w:p>
    <w:p w14:paraId="0F75787C" w14:textId="33A29061" w:rsidR="00A84C22" w:rsidRDefault="00A84C22" w:rsidP="00A84C22">
      <w:pPr>
        <w:spacing w:line="360" w:lineRule="auto"/>
        <w:rPr>
          <w:rFonts w:ascii="Baskerville Old Face" w:hAnsi="Baskerville Old Face"/>
          <w:i/>
          <w:iCs/>
        </w:rPr>
      </w:pPr>
      <w:r w:rsidRPr="00B479AE">
        <w:rPr>
          <w:rFonts w:ascii="Baskerville Old Face" w:hAnsi="Baskerville Old Face"/>
          <w:i/>
          <w:iCs/>
        </w:rPr>
        <w:t>In the Tribeke model, the role translation layer may be expressed as follows:</w:t>
      </w:r>
      <w:r w:rsidR="008B3117">
        <w:rPr>
          <w:rFonts w:ascii="Baskerville Old Face" w:hAnsi="Baskerville Old Face"/>
          <w:i/>
          <w:iCs/>
        </w:rPr>
        <w:t xml:space="preserve"> </w:t>
      </w:r>
    </w:p>
    <w:p w14:paraId="549AFE54" w14:textId="77777777" w:rsidR="00052FE3" w:rsidRDefault="00052FE3" w:rsidP="00A84C22">
      <w:pPr>
        <w:spacing w:line="360" w:lineRule="auto"/>
        <w:rPr>
          <w:rFonts w:ascii="Baskerville Old Face" w:hAnsi="Baskerville Old Face"/>
          <w:i/>
          <w:iCs/>
        </w:rPr>
      </w:pPr>
    </w:p>
    <w:p w14:paraId="1A854C53" w14:textId="77777777" w:rsidR="00052FE3" w:rsidRDefault="00052FE3" w:rsidP="00A84C22">
      <w:pPr>
        <w:spacing w:line="360" w:lineRule="auto"/>
        <w:rPr>
          <w:rFonts w:ascii="Baskerville Old Face" w:hAnsi="Baskerville Old Face"/>
          <w:i/>
          <w:iCs/>
        </w:rPr>
      </w:pPr>
    </w:p>
    <w:p w14:paraId="1EB8EF9A" w14:textId="77777777" w:rsidR="00052FE3" w:rsidRDefault="00052FE3" w:rsidP="00A84C22">
      <w:pPr>
        <w:spacing w:line="360" w:lineRule="auto"/>
        <w:rPr>
          <w:rFonts w:ascii="Baskerville Old Face" w:hAnsi="Baskerville Old Face"/>
          <w:i/>
          <w:iCs/>
        </w:rPr>
      </w:pPr>
    </w:p>
    <w:p w14:paraId="416C3A77" w14:textId="77777777" w:rsidR="00052FE3" w:rsidRDefault="00052FE3" w:rsidP="00A84C22">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5"/>
        <w:gridCol w:w="4004"/>
        <w:gridCol w:w="4359"/>
      </w:tblGrid>
      <w:tr w:rsidR="00A84C22" w:rsidRPr="00CE0E3A" w14:paraId="02F4E3E2" w14:textId="77777777" w:rsidTr="00A84C22">
        <w:trPr>
          <w:tblHeader/>
          <w:tblCellSpacing w:w="15" w:type="dxa"/>
        </w:trPr>
        <w:tc>
          <w:tcPr>
            <w:tcW w:w="0" w:type="auto"/>
            <w:vAlign w:val="center"/>
            <w:hideMark/>
          </w:tcPr>
          <w:p w14:paraId="7DC234B4" w14:textId="178AA72C" w:rsidR="00A84C22" w:rsidRPr="00CE0E3A" w:rsidRDefault="00A84C22" w:rsidP="00A84C22">
            <w:pPr>
              <w:spacing w:line="360" w:lineRule="auto"/>
              <w:rPr>
                <w:rFonts w:ascii="Baskerville Old Face" w:hAnsi="Baskerville Old Face"/>
                <w:b/>
                <w:bCs/>
                <w:i/>
                <w:iCs/>
                <w:sz w:val="20"/>
                <w:szCs w:val="20"/>
              </w:rPr>
            </w:pPr>
            <w:r w:rsidRPr="00CE0E3A">
              <w:rPr>
                <w:rFonts w:ascii="Baskerville Old Face" w:hAnsi="Baskerville Old Face"/>
                <w:b/>
                <w:bCs/>
                <w:i/>
                <w:iCs/>
                <w:sz w:val="20"/>
                <w:szCs w:val="20"/>
              </w:rPr>
              <w:t>Tribeke role</w:t>
            </w:r>
          </w:p>
        </w:tc>
        <w:tc>
          <w:tcPr>
            <w:tcW w:w="0" w:type="auto"/>
            <w:vAlign w:val="center"/>
            <w:hideMark/>
          </w:tcPr>
          <w:p w14:paraId="1E6CDA39" w14:textId="77777777" w:rsidR="00A84C22" w:rsidRPr="00CE0E3A" w:rsidRDefault="00A84C22" w:rsidP="00A84C22">
            <w:pPr>
              <w:spacing w:line="360" w:lineRule="auto"/>
              <w:rPr>
                <w:rFonts w:ascii="Baskerville Old Face" w:hAnsi="Baskerville Old Face"/>
                <w:b/>
                <w:bCs/>
                <w:i/>
                <w:iCs/>
                <w:sz w:val="20"/>
                <w:szCs w:val="20"/>
              </w:rPr>
            </w:pPr>
            <w:r w:rsidRPr="00CE0E3A">
              <w:rPr>
                <w:rFonts w:ascii="Baskerville Old Face" w:hAnsi="Baskerville Old Face"/>
                <w:b/>
                <w:bCs/>
                <w:i/>
                <w:iCs/>
                <w:sz w:val="20"/>
                <w:szCs w:val="20"/>
              </w:rPr>
              <w:t>Prometheus-facing function</w:t>
            </w:r>
          </w:p>
        </w:tc>
        <w:tc>
          <w:tcPr>
            <w:tcW w:w="0" w:type="auto"/>
            <w:vAlign w:val="center"/>
            <w:hideMark/>
          </w:tcPr>
          <w:p w14:paraId="50FC87DC" w14:textId="77777777" w:rsidR="00A84C22" w:rsidRPr="00CE0E3A" w:rsidRDefault="00A84C22" w:rsidP="00A84C22">
            <w:pPr>
              <w:spacing w:line="360" w:lineRule="auto"/>
              <w:rPr>
                <w:rFonts w:ascii="Baskerville Old Face" w:hAnsi="Baskerville Old Face"/>
                <w:b/>
                <w:bCs/>
                <w:i/>
                <w:iCs/>
                <w:sz w:val="20"/>
                <w:szCs w:val="20"/>
              </w:rPr>
            </w:pPr>
            <w:r w:rsidRPr="00CE0E3A">
              <w:rPr>
                <w:rFonts w:ascii="Baskerville Old Face" w:hAnsi="Baskerville Old Face"/>
                <w:b/>
                <w:bCs/>
                <w:i/>
                <w:iCs/>
                <w:sz w:val="20"/>
                <w:szCs w:val="20"/>
              </w:rPr>
              <w:t>Boundary</w:t>
            </w:r>
          </w:p>
        </w:tc>
      </w:tr>
      <w:tr w:rsidR="00A84C22" w:rsidRPr="00CE0E3A" w14:paraId="0A4F78E5" w14:textId="77777777" w:rsidTr="00A84C22">
        <w:trPr>
          <w:tblCellSpacing w:w="15" w:type="dxa"/>
        </w:trPr>
        <w:tc>
          <w:tcPr>
            <w:tcW w:w="0" w:type="auto"/>
            <w:vAlign w:val="center"/>
            <w:hideMark/>
          </w:tcPr>
          <w:p w14:paraId="5FB02498" w14:textId="77777777" w:rsidR="00A84C22" w:rsidRPr="00CE0E3A" w:rsidRDefault="00A84C22" w:rsidP="00A84C22">
            <w:pPr>
              <w:spacing w:line="360" w:lineRule="auto"/>
              <w:rPr>
                <w:rFonts w:ascii="Baskerville Old Face" w:hAnsi="Baskerville Old Face"/>
                <w:i/>
                <w:iCs/>
                <w:sz w:val="20"/>
                <w:szCs w:val="20"/>
              </w:rPr>
            </w:pPr>
            <w:r w:rsidRPr="00CE0E3A">
              <w:rPr>
                <w:rFonts w:ascii="Baskerville Old Face" w:hAnsi="Baskerville Old Face"/>
                <w:b/>
                <w:bCs/>
                <w:i/>
                <w:iCs/>
                <w:sz w:val="20"/>
                <w:szCs w:val="20"/>
              </w:rPr>
              <w:t>Tribal Regent</w:t>
            </w:r>
          </w:p>
        </w:tc>
        <w:tc>
          <w:tcPr>
            <w:tcW w:w="0" w:type="auto"/>
            <w:vAlign w:val="center"/>
            <w:hideMark/>
          </w:tcPr>
          <w:p w14:paraId="0378BDAB" w14:textId="77777777" w:rsidR="00A84C22" w:rsidRPr="00CE0E3A" w:rsidRDefault="00A84C22" w:rsidP="00A84C22">
            <w:pPr>
              <w:spacing w:line="360" w:lineRule="auto"/>
              <w:rPr>
                <w:rFonts w:ascii="Baskerville Old Face" w:hAnsi="Baskerville Old Face"/>
                <w:i/>
                <w:iCs/>
                <w:sz w:val="20"/>
                <w:szCs w:val="20"/>
              </w:rPr>
            </w:pPr>
            <w:r w:rsidRPr="00CE0E3A">
              <w:rPr>
                <w:rFonts w:ascii="Baskerville Old Face" w:hAnsi="Baskerville Old Face"/>
                <w:i/>
                <w:iCs/>
                <w:sz w:val="20"/>
                <w:szCs w:val="20"/>
              </w:rPr>
              <w:t>Purpose and alignment interface; protects why the Tribe exists and keeps collaboration aligned with its mission.</w:t>
            </w:r>
          </w:p>
        </w:tc>
        <w:tc>
          <w:tcPr>
            <w:tcW w:w="0" w:type="auto"/>
            <w:vAlign w:val="center"/>
            <w:hideMark/>
          </w:tcPr>
          <w:p w14:paraId="4A11073D" w14:textId="77777777" w:rsidR="00A84C22" w:rsidRPr="00CE0E3A" w:rsidRDefault="00A84C22" w:rsidP="00A84C22">
            <w:pPr>
              <w:spacing w:line="360" w:lineRule="auto"/>
              <w:rPr>
                <w:rFonts w:ascii="Baskerville Old Face" w:hAnsi="Baskerville Old Face"/>
                <w:i/>
                <w:iCs/>
                <w:sz w:val="20"/>
                <w:szCs w:val="20"/>
              </w:rPr>
            </w:pPr>
            <w:r w:rsidRPr="00CE0E3A">
              <w:rPr>
                <w:rFonts w:ascii="Baskerville Old Face" w:hAnsi="Baskerville Old Face"/>
                <w:i/>
                <w:iCs/>
                <w:sz w:val="20"/>
                <w:szCs w:val="20"/>
              </w:rPr>
              <w:t>Does not become Prometheus authority and does not override MRV, legal review, or constitutional constraints.</w:t>
            </w:r>
          </w:p>
        </w:tc>
      </w:tr>
      <w:tr w:rsidR="00A84C22" w:rsidRPr="00CE0E3A" w14:paraId="21B7991F" w14:textId="77777777" w:rsidTr="00A84C22">
        <w:trPr>
          <w:tblCellSpacing w:w="15" w:type="dxa"/>
        </w:trPr>
        <w:tc>
          <w:tcPr>
            <w:tcW w:w="0" w:type="auto"/>
            <w:vAlign w:val="center"/>
            <w:hideMark/>
          </w:tcPr>
          <w:p w14:paraId="40492F62" w14:textId="77777777" w:rsidR="00A84C22" w:rsidRPr="00CE0E3A" w:rsidRDefault="00A84C22" w:rsidP="00A84C22">
            <w:pPr>
              <w:spacing w:line="360" w:lineRule="auto"/>
              <w:rPr>
                <w:rFonts w:ascii="Baskerville Old Face" w:hAnsi="Baskerville Old Face"/>
                <w:i/>
                <w:iCs/>
                <w:sz w:val="20"/>
                <w:szCs w:val="20"/>
              </w:rPr>
            </w:pPr>
            <w:r w:rsidRPr="00CE0E3A">
              <w:rPr>
                <w:rFonts w:ascii="Baskerville Old Face" w:hAnsi="Baskerville Old Face"/>
                <w:b/>
                <w:bCs/>
                <w:i/>
                <w:iCs/>
                <w:sz w:val="20"/>
                <w:szCs w:val="20"/>
              </w:rPr>
              <w:t>Rhythm Architect</w:t>
            </w:r>
          </w:p>
        </w:tc>
        <w:tc>
          <w:tcPr>
            <w:tcW w:w="0" w:type="auto"/>
            <w:vAlign w:val="center"/>
            <w:hideMark/>
          </w:tcPr>
          <w:p w14:paraId="52AB8D01" w14:textId="77777777" w:rsidR="00A84C22" w:rsidRPr="00CE0E3A" w:rsidRDefault="00A84C22" w:rsidP="00A84C22">
            <w:pPr>
              <w:spacing w:line="360" w:lineRule="auto"/>
              <w:rPr>
                <w:rFonts w:ascii="Baskerville Old Face" w:hAnsi="Baskerville Old Face"/>
                <w:i/>
                <w:iCs/>
                <w:sz w:val="20"/>
                <w:szCs w:val="20"/>
              </w:rPr>
            </w:pPr>
            <w:r w:rsidRPr="00CE0E3A">
              <w:rPr>
                <w:rFonts w:ascii="Baskerville Old Face" w:hAnsi="Baskerville Old Face"/>
                <w:i/>
                <w:iCs/>
                <w:sz w:val="20"/>
                <w:szCs w:val="20"/>
              </w:rPr>
              <w:t>Maintains cadence, continuity, meeting rhythm, participation flow, and follow-up discipline.</w:t>
            </w:r>
          </w:p>
        </w:tc>
        <w:tc>
          <w:tcPr>
            <w:tcW w:w="0" w:type="auto"/>
            <w:vAlign w:val="center"/>
            <w:hideMark/>
          </w:tcPr>
          <w:p w14:paraId="1A4D475E" w14:textId="77777777" w:rsidR="00A84C22" w:rsidRPr="00CE0E3A" w:rsidRDefault="00A84C22" w:rsidP="00A84C22">
            <w:pPr>
              <w:spacing w:line="360" w:lineRule="auto"/>
              <w:rPr>
                <w:rFonts w:ascii="Baskerville Old Face" w:hAnsi="Baskerville Old Face"/>
                <w:i/>
                <w:iCs/>
                <w:sz w:val="20"/>
                <w:szCs w:val="20"/>
              </w:rPr>
            </w:pPr>
            <w:r w:rsidRPr="00CE0E3A">
              <w:rPr>
                <w:rFonts w:ascii="Baskerville Old Face" w:hAnsi="Baskerville Old Face"/>
                <w:i/>
                <w:iCs/>
                <w:sz w:val="20"/>
                <w:szCs w:val="20"/>
              </w:rPr>
              <w:t>Does not control Prometheus execution gates, capital-readiness status, or resource allocation.</w:t>
            </w:r>
          </w:p>
        </w:tc>
      </w:tr>
      <w:tr w:rsidR="00A84C22" w:rsidRPr="00CE0E3A" w14:paraId="022DBB85" w14:textId="77777777" w:rsidTr="00A84C22">
        <w:trPr>
          <w:tblCellSpacing w:w="15" w:type="dxa"/>
        </w:trPr>
        <w:tc>
          <w:tcPr>
            <w:tcW w:w="0" w:type="auto"/>
            <w:vAlign w:val="center"/>
            <w:hideMark/>
          </w:tcPr>
          <w:p w14:paraId="33932FF1" w14:textId="77777777" w:rsidR="00A84C22" w:rsidRPr="00CE0E3A" w:rsidRDefault="00A84C22" w:rsidP="00A84C22">
            <w:pPr>
              <w:spacing w:line="360" w:lineRule="auto"/>
              <w:rPr>
                <w:rFonts w:ascii="Baskerville Old Face" w:hAnsi="Baskerville Old Face"/>
                <w:i/>
                <w:iCs/>
                <w:sz w:val="20"/>
                <w:szCs w:val="20"/>
              </w:rPr>
            </w:pPr>
            <w:r w:rsidRPr="00CE0E3A">
              <w:rPr>
                <w:rFonts w:ascii="Baskerville Old Face" w:hAnsi="Baskerville Old Face"/>
                <w:b/>
                <w:bCs/>
                <w:i/>
                <w:iCs/>
                <w:sz w:val="20"/>
                <w:szCs w:val="20"/>
              </w:rPr>
              <w:t>Integrity Guardian</w:t>
            </w:r>
          </w:p>
        </w:tc>
        <w:tc>
          <w:tcPr>
            <w:tcW w:w="0" w:type="auto"/>
            <w:vAlign w:val="center"/>
            <w:hideMark/>
          </w:tcPr>
          <w:p w14:paraId="30A2EEE4" w14:textId="77777777" w:rsidR="00A84C22" w:rsidRPr="00CE0E3A" w:rsidRDefault="00A84C22" w:rsidP="00A84C22">
            <w:pPr>
              <w:spacing w:line="360" w:lineRule="auto"/>
              <w:rPr>
                <w:rFonts w:ascii="Baskerville Old Face" w:hAnsi="Baskerville Old Face"/>
                <w:i/>
                <w:iCs/>
                <w:sz w:val="20"/>
                <w:szCs w:val="20"/>
              </w:rPr>
            </w:pPr>
            <w:r w:rsidRPr="00CE0E3A">
              <w:rPr>
                <w:rFonts w:ascii="Baskerville Old Face" w:hAnsi="Baskerville Old Face"/>
                <w:i/>
                <w:iCs/>
                <w:sz w:val="20"/>
                <w:szCs w:val="20"/>
              </w:rPr>
              <w:t>Protects community integrity, ritual coherence, rules, participation quality, and behavioral accountability.</w:t>
            </w:r>
          </w:p>
        </w:tc>
        <w:tc>
          <w:tcPr>
            <w:tcW w:w="0" w:type="auto"/>
            <w:vAlign w:val="center"/>
            <w:hideMark/>
          </w:tcPr>
          <w:p w14:paraId="75B37F76" w14:textId="77777777" w:rsidR="00A84C22" w:rsidRPr="00CE0E3A" w:rsidRDefault="00A84C22" w:rsidP="00A84C22">
            <w:pPr>
              <w:spacing w:line="360" w:lineRule="auto"/>
              <w:rPr>
                <w:rFonts w:ascii="Baskerville Old Face" w:hAnsi="Baskerville Old Face"/>
                <w:i/>
                <w:iCs/>
                <w:sz w:val="20"/>
                <w:szCs w:val="20"/>
              </w:rPr>
            </w:pPr>
            <w:r w:rsidRPr="00CE0E3A">
              <w:rPr>
                <w:rFonts w:ascii="Baskerville Old Face" w:hAnsi="Baskerville Old Face"/>
                <w:i/>
                <w:iCs/>
                <w:sz w:val="20"/>
                <w:szCs w:val="20"/>
              </w:rPr>
              <w:t>Does not replace Prometheus risk, compliance, MRV, legal, or constitutional review.</w:t>
            </w:r>
          </w:p>
        </w:tc>
      </w:tr>
      <w:tr w:rsidR="00A84C22" w:rsidRPr="00CE0E3A" w14:paraId="0DBEA801" w14:textId="77777777" w:rsidTr="00A84C22">
        <w:trPr>
          <w:tblCellSpacing w:w="15" w:type="dxa"/>
        </w:trPr>
        <w:tc>
          <w:tcPr>
            <w:tcW w:w="0" w:type="auto"/>
            <w:vAlign w:val="center"/>
            <w:hideMark/>
          </w:tcPr>
          <w:p w14:paraId="4C8F05A9" w14:textId="77777777" w:rsidR="00A84C22" w:rsidRPr="00CE0E3A" w:rsidRDefault="00A84C22" w:rsidP="00A84C22">
            <w:pPr>
              <w:spacing w:line="360" w:lineRule="auto"/>
              <w:rPr>
                <w:rFonts w:ascii="Baskerville Old Face" w:hAnsi="Baskerville Old Face"/>
                <w:i/>
                <w:iCs/>
                <w:sz w:val="20"/>
                <w:szCs w:val="20"/>
              </w:rPr>
            </w:pPr>
            <w:r w:rsidRPr="00CE0E3A">
              <w:rPr>
                <w:rFonts w:ascii="Baskerville Old Face" w:hAnsi="Baskerville Old Face"/>
                <w:b/>
                <w:bCs/>
                <w:i/>
                <w:iCs/>
                <w:sz w:val="20"/>
                <w:szCs w:val="20"/>
              </w:rPr>
              <w:lastRenderedPageBreak/>
              <w:t>Connection Catalyst</w:t>
            </w:r>
          </w:p>
        </w:tc>
        <w:tc>
          <w:tcPr>
            <w:tcW w:w="0" w:type="auto"/>
            <w:vAlign w:val="center"/>
            <w:hideMark/>
          </w:tcPr>
          <w:p w14:paraId="25D903B5" w14:textId="77777777" w:rsidR="00A84C22" w:rsidRPr="00CE0E3A" w:rsidRDefault="00A84C22" w:rsidP="00A84C22">
            <w:pPr>
              <w:spacing w:line="360" w:lineRule="auto"/>
              <w:rPr>
                <w:rFonts w:ascii="Baskerville Old Face" w:hAnsi="Baskerville Old Face"/>
                <w:i/>
                <w:iCs/>
                <w:sz w:val="20"/>
                <w:szCs w:val="20"/>
              </w:rPr>
            </w:pPr>
            <w:r w:rsidRPr="00CE0E3A">
              <w:rPr>
                <w:rFonts w:ascii="Baskerville Old Face" w:hAnsi="Baskerville Old Face"/>
                <w:i/>
                <w:iCs/>
                <w:sz w:val="20"/>
                <w:szCs w:val="20"/>
              </w:rPr>
              <w:t>Activates relationships, onboarding, 1:1 connections, partnerships, collaboration flows, and social trust.</w:t>
            </w:r>
          </w:p>
        </w:tc>
        <w:tc>
          <w:tcPr>
            <w:tcW w:w="0" w:type="auto"/>
            <w:vAlign w:val="center"/>
            <w:hideMark/>
          </w:tcPr>
          <w:p w14:paraId="116FEC08" w14:textId="77777777" w:rsidR="00A84C22" w:rsidRPr="00CE0E3A" w:rsidRDefault="00A84C22" w:rsidP="00A84C22">
            <w:pPr>
              <w:spacing w:line="360" w:lineRule="auto"/>
              <w:rPr>
                <w:rFonts w:ascii="Baskerville Old Face" w:hAnsi="Baskerville Old Face"/>
                <w:i/>
                <w:iCs/>
                <w:sz w:val="20"/>
                <w:szCs w:val="20"/>
              </w:rPr>
            </w:pPr>
            <w:r w:rsidRPr="00CE0E3A">
              <w:rPr>
                <w:rFonts w:ascii="Baskerville Old Face" w:hAnsi="Baskerville Old Face"/>
                <w:i/>
                <w:iCs/>
                <w:sz w:val="20"/>
                <w:szCs w:val="20"/>
              </w:rPr>
              <w:t>Does not create automatic access rights, token entitlements, investor rights, PRU value, or Prometheus governance authority.</w:t>
            </w:r>
          </w:p>
        </w:tc>
      </w:tr>
    </w:tbl>
    <w:p w14:paraId="3E236B9F" w14:textId="1DF0549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This translation layer allows the Tribe to remain itself while becoming interoperable with Prometheus.</w:t>
      </w:r>
      <w:r w:rsidR="00052FE3">
        <w:rPr>
          <w:rFonts w:ascii="Baskerville Old Face" w:hAnsi="Baskerville Old Face"/>
          <w:i/>
          <w:iCs/>
        </w:rPr>
        <w:t xml:space="preserve"> </w:t>
      </w:r>
      <w:r w:rsidRPr="00B479AE">
        <w:rPr>
          <w:rFonts w:ascii="Baskerville Old Face" w:hAnsi="Baskerville Old Face"/>
          <w:i/>
          <w:iCs/>
        </w:rPr>
        <w:t>It protects both dimensions:</w:t>
      </w:r>
    </w:p>
    <w:p w14:paraId="6FE476B8"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community identity and constitutional discipline.</w:t>
      </w:r>
    </w:p>
    <w:p w14:paraId="0CA9DBDE" w14:textId="77777777" w:rsidR="00A84C22" w:rsidRPr="00B479AE" w:rsidRDefault="00A84C22" w:rsidP="00A84C22">
      <w:pPr>
        <w:spacing w:line="360" w:lineRule="auto"/>
        <w:rPr>
          <w:rFonts w:ascii="Baskerville Old Face" w:hAnsi="Baskerville Old Face"/>
          <w:b/>
          <w:bCs/>
          <w:i/>
          <w:iCs/>
        </w:rPr>
      </w:pPr>
      <w:r w:rsidRPr="00B479AE">
        <w:rPr>
          <w:rFonts w:ascii="Baskerville Old Face" w:hAnsi="Baskerville Old Face"/>
          <w:b/>
          <w:bCs/>
          <w:i/>
          <w:iCs/>
        </w:rPr>
        <w:t>4. Sociocratic Decision Architecture</w:t>
      </w:r>
    </w:p>
    <w:p w14:paraId="6B648F24"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Prometheus adopts sociocratic consent as the default method for ordinary community governance.</w:t>
      </w:r>
    </w:p>
    <w:p w14:paraId="0BD43A76"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Consent is not unanimity of preference.</w:t>
      </w:r>
    </w:p>
    <w:p w14:paraId="67D3875F"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Consent means the absence of a reasoned objection.</w:t>
      </w:r>
    </w:p>
    <w:p w14:paraId="38FD44CB"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reasoned objection is not a personal dislike.</w:t>
      </w:r>
    </w:p>
    <w:p w14:paraId="5A72D4D2" w14:textId="58F0AE40"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is information that a proposal may harm the purpose, violate a constraint, transfer risk, exceed capacity, weaken trust, ignore evidence, or create incoherence.</w:t>
      </w:r>
      <w:r w:rsidR="00052FE3">
        <w:rPr>
          <w:rFonts w:ascii="Baskerville Old Face" w:hAnsi="Baskerville Old Face"/>
          <w:i/>
          <w:iCs/>
        </w:rPr>
        <w:t xml:space="preserve"> </w:t>
      </w:r>
      <w:r w:rsidRPr="00B479AE">
        <w:rPr>
          <w:rFonts w:ascii="Baskerville Old Face" w:hAnsi="Baskerville Old Face"/>
          <w:i/>
          <w:iCs/>
        </w:rPr>
        <w:t>The consent sequence is:</w:t>
      </w:r>
    </w:p>
    <w:p w14:paraId="025B6245"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proposal;</w:t>
      </w:r>
      <w:r w:rsidRPr="00B479AE">
        <w:rPr>
          <w:rFonts w:ascii="Baskerville Old Face" w:hAnsi="Baskerville Old Face"/>
          <w:i/>
          <w:iCs/>
        </w:rPr>
        <w:br/>
        <w:t>clarifying questions;</w:t>
      </w:r>
      <w:r w:rsidRPr="00B479AE">
        <w:rPr>
          <w:rFonts w:ascii="Baskerville Old Face" w:hAnsi="Baskerville Old Face"/>
          <w:i/>
          <w:iCs/>
        </w:rPr>
        <w:br/>
        <w:t>reaction round;</w:t>
      </w:r>
      <w:r w:rsidRPr="00B479AE">
        <w:rPr>
          <w:rFonts w:ascii="Baskerville Old Face" w:hAnsi="Baskerville Old Face"/>
          <w:i/>
          <w:iCs/>
        </w:rPr>
        <w:br/>
        <w:t>amendment;</w:t>
      </w:r>
      <w:r w:rsidRPr="00B479AE">
        <w:rPr>
          <w:rFonts w:ascii="Baskerville Old Face" w:hAnsi="Baskerville Old Face"/>
          <w:i/>
          <w:iCs/>
        </w:rPr>
        <w:br/>
        <w:t>objection round;</w:t>
      </w:r>
      <w:r w:rsidRPr="00B479AE">
        <w:rPr>
          <w:rFonts w:ascii="Baskerville Old Face" w:hAnsi="Baskerville Old Face"/>
          <w:i/>
          <w:iCs/>
        </w:rPr>
        <w:br/>
        <w:t>integration of objections;</w:t>
      </w:r>
      <w:r w:rsidRPr="00B479AE">
        <w:rPr>
          <w:rFonts w:ascii="Baskerville Old Face" w:hAnsi="Baskerville Old Face"/>
          <w:i/>
          <w:iCs/>
        </w:rPr>
        <w:br/>
        <w:t>consent decision;</w:t>
      </w:r>
      <w:r w:rsidRPr="00B479AE">
        <w:rPr>
          <w:rFonts w:ascii="Baskerville Old Face" w:hAnsi="Baskerville Old Face"/>
          <w:i/>
          <w:iCs/>
        </w:rPr>
        <w:br/>
        <w:t>role assignment;</w:t>
      </w:r>
      <w:r w:rsidRPr="00B479AE">
        <w:rPr>
          <w:rFonts w:ascii="Baskerville Old Face" w:hAnsi="Baskerville Old Face"/>
          <w:i/>
          <w:iCs/>
        </w:rPr>
        <w:br/>
        <w:t>review date.</w:t>
      </w:r>
    </w:p>
    <w:p w14:paraId="06D5ACB7"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This makes decision-making light enough to move and structured enough to learn.</w:t>
      </w:r>
    </w:p>
    <w:p w14:paraId="4E4F8C13"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Prometheus uses consent because it fits regenerative reality.</w:t>
      </w:r>
    </w:p>
    <w:p w14:paraId="5CBD8A16"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Living systems do not wait for perfect certainty.</w:t>
      </w:r>
    </w:p>
    <w:p w14:paraId="6E674CB3"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lastRenderedPageBreak/>
        <w:t>They move through safe-to-try adaptation.</w:t>
      </w:r>
    </w:p>
    <w:p w14:paraId="0BF65FA6"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consent decision should therefore be:</w:t>
      </w:r>
    </w:p>
    <w:p w14:paraId="05C01716"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 clear enough to act;</w:t>
      </w:r>
      <w:r w:rsidRPr="00B479AE">
        <w:rPr>
          <w:rFonts w:ascii="Baskerville Old Face" w:hAnsi="Baskerville Old Face"/>
          <w:i/>
          <w:iCs/>
        </w:rPr>
        <w:br/>
        <w:t>• safe enough to try;</w:t>
      </w:r>
      <w:r w:rsidRPr="00B479AE">
        <w:rPr>
          <w:rFonts w:ascii="Baskerville Old Face" w:hAnsi="Baskerville Old Face"/>
          <w:i/>
          <w:iCs/>
        </w:rPr>
        <w:br/>
        <w:t>• bounded enough to review;</w:t>
      </w:r>
      <w:r w:rsidRPr="00B479AE">
        <w:rPr>
          <w:rFonts w:ascii="Baskerville Old Face" w:hAnsi="Baskerville Old Face"/>
          <w:i/>
          <w:iCs/>
        </w:rPr>
        <w:br/>
        <w:t>• reversible where uncertainty is high;</w:t>
      </w:r>
      <w:r w:rsidRPr="00B479AE">
        <w:rPr>
          <w:rFonts w:ascii="Baskerville Old Face" w:hAnsi="Baskerville Old Face"/>
          <w:i/>
          <w:iCs/>
        </w:rPr>
        <w:br/>
        <w:t>• documented enough to learn.</w:t>
      </w:r>
    </w:p>
    <w:p w14:paraId="4AC9BF78" w14:textId="77777777" w:rsidR="00A84C22" w:rsidRPr="00B479AE" w:rsidRDefault="00A84C22" w:rsidP="00A84C22">
      <w:pPr>
        <w:spacing w:line="360" w:lineRule="auto"/>
        <w:rPr>
          <w:rFonts w:ascii="Baskerville Old Face" w:hAnsi="Baskerville Old Face"/>
          <w:b/>
          <w:bCs/>
          <w:i/>
          <w:iCs/>
        </w:rPr>
      </w:pPr>
      <w:r w:rsidRPr="00B479AE">
        <w:rPr>
          <w:rFonts w:ascii="Baskerville Old Face" w:hAnsi="Baskerville Old Face"/>
          <w:b/>
          <w:bCs/>
          <w:i/>
          <w:iCs/>
        </w:rPr>
        <w:t>5. Four Decision Levels</w:t>
      </w:r>
    </w:p>
    <w:p w14:paraId="0136AF32" w14:textId="77777777" w:rsidR="00CE3DCB" w:rsidRDefault="00A84C22" w:rsidP="00A84C22">
      <w:pPr>
        <w:spacing w:line="360" w:lineRule="auto"/>
        <w:rPr>
          <w:rFonts w:ascii="Baskerville Old Face" w:hAnsi="Baskerville Old Face"/>
          <w:i/>
          <w:iCs/>
        </w:rPr>
      </w:pPr>
      <w:r w:rsidRPr="00B479AE">
        <w:rPr>
          <w:rFonts w:ascii="Baskerville Old Face" w:hAnsi="Baskerville Old Face"/>
          <w:i/>
          <w:iCs/>
        </w:rPr>
        <w:t>Prometheus distinguishes four levels of decision.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1"/>
        <w:gridCol w:w="1753"/>
        <w:gridCol w:w="3576"/>
        <w:gridCol w:w="2858"/>
      </w:tblGrid>
      <w:tr w:rsidR="00A84C22" w:rsidRPr="00B479AE" w14:paraId="240D6F66" w14:textId="77777777" w:rsidTr="007C5DB8">
        <w:trPr>
          <w:tblHeader/>
          <w:tblCellSpacing w:w="15" w:type="dxa"/>
        </w:trPr>
        <w:tc>
          <w:tcPr>
            <w:tcW w:w="0" w:type="auto"/>
            <w:vAlign w:val="center"/>
            <w:hideMark/>
          </w:tcPr>
          <w:p w14:paraId="32D4BD75" w14:textId="77777777" w:rsidR="00A84C22" w:rsidRPr="00B479AE" w:rsidRDefault="00A84C22" w:rsidP="00A84C22">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Decision level</w:t>
            </w:r>
          </w:p>
        </w:tc>
        <w:tc>
          <w:tcPr>
            <w:tcW w:w="0" w:type="auto"/>
            <w:vAlign w:val="center"/>
            <w:hideMark/>
          </w:tcPr>
          <w:p w14:paraId="2674F7CA" w14:textId="77777777" w:rsidR="00A84C22" w:rsidRPr="00B479AE" w:rsidRDefault="00A84C22" w:rsidP="00A84C22">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Method</w:t>
            </w:r>
          </w:p>
        </w:tc>
        <w:tc>
          <w:tcPr>
            <w:tcW w:w="0" w:type="auto"/>
            <w:vAlign w:val="center"/>
            <w:hideMark/>
          </w:tcPr>
          <w:p w14:paraId="7052C264" w14:textId="77777777" w:rsidR="00A84C22" w:rsidRPr="00B479AE" w:rsidRDefault="00A84C22" w:rsidP="00A84C22">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Scope</w:t>
            </w:r>
          </w:p>
        </w:tc>
        <w:tc>
          <w:tcPr>
            <w:tcW w:w="0" w:type="auto"/>
            <w:vAlign w:val="center"/>
            <w:hideMark/>
          </w:tcPr>
          <w:p w14:paraId="31F87781" w14:textId="77777777" w:rsidR="00A84C22" w:rsidRPr="00B479AE" w:rsidRDefault="00A84C22" w:rsidP="00A84C22">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Prometheus boundary</w:t>
            </w:r>
          </w:p>
        </w:tc>
      </w:tr>
      <w:tr w:rsidR="00A84C22" w:rsidRPr="00B479AE" w14:paraId="221ADD89" w14:textId="77777777" w:rsidTr="007C5DB8">
        <w:trPr>
          <w:tblCellSpacing w:w="15" w:type="dxa"/>
        </w:trPr>
        <w:tc>
          <w:tcPr>
            <w:tcW w:w="0" w:type="auto"/>
            <w:vAlign w:val="center"/>
            <w:hideMark/>
          </w:tcPr>
          <w:p w14:paraId="3277663C" w14:textId="77777777" w:rsidR="00A84C22" w:rsidRPr="00B479AE" w:rsidRDefault="00A84C22" w:rsidP="00A84C2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Operational decision</w:t>
            </w:r>
          </w:p>
        </w:tc>
        <w:tc>
          <w:tcPr>
            <w:tcW w:w="0" w:type="auto"/>
            <w:vAlign w:val="center"/>
            <w:hideMark/>
          </w:tcPr>
          <w:p w14:paraId="2999DEE5" w14:textId="77777777" w:rsidR="00A84C22" w:rsidRPr="00B479AE" w:rsidRDefault="00A84C22" w:rsidP="00A84C22">
            <w:pPr>
              <w:spacing w:line="360" w:lineRule="auto"/>
              <w:rPr>
                <w:rFonts w:ascii="Baskerville Old Face" w:hAnsi="Baskerville Old Face"/>
                <w:i/>
                <w:iCs/>
                <w:sz w:val="20"/>
                <w:szCs w:val="20"/>
              </w:rPr>
            </w:pPr>
            <w:r w:rsidRPr="00B479AE">
              <w:rPr>
                <w:rFonts w:ascii="Baskerville Old Face" w:hAnsi="Baskerville Old Face"/>
                <w:i/>
                <w:iCs/>
                <w:sz w:val="20"/>
                <w:szCs w:val="20"/>
              </w:rPr>
              <w:t>Role mandate or consent</w:t>
            </w:r>
          </w:p>
        </w:tc>
        <w:tc>
          <w:tcPr>
            <w:tcW w:w="0" w:type="auto"/>
            <w:vAlign w:val="center"/>
            <w:hideMark/>
          </w:tcPr>
          <w:p w14:paraId="0F08BB88" w14:textId="77777777" w:rsidR="00A84C22" w:rsidRPr="00B479AE" w:rsidRDefault="00A84C22" w:rsidP="00A84C22">
            <w:pPr>
              <w:spacing w:line="360" w:lineRule="auto"/>
              <w:rPr>
                <w:rFonts w:ascii="Baskerville Old Face" w:hAnsi="Baskerville Old Face"/>
                <w:i/>
                <w:iCs/>
                <w:sz w:val="20"/>
                <w:szCs w:val="20"/>
              </w:rPr>
            </w:pPr>
            <w:r w:rsidRPr="00B479AE">
              <w:rPr>
                <w:rFonts w:ascii="Baskerville Old Face" w:hAnsi="Baskerville Old Face"/>
                <w:i/>
                <w:iCs/>
                <w:sz w:val="20"/>
                <w:szCs w:val="20"/>
              </w:rPr>
              <w:t>Scheduling, workflows, meetings, task execution, ordinary coordination.</w:t>
            </w:r>
          </w:p>
        </w:tc>
        <w:tc>
          <w:tcPr>
            <w:tcW w:w="0" w:type="auto"/>
            <w:vAlign w:val="center"/>
            <w:hideMark/>
          </w:tcPr>
          <w:p w14:paraId="5D0EF6B1" w14:textId="77777777" w:rsidR="00A84C22" w:rsidRPr="00B479AE" w:rsidRDefault="00A84C22" w:rsidP="00A84C22">
            <w:pPr>
              <w:spacing w:line="360" w:lineRule="auto"/>
              <w:rPr>
                <w:rFonts w:ascii="Baskerville Old Face" w:hAnsi="Baskerville Old Face"/>
                <w:i/>
                <w:iCs/>
                <w:sz w:val="20"/>
                <w:szCs w:val="20"/>
              </w:rPr>
            </w:pPr>
            <w:r w:rsidRPr="00B479AE">
              <w:rPr>
                <w:rFonts w:ascii="Baskerville Old Face" w:hAnsi="Baskerville Old Face"/>
                <w:i/>
                <w:iCs/>
                <w:sz w:val="20"/>
                <w:szCs w:val="20"/>
              </w:rPr>
              <w:t>Must remain within role mandate and Access Covenant.</w:t>
            </w:r>
          </w:p>
        </w:tc>
      </w:tr>
      <w:tr w:rsidR="00A84C22" w:rsidRPr="00B479AE" w14:paraId="7397EE21" w14:textId="77777777" w:rsidTr="007C5DB8">
        <w:trPr>
          <w:tblCellSpacing w:w="15" w:type="dxa"/>
        </w:trPr>
        <w:tc>
          <w:tcPr>
            <w:tcW w:w="0" w:type="auto"/>
            <w:vAlign w:val="center"/>
            <w:hideMark/>
          </w:tcPr>
          <w:p w14:paraId="7BB1A68F" w14:textId="77777777" w:rsidR="00A84C22" w:rsidRPr="00B479AE" w:rsidRDefault="00A84C22" w:rsidP="00A84C2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Strategic decision</w:t>
            </w:r>
          </w:p>
        </w:tc>
        <w:tc>
          <w:tcPr>
            <w:tcW w:w="0" w:type="auto"/>
            <w:vAlign w:val="center"/>
            <w:hideMark/>
          </w:tcPr>
          <w:p w14:paraId="694FBB53" w14:textId="77777777" w:rsidR="00A84C22" w:rsidRPr="00B479AE" w:rsidRDefault="00A84C22" w:rsidP="00A84C22">
            <w:pPr>
              <w:spacing w:line="360" w:lineRule="auto"/>
              <w:rPr>
                <w:rFonts w:ascii="Baskerville Old Face" w:hAnsi="Baskerville Old Face"/>
                <w:i/>
                <w:iCs/>
                <w:sz w:val="20"/>
                <w:szCs w:val="20"/>
              </w:rPr>
            </w:pPr>
            <w:r w:rsidRPr="00B479AE">
              <w:rPr>
                <w:rFonts w:ascii="Baskerville Old Face" w:hAnsi="Baskerville Old Face"/>
                <w:i/>
                <w:iCs/>
                <w:sz w:val="20"/>
                <w:szCs w:val="20"/>
              </w:rPr>
              <w:t>Advice process + consent review</w:t>
            </w:r>
          </w:p>
        </w:tc>
        <w:tc>
          <w:tcPr>
            <w:tcW w:w="0" w:type="auto"/>
            <w:vAlign w:val="center"/>
            <w:hideMark/>
          </w:tcPr>
          <w:p w14:paraId="32D25743" w14:textId="77777777" w:rsidR="00A84C22" w:rsidRPr="00B479AE" w:rsidRDefault="00A84C22" w:rsidP="00A84C22">
            <w:pPr>
              <w:spacing w:line="360" w:lineRule="auto"/>
              <w:rPr>
                <w:rFonts w:ascii="Baskerville Old Face" w:hAnsi="Baskerville Old Face"/>
                <w:i/>
                <w:iCs/>
                <w:sz w:val="20"/>
                <w:szCs w:val="20"/>
              </w:rPr>
            </w:pPr>
            <w:r w:rsidRPr="00B479AE">
              <w:rPr>
                <w:rFonts w:ascii="Baskerville Old Face" w:hAnsi="Baskerville Old Face"/>
                <w:i/>
                <w:iCs/>
                <w:sz w:val="20"/>
                <w:szCs w:val="20"/>
              </w:rPr>
              <w:t>Partnerships, growth, resources, deployment, major initiatives.</w:t>
            </w:r>
          </w:p>
        </w:tc>
        <w:tc>
          <w:tcPr>
            <w:tcW w:w="0" w:type="auto"/>
            <w:vAlign w:val="center"/>
            <w:hideMark/>
          </w:tcPr>
          <w:p w14:paraId="4A6A85B3" w14:textId="77777777" w:rsidR="00A84C22" w:rsidRPr="00B479AE" w:rsidRDefault="00A84C22" w:rsidP="00A84C22">
            <w:pPr>
              <w:spacing w:line="360" w:lineRule="auto"/>
              <w:rPr>
                <w:rFonts w:ascii="Baskerville Old Face" w:hAnsi="Baskerville Old Face"/>
                <w:i/>
                <w:iCs/>
                <w:sz w:val="20"/>
                <w:szCs w:val="20"/>
              </w:rPr>
            </w:pPr>
            <w:r w:rsidRPr="00B479AE">
              <w:rPr>
                <w:rFonts w:ascii="Baskerville Old Face" w:hAnsi="Baskerville Old Face"/>
                <w:i/>
                <w:iCs/>
                <w:sz w:val="20"/>
                <w:szCs w:val="20"/>
              </w:rPr>
              <w:t>Must consult affected actors, competent persons, and relevant evidence.</w:t>
            </w:r>
          </w:p>
        </w:tc>
      </w:tr>
      <w:tr w:rsidR="00A84C22" w:rsidRPr="00B479AE" w14:paraId="0682212E" w14:textId="77777777" w:rsidTr="007C5DB8">
        <w:trPr>
          <w:tblCellSpacing w:w="15" w:type="dxa"/>
        </w:trPr>
        <w:tc>
          <w:tcPr>
            <w:tcW w:w="0" w:type="auto"/>
            <w:vAlign w:val="center"/>
            <w:hideMark/>
          </w:tcPr>
          <w:p w14:paraId="26975A7B" w14:textId="77777777" w:rsidR="00A84C22" w:rsidRPr="00B479AE" w:rsidRDefault="00A84C22" w:rsidP="00A84C2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Integrity decision</w:t>
            </w:r>
          </w:p>
        </w:tc>
        <w:tc>
          <w:tcPr>
            <w:tcW w:w="0" w:type="auto"/>
            <w:vAlign w:val="center"/>
            <w:hideMark/>
          </w:tcPr>
          <w:p w14:paraId="1776E924" w14:textId="77777777" w:rsidR="00A84C22" w:rsidRPr="00B479AE" w:rsidRDefault="00A84C22" w:rsidP="00A84C22">
            <w:pPr>
              <w:spacing w:line="360" w:lineRule="auto"/>
              <w:rPr>
                <w:rFonts w:ascii="Baskerville Old Face" w:hAnsi="Baskerville Old Face"/>
                <w:i/>
                <w:iCs/>
                <w:sz w:val="20"/>
                <w:szCs w:val="20"/>
              </w:rPr>
            </w:pPr>
            <w:r w:rsidRPr="00B479AE">
              <w:rPr>
                <w:rFonts w:ascii="Baskerville Old Face" w:hAnsi="Baskerville Old Face"/>
                <w:i/>
                <w:iCs/>
                <w:sz w:val="20"/>
                <w:szCs w:val="20"/>
              </w:rPr>
              <w:t>Custodial triad + review pathway</w:t>
            </w:r>
          </w:p>
        </w:tc>
        <w:tc>
          <w:tcPr>
            <w:tcW w:w="0" w:type="auto"/>
            <w:vAlign w:val="center"/>
            <w:hideMark/>
          </w:tcPr>
          <w:p w14:paraId="47DAD65B" w14:textId="77777777" w:rsidR="00A84C22" w:rsidRPr="00B479AE" w:rsidRDefault="00A84C22" w:rsidP="00A84C22">
            <w:pPr>
              <w:spacing w:line="360" w:lineRule="auto"/>
              <w:rPr>
                <w:rFonts w:ascii="Baskerville Old Face" w:hAnsi="Baskerville Old Face"/>
                <w:i/>
                <w:iCs/>
                <w:sz w:val="20"/>
                <w:szCs w:val="20"/>
              </w:rPr>
            </w:pPr>
            <w:r w:rsidRPr="00B479AE">
              <w:rPr>
                <w:rFonts w:ascii="Baskerville Old Face" w:hAnsi="Baskerville Old Face"/>
                <w:i/>
                <w:iCs/>
                <w:sz w:val="20"/>
                <w:szCs w:val="20"/>
              </w:rPr>
              <w:t>Conflict, safety, breach, role failure, social harm, covenant tension.</w:t>
            </w:r>
          </w:p>
        </w:tc>
        <w:tc>
          <w:tcPr>
            <w:tcW w:w="0" w:type="auto"/>
            <w:vAlign w:val="center"/>
            <w:hideMark/>
          </w:tcPr>
          <w:p w14:paraId="315E3774" w14:textId="77777777" w:rsidR="00A84C22" w:rsidRPr="00B479AE" w:rsidRDefault="00A84C22" w:rsidP="00A84C22">
            <w:pPr>
              <w:spacing w:line="360" w:lineRule="auto"/>
              <w:rPr>
                <w:rFonts w:ascii="Baskerville Old Face" w:hAnsi="Baskerville Old Face"/>
                <w:i/>
                <w:iCs/>
                <w:sz w:val="20"/>
                <w:szCs w:val="20"/>
              </w:rPr>
            </w:pPr>
            <w:r w:rsidRPr="00B479AE">
              <w:rPr>
                <w:rFonts w:ascii="Baskerville Old Face" w:hAnsi="Baskerville Old Face"/>
                <w:i/>
                <w:iCs/>
                <w:sz w:val="20"/>
                <w:szCs w:val="20"/>
              </w:rPr>
              <w:t>Must be documented, proportionate, and appealable.</w:t>
            </w:r>
          </w:p>
        </w:tc>
      </w:tr>
      <w:tr w:rsidR="00A84C22" w:rsidRPr="00B479AE" w14:paraId="51A5219A" w14:textId="77777777" w:rsidTr="007C5DB8">
        <w:trPr>
          <w:tblCellSpacing w:w="15" w:type="dxa"/>
        </w:trPr>
        <w:tc>
          <w:tcPr>
            <w:tcW w:w="0" w:type="auto"/>
            <w:vAlign w:val="center"/>
            <w:hideMark/>
          </w:tcPr>
          <w:p w14:paraId="493F927D" w14:textId="77777777" w:rsidR="00A84C22" w:rsidRPr="00B479AE" w:rsidRDefault="00A84C22" w:rsidP="00A84C2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Constitutional decision</w:t>
            </w:r>
          </w:p>
        </w:tc>
        <w:tc>
          <w:tcPr>
            <w:tcW w:w="0" w:type="auto"/>
            <w:vAlign w:val="center"/>
            <w:hideMark/>
          </w:tcPr>
          <w:p w14:paraId="26E3A8C4" w14:textId="77777777" w:rsidR="00A84C22" w:rsidRPr="00B479AE" w:rsidRDefault="00A84C22" w:rsidP="00A84C22">
            <w:pPr>
              <w:spacing w:line="360" w:lineRule="auto"/>
              <w:rPr>
                <w:rFonts w:ascii="Baskerville Old Face" w:hAnsi="Baskerville Old Face"/>
                <w:i/>
                <w:iCs/>
                <w:sz w:val="20"/>
                <w:szCs w:val="20"/>
              </w:rPr>
            </w:pPr>
            <w:r w:rsidRPr="00B479AE">
              <w:rPr>
                <w:rFonts w:ascii="Baskerville Old Face" w:hAnsi="Baskerville Old Face"/>
                <w:i/>
                <w:iCs/>
                <w:sz w:val="20"/>
                <w:szCs w:val="20"/>
              </w:rPr>
              <w:t>Constitutional amendment pathway</w:t>
            </w:r>
          </w:p>
        </w:tc>
        <w:tc>
          <w:tcPr>
            <w:tcW w:w="0" w:type="auto"/>
            <w:vAlign w:val="center"/>
            <w:hideMark/>
          </w:tcPr>
          <w:p w14:paraId="06CE3B80" w14:textId="77777777" w:rsidR="00A84C22" w:rsidRPr="00B479AE" w:rsidRDefault="00A84C22" w:rsidP="00A84C22">
            <w:pPr>
              <w:spacing w:line="360" w:lineRule="auto"/>
              <w:rPr>
                <w:rFonts w:ascii="Baskerville Old Face" w:hAnsi="Baskerville Old Face"/>
                <w:i/>
                <w:iCs/>
                <w:sz w:val="20"/>
                <w:szCs w:val="20"/>
              </w:rPr>
            </w:pPr>
            <w:r w:rsidRPr="00B479AE">
              <w:rPr>
                <w:rFonts w:ascii="Baskerville Old Face" w:hAnsi="Baskerville Old Face"/>
                <w:i/>
                <w:iCs/>
                <w:sz w:val="20"/>
                <w:szCs w:val="20"/>
              </w:rPr>
              <w:t>Foundational rules, Access Covenant, governance architecture, PRU/MRV/TRBK boundaries.</w:t>
            </w:r>
          </w:p>
        </w:tc>
        <w:tc>
          <w:tcPr>
            <w:tcW w:w="0" w:type="auto"/>
            <w:vAlign w:val="center"/>
            <w:hideMark/>
          </w:tcPr>
          <w:p w14:paraId="30CD5E3D" w14:textId="77777777" w:rsidR="00A84C22" w:rsidRPr="00B479AE" w:rsidRDefault="00A84C22" w:rsidP="00A84C22">
            <w:pPr>
              <w:spacing w:line="360" w:lineRule="auto"/>
              <w:rPr>
                <w:rFonts w:ascii="Baskerville Old Face" w:hAnsi="Baskerville Old Face"/>
                <w:i/>
                <w:iCs/>
                <w:sz w:val="20"/>
                <w:szCs w:val="20"/>
              </w:rPr>
            </w:pPr>
            <w:r w:rsidRPr="00B479AE">
              <w:rPr>
                <w:rFonts w:ascii="Baskerville Old Face" w:hAnsi="Baskerville Old Face"/>
                <w:i/>
                <w:iCs/>
                <w:sz w:val="20"/>
                <w:szCs w:val="20"/>
              </w:rPr>
              <w:t>Cannot violate Eternity Clauses, evidence-before-value, or non-bypassability.</w:t>
            </w:r>
          </w:p>
        </w:tc>
      </w:tr>
    </w:tbl>
    <w:p w14:paraId="4706E9CF"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This prevents category collapse.</w:t>
      </w:r>
    </w:p>
    <w:p w14:paraId="6F44945F"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scheduling issue is not a constitutional amendment.</w:t>
      </w:r>
    </w:p>
    <w:p w14:paraId="34FCE91D"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community mood is not evidence.</w:t>
      </w:r>
    </w:p>
    <w:p w14:paraId="6587C6E3"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founder preference is not authority.</w:t>
      </w:r>
    </w:p>
    <w:p w14:paraId="24E5EC00"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token signal is not consent.</w:t>
      </w:r>
    </w:p>
    <w:p w14:paraId="239B874E"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model output is not a decision.</w:t>
      </w:r>
    </w:p>
    <w:p w14:paraId="20A283DE"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lastRenderedPageBreak/>
        <w:t>A governance suggestion is not a valid vote.</w:t>
      </w:r>
    </w:p>
    <w:p w14:paraId="29A75977" w14:textId="77777777" w:rsidR="00A84C22" w:rsidRPr="00B479AE" w:rsidRDefault="00A84C22" w:rsidP="00A84C22">
      <w:pPr>
        <w:spacing w:line="360" w:lineRule="auto"/>
        <w:rPr>
          <w:rFonts w:ascii="Baskerville Old Face" w:hAnsi="Baskerville Old Face"/>
          <w:b/>
          <w:bCs/>
          <w:i/>
          <w:iCs/>
        </w:rPr>
      </w:pPr>
      <w:r w:rsidRPr="00B479AE">
        <w:rPr>
          <w:rFonts w:ascii="Baskerville Old Face" w:hAnsi="Baskerville Old Face"/>
          <w:b/>
          <w:bCs/>
          <w:i/>
          <w:iCs/>
        </w:rPr>
        <w:t>6. Circle Architecture and Double-Linking</w:t>
      </w:r>
    </w:p>
    <w:p w14:paraId="141FEEA5"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Prometheus communities should organize through circles.</w:t>
      </w:r>
    </w:p>
    <w:p w14:paraId="2812DD33"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circle is a semi-autonomous governance unit with a defined domain, purpose, roles, metrics, and decision authority.</w:t>
      </w:r>
    </w:p>
    <w:p w14:paraId="76BCBC46"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Circles may include:</w:t>
      </w:r>
    </w:p>
    <w:p w14:paraId="418FC5F6"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 local Tribe circles;</w:t>
      </w:r>
      <w:r w:rsidRPr="00B479AE">
        <w:rPr>
          <w:rFonts w:ascii="Baskerville Old Face" w:hAnsi="Baskerville Old Face"/>
          <w:i/>
          <w:iCs/>
        </w:rPr>
        <w:br/>
        <w:t>• ecological stewardship circles;</w:t>
      </w:r>
      <w:r w:rsidRPr="00B479AE">
        <w:rPr>
          <w:rFonts w:ascii="Baskerville Old Face" w:hAnsi="Baskerville Old Face"/>
          <w:i/>
          <w:iCs/>
        </w:rPr>
        <w:br/>
        <w:t>• MRV circles;</w:t>
      </w:r>
      <w:r w:rsidRPr="00B479AE">
        <w:rPr>
          <w:rFonts w:ascii="Baskerville Old Face" w:hAnsi="Baskerville Old Face"/>
          <w:i/>
          <w:iCs/>
        </w:rPr>
        <w:br/>
        <w:t>• learning circles;</w:t>
      </w:r>
      <w:r w:rsidRPr="00B479AE">
        <w:rPr>
          <w:rFonts w:ascii="Baskerville Old Face" w:hAnsi="Baskerville Old Face"/>
          <w:i/>
          <w:iCs/>
        </w:rPr>
        <w:br/>
        <w:t>• governance circles;</w:t>
      </w:r>
      <w:r w:rsidRPr="00B479AE">
        <w:rPr>
          <w:rFonts w:ascii="Baskerville Old Face" w:hAnsi="Baskerville Old Face"/>
          <w:i/>
          <w:iCs/>
        </w:rPr>
        <w:br/>
        <w:t>• technical circles;</w:t>
      </w:r>
      <w:r w:rsidRPr="00B479AE">
        <w:rPr>
          <w:rFonts w:ascii="Baskerville Old Face" w:hAnsi="Baskerville Old Face"/>
          <w:i/>
          <w:iCs/>
        </w:rPr>
        <w:br/>
        <w:t>• capital-readiness circles;</w:t>
      </w:r>
      <w:r w:rsidRPr="00B479AE">
        <w:rPr>
          <w:rFonts w:ascii="Baskerville Old Face" w:hAnsi="Baskerville Old Face"/>
          <w:i/>
          <w:iCs/>
        </w:rPr>
        <w:br/>
        <w:t>• conflict and integrity circles;</w:t>
      </w:r>
      <w:r w:rsidRPr="00B479AE">
        <w:rPr>
          <w:rFonts w:ascii="Baskerville Old Face" w:hAnsi="Baskerville Old Face"/>
          <w:i/>
          <w:iCs/>
        </w:rPr>
        <w:br/>
        <w:t>• bioregional circles;</w:t>
      </w:r>
      <w:r w:rsidRPr="00B479AE">
        <w:rPr>
          <w:rFonts w:ascii="Baskerville Old Face" w:hAnsi="Baskerville Old Face"/>
          <w:i/>
          <w:iCs/>
        </w:rPr>
        <w:br/>
        <w:t>• protocol stewardship circles.</w:t>
      </w:r>
    </w:p>
    <w:p w14:paraId="43AA4403"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Where multiple circles interact, Prometheus should use double-linking.</w:t>
      </w:r>
    </w:p>
    <w:p w14:paraId="75FFF22A"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Double-linking means that two connections link a circle to the broader governance structure:</w:t>
      </w:r>
    </w:p>
    <w:p w14:paraId="76FA359B"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 an operational link that carries coordination, resources, constraints, and implementation needs;</w:t>
      </w:r>
      <w:r w:rsidRPr="00B479AE">
        <w:rPr>
          <w:rFonts w:ascii="Baskerville Old Face" w:hAnsi="Baskerville Old Face"/>
          <w:i/>
          <w:iCs/>
        </w:rPr>
        <w:br/>
        <w:t>• a representative link that carries local experience, objections, context, and feedback upward.</w:t>
      </w:r>
    </w:p>
    <w:p w14:paraId="77E7815A"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This prevents one-way command.</w:t>
      </w:r>
    </w:p>
    <w:p w14:paraId="075A5841"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also prevents local fragmentation.</w:t>
      </w:r>
    </w:p>
    <w:p w14:paraId="2FF86126"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Authority becomes circulatory.</w:t>
      </w:r>
    </w:p>
    <w:p w14:paraId="66B3B6BC"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Information moves both ways.</w:t>
      </w:r>
    </w:p>
    <w:p w14:paraId="245BE902" w14:textId="7506C126" w:rsidR="00192AA9"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system becomes capable of scale without losing local intelligence.</w:t>
      </w:r>
    </w:p>
    <w:p w14:paraId="54312E5C" w14:textId="77777777" w:rsidR="00A84C22" w:rsidRPr="00B479AE" w:rsidRDefault="00A84C22" w:rsidP="00A84C22">
      <w:pPr>
        <w:spacing w:line="360" w:lineRule="auto"/>
        <w:rPr>
          <w:rFonts w:ascii="Baskerville Old Face" w:hAnsi="Baskerville Old Face"/>
          <w:b/>
          <w:bCs/>
          <w:i/>
          <w:iCs/>
        </w:rPr>
      </w:pPr>
      <w:r w:rsidRPr="00B479AE">
        <w:rPr>
          <w:rFonts w:ascii="Baskerville Old Face" w:hAnsi="Baskerville Old Face"/>
          <w:b/>
          <w:bCs/>
          <w:i/>
          <w:iCs/>
        </w:rPr>
        <w:t>7. Advice Process for Strategic Decisions</w:t>
      </w:r>
    </w:p>
    <w:p w14:paraId="7DCC6F36"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lastRenderedPageBreak/>
        <w:t>For strategic decisions, Prometheus may use the advice process.</w:t>
      </w:r>
    </w:p>
    <w:p w14:paraId="26D36B1F"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advice process allows a role-holder or proposing group to move a decision forward after seeking advice from:</w:t>
      </w:r>
    </w:p>
    <w:p w14:paraId="17C14B85"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 people affected by the decision;</w:t>
      </w:r>
      <w:r w:rsidRPr="00B479AE">
        <w:rPr>
          <w:rFonts w:ascii="Baskerville Old Face" w:hAnsi="Baskerville Old Face"/>
          <w:i/>
          <w:iCs/>
        </w:rPr>
        <w:br/>
        <w:t>• people with relevant expertise;</w:t>
      </w:r>
      <w:r w:rsidRPr="00B479AE">
        <w:rPr>
          <w:rFonts w:ascii="Baskerville Old Face" w:hAnsi="Baskerville Old Face"/>
          <w:i/>
          <w:iCs/>
        </w:rPr>
        <w:br/>
        <w:t>• the relevant circle;</w:t>
      </w:r>
      <w:r w:rsidRPr="00B479AE">
        <w:rPr>
          <w:rFonts w:ascii="Baskerville Old Face" w:hAnsi="Baskerville Old Face"/>
          <w:i/>
          <w:iCs/>
        </w:rPr>
        <w:br/>
        <w:t>• the Integrity Guardian or equivalent;</w:t>
      </w:r>
      <w:r w:rsidRPr="00B479AE">
        <w:rPr>
          <w:rFonts w:ascii="Baskerville Old Face" w:hAnsi="Baskerville Old Face"/>
          <w:i/>
          <w:iCs/>
        </w:rPr>
        <w:br/>
        <w:t>• the Evidence / MRV interface where evidence is involved;</w:t>
      </w:r>
      <w:r w:rsidRPr="00B479AE">
        <w:rPr>
          <w:rFonts w:ascii="Baskerville Old Face" w:hAnsi="Baskerville Old Face"/>
          <w:i/>
          <w:iCs/>
        </w:rPr>
        <w:br/>
        <w:t>• legal, compliance, or financial reviewers where required.</w:t>
      </w:r>
    </w:p>
    <w:p w14:paraId="6D7AFD30"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advice process is not permission-seeking theater.</w:t>
      </w:r>
    </w:p>
    <w:p w14:paraId="22500C68"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is distributed intelligence.</w:t>
      </w:r>
    </w:p>
    <w:p w14:paraId="73F8AFE5"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proposer remains accountable for integrating advice, explaining assumptions, documenting trade-offs, and defining a review point.</w:t>
      </w:r>
    </w:p>
    <w:p w14:paraId="2680D449"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This method protects initiative while preventing unilateralism.</w:t>
      </w:r>
    </w:p>
    <w:p w14:paraId="375CC42B"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allows leadership without domination.</w:t>
      </w:r>
    </w:p>
    <w:p w14:paraId="7F483DF9" w14:textId="77777777" w:rsidR="00A84C22" w:rsidRPr="00B479AE" w:rsidRDefault="00A84C22" w:rsidP="00A84C22">
      <w:pPr>
        <w:spacing w:line="360" w:lineRule="auto"/>
        <w:rPr>
          <w:rFonts w:ascii="Baskerville Old Face" w:hAnsi="Baskerville Old Face"/>
          <w:b/>
          <w:bCs/>
          <w:i/>
          <w:iCs/>
        </w:rPr>
      </w:pPr>
      <w:r w:rsidRPr="00B479AE">
        <w:rPr>
          <w:rFonts w:ascii="Baskerville Old Face" w:hAnsi="Baskerville Old Face"/>
          <w:b/>
          <w:bCs/>
          <w:i/>
          <w:iCs/>
        </w:rPr>
        <w:t>8. Psychological Safety and Disciplined Dissent</w:t>
      </w:r>
    </w:p>
    <w:p w14:paraId="117E87E6"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Prometheus communities must be safe enough for truth.</w:t>
      </w:r>
    </w:p>
    <w:p w14:paraId="3E304192"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Psychological safety does not mean comfort.</w:t>
      </w:r>
    </w:p>
    <w:p w14:paraId="5C504EA9"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means that members can speak relevant truth without fear of humiliation, exclusion, retaliation, or status loss.</w:t>
      </w:r>
    </w:p>
    <w:p w14:paraId="0FE69452"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healthy Prometheus community makes room for statements such as:</w:t>
      </w:r>
    </w:p>
    <w:p w14:paraId="1BD4C8FC"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 I do not understand;</w:t>
      </w:r>
      <w:r w:rsidRPr="00B479AE">
        <w:rPr>
          <w:rFonts w:ascii="Baskerville Old Face" w:hAnsi="Baskerville Old Face"/>
          <w:i/>
          <w:iCs/>
        </w:rPr>
        <w:br/>
        <w:t>• I see a risk;</w:t>
      </w:r>
      <w:r w:rsidRPr="00B479AE">
        <w:rPr>
          <w:rFonts w:ascii="Baskerville Old Face" w:hAnsi="Baskerville Old Face"/>
          <w:i/>
          <w:iCs/>
        </w:rPr>
        <w:br/>
        <w:t>• I need more evidence;</w:t>
      </w:r>
      <w:r w:rsidRPr="00B479AE">
        <w:rPr>
          <w:rFonts w:ascii="Baskerville Old Face" w:hAnsi="Baskerville Old Face"/>
          <w:i/>
          <w:iCs/>
        </w:rPr>
        <w:br/>
        <w:t>• this creates hidden labor;</w:t>
      </w:r>
      <w:r w:rsidRPr="00B479AE">
        <w:rPr>
          <w:rFonts w:ascii="Baskerville Old Face" w:hAnsi="Baskerville Old Face"/>
          <w:i/>
          <w:iCs/>
        </w:rPr>
        <w:br/>
        <w:t>• this transfers risk to others;</w:t>
      </w:r>
      <w:r w:rsidRPr="00B479AE">
        <w:rPr>
          <w:rFonts w:ascii="Baskerville Old Face" w:hAnsi="Baskerville Old Face"/>
          <w:i/>
          <w:iCs/>
        </w:rPr>
        <w:br/>
      </w:r>
      <w:r w:rsidRPr="00B479AE">
        <w:rPr>
          <w:rFonts w:ascii="Baskerville Old Face" w:hAnsi="Baskerville Old Face"/>
          <w:i/>
          <w:iCs/>
        </w:rPr>
        <w:lastRenderedPageBreak/>
        <w:t>• this moves too fast;</w:t>
      </w:r>
      <w:r w:rsidRPr="00B479AE">
        <w:rPr>
          <w:rFonts w:ascii="Baskerville Old Face" w:hAnsi="Baskerville Old Face"/>
          <w:i/>
          <w:iCs/>
        </w:rPr>
        <w:br/>
        <w:t>• this weakens trust;</w:t>
      </w:r>
      <w:r w:rsidRPr="00B479AE">
        <w:rPr>
          <w:rFonts w:ascii="Baskerville Old Face" w:hAnsi="Baskerville Old Face"/>
          <w:i/>
          <w:iCs/>
        </w:rPr>
        <w:br/>
        <w:t>• this violates our purpose;</w:t>
      </w:r>
      <w:r w:rsidRPr="00B479AE">
        <w:rPr>
          <w:rFonts w:ascii="Baskerville Old Face" w:hAnsi="Baskerville Old Face"/>
          <w:i/>
          <w:iCs/>
        </w:rPr>
        <w:br/>
        <w:t>• this should be reviewed.</w:t>
      </w:r>
    </w:p>
    <w:p w14:paraId="4D2F320E"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Dissent is not disloyalty.</w:t>
      </w:r>
    </w:p>
    <w:p w14:paraId="26A01A01"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Dissent is field intelligence.</w:t>
      </w:r>
    </w:p>
    <w:p w14:paraId="671266D0"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dissenting voice should not automatically stop the group.</w:t>
      </w:r>
    </w:p>
    <w:p w14:paraId="47FF1A38"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But a reasoned objection must be integrated.</w:t>
      </w:r>
    </w:p>
    <w:p w14:paraId="209DBC53"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goal is not emotional veto.</w:t>
      </w:r>
    </w:p>
    <w:p w14:paraId="5E4E77CB"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goal is collective intelligence.</w:t>
      </w:r>
    </w:p>
    <w:p w14:paraId="2BEE255E" w14:textId="77777777" w:rsidR="00A84C22" w:rsidRPr="00B479AE" w:rsidRDefault="00A84C22" w:rsidP="00A84C22">
      <w:pPr>
        <w:spacing w:line="360" w:lineRule="auto"/>
        <w:rPr>
          <w:rFonts w:ascii="Baskerville Old Face" w:hAnsi="Baskerville Old Face"/>
          <w:b/>
          <w:bCs/>
          <w:i/>
          <w:iCs/>
        </w:rPr>
      </w:pPr>
      <w:r w:rsidRPr="00B479AE">
        <w:rPr>
          <w:rFonts w:ascii="Baskerville Old Face" w:hAnsi="Baskerville Old Face"/>
          <w:b/>
          <w:bCs/>
          <w:i/>
          <w:iCs/>
        </w:rPr>
        <w:t>9. Commons Governance and Graduated Accountability</w:t>
      </w:r>
    </w:p>
    <w:p w14:paraId="6A1C57D8"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Prometheus communities steward shared goods.</w:t>
      </w:r>
    </w:p>
    <w:p w14:paraId="5C62EB5C"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These include trust, attention, reputation, access, governance time, ecological evidence, shared learning, data integrity, and future regenerative value.</w:t>
      </w:r>
    </w:p>
    <w:p w14:paraId="59EC05DB"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Because these are commons, they require governance.</w:t>
      </w:r>
    </w:p>
    <w:p w14:paraId="4EA98FCE" w14:textId="1378E274"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Prometheus therefore applies graduated accountability.</w:t>
      </w:r>
      <w:r w:rsidR="00192AA9" w:rsidRPr="00B479AE">
        <w:rPr>
          <w:rFonts w:ascii="Baskerville Old Face" w:hAnsi="Baskerville Old Face"/>
          <w:i/>
          <w:iCs/>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56"/>
        <w:gridCol w:w="3476"/>
        <w:gridCol w:w="4196"/>
      </w:tblGrid>
      <w:tr w:rsidR="00A84C22" w:rsidRPr="00B479AE" w14:paraId="0E39CC8B" w14:textId="77777777" w:rsidTr="007C5DB8">
        <w:trPr>
          <w:tblHeader/>
          <w:tblCellSpacing w:w="15" w:type="dxa"/>
        </w:trPr>
        <w:tc>
          <w:tcPr>
            <w:tcW w:w="0" w:type="auto"/>
            <w:vAlign w:val="center"/>
            <w:hideMark/>
          </w:tcPr>
          <w:p w14:paraId="59FEA53B" w14:textId="77777777" w:rsidR="00A84C22" w:rsidRPr="00B479AE" w:rsidRDefault="00A84C22" w:rsidP="00A84C2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Accountability level</w:t>
            </w:r>
          </w:p>
        </w:tc>
        <w:tc>
          <w:tcPr>
            <w:tcW w:w="0" w:type="auto"/>
            <w:vAlign w:val="center"/>
            <w:hideMark/>
          </w:tcPr>
          <w:p w14:paraId="1915A8A5" w14:textId="77777777" w:rsidR="00A84C22" w:rsidRPr="00B479AE" w:rsidRDefault="00A84C22" w:rsidP="00A84C2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Use case</w:t>
            </w:r>
          </w:p>
        </w:tc>
        <w:tc>
          <w:tcPr>
            <w:tcW w:w="0" w:type="auto"/>
            <w:vAlign w:val="center"/>
            <w:hideMark/>
          </w:tcPr>
          <w:p w14:paraId="6EF37E1B" w14:textId="77777777" w:rsidR="00A84C22" w:rsidRPr="00B479AE" w:rsidRDefault="00A84C22" w:rsidP="00A84C2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Response</w:t>
            </w:r>
          </w:p>
        </w:tc>
      </w:tr>
      <w:tr w:rsidR="00A84C22" w:rsidRPr="00B479AE" w14:paraId="2DA32EB1" w14:textId="77777777" w:rsidTr="007C5DB8">
        <w:trPr>
          <w:tblCellSpacing w:w="15" w:type="dxa"/>
        </w:trPr>
        <w:tc>
          <w:tcPr>
            <w:tcW w:w="0" w:type="auto"/>
            <w:vAlign w:val="center"/>
            <w:hideMark/>
          </w:tcPr>
          <w:p w14:paraId="5A68B85A"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Gentle signal</w:t>
            </w:r>
          </w:p>
        </w:tc>
        <w:tc>
          <w:tcPr>
            <w:tcW w:w="0" w:type="auto"/>
            <w:vAlign w:val="center"/>
            <w:hideMark/>
          </w:tcPr>
          <w:p w14:paraId="7E7535F3"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Minor misalignment or misunderstanding.</w:t>
            </w:r>
          </w:p>
        </w:tc>
        <w:tc>
          <w:tcPr>
            <w:tcW w:w="0" w:type="auto"/>
            <w:vAlign w:val="center"/>
            <w:hideMark/>
          </w:tcPr>
          <w:p w14:paraId="71A3A2A3"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Conversation, clarification, learning.</w:t>
            </w:r>
          </w:p>
        </w:tc>
      </w:tr>
      <w:tr w:rsidR="00A84C22" w:rsidRPr="00B479AE" w14:paraId="37345A90" w14:textId="77777777" w:rsidTr="007C5DB8">
        <w:trPr>
          <w:tblCellSpacing w:w="15" w:type="dxa"/>
        </w:trPr>
        <w:tc>
          <w:tcPr>
            <w:tcW w:w="0" w:type="auto"/>
            <w:vAlign w:val="center"/>
            <w:hideMark/>
          </w:tcPr>
          <w:p w14:paraId="6843104B"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Formal reflection</w:t>
            </w:r>
          </w:p>
        </w:tc>
        <w:tc>
          <w:tcPr>
            <w:tcW w:w="0" w:type="auto"/>
            <w:vAlign w:val="center"/>
            <w:hideMark/>
          </w:tcPr>
          <w:p w14:paraId="6FD4FED6"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Repeated issue or visible effect on the group.</w:t>
            </w:r>
          </w:p>
        </w:tc>
        <w:tc>
          <w:tcPr>
            <w:tcW w:w="0" w:type="auto"/>
            <w:vAlign w:val="center"/>
            <w:hideMark/>
          </w:tcPr>
          <w:p w14:paraId="59413FAB"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Written reflection, support, agreed change.</w:t>
            </w:r>
          </w:p>
        </w:tc>
      </w:tr>
      <w:tr w:rsidR="00A84C22" w:rsidRPr="00B479AE" w14:paraId="19232199" w14:textId="77777777" w:rsidTr="007C5DB8">
        <w:trPr>
          <w:tblCellSpacing w:w="15" w:type="dxa"/>
        </w:trPr>
        <w:tc>
          <w:tcPr>
            <w:tcW w:w="0" w:type="auto"/>
            <w:vAlign w:val="center"/>
            <w:hideMark/>
          </w:tcPr>
          <w:p w14:paraId="6E831F2D"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Role review</w:t>
            </w:r>
          </w:p>
        </w:tc>
        <w:tc>
          <w:tcPr>
            <w:tcW w:w="0" w:type="auto"/>
            <w:vAlign w:val="center"/>
            <w:hideMark/>
          </w:tcPr>
          <w:p w14:paraId="374FEB86"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Misuse, neglect, or overreach of role.</w:t>
            </w:r>
          </w:p>
        </w:tc>
        <w:tc>
          <w:tcPr>
            <w:tcW w:w="0" w:type="auto"/>
            <w:vAlign w:val="center"/>
            <w:hideMark/>
          </w:tcPr>
          <w:p w14:paraId="100B35FF"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Coaching, limitation, rotation, or replacement.</w:t>
            </w:r>
          </w:p>
        </w:tc>
      </w:tr>
      <w:tr w:rsidR="00A84C22" w:rsidRPr="00B479AE" w14:paraId="2CBE1441" w14:textId="77777777" w:rsidTr="007C5DB8">
        <w:trPr>
          <w:tblCellSpacing w:w="15" w:type="dxa"/>
        </w:trPr>
        <w:tc>
          <w:tcPr>
            <w:tcW w:w="0" w:type="auto"/>
            <w:vAlign w:val="center"/>
            <w:hideMark/>
          </w:tcPr>
          <w:p w14:paraId="73CCB9A1"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Participation restriction</w:t>
            </w:r>
          </w:p>
        </w:tc>
        <w:tc>
          <w:tcPr>
            <w:tcW w:w="0" w:type="auto"/>
            <w:vAlign w:val="center"/>
            <w:hideMark/>
          </w:tcPr>
          <w:p w14:paraId="0FFA4788"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Harmful behavior or unresolved breach.</w:t>
            </w:r>
          </w:p>
        </w:tc>
        <w:tc>
          <w:tcPr>
            <w:tcW w:w="0" w:type="auto"/>
            <w:vAlign w:val="center"/>
            <w:hideMark/>
          </w:tcPr>
          <w:p w14:paraId="0F96F191"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Temporary limits on decision, access, or representation.</w:t>
            </w:r>
          </w:p>
        </w:tc>
      </w:tr>
      <w:tr w:rsidR="00A84C22" w:rsidRPr="00B479AE" w14:paraId="6454DF26" w14:textId="77777777" w:rsidTr="007C5DB8">
        <w:trPr>
          <w:tblCellSpacing w:w="15" w:type="dxa"/>
        </w:trPr>
        <w:tc>
          <w:tcPr>
            <w:tcW w:w="0" w:type="auto"/>
            <w:vAlign w:val="center"/>
            <w:hideMark/>
          </w:tcPr>
          <w:p w14:paraId="131BCD85"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lastRenderedPageBreak/>
              <w:t>Restorative process</w:t>
            </w:r>
          </w:p>
        </w:tc>
        <w:tc>
          <w:tcPr>
            <w:tcW w:w="0" w:type="auto"/>
            <w:vAlign w:val="center"/>
            <w:hideMark/>
          </w:tcPr>
          <w:p w14:paraId="2CA81ADE"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Damage to trust, dignity, or relationship.</w:t>
            </w:r>
          </w:p>
        </w:tc>
        <w:tc>
          <w:tcPr>
            <w:tcW w:w="0" w:type="auto"/>
            <w:vAlign w:val="center"/>
            <w:hideMark/>
          </w:tcPr>
          <w:p w14:paraId="481B8F4A"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Repair circle, commitments, monitoring.</w:t>
            </w:r>
          </w:p>
        </w:tc>
      </w:tr>
      <w:tr w:rsidR="00A84C22" w:rsidRPr="00B479AE" w14:paraId="488E5639" w14:textId="77777777" w:rsidTr="007C5DB8">
        <w:trPr>
          <w:tblCellSpacing w:w="15" w:type="dxa"/>
        </w:trPr>
        <w:tc>
          <w:tcPr>
            <w:tcW w:w="0" w:type="auto"/>
            <w:vAlign w:val="center"/>
            <w:hideMark/>
          </w:tcPr>
          <w:p w14:paraId="2701A9C5"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Suspension</w:t>
            </w:r>
          </w:p>
        </w:tc>
        <w:tc>
          <w:tcPr>
            <w:tcW w:w="0" w:type="auto"/>
            <w:vAlign w:val="center"/>
            <w:hideMark/>
          </w:tcPr>
          <w:p w14:paraId="05DAB2CD"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Serious risk or unresolved breach.</w:t>
            </w:r>
          </w:p>
        </w:tc>
        <w:tc>
          <w:tcPr>
            <w:tcW w:w="0" w:type="auto"/>
            <w:vAlign w:val="center"/>
            <w:hideMark/>
          </w:tcPr>
          <w:p w14:paraId="320A19D9"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Temporary suspension pending review.</w:t>
            </w:r>
          </w:p>
        </w:tc>
      </w:tr>
      <w:tr w:rsidR="00A84C22" w:rsidRPr="00B479AE" w14:paraId="6BC0521A" w14:textId="77777777" w:rsidTr="007C5DB8">
        <w:trPr>
          <w:tblCellSpacing w:w="15" w:type="dxa"/>
        </w:trPr>
        <w:tc>
          <w:tcPr>
            <w:tcW w:w="0" w:type="auto"/>
            <w:vAlign w:val="center"/>
            <w:hideMark/>
          </w:tcPr>
          <w:p w14:paraId="178EB1FC"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Exit / exclusion</w:t>
            </w:r>
          </w:p>
        </w:tc>
        <w:tc>
          <w:tcPr>
            <w:tcW w:w="0" w:type="auto"/>
            <w:vAlign w:val="center"/>
            <w:hideMark/>
          </w:tcPr>
          <w:p w14:paraId="584ECBE4"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Severe, repeated, or unrepaired violation.</w:t>
            </w:r>
          </w:p>
        </w:tc>
        <w:tc>
          <w:tcPr>
            <w:tcW w:w="0" w:type="auto"/>
            <w:vAlign w:val="center"/>
            <w:hideMark/>
          </w:tcPr>
          <w:p w14:paraId="61F0BE45"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Removal according to governance and due process.</w:t>
            </w:r>
          </w:p>
        </w:tc>
      </w:tr>
    </w:tbl>
    <w:p w14:paraId="4C1AA502"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This avoids two failures:</w:t>
      </w:r>
    </w:p>
    <w:p w14:paraId="3539176B"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punishing too quickly;</w:t>
      </w:r>
    </w:p>
    <w:p w14:paraId="6A44279B"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or tolerating harm too long.</w:t>
      </w:r>
    </w:p>
    <w:p w14:paraId="53B046F0"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regenerative community uses repair where possible and boundaries where necessary.</w:t>
      </w:r>
    </w:p>
    <w:p w14:paraId="51CA3457" w14:textId="77777777" w:rsidR="00A84C22" w:rsidRPr="00B479AE" w:rsidRDefault="00A84C22" w:rsidP="00A84C22">
      <w:pPr>
        <w:spacing w:line="360" w:lineRule="auto"/>
        <w:rPr>
          <w:rFonts w:ascii="Baskerville Old Face" w:hAnsi="Baskerville Old Face"/>
          <w:b/>
          <w:bCs/>
          <w:i/>
          <w:iCs/>
        </w:rPr>
      </w:pPr>
      <w:r w:rsidRPr="00B479AE">
        <w:rPr>
          <w:rFonts w:ascii="Baskerville Old Face" w:hAnsi="Baskerville Old Face"/>
          <w:b/>
          <w:bCs/>
          <w:i/>
          <w:iCs/>
        </w:rPr>
        <w:t>10. Conflict Metabolism</w:t>
      </w:r>
    </w:p>
    <w:p w14:paraId="5546BC6E"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Conflict is not failure.</w:t>
      </w:r>
    </w:p>
    <w:p w14:paraId="15B7A51A"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Conflict is information.</w:t>
      </w:r>
    </w:p>
    <w:p w14:paraId="41458174"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may reveal unclear roles, hidden labor, power imbalance, boundary confusion, unspoken expectations, trauma activation, value divergence, resource pressure, or constitutional tension.</w:t>
      </w:r>
    </w:p>
    <w:p w14:paraId="22842306"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Prometheus communities should use a graduated conflict protocol.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6"/>
        <w:gridCol w:w="4462"/>
        <w:gridCol w:w="3550"/>
      </w:tblGrid>
      <w:tr w:rsidR="00A84C22" w:rsidRPr="00B479AE" w14:paraId="114A6C10" w14:textId="77777777" w:rsidTr="007C5DB8">
        <w:trPr>
          <w:tblHeader/>
          <w:tblCellSpacing w:w="15" w:type="dxa"/>
        </w:trPr>
        <w:tc>
          <w:tcPr>
            <w:tcW w:w="0" w:type="auto"/>
            <w:vAlign w:val="center"/>
            <w:hideMark/>
          </w:tcPr>
          <w:p w14:paraId="42405587" w14:textId="77777777" w:rsidR="00A84C22" w:rsidRPr="00B479AE" w:rsidRDefault="00A84C22" w:rsidP="00A84C2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Stage</w:t>
            </w:r>
          </w:p>
        </w:tc>
        <w:tc>
          <w:tcPr>
            <w:tcW w:w="0" w:type="auto"/>
            <w:vAlign w:val="center"/>
            <w:hideMark/>
          </w:tcPr>
          <w:p w14:paraId="391DE64C" w14:textId="77777777" w:rsidR="00A84C22" w:rsidRPr="00B479AE" w:rsidRDefault="00A84C22" w:rsidP="00A84C2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Process</w:t>
            </w:r>
          </w:p>
        </w:tc>
        <w:tc>
          <w:tcPr>
            <w:tcW w:w="0" w:type="auto"/>
            <w:vAlign w:val="center"/>
            <w:hideMark/>
          </w:tcPr>
          <w:p w14:paraId="4B18CBAC" w14:textId="77777777" w:rsidR="00A84C22" w:rsidRPr="00B479AE" w:rsidRDefault="00A84C22" w:rsidP="00A84C2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Purpose</w:t>
            </w:r>
          </w:p>
        </w:tc>
      </w:tr>
      <w:tr w:rsidR="00A84C22" w:rsidRPr="00B479AE" w14:paraId="6D186B0F" w14:textId="77777777" w:rsidTr="007C5DB8">
        <w:trPr>
          <w:tblCellSpacing w:w="15" w:type="dxa"/>
        </w:trPr>
        <w:tc>
          <w:tcPr>
            <w:tcW w:w="0" w:type="auto"/>
            <w:vAlign w:val="center"/>
            <w:hideMark/>
          </w:tcPr>
          <w:p w14:paraId="6F206ED6"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Signal</w:t>
            </w:r>
          </w:p>
        </w:tc>
        <w:tc>
          <w:tcPr>
            <w:tcW w:w="0" w:type="auto"/>
            <w:vAlign w:val="center"/>
            <w:hideMark/>
          </w:tcPr>
          <w:p w14:paraId="4A48FD74"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A concern is named early.</w:t>
            </w:r>
          </w:p>
        </w:tc>
        <w:tc>
          <w:tcPr>
            <w:tcW w:w="0" w:type="auto"/>
            <w:vAlign w:val="center"/>
            <w:hideMark/>
          </w:tcPr>
          <w:p w14:paraId="6D3032C4"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Prevents silence from becoming resentment.</w:t>
            </w:r>
          </w:p>
        </w:tc>
      </w:tr>
      <w:tr w:rsidR="00A84C22" w:rsidRPr="00B479AE" w14:paraId="2A0FA675" w14:textId="77777777" w:rsidTr="007C5DB8">
        <w:trPr>
          <w:tblCellSpacing w:w="15" w:type="dxa"/>
        </w:trPr>
        <w:tc>
          <w:tcPr>
            <w:tcW w:w="0" w:type="auto"/>
            <w:vAlign w:val="center"/>
            <w:hideMark/>
          </w:tcPr>
          <w:p w14:paraId="5CD000FA"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Clarification</w:t>
            </w:r>
          </w:p>
        </w:tc>
        <w:tc>
          <w:tcPr>
            <w:tcW w:w="0" w:type="auto"/>
            <w:vAlign w:val="center"/>
            <w:hideMark/>
          </w:tcPr>
          <w:p w14:paraId="32C271A1"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Parties clarify facts, impact, assumptions, and needs.</w:t>
            </w:r>
          </w:p>
        </w:tc>
        <w:tc>
          <w:tcPr>
            <w:tcW w:w="0" w:type="auto"/>
            <w:vAlign w:val="center"/>
            <w:hideMark/>
          </w:tcPr>
          <w:p w14:paraId="688DFC29"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Separates perception from evidence.</w:t>
            </w:r>
          </w:p>
        </w:tc>
      </w:tr>
      <w:tr w:rsidR="00A84C22" w:rsidRPr="00B479AE" w14:paraId="21CD7CB6" w14:textId="77777777" w:rsidTr="007C5DB8">
        <w:trPr>
          <w:tblCellSpacing w:w="15" w:type="dxa"/>
        </w:trPr>
        <w:tc>
          <w:tcPr>
            <w:tcW w:w="0" w:type="auto"/>
            <w:vAlign w:val="center"/>
            <w:hideMark/>
          </w:tcPr>
          <w:p w14:paraId="3571B01E"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Mediation</w:t>
            </w:r>
          </w:p>
        </w:tc>
        <w:tc>
          <w:tcPr>
            <w:tcW w:w="0" w:type="auto"/>
            <w:vAlign w:val="center"/>
            <w:hideMark/>
          </w:tcPr>
          <w:p w14:paraId="657E5207"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Conflict Facilitator supports structured dialogue.</w:t>
            </w:r>
          </w:p>
        </w:tc>
        <w:tc>
          <w:tcPr>
            <w:tcW w:w="0" w:type="auto"/>
            <w:vAlign w:val="center"/>
            <w:hideMark/>
          </w:tcPr>
          <w:p w14:paraId="3A1DBC4C"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Restores communication.</w:t>
            </w:r>
          </w:p>
        </w:tc>
      </w:tr>
      <w:tr w:rsidR="00A84C22" w:rsidRPr="00B479AE" w14:paraId="347FC5DB" w14:textId="77777777" w:rsidTr="007C5DB8">
        <w:trPr>
          <w:tblCellSpacing w:w="15" w:type="dxa"/>
        </w:trPr>
        <w:tc>
          <w:tcPr>
            <w:tcW w:w="0" w:type="auto"/>
            <w:vAlign w:val="center"/>
            <w:hideMark/>
          </w:tcPr>
          <w:p w14:paraId="6336286F"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lastRenderedPageBreak/>
              <w:t>Repair circle</w:t>
            </w:r>
          </w:p>
        </w:tc>
        <w:tc>
          <w:tcPr>
            <w:tcW w:w="0" w:type="auto"/>
            <w:vAlign w:val="center"/>
            <w:hideMark/>
          </w:tcPr>
          <w:p w14:paraId="2FBA0DC1"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Affected participants enter facilitated repair.</w:t>
            </w:r>
          </w:p>
        </w:tc>
        <w:tc>
          <w:tcPr>
            <w:tcW w:w="0" w:type="auto"/>
            <w:vAlign w:val="center"/>
            <w:hideMark/>
          </w:tcPr>
          <w:p w14:paraId="0FAE8061"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Repairs trust and defines commitments.</w:t>
            </w:r>
          </w:p>
        </w:tc>
      </w:tr>
      <w:tr w:rsidR="00A84C22" w:rsidRPr="00B479AE" w14:paraId="2491A41F" w14:textId="77777777" w:rsidTr="007C5DB8">
        <w:trPr>
          <w:tblCellSpacing w:w="15" w:type="dxa"/>
        </w:trPr>
        <w:tc>
          <w:tcPr>
            <w:tcW w:w="0" w:type="auto"/>
            <w:vAlign w:val="center"/>
            <w:hideMark/>
          </w:tcPr>
          <w:p w14:paraId="24D63A60"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Governance review</w:t>
            </w:r>
          </w:p>
        </w:tc>
        <w:tc>
          <w:tcPr>
            <w:tcW w:w="0" w:type="auto"/>
            <w:vAlign w:val="center"/>
            <w:hideMark/>
          </w:tcPr>
          <w:p w14:paraId="498A4A38"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Relevant circle reviews breach, role failure, or systemic pattern.</w:t>
            </w:r>
          </w:p>
        </w:tc>
        <w:tc>
          <w:tcPr>
            <w:tcW w:w="0" w:type="auto"/>
            <w:vAlign w:val="center"/>
            <w:hideMark/>
          </w:tcPr>
          <w:p w14:paraId="594E1BE9"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Protects the community field.</w:t>
            </w:r>
          </w:p>
        </w:tc>
      </w:tr>
      <w:tr w:rsidR="00A84C22" w:rsidRPr="00B479AE" w14:paraId="1A7F75DB" w14:textId="77777777" w:rsidTr="007C5DB8">
        <w:trPr>
          <w:tblCellSpacing w:w="15" w:type="dxa"/>
        </w:trPr>
        <w:tc>
          <w:tcPr>
            <w:tcW w:w="0" w:type="auto"/>
            <w:vAlign w:val="center"/>
            <w:hideMark/>
          </w:tcPr>
          <w:p w14:paraId="0251F103"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Restriction</w:t>
            </w:r>
          </w:p>
        </w:tc>
        <w:tc>
          <w:tcPr>
            <w:tcW w:w="0" w:type="auto"/>
            <w:vAlign w:val="center"/>
            <w:hideMark/>
          </w:tcPr>
          <w:p w14:paraId="1C97B8F7"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Role, access, or participation may be limited.</w:t>
            </w:r>
          </w:p>
        </w:tc>
        <w:tc>
          <w:tcPr>
            <w:tcW w:w="0" w:type="auto"/>
            <w:vAlign w:val="center"/>
            <w:hideMark/>
          </w:tcPr>
          <w:p w14:paraId="039F8A0B"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Prevents harm while preserving proportionality.</w:t>
            </w:r>
          </w:p>
        </w:tc>
      </w:tr>
      <w:tr w:rsidR="00A84C22" w:rsidRPr="00B479AE" w14:paraId="1F96B2E3" w14:textId="77777777" w:rsidTr="007C5DB8">
        <w:trPr>
          <w:tblCellSpacing w:w="15" w:type="dxa"/>
        </w:trPr>
        <w:tc>
          <w:tcPr>
            <w:tcW w:w="0" w:type="auto"/>
            <w:vAlign w:val="center"/>
            <w:hideMark/>
          </w:tcPr>
          <w:p w14:paraId="26D90C55"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Exit or exclusion</w:t>
            </w:r>
          </w:p>
        </w:tc>
        <w:tc>
          <w:tcPr>
            <w:tcW w:w="0" w:type="auto"/>
            <w:vAlign w:val="center"/>
            <w:hideMark/>
          </w:tcPr>
          <w:p w14:paraId="6FBACE13"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Participant may leave or be removed under due process.</w:t>
            </w:r>
          </w:p>
        </w:tc>
        <w:tc>
          <w:tcPr>
            <w:tcW w:w="0" w:type="auto"/>
            <w:vAlign w:val="center"/>
            <w:hideMark/>
          </w:tcPr>
          <w:p w14:paraId="6C80ADC1"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Protects constitutional integrity.</w:t>
            </w:r>
          </w:p>
        </w:tc>
      </w:tr>
    </w:tbl>
    <w:p w14:paraId="735965FC"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purpose is not punishment.</w:t>
      </w:r>
    </w:p>
    <w:p w14:paraId="47AA653D"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purpose is repair, learning, protection, and renewed coherence.</w:t>
      </w:r>
    </w:p>
    <w:p w14:paraId="232C5842" w14:textId="77777777" w:rsidR="00A84C22" w:rsidRPr="00B479AE" w:rsidRDefault="00A84C22" w:rsidP="00A84C22">
      <w:pPr>
        <w:spacing w:line="360" w:lineRule="auto"/>
        <w:rPr>
          <w:rFonts w:ascii="Baskerville Old Face" w:hAnsi="Baskerville Old Face"/>
          <w:b/>
          <w:bCs/>
          <w:i/>
          <w:iCs/>
        </w:rPr>
      </w:pPr>
      <w:r w:rsidRPr="00B479AE">
        <w:rPr>
          <w:rFonts w:ascii="Baskerville Old Face" w:hAnsi="Baskerville Old Face"/>
          <w:b/>
          <w:bCs/>
          <w:i/>
          <w:iCs/>
        </w:rPr>
        <w:t>11. Community of Practice and Learning Architecture</w:t>
      </w:r>
    </w:p>
    <w:p w14:paraId="7742A986"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Every Prometheus community should function as a community of practice.</w:t>
      </w:r>
    </w:p>
    <w:p w14:paraId="536E79CE"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should have:</w:t>
      </w:r>
    </w:p>
    <w:p w14:paraId="5043C50D"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 a domain of practice;</w:t>
      </w:r>
      <w:r w:rsidRPr="00B479AE">
        <w:rPr>
          <w:rFonts w:ascii="Baskerville Old Face" w:hAnsi="Baskerville Old Face"/>
          <w:i/>
          <w:iCs/>
        </w:rPr>
        <w:br/>
        <w:t>• a community of participants;</w:t>
      </w:r>
      <w:r w:rsidRPr="00B479AE">
        <w:rPr>
          <w:rFonts w:ascii="Baskerville Old Face" w:hAnsi="Baskerville Old Face"/>
          <w:i/>
          <w:iCs/>
        </w:rPr>
        <w:br/>
        <w:t>• a shared practice;</w:t>
      </w:r>
      <w:r w:rsidRPr="00B479AE">
        <w:rPr>
          <w:rFonts w:ascii="Baskerville Old Face" w:hAnsi="Baskerville Old Face"/>
          <w:i/>
          <w:iCs/>
        </w:rPr>
        <w:br/>
        <w:t>• rituals of learning;</w:t>
      </w:r>
      <w:r w:rsidRPr="00B479AE">
        <w:rPr>
          <w:rFonts w:ascii="Baskerville Old Face" w:hAnsi="Baskerville Old Face"/>
          <w:i/>
          <w:iCs/>
        </w:rPr>
        <w:br/>
        <w:t>• peer feedback;</w:t>
      </w:r>
      <w:r w:rsidRPr="00B479AE">
        <w:rPr>
          <w:rFonts w:ascii="Baskerville Old Face" w:hAnsi="Baskerville Old Face"/>
          <w:i/>
          <w:iCs/>
        </w:rPr>
        <w:br/>
        <w:t>• memory of decisions;</w:t>
      </w:r>
      <w:r w:rsidRPr="00B479AE">
        <w:rPr>
          <w:rFonts w:ascii="Baskerville Old Face" w:hAnsi="Baskerville Old Face"/>
          <w:i/>
          <w:iCs/>
        </w:rPr>
        <w:br/>
        <w:t>• documentation of lessons;</w:t>
      </w:r>
      <w:r w:rsidRPr="00B479AE">
        <w:rPr>
          <w:rFonts w:ascii="Baskerville Old Face" w:hAnsi="Baskerville Old Face"/>
          <w:i/>
          <w:iCs/>
        </w:rPr>
        <w:br/>
        <w:t>• apprenticeship pathways;</w:t>
      </w:r>
      <w:r w:rsidRPr="00B479AE">
        <w:rPr>
          <w:rFonts w:ascii="Baskerville Old Face" w:hAnsi="Baskerville Old Face"/>
          <w:i/>
          <w:iCs/>
        </w:rPr>
        <w:br/>
        <w:t>• onboarding and mentoring;</w:t>
      </w:r>
      <w:r w:rsidRPr="00B479AE">
        <w:rPr>
          <w:rFonts w:ascii="Baskerville Old Face" w:hAnsi="Baskerville Old Face"/>
          <w:i/>
          <w:iCs/>
        </w:rPr>
        <w:br/>
        <w:t>• regular reflection.</w:t>
      </w:r>
    </w:p>
    <w:p w14:paraId="52EB6F2B"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Learning is not an accessory.</w:t>
      </w:r>
    </w:p>
    <w:p w14:paraId="2D14B098"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Learning is how a community evolves without drifting.</w:t>
      </w:r>
    </w:p>
    <w:p w14:paraId="0DC7873F"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lastRenderedPageBreak/>
        <w:t>A community that does not learn becomes performative.</w:t>
      </w:r>
    </w:p>
    <w:p w14:paraId="3A9C2F10"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community that learns without memory repeats mistakes.</w:t>
      </w:r>
    </w:p>
    <w:p w14:paraId="14C654FA"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community that remembers without adapting becomes rigid.</w:t>
      </w:r>
    </w:p>
    <w:p w14:paraId="17B6BE55"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Prometheus therefore requires learning loops:</w:t>
      </w:r>
    </w:p>
    <w:p w14:paraId="58B08F9B"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practice;</w:t>
      </w:r>
      <w:r w:rsidRPr="00B479AE">
        <w:rPr>
          <w:rFonts w:ascii="Baskerville Old Face" w:hAnsi="Baskerville Old Face"/>
          <w:i/>
          <w:iCs/>
        </w:rPr>
        <w:br/>
        <w:t>reflection;</w:t>
      </w:r>
      <w:r w:rsidRPr="00B479AE">
        <w:rPr>
          <w:rFonts w:ascii="Baskerville Old Face" w:hAnsi="Baskerville Old Face"/>
          <w:i/>
          <w:iCs/>
        </w:rPr>
        <w:br/>
        <w:t>documentation;</w:t>
      </w:r>
      <w:r w:rsidRPr="00B479AE">
        <w:rPr>
          <w:rFonts w:ascii="Baskerville Old Face" w:hAnsi="Baskerville Old Face"/>
          <w:i/>
          <w:iCs/>
        </w:rPr>
        <w:br/>
        <w:t>adaptation;</w:t>
      </w:r>
      <w:r w:rsidRPr="00B479AE">
        <w:rPr>
          <w:rFonts w:ascii="Baskerville Old Face" w:hAnsi="Baskerville Old Face"/>
          <w:i/>
          <w:iCs/>
        </w:rPr>
        <w:br/>
        <w:t>new practice.</w:t>
      </w:r>
    </w:p>
    <w:p w14:paraId="7F590E79" w14:textId="77777777" w:rsidR="00A84C22" w:rsidRPr="00B479AE" w:rsidRDefault="00A84C22" w:rsidP="00A84C22">
      <w:pPr>
        <w:spacing w:line="360" w:lineRule="auto"/>
        <w:rPr>
          <w:rFonts w:ascii="Baskerville Old Face" w:hAnsi="Baskerville Old Face"/>
          <w:b/>
          <w:bCs/>
          <w:i/>
          <w:iCs/>
        </w:rPr>
      </w:pPr>
      <w:r w:rsidRPr="00B479AE">
        <w:rPr>
          <w:rFonts w:ascii="Baskerville Old Face" w:hAnsi="Baskerville Old Face"/>
          <w:b/>
          <w:bCs/>
          <w:i/>
          <w:iCs/>
        </w:rPr>
        <w:t>12. Ritual as Governance Infrastructure</w:t>
      </w:r>
    </w:p>
    <w:p w14:paraId="168D37B6"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Ritual is governance made visible.</w:t>
      </w:r>
    </w:p>
    <w:p w14:paraId="429F0F6B"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structures attention, transition, belonging, commitment, memory, grief, celebration, and renewal.</w:t>
      </w:r>
    </w:p>
    <w:p w14:paraId="6B1F4E97" w14:textId="38E99667" w:rsidR="00A84C22" w:rsidRDefault="00A84C22" w:rsidP="00A84C22">
      <w:pPr>
        <w:spacing w:line="360" w:lineRule="auto"/>
        <w:rPr>
          <w:rFonts w:ascii="Baskerville Old Face" w:hAnsi="Baskerville Old Face"/>
          <w:i/>
          <w:iCs/>
        </w:rPr>
      </w:pPr>
      <w:r w:rsidRPr="00B479AE">
        <w:rPr>
          <w:rFonts w:ascii="Baskerville Old Face" w:hAnsi="Baskerville Old Face"/>
          <w:i/>
          <w:iCs/>
        </w:rPr>
        <w:t>Prometheus communities may use simple, repeatable rituals.</w:t>
      </w:r>
      <w:r w:rsidR="007C5DB8" w:rsidRPr="00B479AE">
        <w:rPr>
          <w:rFonts w:ascii="Baskerville Old Face" w:hAnsi="Baskerville Old Face"/>
          <w:i/>
          <w:iCs/>
        </w:rPr>
        <w:t xml:space="preserve"> </w:t>
      </w:r>
    </w:p>
    <w:p w14:paraId="5DB4C0F5" w14:textId="77777777" w:rsidR="00EA0E80" w:rsidRDefault="00EA0E80" w:rsidP="00A84C22">
      <w:pPr>
        <w:spacing w:line="360" w:lineRule="auto"/>
        <w:rPr>
          <w:rFonts w:ascii="Baskerville Old Face" w:hAnsi="Baskerville Old Face"/>
          <w:i/>
          <w:iCs/>
        </w:rPr>
      </w:pPr>
    </w:p>
    <w:p w14:paraId="1DC02E8E" w14:textId="77777777" w:rsidR="00EA0E80" w:rsidRDefault="00EA0E80" w:rsidP="00A84C22">
      <w:pPr>
        <w:spacing w:line="360" w:lineRule="auto"/>
        <w:rPr>
          <w:rFonts w:ascii="Baskerville Old Face" w:hAnsi="Baskerville Old Face"/>
          <w:i/>
          <w:iCs/>
        </w:rPr>
      </w:pPr>
    </w:p>
    <w:p w14:paraId="13B6EB24" w14:textId="77777777" w:rsidR="00EA0E80" w:rsidRDefault="00EA0E80" w:rsidP="00A84C22">
      <w:pPr>
        <w:spacing w:line="360" w:lineRule="auto"/>
        <w:rPr>
          <w:rFonts w:ascii="Baskerville Old Face" w:hAnsi="Baskerville Old Face"/>
          <w:i/>
          <w:iCs/>
        </w:rPr>
      </w:pPr>
    </w:p>
    <w:p w14:paraId="7B065865" w14:textId="77777777" w:rsidR="00EA0E80" w:rsidRPr="00B479AE" w:rsidRDefault="00EA0E80" w:rsidP="00A84C22">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2"/>
        <w:gridCol w:w="4849"/>
        <w:gridCol w:w="2847"/>
      </w:tblGrid>
      <w:tr w:rsidR="00A84C22" w:rsidRPr="00B479AE" w14:paraId="4ABC001F" w14:textId="77777777" w:rsidTr="007C5DB8">
        <w:trPr>
          <w:tblHeader/>
          <w:tblCellSpacing w:w="15" w:type="dxa"/>
        </w:trPr>
        <w:tc>
          <w:tcPr>
            <w:tcW w:w="0" w:type="auto"/>
            <w:vAlign w:val="center"/>
            <w:hideMark/>
          </w:tcPr>
          <w:p w14:paraId="2B16E514" w14:textId="77777777" w:rsidR="00A84C22" w:rsidRPr="00B479AE" w:rsidRDefault="00A84C22" w:rsidP="00A84C2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Ritual</w:t>
            </w:r>
          </w:p>
        </w:tc>
        <w:tc>
          <w:tcPr>
            <w:tcW w:w="0" w:type="auto"/>
            <w:vAlign w:val="center"/>
            <w:hideMark/>
          </w:tcPr>
          <w:p w14:paraId="285EEB3C" w14:textId="77777777" w:rsidR="00A84C22" w:rsidRPr="00B479AE" w:rsidRDefault="00A84C22" w:rsidP="00A84C2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Question</w:t>
            </w:r>
          </w:p>
        </w:tc>
        <w:tc>
          <w:tcPr>
            <w:tcW w:w="0" w:type="auto"/>
            <w:vAlign w:val="center"/>
            <w:hideMark/>
          </w:tcPr>
          <w:p w14:paraId="5C7334C3" w14:textId="77777777" w:rsidR="00A84C22" w:rsidRPr="00B479AE" w:rsidRDefault="00A84C22" w:rsidP="00A84C2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Governance function</w:t>
            </w:r>
          </w:p>
        </w:tc>
      </w:tr>
      <w:tr w:rsidR="00A84C22" w:rsidRPr="00B479AE" w14:paraId="03F2B540" w14:textId="77777777" w:rsidTr="007C5DB8">
        <w:trPr>
          <w:tblCellSpacing w:w="15" w:type="dxa"/>
        </w:trPr>
        <w:tc>
          <w:tcPr>
            <w:tcW w:w="0" w:type="auto"/>
            <w:vAlign w:val="center"/>
            <w:hideMark/>
          </w:tcPr>
          <w:p w14:paraId="295D7297"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Opening check-in</w:t>
            </w:r>
          </w:p>
        </w:tc>
        <w:tc>
          <w:tcPr>
            <w:tcW w:w="0" w:type="auto"/>
            <w:vAlign w:val="center"/>
            <w:hideMark/>
          </w:tcPr>
          <w:p w14:paraId="0101CFB8"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With what energy do I enter today?</w:t>
            </w:r>
          </w:p>
        </w:tc>
        <w:tc>
          <w:tcPr>
            <w:tcW w:w="0" w:type="auto"/>
            <w:vAlign w:val="center"/>
            <w:hideMark/>
          </w:tcPr>
          <w:p w14:paraId="3D8A768C"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Makes the relational field visible.</w:t>
            </w:r>
          </w:p>
        </w:tc>
      </w:tr>
      <w:tr w:rsidR="00A84C22" w:rsidRPr="00B479AE" w14:paraId="5136C167" w14:textId="77777777" w:rsidTr="007C5DB8">
        <w:trPr>
          <w:tblCellSpacing w:w="15" w:type="dxa"/>
        </w:trPr>
        <w:tc>
          <w:tcPr>
            <w:tcW w:w="0" w:type="auto"/>
            <w:vAlign w:val="center"/>
            <w:hideMark/>
          </w:tcPr>
          <w:p w14:paraId="112015C5"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Purpose reminder</w:t>
            </w:r>
          </w:p>
        </w:tc>
        <w:tc>
          <w:tcPr>
            <w:tcW w:w="0" w:type="auto"/>
            <w:vAlign w:val="center"/>
            <w:hideMark/>
          </w:tcPr>
          <w:p w14:paraId="16EFDEEA"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Why are we gathered?</w:t>
            </w:r>
          </w:p>
        </w:tc>
        <w:tc>
          <w:tcPr>
            <w:tcW w:w="0" w:type="auto"/>
            <w:vAlign w:val="center"/>
            <w:hideMark/>
          </w:tcPr>
          <w:p w14:paraId="0B478144"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Aligns attention before action.</w:t>
            </w:r>
          </w:p>
        </w:tc>
      </w:tr>
      <w:tr w:rsidR="00A84C22" w:rsidRPr="00B479AE" w14:paraId="16640D5D" w14:textId="77777777" w:rsidTr="007C5DB8">
        <w:trPr>
          <w:tblCellSpacing w:w="15" w:type="dxa"/>
        </w:trPr>
        <w:tc>
          <w:tcPr>
            <w:tcW w:w="0" w:type="auto"/>
            <w:vAlign w:val="center"/>
            <w:hideMark/>
          </w:tcPr>
          <w:p w14:paraId="3CA672FF"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Consent round</w:t>
            </w:r>
          </w:p>
        </w:tc>
        <w:tc>
          <w:tcPr>
            <w:tcW w:w="0" w:type="auto"/>
            <w:vAlign w:val="center"/>
            <w:hideMark/>
          </w:tcPr>
          <w:p w14:paraId="58966DA9"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Is there a reasoned objection?</w:t>
            </w:r>
          </w:p>
        </w:tc>
        <w:tc>
          <w:tcPr>
            <w:tcW w:w="0" w:type="auto"/>
            <w:vAlign w:val="center"/>
            <w:hideMark/>
          </w:tcPr>
          <w:p w14:paraId="1DF9E21C"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Converts dissent into intelligence.</w:t>
            </w:r>
          </w:p>
        </w:tc>
      </w:tr>
      <w:tr w:rsidR="00A84C22" w:rsidRPr="00B479AE" w14:paraId="388DC3C0" w14:textId="77777777" w:rsidTr="007C5DB8">
        <w:trPr>
          <w:tblCellSpacing w:w="15" w:type="dxa"/>
        </w:trPr>
        <w:tc>
          <w:tcPr>
            <w:tcW w:w="0" w:type="auto"/>
            <w:vAlign w:val="center"/>
            <w:hideMark/>
          </w:tcPr>
          <w:p w14:paraId="17615D50"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lastRenderedPageBreak/>
              <w:t>Commitment round</w:t>
            </w:r>
          </w:p>
        </w:tc>
        <w:tc>
          <w:tcPr>
            <w:tcW w:w="0" w:type="auto"/>
            <w:vAlign w:val="center"/>
            <w:hideMark/>
          </w:tcPr>
          <w:p w14:paraId="0D458634"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Who does what by when?</w:t>
            </w:r>
          </w:p>
        </w:tc>
        <w:tc>
          <w:tcPr>
            <w:tcW w:w="0" w:type="auto"/>
            <w:vAlign w:val="center"/>
            <w:hideMark/>
          </w:tcPr>
          <w:p w14:paraId="3F3A3EF3"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Converts talk into accountability.</w:t>
            </w:r>
          </w:p>
        </w:tc>
      </w:tr>
      <w:tr w:rsidR="00A84C22" w:rsidRPr="00B479AE" w14:paraId="47C0E0D3" w14:textId="77777777" w:rsidTr="007C5DB8">
        <w:trPr>
          <w:tblCellSpacing w:w="15" w:type="dxa"/>
        </w:trPr>
        <w:tc>
          <w:tcPr>
            <w:tcW w:w="0" w:type="auto"/>
            <w:vAlign w:val="center"/>
            <w:hideMark/>
          </w:tcPr>
          <w:p w14:paraId="319B5D90"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Evidence check</w:t>
            </w:r>
          </w:p>
        </w:tc>
        <w:tc>
          <w:tcPr>
            <w:tcW w:w="0" w:type="auto"/>
            <w:vAlign w:val="center"/>
            <w:hideMark/>
          </w:tcPr>
          <w:p w14:paraId="30613BB9"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What do we know, assume, and still need to verify?</w:t>
            </w:r>
          </w:p>
        </w:tc>
        <w:tc>
          <w:tcPr>
            <w:tcW w:w="0" w:type="auto"/>
            <w:vAlign w:val="center"/>
            <w:hideMark/>
          </w:tcPr>
          <w:p w14:paraId="1D3CFCF4"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Protects evidence-before-value.</w:t>
            </w:r>
          </w:p>
        </w:tc>
      </w:tr>
      <w:tr w:rsidR="00A84C22" w:rsidRPr="00B479AE" w14:paraId="7155E48C" w14:textId="77777777" w:rsidTr="007C5DB8">
        <w:trPr>
          <w:tblCellSpacing w:w="15" w:type="dxa"/>
        </w:trPr>
        <w:tc>
          <w:tcPr>
            <w:tcW w:w="0" w:type="auto"/>
            <w:vAlign w:val="center"/>
            <w:hideMark/>
          </w:tcPr>
          <w:p w14:paraId="4D7DE3BB"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Closing reflection</w:t>
            </w:r>
          </w:p>
        </w:tc>
        <w:tc>
          <w:tcPr>
            <w:tcW w:w="0" w:type="auto"/>
            <w:vAlign w:val="center"/>
            <w:hideMark/>
          </w:tcPr>
          <w:p w14:paraId="7196580B"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What do I take, and what do I return?</w:t>
            </w:r>
          </w:p>
        </w:tc>
        <w:tc>
          <w:tcPr>
            <w:tcW w:w="0" w:type="auto"/>
            <w:vAlign w:val="center"/>
            <w:hideMark/>
          </w:tcPr>
          <w:p w14:paraId="2FBC9968"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Completes the social exchange.</w:t>
            </w:r>
          </w:p>
        </w:tc>
      </w:tr>
      <w:tr w:rsidR="00A84C22" w:rsidRPr="00B479AE" w14:paraId="566ECF5B" w14:textId="77777777" w:rsidTr="007C5DB8">
        <w:trPr>
          <w:tblCellSpacing w:w="15" w:type="dxa"/>
        </w:trPr>
        <w:tc>
          <w:tcPr>
            <w:tcW w:w="0" w:type="auto"/>
            <w:vAlign w:val="center"/>
            <w:hideMark/>
          </w:tcPr>
          <w:p w14:paraId="072DD0CA"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Monthly retrospective</w:t>
            </w:r>
          </w:p>
        </w:tc>
        <w:tc>
          <w:tcPr>
            <w:tcW w:w="0" w:type="auto"/>
            <w:vAlign w:val="center"/>
            <w:hideMark/>
          </w:tcPr>
          <w:p w14:paraId="03AF87AA"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What gave energy, what drained energy, what must change?</w:t>
            </w:r>
          </w:p>
        </w:tc>
        <w:tc>
          <w:tcPr>
            <w:tcW w:w="0" w:type="auto"/>
            <w:vAlign w:val="center"/>
            <w:hideMark/>
          </w:tcPr>
          <w:p w14:paraId="7FF433A9"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Supports adaptation.</w:t>
            </w:r>
          </w:p>
        </w:tc>
      </w:tr>
      <w:tr w:rsidR="00A84C22" w:rsidRPr="00B479AE" w14:paraId="63767376" w14:textId="77777777" w:rsidTr="007C5DB8">
        <w:trPr>
          <w:tblCellSpacing w:w="15" w:type="dxa"/>
        </w:trPr>
        <w:tc>
          <w:tcPr>
            <w:tcW w:w="0" w:type="auto"/>
            <w:vAlign w:val="center"/>
            <w:hideMark/>
          </w:tcPr>
          <w:p w14:paraId="7415C4BA"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Seasonal review</w:t>
            </w:r>
          </w:p>
        </w:tc>
        <w:tc>
          <w:tcPr>
            <w:tcW w:w="0" w:type="auto"/>
            <w:vAlign w:val="center"/>
            <w:hideMark/>
          </w:tcPr>
          <w:p w14:paraId="0228F847"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What should continue, stop, compost, or regenerate?</w:t>
            </w:r>
          </w:p>
        </w:tc>
        <w:tc>
          <w:tcPr>
            <w:tcW w:w="0" w:type="auto"/>
            <w:vAlign w:val="center"/>
            <w:hideMark/>
          </w:tcPr>
          <w:p w14:paraId="78C97410"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Prevents stagnation.</w:t>
            </w:r>
          </w:p>
        </w:tc>
      </w:tr>
      <w:tr w:rsidR="00A84C22" w:rsidRPr="00B479AE" w14:paraId="54D5DC59" w14:textId="77777777" w:rsidTr="007C5DB8">
        <w:trPr>
          <w:tblCellSpacing w:w="15" w:type="dxa"/>
        </w:trPr>
        <w:tc>
          <w:tcPr>
            <w:tcW w:w="0" w:type="auto"/>
            <w:vAlign w:val="center"/>
            <w:hideMark/>
          </w:tcPr>
          <w:p w14:paraId="52386B21"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Annual renewal</w:t>
            </w:r>
          </w:p>
        </w:tc>
        <w:tc>
          <w:tcPr>
            <w:tcW w:w="0" w:type="auto"/>
            <w:vAlign w:val="center"/>
            <w:hideMark/>
          </w:tcPr>
          <w:p w14:paraId="5972B517"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Are we still serving the purpose?</w:t>
            </w:r>
          </w:p>
        </w:tc>
        <w:tc>
          <w:tcPr>
            <w:tcW w:w="0" w:type="auto"/>
            <w:vAlign w:val="center"/>
            <w:hideMark/>
          </w:tcPr>
          <w:p w14:paraId="209A26F9"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Tests existential relevance.</w:t>
            </w:r>
          </w:p>
        </w:tc>
      </w:tr>
    </w:tbl>
    <w:p w14:paraId="2B731D85"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Ritual without responsibility becomes theater.</w:t>
      </w:r>
    </w:p>
    <w:p w14:paraId="7A405353"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Responsibility without ritual becomes dry administration.</w:t>
      </w:r>
    </w:p>
    <w:p w14:paraId="10C99975"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Prometheus requires both.</w:t>
      </w:r>
    </w:p>
    <w:p w14:paraId="1C760723" w14:textId="77777777" w:rsidR="00A84C22" w:rsidRPr="00B479AE" w:rsidRDefault="00A84C22" w:rsidP="00A84C22">
      <w:pPr>
        <w:spacing w:line="360" w:lineRule="auto"/>
        <w:rPr>
          <w:rFonts w:ascii="Baskerville Old Face" w:hAnsi="Baskerville Old Face"/>
          <w:b/>
          <w:bCs/>
          <w:i/>
          <w:iCs/>
        </w:rPr>
      </w:pPr>
      <w:r w:rsidRPr="00B479AE">
        <w:rPr>
          <w:rFonts w:ascii="Baskerville Old Face" w:hAnsi="Baskerville Old Face"/>
          <w:b/>
          <w:bCs/>
          <w:i/>
          <w:iCs/>
        </w:rPr>
        <w:t>13. Tribal Health Scorecard</w:t>
      </w:r>
    </w:p>
    <w:p w14:paraId="76FC77F1"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Each Tribe or circle should maintain a lightweight health scorecard.</w:t>
      </w:r>
    </w:p>
    <w:p w14:paraId="4E925B86"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This is not surveillance.</w:t>
      </w:r>
    </w:p>
    <w:p w14:paraId="5FCE1100"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is a mirror.</w:t>
      </w:r>
    </w:p>
    <w:p w14:paraId="7F6F075C"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helps the community see its own field.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8"/>
        <w:gridCol w:w="5917"/>
      </w:tblGrid>
      <w:tr w:rsidR="00A84C22" w:rsidRPr="00B479AE" w14:paraId="5EFE6716" w14:textId="77777777" w:rsidTr="007C5DB8">
        <w:trPr>
          <w:tblHeader/>
          <w:tblCellSpacing w:w="15" w:type="dxa"/>
        </w:trPr>
        <w:tc>
          <w:tcPr>
            <w:tcW w:w="0" w:type="auto"/>
            <w:vAlign w:val="center"/>
            <w:hideMark/>
          </w:tcPr>
          <w:p w14:paraId="617A56DF" w14:textId="77777777" w:rsidR="00A84C22" w:rsidRPr="00B479AE" w:rsidRDefault="00A84C22" w:rsidP="00A84C2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Indicator</w:t>
            </w:r>
          </w:p>
        </w:tc>
        <w:tc>
          <w:tcPr>
            <w:tcW w:w="0" w:type="auto"/>
            <w:vAlign w:val="center"/>
            <w:hideMark/>
          </w:tcPr>
          <w:p w14:paraId="2D638BFE" w14:textId="77777777" w:rsidR="00A84C22" w:rsidRPr="00B479AE" w:rsidRDefault="00A84C22" w:rsidP="00A84C2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Guiding question</w:t>
            </w:r>
          </w:p>
        </w:tc>
      </w:tr>
      <w:tr w:rsidR="00A84C22" w:rsidRPr="00B479AE" w14:paraId="191E7BB2" w14:textId="77777777" w:rsidTr="007C5DB8">
        <w:trPr>
          <w:tblCellSpacing w:w="15" w:type="dxa"/>
        </w:trPr>
        <w:tc>
          <w:tcPr>
            <w:tcW w:w="0" w:type="auto"/>
            <w:vAlign w:val="center"/>
            <w:hideMark/>
          </w:tcPr>
          <w:p w14:paraId="60C5B2B2"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Purpose clarity</w:t>
            </w:r>
          </w:p>
        </w:tc>
        <w:tc>
          <w:tcPr>
            <w:tcW w:w="0" w:type="auto"/>
            <w:vAlign w:val="center"/>
            <w:hideMark/>
          </w:tcPr>
          <w:p w14:paraId="1B655299"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Do we know why this community exists?</w:t>
            </w:r>
          </w:p>
        </w:tc>
      </w:tr>
      <w:tr w:rsidR="00A84C22" w:rsidRPr="00B479AE" w14:paraId="64F397E8" w14:textId="77777777" w:rsidTr="007C5DB8">
        <w:trPr>
          <w:tblCellSpacing w:w="15" w:type="dxa"/>
        </w:trPr>
        <w:tc>
          <w:tcPr>
            <w:tcW w:w="0" w:type="auto"/>
            <w:vAlign w:val="center"/>
            <w:hideMark/>
          </w:tcPr>
          <w:p w14:paraId="417C1369"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Field quality</w:t>
            </w:r>
          </w:p>
        </w:tc>
        <w:tc>
          <w:tcPr>
            <w:tcW w:w="0" w:type="auto"/>
            <w:vAlign w:val="center"/>
            <w:hideMark/>
          </w:tcPr>
          <w:p w14:paraId="50018261"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Can people speak honestly and respectfully?</w:t>
            </w:r>
          </w:p>
        </w:tc>
      </w:tr>
      <w:tr w:rsidR="00A84C22" w:rsidRPr="00B479AE" w14:paraId="25914F00" w14:textId="77777777" w:rsidTr="007C5DB8">
        <w:trPr>
          <w:tblCellSpacing w:w="15" w:type="dxa"/>
        </w:trPr>
        <w:tc>
          <w:tcPr>
            <w:tcW w:w="0" w:type="auto"/>
            <w:vAlign w:val="center"/>
            <w:hideMark/>
          </w:tcPr>
          <w:p w14:paraId="701782DC"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Rhythm</w:t>
            </w:r>
          </w:p>
        </w:tc>
        <w:tc>
          <w:tcPr>
            <w:tcW w:w="0" w:type="auto"/>
            <w:vAlign w:val="center"/>
            <w:hideMark/>
          </w:tcPr>
          <w:p w14:paraId="51041B1F"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Do we meet and follow up consistently?</w:t>
            </w:r>
          </w:p>
        </w:tc>
      </w:tr>
      <w:tr w:rsidR="00A84C22" w:rsidRPr="00B479AE" w14:paraId="5609D48A" w14:textId="77777777" w:rsidTr="007C5DB8">
        <w:trPr>
          <w:tblCellSpacing w:w="15" w:type="dxa"/>
        </w:trPr>
        <w:tc>
          <w:tcPr>
            <w:tcW w:w="0" w:type="auto"/>
            <w:vAlign w:val="center"/>
            <w:hideMark/>
          </w:tcPr>
          <w:p w14:paraId="52908B90"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lastRenderedPageBreak/>
              <w:t>Participation</w:t>
            </w:r>
          </w:p>
        </w:tc>
        <w:tc>
          <w:tcPr>
            <w:tcW w:w="0" w:type="auto"/>
            <w:vAlign w:val="center"/>
            <w:hideMark/>
          </w:tcPr>
          <w:p w14:paraId="0E4707FB"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Are members contributing meaningfully?</w:t>
            </w:r>
          </w:p>
        </w:tc>
      </w:tr>
      <w:tr w:rsidR="00A84C22" w:rsidRPr="00B479AE" w14:paraId="76F3CAA3" w14:textId="77777777" w:rsidTr="007C5DB8">
        <w:trPr>
          <w:tblCellSpacing w:w="15" w:type="dxa"/>
        </w:trPr>
        <w:tc>
          <w:tcPr>
            <w:tcW w:w="0" w:type="auto"/>
            <w:vAlign w:val="center"/>
            <w:hideMark/>
          </w:tcPr>
          <w:p w14:paraId="522BA05A"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Trust</w:t>
            </w:r>
          </w:p>
        </w:tc>
        <w:tc>
          <w:tcPr>
            <w:tcW w:w="0" w:type="auto"/>
            <w:vAlign w:val="center"/>
            <w:hideMark/>
          </w:tcPr>
          <w:p w14:paraId="6EB37DF3"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Can disagreement happen without fear?</w:t>
            </w:r>
          </w:p>
        </w:tc>
      </w:tr>
      <w:tr w:rsidR="00A84C22" w:rsidRPr="00B479AE" w14:paraId="21A5C6D8" w14:textId="77777777" w:rsidTr="007C5DB8">
        <w:trPr>
          <w:tblCellSpacing w:w="15" w:type="dxa"/>
        </w:trPr>
        <w:tc>
          <w:tcPr>
            <w:tcW w:w="0" w:type="auto"/>
            <w:vAlign w:val="center"/>
            <w:hideMark/>
          </w:tcPr>
          <w:p w14:paraId="01B1B6B2"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Learning</w:t>
            </w:r>
          </w:p>
        </w:tc>
        <w:tc>
          <w:tcPr>
            <w:tcW w:w="0" w:type="auto"/>
            <w:vAlign w:val="center"/>
            <w:hideMark/>
          </w:tcPr>
          <w:p w14:paraId="19BA784C"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Are we becoming more capable together?</w:t>
            </w:r>
          </w:p>
        </w:tc>
      </w:tr>
      <w:tr w:rsidR="00A84C22" w:rsidRPr="00B479AE" w14:paraId="1A4523D1" w14:textId="77777777" w:rsidTr="007C5DB8">
        <w:trPr>
          <w:tblCellSpacing w:w="15" w:type="dxa"/>
        </w:trPr>
        <w:tc>
          <w:tcPr>
            <w:tcW w:w="0" w:type="auto"/>
            <w:vAlign w:val="center"/>
            <w:hideMark/>
          </w:tcPr>
          <w:p w14:paraId="6FC9FEAB"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Connection</w:t>
            </w:r>
          </w:p>
        </w:tc>
        <w:tc>
          <w:tcPr>
            <w:tcW w:w="0" w:type="auto"/>
            <w:vAlign w:val="center"/>
            <w:hideMark/>
          </w:tcPr>
          <w:p w14:paraId="333BDAC9"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Are relationships deepening and becoming useful?</w:t>
            </w:r>
          </w:p>
        </w:tc>
      </w:tr>
      <w:tr w:rsidR="00A84C22" w:rsidRPr="00B479AE" w14:paraId="50517ED6" w14:textId="77777777" w:rsidTr="007C5DB8">
        <w:trPr>
          <w:tblCellSpacing w:w="15" w:type="dxa"/>
        </w:trPr>
        <w:tc>
          <w:tcPr>
            <w:tcW w:w="0" w:type="auto"/>
            <w:vAlign w:val="center"/>
            <w:hideMark/>
          </w:tcPr>
          <w:p w14:paraId="697BD7C0"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Integrity</w:t>
            </w:r>
          </w:p>
        </w:tc>
        <w:tc>
          <w:tcPr>
            <w:tcW w:w="0" w:type="auto"/>
            <w:vAlign w:val="center"/>
            <w:hideMark/>
          </w:tcPr>
          <w:p w14:paraId="4F10BDE3"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Are words, decisions, and actions aligned?</w:t>
            </w:r>
          </w:p>
        </w:tc>
      </w:tr>
      <w:tr w:rsidR="00A84C22" w:rsidRPr="00B479AE" w14:paraId="52146936" w14:textId="77777777" w:rsidTr="007C5DB8">
        <w:trPr>
          <w:tblCellSpacing w:w="15" w:type="dxa"/>
        </w:trPr>
        <w:tc>
          <w:tcPr>
            <w:tcW w:w="0" w:type="auto"/>
            <w:vAlign w:val="center"/>
            <w:hideMark/>
          </w:tcPr>
          <w:p w14:paraId="617BBB9F"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Conflict metabolism</w:t>
            </w:r>
          </w:p>
        </w:tc>
        <w:tc>
          <w:tcPr>
            <w:tcW w:w="0" w:type="auto"/>
            <w:vAlign w:val="center"/>
            <w:hideMark/>
          </w:tcPr>
          <w:p w14:paraId="62D9A178"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Do we repair tension before it becomes fracture?</w:t>
            </w:r>
          </w:p>
        </w:tc>
      </w:tr>
      <w:tr w:rsidR="00A84C22" w:rsidRPr="00B479AE" w14:paraId="6115CD7B" w14:textId="77777777" w:rsidTr="007C5DB8">
        <w:trPr>
          <w:tblCellSpacing w:w="15" w:type="dxa"/>
        </w:trPr>
        <w:tc>
          <w:tcPr>
            <w:tcW w:w="0" w:type="auto"/>
            <w:vAlign w:val="center"/>
            <w:hideMark/>
          </w:tcPr>
          <w:p w14:paraId="741516AE"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Evidence discipline</w:t>
            </w:r>
          </w:p>
        </w:tc>
        <w:tc>
          <w:tcPr>
            <w:tcW w:w="0" w:type="auto"/>
            <w:vAlign w:val="center"/>
            <w:hideMark/>
          </w:tcPr>
          <w:p w14:paraId="6813F7C9"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Do we distinguish claim, observation, evidence, and verified result?</w:t>
            </w:r>
          </w:p>
        </w:tc>
      </w:tr>
      <w:tr w:rsidR="00A84C22" w:rsidRPr="00B479AE" w14:paraId="2664C43F" w14:textId="77777777" w:rsidTr="007C5DB8">
        <w:trPr>
          <w:tblCellSpacing w:w="15" w:type="dxa"/>
        </w:trPr>
        <w:tc>
          <w:tcPr>
            <w:tcW w:w="0" w:type="auto"/>
            <w:vAlign w:val="center"/>
            <w:hideMark/>
          </w:tcPr>
          <w:p w14:paraId="1C78E45E"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Impact</w:t>
            </w:r>
          </w:p>
        </w:tc>
        <w:tc>
          <w:tcPr>
            <w:tcW w:w="0" w:type="auto"/>
            <w:vAlign w:val="center"/>
            <w:hideMark/>
          </w:tcPr>
          <w:p w14:paraId="64DDA737"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Are we producing real effects beyond conversation?</w:t>
            </w:r>
          </w:p>
        </w:tc>
      </w:tr>
      <w:tr w:rsidR="00A84C22" w:rsidRPr="00B479AE" w14:paraId="78190D8E" w14:textId="77777777" w:rsidTr="007C5DB8">
        <w:trPr>
          <w:tblCellSpacing w:w="15" w:type="dxa"/>
        </w:trPr>
        <w:tc>
          <w:tcPr>
            <w:tcW w:w="0" w:type="auto"/>
            <w:vAlign w:val="center"/>
            <w:hideMark/>
          </w:tcPr>
          <w:p w14:paraId="02C96182"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Regeneration</w:t>
            </w:r>
          </w:p>
        </w:tc>
        <w:tc>
          <w:tcPr>
            <w:tcW w:w="0" w:type="auto"/>
            <w:vAlign w:val="center"/>
            <w:hideMark/>
          </w:tcPr>
          <w:p w14:paraId="02AE69AF"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Are people and living systems more alive after participation?</w:t>
            </w:r>
          </w:p>
        </w:tc>
      </w:tr>
    </w:tbl>
    <w:p w14:paraId="7429ED26"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simple scale may be used:</w:t>
      </w:r>
    </w:p>
    <w:p w14:paraId="077BCB03"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1 — fragile;</w:t>
      </w:r>
      <w:r w:rsidRPr="00B479AE">
        <w:rPr>
          <w:rFonts w:ascii="Baskerville Old Face" w:hAnsi="Baskerville Old Face"/>
          <w:i/>
          <w:iCs/>
        </w:rPr>
        <w:br/>
        <w:t>2 — weak;</w:t>
      </w:r>
      <w:r w:rsidRPr="00B479AE">
        <w:rPr>
          <w:rFonts w:ascii="Baskerville Old Face" w:hAnsi="Baskerville Old Face"/>
          <w:i/>
          <w:iCs/>
        </w:rPr>
        <w:br/>
        <w:t>3 — functional;</w:t>
      </w:r>
      <w:r w:rsidRPr="00B479AE">
        <w:rPr>
          <w:rFonts w:ascii="Baskerville Old Face" w:hAnsi="Baskerville Old Face"/>
          <w:i/>
          <w:iCs/>
        </w:rPr>
        <w:br/>
        <w:t>4 — healthy;</w:t>
      </w:r>
      <w:r w:rsidRPr="00B479AE">
        <w:rPr>
          <w:rFonts w:ascii="Baskerville Old Face" w:hAnsi="Baskerville Old Face"/>
          <w:i/>
          <w:iCs/>
        </w:rPr>
        <w:br/>
        <w:t>5 — generative.</w:t>
      </w:r>
    </w:p>
    <w:p w14:paraId="3327DD79"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If a community scores below 3 in the same dimension for two consecutive cycles, it should enter assisted regeneration.</w:t>
      </w:r>
    </w:p>
    <w:p w14:paraId="1B684B51"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Assisted regeneration may include facilitation, role reset, conflict review, purpose clarification, rhythm redesign, evidence review, or temporary pause.</w:t>
      </w:r>
    </w:p>
    <w:p w14:paraId="0B1E2C89"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This is maintenance of the social organism.</w:t>
      </w:r>
    </w:p>
    <w:p w14:paraId="1F9F2989"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Not failure.</w:t>
      </w:r>
    </w:p>
    <w:p w14:paraId="544BBE59" w14:textId="77777777" w:rsidR="00A84C22" w:rsidRPr="00B479AE" w:rsidRDefault="00A84C22" w:rsidP="00A84C22">
      <w:pPr>
        <w:spacing w:line="360" w:lineRule="auto"/>
        <w:rPr>
          <w:rFonts w:ascii="Baskerville Old Face" w:hAnsi="Baskerville Old Face"/>
          <w:b/>
          <w:bCs/>
          <w:i/>
          <w:iCs/>
        </w:rPr>
      </w:pPr>
      <w:r w:rsidRPr="00B479AE">
        <w:rPr>
          <w:rFonts w:ascii="Baskerville Old Face" w:hAnsi="Baskerville Old Face"/>
          <w:b/>
          <w:bCs/>
          <w:i/>
          <w:iCs/>
        </w:rPr>
        <w:t>14. Membership and Participation Pathway</w:t>
      </w:r>
    </w:p>
    <w:p w14:paraId="78D232B9"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lastRenderedPageBreak/>
        <w:t>Participation should develop through stages.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2"/>
        <w:gridCol w:w="4250"/>
        <w:gridCol w:w="4046"/>
      </w:tblGrid>
      <w:tr w:rsidR="00A84C22" w:rsidRPr="00B479AE" w14:paraId="225789A6" w14:textId="77777777" w:rsidTr="007C5DB8">
        <w:trPr>
          <w:tblHeader/>
          <w:tblCellSpacing w:w="15" w:type="dxa"/>
        </w:trPr>
        <w:tc>
          <w:tcPr>
            <w:tcW w:w="0" w:type="auto"/>
            <w:vAlign w:val="center"/>
            <w:hideMark/>
          </w:tcPr>
          <w:p w14:paraId="32F0CD9B" w14:textId="77777777" w:rsidR="00A84C22" w:rsidRPr="00B479AE" w:rsidRDefault="00A84C22" w:rsidP="00A84C2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Stage</w:t>
            </w:r>
          </w:p>
        </w:tc>
        <w:tc>
          <w:tcPr>
            <w:tcW w:w="0" w:type="auto"/>
            <w:vAlign w:val="center"/>
            <w:hideMark/>
          </w:tcPr>
          <w:p w14:paraId="5B0C8A73" w14:textId="77777777" w:rsidR="00A84C22" w:rsidRPr="00B479AE" w:rsidRDefault="00A84C22" w:rsidP="00A84C2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c>
          <w:tcPr>
            <w:tcW w:w="0" w:type="auto"/>
            <w:vAlign w:val="center"/>
            <w:hideMark/>
          </w:tcPr>
          <w:p w14:paraId="0B284123" w14:textId="77777777" w:rsidR="00A84C22" w:rsidRPr="00B479AE" w:rsidRDefault="00A84C22" w:rsidP="00A84C2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Rights and limits</w:t>
            </w:r>
          </w:p>
        </w:tc>
      </w:tr>
      <w:tr w:rsidR="00A84C22" w:rsidRPr="00B479AE" w14:paraId="108EAB66" w14:textId="77777777" w:rsidTr="007C5DB8">
        <w:trPr>
          <w:tblCellSpacing w:w="15" w:type="dxa"/>
        </w:trPr>
        <w:tc>
          <w:tcPr>
            <w:tcW w:w="0" w:type="auto"/>
            <w:vAlign w:val="center"/>
            <w:hideMark/>
          </w:tcPr>
          <w:p w14:paraId="1348660C"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Observer</w:t>
            </w:r>
          </w:p>
        </w:tc>
        <w:tc>
          <w:tcPr>
            <w:tcW w:w="0" w:type="auto"/>
            <w:vAlign w:val="center"/>
            <w:hideMark/>
          </w:tcPr>
          <w:p w14:paraId="5B7F8B70"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Learns the culture and attends selected spaces.</w:t>
            </w:r>
          </w:p>
        </w:tc>
        <w:tc>
          <w:tcPr>
            <w:tcW w:w="0" w:type="auto"/>
            <w:vAlign w:val="center"/>
            <w:hideMark/>
          </w:tcPr>
          <w:p w14:paraId="4715208D"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No decision authority.</w:t>
            </w:r>
          </w:p>
        </w:tc>
      </w:tr>
      <w:tr w:rsidR="00A84C22" w:rsidRPr="00B479AE" w14:paraId="141BBD34" w14:textId="77777777" w:rsidTr="007C5DB8">
        <w:trPr>
          <w:tblCellSpacing w:w="15" w:type="dxa"/>
        </w:trPr>
        <w:tc>
          <w:tcPr>
            <w:tcW w:w="0" w:type="auto"/>
            <w:vAlign w:val="center"/>
            <w:hideMark/>
          </w:tcPr>
          <w:p w14:paraId="4C522A4A"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Participant</w:t>
            </w:r>
          </w:p>
        </w:tc>
        <w:tc>
          <w:tcPr>
            <w:tcW w:w="0" w:type="auto"/>
            <w:vAlign w:val="center"/>
            <w:hideMark/>
          </w:tcPr>
          <w:p w14:paraId="072D489B"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Contributes to activities and rituals.</w:t>
            </w:r>
          </w:p>
        </w:tc>
        <w:tc>
          <w:tcPr>
            <w:tcW w:w="0" w:type="auto"/>
            <w:vAlign w:val="center"/>
            <w:hideMark/>
          </w:tcPr>
          <w:p w14:paraId="6F470F1D"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Limited voice; no full governance authority.</w:t>
            </w:r>
          </w:p>
        </w:tc>
      </w:tr>
      <w:tr w:rsidR="00A84C22" w:rsidRPr="00B479AE" w14:paraId="4587C99E" w14:textId="77777777" w:rsidTr="007C5DB8">
        <w:trPr>
          <w:tblCellSpacing w:w="15" w:type="dxa"/>
        </w:trPr>
        <w:tc>
          <w:tcPr>
            <w:tcW w:w="0" w:type="auto"/>
            <w:vAlign w:val="center"/>
            <w:hideMark/>
          </w:tcPr>
          <w:p w14:paraId="07363C80"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Member</w:t>
            </w:r>
          </w:p>
        </w:tc>
        <w:tc>
          <w:tcPr>
            <w:tcW w:w="0" w:type="auto"/>
            <w:vAlign w:val="center"/>
            <w:hideMark/>
          </w:tcPr>
          <w:p w14:paraId="46BBAE5A"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Accepts the Access Covenant and role responsibilities.</w:t>
            </w:r>
          </w:p>
        </w:tc>
        <w:tc>
          <w:tcPr>
            <w:tcW w:w="0" w:type="auto"/>
            <w:vAlign w:val="center"/>
            <w:hideMark/>
          </w:tcPr>
          <w:p w14:paraId="291C80D9"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May participate in ordinary governance.</w:t>
            </w:r>
          </w:p>
        </w:tc>
      </w:tr>
      <w:tr w:rsidR="00A84C22" w:rsidRPr="00B479AE" w14:paraId="13CBE66F" w14:textId="77777777" w:rsidTr="007C5DB8">
        <w:trPr>
          <w:tblCellSpacing w:w="15" w:type="dxa"/>
        </w:trPr>
        <w:tc>
          <w:tcPr>
            <w:tcW w:w="0" w:type="auto"/>
            <w:vAlign w:val="center"/>
            <w:hideMark/>
          </w:tcPr>
          <w:p w14:paraId="054E8280"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Role holder</w:t>
            </w:r>
          </w:p>
        </w:tc>
        <w:tc>
          <w:tcPr>
            <w:tcW w:w="0" w:type="auto"/>
            <w:vAlign w:val="center"/>
            <w:hideMark/>
          </w:tcPr>
          <w:p w14:paraId="2FF122A5"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Holds a temporary elected or assigned role.</w:t>
            </w:r>
          </w:p>
        </w:tc>
        <w:tc>
          <w:tcPr>
            <w:tcW w:w="0" w:type="auto"/>
            <w:vAlign w:val="center"/>
            <w:hideMark/>
          </w:tcPr>
          <w:p w14:paraId="50CAEBFB"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Has specific mandate and accountability.</w:t>
            </w:r>
          </w:p>
        </w:tc>
      </w:tr>
      <w:tr w:rsidR="00A84C22" w:rsidRPr="00B479AE" w14:paraId="4C32B168" w14:textId="77777777" w:rsidTr="007C5DB8">
        <w:trPr>
          <w:tblCellSpacing w:w="15" w:type="dxa"/>
        </w:trPr>
        <w:tc>
          <w:tcPr>
            <w:tcW w:w="0" w:type="auto"/>
            <w:vAlign w:val="center"/>
            <w:hideMark/>
          </w:tcPr>
          <w:p w14:paraId="1053F988"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Custodian</w:t>
            </w:r>
          </w:p>
        </w:tc>
        <w:tc>
          <w:tcPr>
            <w:tcW w:w="0" w:type="auto"/>
            <w:vAlign w:val="center"/>
            <w:hideMark/>
          </w:tcPr>
          <w:p w14:paraId="00989BA5"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Protects purpose, memory, integrity, or learning.</w:t>
            </w:r>
          </w:p>
        </w:tc>
        <w:tc>
          <w:tcPr>
            <w:tcW w:w="0" w:type="auto"/>
            <w:vAlign w:val="center"/>
            <w:hideMark/>
          </w:tcPr>
          <w:p w14:paraId="7997B61F"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Service role; no ownership.</w:t>
            </w:r>
          </w:p>
        </w:tc>
      </w:tr>
      <w:tr w:rsidR="00A84C22" w:rsidRPr="00B479AE" w14:paraId="53484339" w14:textId="77777777" w:rsidTr="007C5DB8">
        <w:trPr>
          <w:tblCellSpacing w:w="15" w:type="dxa"/>
        </w:trPr>
        <w:tc>
          <w:tcPr>
            <w:tcW w:w="0" w:type="auto"/>
            <w:vAlign w:val="center"/>
            <w:hideMark/>
          </w:tcPr>
          <w:p w14:paraId="4FCCC89C"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Elder / mentor</w:t>
            </w:r>
          </w:p>
        </w:tc>
        <w:tc>
          <w:tcPr>
            <w:tcW w:w="0" w:type="auto"/>
            <w:vAlign w:val="center"/>
            <w:hideMark/>
          </w:tcPr>
          <w:p w14:paraId="7E38DCBD"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Supports continuity through experience.</w:t>
            </w:r>
          </w:p>
        </w:tc>
        <w:tc>
          <w:tcPr>
            <w:tcW w:w="0" w:type="auto"/>
            <w:vAlign w:val="center"/>
            <w:hideMark/>
          </w:tcPr>
          <w:p w14:paraId="66793738"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Advisory authority only unless otherwise mandated.</w:t>
            </w:r>
          </w:p>
        </w:tc>
      </w:tr>
    </w:tbl>
    <w:p w14:paraId="1647C06B"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Belonging matures through participation.</w:t>
      </w:r>
    </w:p>
    <w:p w14:paraId="59AD9320"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Authority matures through demonstrated responsibility.</w:t>
      </w:r>
    </w:p>
    <w:p w14:paraId="72F20CB0"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No person should receive structural authority merely because they are charismatic, wealthy, technical, early, loud, socially central, token-rich, or close to founders.</w:t>
      </w:r>
    </w:p>
    <w:p w14:paraId="33B06F0E" w14:textId="77777777" w:rsidR="00A84C22" w:rsidRPr="00B479AE" w:rsidRDefault="00A84C22" w:rsidP="00A84C22">
      <w:pPr>
        <w:spacing w:line="360" w:lineRule="auto"/>
        <w:rPr>
          <w:rFonts w:ascii="Baskerville Old Face" w:hAnsi="Baskerville Old Face"/>
          <w:b/>
          <w:bCs/>
          <w:i/>
          <w:iCs/>
        </w:rPr>
      </w:pPr>
      <w:r w:rsidRPr="00B479AE">
        <w:rPr>
          <w:rFonts w:ascii="Baskerville Old Face" w:hAnsi="Baskerville Old Face"/>
          <w:b/>
          <w:bCs/>
          <w:i/>
          <w:iCs/>
        </w:rPr>
        <w:t>15. Anti-Capture and Power-Separation Safeguards</w:t>
      </w:r>
    </w:p>
    <w:p w14:paraId="12A14268"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Prometheus-compatible community should protect itself from capture.</w:t>
      </w:r>
    </w:p>
    <w:p w14:paraId="4F7D4CD9"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Capture may arise through founder dominance, charisma, capital, technical access, token concentration, control of memory, control of conflict processes, control of onboarding, spiritual pressure, ideological pressure, or social dependency.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9"/>
        <w:gridCol w:w="7724"/>
      </w:tblGrid>
      <w:tr w:rsidR="00A84C22" w:rsidRPr="00B479AE" w14:paraId="6DB935D7" w14:textId="77777777" w:rsidTr="007C5DB8">
        <w:trPr>
          <w:tblHeader/>
          <w:tblCellSpacing w:w="15" w:type="dxa"/>
        </w:trPr>
        <w:tc>
          <w:tcPr>
            <w:tcW w:w="0" w:type="auto"/>
            <w:vAlign w:val="center"/>
            <w:hideMark/>
          </w:tcPr>
          <w:p w14:paraId="14F9FC19" w14:textId="77777777" w:rsidR="00A84C22" w:rsidRPr="00B479AE" w:rsidRDefault="00A84C22" w:rsidP="00A84C2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Capture risk</w:t>
            </w:r>
          </w:p>
        </w:tc>
        <w:tc>
          <w:tcPr>
            <w:tcW w:w="0" w:type="auto"/>
            <w:vAlign w:val="center"/>
            <w:hideMark/>
          </w:tcPr>
          <w:p w14:paraId="554907B3" w14:textId="77777777" w:rsidR="00A84C22" w:rsidRPr="00B479AE" w:rsidRDefault="00A84C22" w:rsidP="00A84C2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Safeguard</w:t>
            </w:r>
          </w:p>
        </w:tc>
      </w:tr>
      <w:tr w:rsidR="00A84C22" w:rsidRPr="00B479AE" w14:paraId="49612D68" w14:textId="77777777" w:rsidTr="007C5DB8">
        <w:trPr>
          <w:tblCellSpacing w:w="15" w:type="dxa"/>
        </w:trPr>
        <w:tc>
          <w:tcPr>
            <w:tcW w:w="0" w:type="auto"/>
            <w:vAlign w:val="center"/>
            <w:hideMark/>
          </w:tcPr>
          <w:p w14:paraId="755374CF"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Founder dominance</w:t>
            </w:r>
          </w:p>
        </w:tc>
        <w:tc>
          <w:tcPr>
            <w:tcW w:w="0" w:type="auto"/>
            <w:vAlign w:val="center"/>
            <w:hideMark/>
          </w:tcPr>
          <w:p w14:paraId="1DB52535"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Role rotation, consent governance, documented mandates.</w:t>
            </w:r>
          </w:p>
        </w:tc>
      </w:tr>
      <w:tr w:rsidR="00A84C22" w:rsidRPr="00B479AE" w14:paraId="5D60C053" w14:textId="77777777" w:rsidTr="007C5DB8">
        <w:trPr>
          <w:tblCellSpacing w:w="15" w:type="dxa"/>
        </w:trPr>
        <w:tc>
          <w:tcPr>
            <w:tcW w:w="0" w:type="auto"/>
            <w:vAlign w:val="center"/>
            <w:hideMark/>
          </w:tcPr>
          <w:p w14:paraId="3017CFBD"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Charismatic control</w:t>
            </w:r>
          </w:p>
        </w:tc>
        <w:tc>
          <w:tcPr>
            <w:tcW w:w="0" w:type="auto"/>
            <w:vAlign w:val="center"/>
            <w:hideMark/>
          </w:tcPr>
          <w:p w14:paraId="1C896126"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Separation between purpose, conflict, memory, and access roles.</w:t>
            </w:r>
          </w:p>
        </w:tc>
      </w:tr>
      <w:tr w:rsidR="00A84C22" w:rsidRPr="00B479AE" w14:paraId="73BA4850" w14:textId="77777777" w:rsidTr="007C5DB8">
        <w:trPr>
          <w:tblCellSpacing w:w="15" w:type="dxa"/>
        </w:trPr>
        <w:tc>
          <w:tcPr>
            <w:tcW w:w="0" w:type="auto"/>
            <w:vAlign w:val="center"/>
            <w:hideMark/>
          </w:tcPr>
          <w:p w14:paraId="63BF21F7"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lastRenderedPageBreak/>
              <w:t>Investor capture</w:t>
            </w:r>
          </w:p>
        </w:tc>
        <w:tc>
          <w:tcPr>
            <w:tcW w:w="0" w:type="auto"/>
            <w:vAlign w:val="center"/>
            <w:hideMark/>
          </w:tcPr>
          <w:p w14:paraId="3686FD90"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Separation between capital, governance, PRU value, and constitutional authority.</w:t>
            </w:r>
          </w:p>
        </w:tc>
      </w:tr>
      <w:tr w:rsidR="00A84C22" w:rsidRPr="00B479AE" w14:paraId="49065F37" w14:textId="77777777" w:rsidTr="007C5DB8">
        <w:trPr>
          <w:tblCellSpacing w:w="15" w:type="dxa"/>
        </w:trPr>
        <w:tc>
          <w:tcPr>
            <w:tcW w:w="0" w:type="auto"/>
            <w:vAlign w:val="center"/>
            <w:hideMark/>
          </w:tcPr>
          <w:p w14:paraId="4C751E72"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Technical capture</w:t>
            </w:r>
          </w:p>
        </w:tc>
        <w:tc>
          <w:tcPr>
            <w:tcW w:w="0" w:type="auto"/>
            <w:vAlign w:val="center"/>
            <w:hideMark/>
          </w:tcPr>
          <w:p w14:paraId="441DDF25"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Access controls, audit logs, shared infrastructure knowledge, replaceable components.</w:t>
            </w:r>
          </w:p>
        </w:tc>
      </w:tr>
      <w:tr w:rsidR="00A84C22" w:rsidRPr="00B479AE" w14:paraId="090B9C7A" w14:textId="77777777" w:rsidTr="007C5DB8">
        <w:trPr>
          <w:tblCellSpacing w:w="15" w:type="dxa"/>
        </w:trPr>
        <w:tc>
          <w:tcPr>
            <w:tcW w:w="0" w:type="auto"/>
            <w:vAlign w:val="center"/>
            <w:hideMark/>
          </w:tcPr>
          <w:p w14:paraId="147F937B"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Clique formation</w:t>
            </w:r>
          </w:p>
        </w:tc>
        <w:tc>
          <w:tcPr>
            <w:tcW w:w="0" w:type="auto"/>
            <w:vAlign w:val="center"/>
            <w:hideMark/>
          </w:tcPr>
          <w:p w14:paraId="7D4988A2"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Transparent onboarding, relationship weaving, protected dissent.</w:t>
            </w:r>
          </w:p>
        </w:tc>
      </w:tr>
      <w:tr w:rsidR="00A84C22" w:rsidRPr="00B479AE" w14:paraId="510D4E7A" w14:textId="77777777" w:rsidTr="007C5DB8">
        <w:trPr>
          <w:tblCellSpacing w:w="15" w:type="dxa"/>
        </w:trPr>
        <w:tc>
          <w:tcPr>
            <w:tcW w:w="0" w:type="auto"/>
            <w:vAlign w:val="center"/>
            <w:hideMark/>
          </w:tcPr>
          <w:p w14:paraId="1D7E9DE8"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Memory capture</w:t>
            </w:r>
          </w:p>
        </w:tc>
        <w:tc>
          <w:tcPr>
            <w:tcW w:w="0" w:type="auto"/>
            <w:vAlign w:val="center"/>
            <w:hideMark/>
          </w:tcPr>
          <w:p w14:paraId="1D7C9FDB"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Decision log, rotating scribe, reviewable archive.</w:t>
            </w:r>
          </w:p>
        </w:tc>
      </w:tr>
      <w:tr w:rsidR="00A84C22" w:rsidRPr="00B479AE" w14:paraId="32C49D37" w14:textId="77777777" w:rsidTr="007C5DB8">
        <w:trPr>
          <w:tblCellSpacing w:w="15" w:type="dxa"/>
        </w:trPr>
        <w:tc>
          <w:tcPr>
            <w:tcW w:w="0" w:type="auto"/>
            <w:vAlign w:val="center"/>
            <w:hideMark/>
          </w:tcPr>
          <w:p w14:paraId="068887D3"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Conflict suppression</w:t>
            </w:r>
          </w:p>
        </w:tc>
        <w:tc>
          <w:tcPr>
            <w:tcW w:w="0" w:type="auto"/>
            <w:vAlign w:val="center"/>
            <w:hideMark/>
          </w:tcPr>
          <w:p w14:paraId="3ECF538A"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Formal conflict protocol and protected dissent.</w:t>
            </w:r>
          </w:p>
        </w:tc>
      </w:tr>
      <w:tr w:rsidR="00A84C22" w:rsidRPr="00B479AE" w14:paraId="524BEE68" w14:textId="77777777" w:rsidTr="007C5DB8">
        <w:trPr>
          <w:tblCellSpacing w:w="15" w:type="dxa"/>
        </w:trPr>
        <w:tc>
          <w:tcPr>
            <w:tcW w:w="0" w:type="auto"/>
            <w:vAlign w:val="center"/>
            <w:hideMark/>
          </w:tcPr>
          <w:p w14:paraId="3BD016C8"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Token capture</w:t>
            </w:r>
          </w:p>
        </w:tc>
        <w:tc>
          <w:tcPr>
            <w:tcW w:w="0" w:type="auto"/>
            <w:vAlign w:val="center"/>
            <w:hideMark/>
          </w:tcPr>
          <w:p w14:paraId="3906BB4B"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Scope-limited governance rights and anti-whale controls where applicable.</w:t>
            </w:r>
          </w:p>
        </w:tc>
      </w:tr>
      <w:tr w:rsidR="00A84C22" w:rsidRPr="00B479AE" w14:paraId="505989F4" w14:textId="77777777" w:rsidTr="007C5DB8">
        <w:trPr>
          <w:tblCellSpacing w:w="15" w:type="dxa"/>
        </w:trPr>
        <w:tc>
          <w:tcPr>
            <w:tcW w:w="0" w:type="auto"/>
            <w:vAlign w:val="center"/>
            <w:hideMark/>
          </w:tcPr>
          <w:p w14:paraId="4605F488"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AI authority drift</w:t>
            </w:r>
          </w:p>
        </w:tc>
        <w:tc>
          <w:tcPr>
            <w:tcW w:w="0" w:type="auto"/>
            <w:vAlign w:val="center"/>
            <w:hideMark/>
          </w:tcPr>
          <w:p w14:paraId="6D82DCB2" w14:textId="77777777" w:rsidR="00A84C22" w:rsidRPr="00B479AE" w:rsidRDefault="00A84C22" w:rsidP="00A84C22">
            <w:pPr>
              <w:spacing w:line="360" w:lineRule="auto"/>
              <w:rPr>
                <w:rFonts w:ascii="Baskerville Old Face" w:hAnsi="Baskerville Old Face"/>
                <w:i/>
                <w:iCs/>
                <w:sz w:val="22"/>
                <w:szCs w:val="22"/>
              </w:rPr>
            </w:pPr>
            <w:r w:rsidRPr="00B479AE">
              <w:rPr>
                <w:rFonts w:ascii="Baskerville Old Face" w:hAnsi="Baskerville Old Face"/>
                <w:i/>
                <w:iCs/>
                <w:sz w:val="22"/>
                <w:szCs w:val="22"/>
              </w:rPr>
              <w:t>Explicit distinction between AI support, recommendation, authorization, and execution.</w:t>
            </w:r>
          </w:p>
        </w:tc>
      </w:tr>
    </w:tbl>
    <w:p w14:paraId="160E480F"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community is healthy when no person or faction controls purpose, memory, conflict, access, capital, and technical infrastructure at the same time.</w:t>
      </w:r>
    </w:p>
    <w:p w14:paraId="3CEF28F0"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That concentration is the red flag.</w:t>
      </w:r>
    </w:p>
    <w:p w14:paraId="79B40382" w14:textId="77777777" w:rsidR="00A84C22" w:rsidRPr="00B479AE" w:rsidRDefault="00A84C22" w:rsidP="00A84C22">
      <w:pPr>
        <w:spacing w:line="360" w:lineRule="auto"/>
        <w:rPr>
          <w:rFonts w:ascii="Baskerville Old Face" w:hAnsi="Baskerville Old Face"/>
          <w:b/>
          <w:bCs/>
          <w:i/>
          <w:iCs/>
        </w:rPr>
      </w:pPr>
      <w:r w:rsidRPr="00B479AE">
        <w:rPr>
          <w:rFonts w:ascii="Baskerville Old Face" w:hAnsi="Baskerville Old Face"/>
          <w:b/>
          <w:bCs/>
          <w:i/>
          <w:iCs/>
        </w:rPr>
        <w:t>16. Relationship with Prometheus Constitution</w:t>
      </w:r>
    </w:p>
    <w:p w14:paraId="09F78026"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Tribe, circle, or community may govern its own operations.</w:t>
      </w:r>
    </w:p>
    <w:p w14:paraId="76FBF743"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may not amend the Prometheus constitution unless it enters the constitutional amendment pathway.</w:t>
      </w:r>
    </w:p>
    <w:p w14:paraId="3B49ADCA"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community may interpret its own purpose.</w:t>
      </w:r>
    </w:p>
    <w:p w14:paraId="149D0051"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may not redefine PRU, RAP, MRV, TRBK, HSI, tokenization, or Access Covenant outside canonical definitions.</w:t>
      </w:r>
    </w:p>
    <w:p w14:paraId="6621E669"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community may create rituals.</w:t>
      </w:r>
    </w:p>
    <w:p w14:paraId="3D9132D2"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may not create coercive belonging.</w:t>
      </w:r>
    </w:p>
    <w:p w14:paraId="0657729E"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community may coordinate resources.</w:t>
      </w:r>
    </w:p>
    <w:p w14:paraId="63D4C015"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may not convert participation into financial entitlement without legal structure.</w:t>
      </w:r>
    </w:p>
    <w:p w14:paraId="73D9D7AB"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lastRenderedPageBreak/>
        <w:t>A community may use AI tools.</w:t>
      </w:r>
    </w:p>
    <w:p w14:paraId="0733A67F"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may not allow AI output to become governance authority.</w:t>
      </w:r>
    </w:p>
    <w:p w14:paraId="638714DA"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community may welcome capital.</w:t>
      </w:r>
    </w:p>
    <w:p w14:paraId="5037CA4F"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may not allow capital to command life.</w:t>
      </w:r>
    </w:p>
    <w:p w14:paraId="07590DBF"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A community may evolve.</w:t>
      </w:r>
    </w:p>
    <w:p w14:paraId="7E711214"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may not drift away from the foundational articles and Eternity Clauses when acting inside Prometheus.</w:t>
      </w:r>
    </w:p>
    <w:p w14:paraId="7E105B64" w14:textId="77777777" w:rsidR="00A84C22" w:rsidRPr="00B479AE" w:rsidRDefault="00A84C22" w:rsidP="00A84C22">
      <w:pPr>
        <w:spacing w:line="360" w:lineRule="auto"/>
        <w:rPr>
          <w:rFonts w:ascii="Baskerville Old Face" w:hAnsi="Baskerville Old Face"/>
          <w:b/>
          <w:bCs/>
          <w:i/>
          <w:iCs/>
        </w:rPr>
      </w:pPr>
      <w:r w:rsidRPr="00B479AE">
        <w:rPr>
          <w:rFonts w:ascii="Baskerville Old Face" w:hAnsi="Baskerville Old Face"/>
          <w:b/>
          <w:bCs/>
          <w:i/>
          <w:iCs/>
        </w:rPr>
        <w:t>17. Specific Interoperability with Tribeke</w:t>
      </w:r>
    </w:p>
    <w:p w14:paraId="548EFF9E"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Tribeke may be treated as one specific expression of the broader Prometheus human-governance interoperability model.</w:t>
      </w:r>
    </w:p>
    <w:p w14:paraId="0CF126A5"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Tribeke contributes the language of Tribe, freedom, belonging, training, community activation, relationship energy, and tokenized utility.</w:t>
      </w:r>
    </w:p>
    <w:p w14:paraId="1A643E0B"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Prometheus contributes constitutional kernel discipline, MRV, PRU/RAP architecture, evidence-before-value, capital-readiness boundaries, ecological verification, and institutional trust.</w:t>
      </w:r>
    </w:p>
    <w:p w14:paraId="12ACE505"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relationship should follow sovereign alignment.</w:t>
      </w:r>
    </w:p>
    <w:p w14:paraId="0DDAAD10"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TRBK remains Tribeke’s token layer.</w:t>
      </w:r>
    </w:p>
    <w:p w14:paraId="192DF3CA"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PRU remains Prometheus’ verified regenerative performance layer.</w:t>
      </w:r>
    </w:p>
    <w:p w14:paraId="12EE4FF9"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RAP remains Prometheus’ portfolio aggregation layer.</w:t>
      </w:r>
    </w:p>
    <w:p w14:paraId="5B7EB0CA"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MRV remains Prometheus’ evidence discipline.</w:t>
      </w:r>
    </w:p>
    <w:p w14:paraId="26510B1A"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Access Covenant remains Prometheus’ entry condition.</w:t>
      </w:r>
    </w:p>
    <w:p w14:paraId="0E23B67F"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Tribeke governance remains Tribeke governance.</w:t>
      </w:r>
    </w:p>
    <w:p w14:paraId="0B1CD5A5"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Prometheus governance remains Prometheus governance.</w:t>
      </w:r>
    </w:p>
    <w:p w14:paraId="6C3CD48F"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Where the two systems collaborate, they may create a powerful shared field.</w:t>
      </w:r>
    </w:p>
    <w:p w14:paraId="74B365EF"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lastRenderedPageBreak/>
        <w:t>Where they diverge, they should restore boundaries respectfully and continue without confusion.</w:t>
      </w:r>
    </w:p>
    <w:p w14:paraId="215A88EC"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strongest partnership is federation, not fusion.</w:t>
      </w:r>
    </w:p>
    <w:p w14:paraId="1F6DBD2F" w14:textId="77777777" w:rsidR="00A84C22" w:rsidRPr="00B479AE" w:rsidRDefault="00A84C22" w:rsidP="00A84C22">
      <w:pPr>
        <w:spacing w:line="360" w:lineRule="auto"/>
        <w:rPr>
          <w:rFonts w:ascii="Baskerville Old Face" w:hAnsi="Baskerville Old Face"/>
          <w:b/>
          <w:bCs/>
          <w:i/>
          <w:iCs/>
        </w:rPr>
      </w:pPr>
      <w:r w:rsidRPr="00B479AE">
        <w:rPr>
          <w:rFonts w:ascii="Baskerville Old Face" w:hAnsi="Baskerville Old Face"/>
          <w:b/>
          <w:bCs/>
          <w:i/>
          <w:iCs/>
        </w:rPr>
        <w:t>18. Final Principle</w:t>
      </w:r>
    </w:p>
    <w:p w14:paraId="4FFF7A48"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final principle of Prometheus human governance is:</w:t>
      </w:r>
    </w:p>
    <w:p w14:paraId="1702FD91"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no one governs alone, and no one disappears into the group.</w:t>
      </w:r>
    </w:p>
    <w:p w14:paraId="68C65C3F"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individual remains visible.</w:t>
      </w:r>
    </w:p>
    <w:p w14:paraId="1CCDBC0C"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circle remains responsible.</w:t>
      </w:r>
    </w:p>
    <w:p w14:paraId="1BB3E610"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community remains sovereign.</w:t>
      </w:r>
    </w:p>
    <w:p w14:paraId="5F8DB526"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constitution remains upstream.</w:t>
      </w:r>
    </w:p>
    <w:p w14:paraId="5A6B5BA1"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Evidence remains the discipline.</w:t>
      </w:r>
    </w:p>
    <w:p w14:paraId="63A70DBF"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The living system remains the source.</w:t>
      </w:r>
    </w:p>
    <w:p w14:paraId="1AC7458F"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Prometheus does not build one community to dominate others.</w:t>
      </w:r>
    </w:p>
    <w:p w14:paraId="69C44B60"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builds an architecture through which many communities can meet, resonate, decide, learn, repair, differentiate, and regenerate without losing their soul.</w:t>
      </w:r>
    </w:p>
    <w:p w14:paraId="2A8C8635"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This is the functional synthesis of tribe, sociocracy, commons governance, community learning, psychological safety, self-determination, evolutionary purpose, and Prometheus constitutional discipline.</w:t>
      </w:r>
    </w:p>
    <w:p w14:paraId="6C055B0B" w14:textId="77777777" w:rsidR="00A84C22" w:rsidRPr="00B479AE" w:rsidRDefault="00A84C22" w:rsidP="00A84C22">
      <w:pPr>
        <w:spacing w:line="360" w:lineRule="auto"/>
        <w:rPr>
          <w:rFonts w:ascii="Baskerville Old Face" w:hAnsi="Baskerville Old Face"/>
          <w:i/>
          <w:iCs/>
        </w:rPr>
      </w:pPr>
      <w:r w:rsidRPr="00B479AE">
        <w:rPr>
          <w:rFonts w:ascii="Baskerville Old Face" w:hAnsi="Baskerville Old Face"/>
          <w:i/>
          <w:iCs/>
        </w:rPr>
        <w:t>It is human governance with sovereign alignment.</w:t>
      </w:r>
    </w:p>
    <w:p w14:paraId="26252DE5" w14:textId="77777777" w:rsidR="00A84C22" w:rsidRPr="00B479AE" w:rsidRDefault="00A84C22" w:rsidP="00994463">
      <w:pPr>
        <w:spacing w:line="360" w:lineRule="auto"/>
        <w:rPr>
          <w:rFonts w:ascii="Baskerville Old Face" w:hAnsi="Baskerville Old Face"/>
          <w:i/>
          <w:iCs/>
        </w:rPr>
      </w:pPr>
    </w:p>
    <w:p w14:paraId="36032E0B" w14:textId="77777777" w:rsidR="00B90855" w:rsidRPr="00B479AE" w:rsidRDefault="00B90855" w:rsidP="00B90855">
      <w:pPr>
        <w:spacing w:line="360" w:lineRule="auto"/>
        <w:rPr>
          <w:rFonts w:ascii="Baskerville Old Face" w:hAnsi="Baskerville Old Face"/>
          <w:b/>
          <w:bCs/>
          <w:i/>
          <w:iCs/>
        </w:rPr>
      </w:pPr>
      <w:r w:rsidRPr="00B479AE">
        <w:rPr>
          <w:rFonts w:ascii="Baskerville Old Face" w:hAnsi="Baskerville Old Face"/>
          <w:b/>
          <w:bCs/>
          <w:i/>
          <w:iCs/>
        </w:rPr>
        <w:t>6: The Access Covenant — Conditions for Entry</w:t>
      </w:r>
    </w:p>
    <w:p w14:paraId="330A19F7"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Before any entity — whether an individual, community, company, foundation, trust, investment fund, bioregional network, public agency, digital agent, infrastructure provider, or future institutional participant — may access, participate in, govern, finance, extend, automate, or benefit from the h•eart•h Prometheus ecosystem, it must enter into the Access Covenant.</w:t>
      </w:r>
    </w:p>
    <w:p w14:paraId="2592D486"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lastRenderedPageBreak/>
        <w:t>The Access Covenant is the constitutional entry protocol of Prometheus.</w:t>
      </w:r>
    </w:p>
    <w:p w14:paraId="0CEFF093"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is not a mere click-through agreement.</w:t>
      </w:r>
    </w:p>
    <w:p w14:paraId="6BECED59"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is not branding language.</w:t>
      </w:r>
    </w:p>
    <w:p w14:paraId="7B5A6724"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is not symbolic consent.</w:t>
      </w:r>
    </w:p>
    <w:p w14:paraId="5633BB00"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is the threshold through which participation becomes constitutionally legible.</w:t>
      </w:r>
    </w:p>
    <w:p w14:paraId="1999D0A2"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Covenant establishes that every Prometheus-facing relationship must remain aligned with:</w:t>
      </w:r>
    </w:p>
    <w:p w14:paraId="3CE5A454"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 the foundational articles;</w:t>
      </w:r>
      <w:r w:rsidRPr="00B479AE">
        <w:rPr>
          <w:rFonts w:ascii="Baskerville Old Face" w:hAnsi="Baskerville Old Face"/>
          <w:i/>
          <w:iCs/>
        </w:rPr>
        <w:br/>
        <w:t>• the Eternity Clauses;</w:t>
      </w:r>
      <w:r w:rsidRPr="00B479AE">
        <w:rPr>
          <w:rFonts w:ascii="Baskerville Old Face" w:hAnsi="Baskerville Old Face"/>
          <w:i/>
          <w:iCs/>
        </w:rPr>
        <w:br/>
        <w:t>• the universal human interoperability model;</w:t>
      </w:r>
      <w:r w:rsidRPr="00B479AE">
        <w:rPr>
          <w:rFonts w:ascii="Baskerville Old Face" w:hAnsi="Baskerville Old Face"/>
          <w:i/>
          <w:iCs/>
        </w:rPr>
        <w:br/>
        <w:t>• the living-field principle;</w:t>
      </w:r>
      <w:r w:rsidRPr="00B479AE">
        <w:rPr>
          <w:rFonts w:ascii="Baskerville Old Face" w:hAnsi="Baskerville Old Face"/>
          <w:i/>
          <w:iCs/>
        </w:rPr>
        <w:br/>
        <w:t>• evidence-before-value discipline;</w:t>
      </w:r>
      <w:r w:rsidRPr="00B479AE">
        <w:rPr>
          <w:rFonts w:ascii="Baskerville Old Face" w:hAnsi="Baskerville Old Face"/>
          <w:i/>
          <w:iCs/>
        </w:rPr>
        <w:br/>
        <w:t>• human dignity;</w:t>
      </w:r>
      <w:r w:rsidRPr="00B479AE">
        <w:rPr>
          <w:rFonts w:ascii="Baskerville Old Face" w:hAnsi="Baskerville Old Face"/>
          <w:i/>
          <w:iCs/>
        </w:rPr>
        <w:br/>
        <w:t>• ecological integrity;</w:t>
      </w:r>
      <w:r w:rsidRPr="00B479AE">
        <w:rPr>
          <w:rFonts w:ascii="Baskerville Old Face" w:hAnsi="Baskerville Old Face"/>
          <w:i/>
          <w:iCs/>
        </w:rPr>
        <w:br/>
        <w:t>• voluntary participation;</w:t>
      </w:r>
      <w:r w:rsidRPr="00B479AE">
        <w:rPr>
          <w:rFonts w:ascii="Baskerville Old Face" w:hAnsi="Baskerville Old Face"/>
          <w:i/>
          <w:iCs/>
        </w:rPr>
        <w:br/>
        <w:t>• governance accountability;</w:t>
      </w:r>
      <w:r w:rsidRPr="00B479AE">
        <w:rPr>
          <w:rFonts w:ascii="Baskerville Old Face" w:hAnsi="Baskerville Old Face"/>
          <w:i/>
          <w:iCs/>
        </w:rPr>
        <w:br/>
        <w:t>• source-layer non-bypassability;</w:t>
      </w:r>
      <w:r w:rsidRPr="00B479AE">
        <w:rPr>
          <w:rFonts w:ascii="Baskerville Old Face" w:hAnsi="Baskerville Old Face"/>
          <w:i/>
          <w:iCs/>
        </w:rPr>
        <w:br/>
        <w:t>• regenerative fidelity.</w:t>
      </w:r>
    </w:p>
    <w:p w14:paraId="50DDFD50"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Access is conditional.</w:t>
      </w:r>
    </w:p>
    <w:p w14:paraId="6F4BB4E2"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Participation is conditional.</w:t>
      </w:r>
    </w:p>
    <w:p w14:paraId="4667459A"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Governance is conditional.</w:t>
      </w:r>
    </w:p>
    <w:p w14:paraId="02E5F665"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Capital access is conditional.</w:t>
      </w:r>
    </w:p>
    <w:p w14:paraId="4B2A452D"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Token-mediated participation, where legally and technically available, is conditional.</w:t>
      </w:r>
    </w:p>
    <w:p w14:paraId="2FACA9F1"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No entity enters Prometheus merely because it holds capital, technical capacity, governance influence, institutional status, token exposure, data access, community status, religious authority, cultural authority, scientific authority, or model capability.</w:t>
      </w:r>
    </w:p>
    <w:p w14:paraId="0E003DD3"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Every participant enters through covenant.</w:t>
      </w:r>
    </w:p>
    <w:p w14:paraId="3A506EC4"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lastRenderedPageBreak/>
        <w:t>The Access Covenant defines the threshold between outside interest and inside participation.</w:t>
      </w:r>
    </w:p>
    <w:p w14:paraId="3AB62800"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Its purpose is to ensure that every actor understands the basic constitutional truth of Prometheus:</w:t>
      </w:r>
    </w:p>
    <w:p w14:paraId="792956D2"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ecosystem exists to serve life, evidence, dignity, governance, ecological integrity, and regenerative coherence.</w:t>
      </w:r>
    </w:p>
    <w:p w14:paraId="41F4B9CA"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does not exist to provide a new interface for extraction, domination, greenwashing, speculative value inflation, tokenomic confusion, or institutional capture.</w:t>
      </w:r>
    </w:p>
    <w:p w14:paraId="64884BD4"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Covenant is therefore the first operational expression of Prometheus’ constitutional architecture.</w:t>
      </w:r>
    </w:p>
    <w:p w14:paraId="5BD1EEDD"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translates meaning into entry.</w:t>
      </w:r>
    </w:p>
    <w:p w14:paraId="1FC56EE0"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translates entry into responsibility.</w:t>
      </w:r>
    </w:p>
    <w:p w14:paraId="743B5200"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translates responsibility into reviewable participation.</w:t>
      </w:r>
    </w:p>
    <w:p w14:paraId="186C8455" w14:textId="77777777" w:rsidR="00B90855" w:rsidRPr="00B479AE" w:rsidRDefault="00B90855" w:rsidP="00B90855">
      <w:pPr>
        <w:spacing w:line="360" w:lineRule="auto"/>
        <w:rPr>
          <w:rFonts w:ascii="Baskerville Old Face" w:hAnsi="Baskerville Old Face"/>
          <w:b/>
          <w:bCs/>
          <w:i/>
          <w:iCs/>
        </w:rPr>
      </w:pPr>
      <w:r w:rsidRPr="00B479AE">
        <w:rPr>
          <w:rFonts w:ascii="Baskerville Old Face" w:hAnsi="Baskerville Old Face"/>
          <w:b/>
          <w:bCs/>
          <w:i/>
          <w:iCs/>
        </w:rPr>
        <w:t>6.1 The Three Irrevocable Affirmations</w:t>
      </w:r>
    </w:p>
    <w:p w14:paraId="161D6063"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Access Covenant is grounded in three affirmations.</w:t>
      </w:r>
    </w:p>
    <w:p w14:paraId="00076F97"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These affirmations do not create the Eternity Clauses.</w:t>
      </w:r>
    </w:p>
    <w:p w14:paraId="38509B1E"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They recognize them.</w:t>
      </w:r>
    </w:p>
    <w:p w14:paraId="075BAEA3"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They establish that any participant entering Prometheus accepts that the constitutional source layer precedes ordinary governance, token logic, investor demand, operational convenience, community pressure, model output, institutional status, or market opportunity.</w:t>
      </w:r>
    </w:p>
    <w:p w14:paraId="63475112"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affirmations should be presented in full before acceptance.</w:t>
      </w:r>
    </w:p>
    <w:p w14:paraId="41FDFFAC"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Acceptance should be recorded through the appropriate pathway for the participant type: digital, legal, governance-based, or combined.</w:t>
      </w:r>
    </w:p>
    <w:p w14:paraId="4846450C"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For individuals and ordinary ecosystem participants, this may involve a signed digital acknowledgment.</w:t>
      </w:r>
    </w:p>
    <w:p w14:paraId="4AD3B5D9"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For legal entities, funds, public agencies, foundations, trusts, companies, capital-market participants, or infrastructure providers, this should involve both digital acknowledgment and an enforceable legal access agreement, where appropriate.</w:t>
      </w:r>
    </w:p>
    <w:p w14:paraId="36F43387"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lastRenderedPageBreak/>
        <w:t>The Three Affirmations are the constitutional minimum.</w:t>
      </w:r>
    </w:p>
    <w:p w14:paraId="516998E2"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They are not optional language.</w:t>
      </w:r>
    </w:p>
    <w:p w14:paraId="5B1B03F2"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They are the human, institutional, and technical doorway into Prometheus.</w:t>
      </w:r>
    </w:p>
    <w:p w14:paraId="7E5F4EE6" w14:textId="6B6A118F" w:rsidR="00B90855" w:rsidRPr="00B479AE" w:rsidRDefault="00B90855" w:rsidP="00B90855">
      <w:pPr>
        <w:spacing w:line="360" w:lineRule="auto"/>
        <w:rPr>
          <w:rFonts w:ascii="Baskerville Old Face" w:hAnsi="Baskerville Old Face"/>
          <w:b/>
          <w:bCs/>
          <w:i/>
          <w:iCs/>
        </w:rPr>
      </w:pPr>
      <w:r w:rsidRPr="00B479AE">
        <w:rPr>
          <w:rFonts w:ascii="Baskerville Old Face" w:hAnsi="Baskerville Old Face"/>
          <w:b/>
          <w:bCs/>
          <w:i/>
          <w:iCs/>
        </w:rPr>
        <w:t>6.1.1 First Affirmation — Recognition of</w:t>
      </w:r>
      <w:r w:rsidR="000E2E08" w:rsidRPr="00B479AE">
        <w:rPr>
          <w:rFonts w:ascii="Baskerville Old Face" w:hAnsi="Baskerville Old Face"/>
          <w:b/>
          <w:bCs/>
          <w:i/>
          <w:iCs/>
        </w:rPr>
        <w:t xml:space="preserve"> living-system reality</w:t>
      </w:r>
    </w:p>
    <w:p w14:paraId="2962D973"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 recognize that the principles encoded in the Eternity Clauses of the h•eart•h Prometheus constitution are not inventions of human agreement, market preference, token logic, governance majority, institutional power, community pressure, or model output.</w:t>
      </w:r>
    </w:p>
    <w:p w14:paraId="503CC90C"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They are codifications of living-system constraints that pre-exist any human institution.</w:t>
      </w:r>
    </w:p>
    <w:p w14:paraId="46F9BB02"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They are discovered, not created.</w:t>
      </w:r>
    </w:p>
    <w:p w14:paraId="758819E9"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They are observed, not voted into existence.</w:t>
      </w:r>
    </w:p>
    <w:p w14:paraId="0156E5DA"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They are honored by governance, not subordinated to it.</w:t>
      </w:r>
    </w:p>
    <w:p w14:paraId="7DBC8660"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 recognize that soil, water, biodiversity, climate, planetary boundaries, human dignity, ecological integrity, and the regenerative capacity of life form the living foundation of any durable economy.”</w:t>
      </w:r>
    </w:p>
    <w:p w14:paraId="682C1804" w14:textId="77777777" w:rsidR="00B90855" w:rsidRPr="00B479AE" w:rsidRDefault="00B90855" w:rsidP="00B90855">
      <w:pPr>
        <w:spacing w:line="360" w:lineRule="auto"/>
        <w:rPr>
          <w:rFonts w:ascii="Baskerville Old Face" w:hAnsi="Baskerville Old Face"/>
          <w:b/>
          <w:bCs/>
          <w:i/>
          <w:iCs/>
        </w:rPr>
      </w:pPr>
      <w:r w:rsidRPr="00B479AE">
        <w:rPr>
          <w:rFonts w:ascii="Baskerville Old Face" w:hAnsi="Baskerville Old Face"/>
          <w:b/>
          <w:bCs/>
          <w:i/>
          <w:iCs/>
        </w:rPr>
        <w:t>6.1.2 Second Affirmation — Voluntary Submission</w:t>
      </w:r>
    </w:p>
    <w:p w14:paraId="7EA23CE6"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 voluntarily submit my participation in Prometheus to these principles as non-negotiable conditions of access.</w:t>
      </w:r>
    </w:p>
    <w:p w14:paraId="31072F87"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 understand that no action I take, no vote I cast, no consensus I join, no power I accumulate, no capital I deploy, no token I hold, no model I operate, no community role I receive, and no governance position I occupy can legitimate any violation of these principles.</w:t>
      </w:r>
    </w:p>
    <w:p w14:paraId="7BB71E23" w14:textId="6CCF3B7F"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 xml:space="preserve">Any attempt to bypass, weaken, invert, dilute, obscure, or violate the foundational articles, the Eternity Clauses, the Access Covenant, or the constitutional source layer is </w:t>
      </w:r>
      <w:r w:rsidR="004B68FF" w:rsidRPr="00B479AE">
        <w:rPr>
          <w:rFonts w:ascii="Baskerville Old Face" w:hAnsi="Baskerville Old Face"/>
          <w:i/>
          <w:iCs/>
        </w:rPr>
        <w:t>invalid within Prometheus protected pathways</w:t>
      </w:r>
      <w:r w:rsidRPr="00B479AE">
        <w:rPr>
          <w:rFonts w:ascii="Baskerville Old Face" w:hAnsi="Baskerville Old Face"/>
          <w:i/>
          <w:iCs/>
        </w:rPr>
        <w:t>.</w:t>
      </w:r>
    </w:p>
    <w:p w14:paraId="3B0C2B96"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is outside the valid Prometheus pathway.”</w:t>
      </w:r>
    </w:p>
    <w:p w14:paraId="226ED8A8" w14:textId="77777777" w:rsidR="00B90855" w:rsidRPr="00B479AE" w:rsidRDefault="00B90855" w:rsidP="00B90855">
      <w:pPr>
        <w:spacing w:line="360" w:lineRule="auto"/>
        <w:rPr>
          <w:rFonts w:ascii="Baskerville Old Face" w:hAnsi="Baskerville Old Face"/>
          <w:b/>
          <w:bCs/>
          <w:i/>
          <w:iCs/>
        </w:rPr>
      </w:pPr>
      <w:r w:rsidRPr="00B479AE">
        <w:rPr>
          <w:rFonts w:ascii="Baskerville Old Face" w:hAnsi="Baskerville Old Face"/>
          <w:b/>
          <w:bCs/>
          <w:i/>
          <w:iCs/>
        </w:rPr>
        <w:t>6.1.3 Third Affirmation — Stewardship Commitment</w:t>
      </w:r>
    </w:p>
    <w:p w14:paraId="117A6E3D"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lastRenderedPageBreak/>
        <w:t>“I accept stewardship responsibility for the principles I have recognized and to which I have voluntarily submitted.</w:t>
      </w:r>
    </w:p>
    <w:p w14:paraId="20E3DF65"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This includes the duty to preserve constitutional meaning, resist semantic erosion, avoid extraction under regenerative language, respect evidence discipline, protect human dignity, preserve ecological integrity, and transmit these principles intact to future participants.</w:t>
      </w:r>
    </w:p>
    <w:p w14:paraId="60FDF93C"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 understand that access to Prometheus is conditioned on faithful participation.</w:t>
      </w:r>
    </w:p>
    <w:p w14:paraId="0A4F60F2"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A violation of this Covenant may result in review, limitation, remediation, suspension, exclusion, quarantine, loss of privileges, or other proportionate responses according to the applicable governance, legal, technical, and constitutional procedures.”</w:t>
      </w:r>
    </w:p>
    <w:p w14:paraId="12D3283A" w14:textId="77777777" w:rsidR="00B90855" w:rsidRPr="00B479AE" w:rsidRDefault="00B90855" w:rsidP="00B90855">
      <w:pPr>
        <w:spacing w:line="360" w:lineRule="auto"/>
        <w:rPr>
          <w:rFonts w:ascii="Baskerville Old Face" w:hAnsi="Baskerville Old Face"/>
          <w:b/>
          <w:bCs/>
          <w:i/>
          <w:iCs/>
        </w:rPr>
      </w:pPr>
      <w:r w:rsidRPr="00B479AE">
        <w:rPr>
          <w:rFonts w:ascii="Baskerville Old Face" w:hAnsi="Baskerville Old Face"/>
          <w:b/>
          <w:bCs/>
          <w:i/>
          <w:iCs/>
        </w:rPr>
        <w:t>6.2 Covenant Acceptance and Record Architecture</w:t>
      </w:r>
    </w:p>
    <w:p w14:paraId="49BAF9BC"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Acceptance of the Access Covenant should be recorded in a manner appropriate to the participant type and implementation stage.</w:t>
      </w:r>
    </w:p>
    <w:p w14:paraId="250B71C6"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objective is not theatrical immutability.</w:t>
      </w:r>
    </w:p>
    <w:p w14:paraId="43186F8D"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objective is verifiable constitutional traceability.</w:t>
      </w:r>
    </w:p>
    <w:p w14:paraId="1B7C5E06"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A mature implementation may include:</w:t>
      </w:r>
    </w:p>
    <w:p w14:paraId="0D2FD1F1"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 canonical Covenant text version;</w:t>
      </w:r>
      <w:r w:rsidRPr="00B479AE">
        <w:rPr>
          <w:rFonts w:ascii="Baskerville Old Face" w:hAnsi="Baskerville Old Face"/>
          <w:i/>
          <w:iCs/>
        </w:rPr>
        <w:br/>
        <w:t>• hash of the canonical Covenant text;</w:t>
      </w:r>
      <w:r w:rsidRPr="00B479AE">
        <w:rPr>
          <w:rFonts w:ascii="Baskerville Old Face" w:hAnsi="Baskerville Old Face"/>
          <w:i/>
          <w:iCs/>
        </w:rPr>
        <w:br/>
        <w:t>• timestamp of acceptance;</w:t>
      </w:r>
      <w:r w:rsidRPr="00B479AE">
        <w:rPr>
          <w:rFonts w:ascii="Baskerville Old Face" w:hAnsi="Baskerville Old Face"/>
          <w:i/>
          <w:iCs/>
        </w:rPr>
        <w:br/>
        <w:t>• participant identity or entity identity;</w:t>
      </w:r>
      <w:r w:rsidRPr="00B479AE">
        <w:rPr>
          <w:rFonts w:ascii="Baskerville Old Face" w:hAnsi="Baskerville Old Face"/>
          <w:i/>
          <w:iCs/>
        </w:rPr>
        <w:br/>
        <w:t>• authority of the signer, where relevant;</w:t>
      </w:r>
      <w:r w:rsidRPr="00B479AE">
        <w:rPr>
          <w:rFonts w:ascii="Baskerville Old Face" w:hAnsi="Baskerville Old Face"/>
          <w:i/>
          <w:iCs/>
        </w:rPr>
        <w:br/>
        <w:t>• the full text or reference version of the Three Affirmations;</w:t>
      </w:r>
      <w:r w:rsidRPr="00B479AE">
        <w:rPr>
          <w:rFonts w:ascii="Baskerville Old Face" w:hAnsi="Baskerville Old Face"/>
          <w:i/>
          <w:iCs/>
        </w:rPr>
        <w:br/>
        <w:t>• digital signature or equivalent authentication;</w:t>
      </w:r>
      <w:r w:rsidRPr="00B479AE">
        <w:rPr>
          <w:rFonts w:ascii="Baskerville Old Face" w:hAnsi="Baskerville Old Face"/>
          <w:i/>
          <w:iCs/>
        </w:rPr>
        <w:br/>
        <w:t>• legal agreement reference, where applicable;</w:t>
      </w:r>
      <w:r w:rsidRPr="00B479AE">
        <w:rPr>
          <w:rFonts w:ascii="Baskerville Old Face" w:hAnsi="Baskerville Old Face"/>
          <w:i/>
          <w:iCs/>
        </w:rPr>
        <w:br/>
        <w:t>• applicable jurisdiction, where applicable;</w:t>
      </w:r>
      <w:r w:rsidRPr="00B479AE">
        <w:rPr>
          <w:rFonts w:ascii="Baskerville Old Face" w:hAnsi="Baskerville Old Face"/>
          <w:i/>
          <w:iCs/>
        </w:rPr>
        <w:br/>
        <w:t>• participant category;</w:t>
      </w:r>
      <w:r w:rsidRPr="00B479AE">
        <w:rPr>
          <w:rFonts w:ascii="Baskerville Old Face" w:hAnsi="Baskerville Old Face"/>
          <w:i/>
          <w:iCs/>
        </w:rPr>
        <w:br/>
        <w:t>• scope of access granted;</w:t>
      </w:r>
      <w:r w:rsidRPr="00B479AE">
        <w:rPr>
          <w:rFonts w:ascii="Baskerville Old Face" w:hAnsi="Baskerville Old Face"/>
          <w:i/>
          <w:iCs/>
        </w:rPr>
        <w:br/>
        <w:t>• governance rights, if any;</w:t>
      </w:r>
      <w:r w:rsidRPr="00B479AE">
        <w:rPr>
          <w:rFonts w:ascii="Baskerville Old Face" w:hAnsi="Baskerville Old Face"/>
          <w:i/>
          <w:iCs/>
        </w:rPr>
        <w:br/>
        <w:t>• financial rights, if any;</w:t>
      </w:r>
      <w:r w:rsidRPr="00B479AE">
        <w:rPr>
          <w:rFonts w:ascii="Baskerville Old Face" w:hAnsi="Baskerville Old Face"/>
          <w:i/>
          <w:iCs/>
        </w:rPr>
        <w:br/>
        <w:t>• data-access permissions, if any;</w:t>
      </w:r>
      <w:r w:rsidRPr="00B479AE">
        <w:rPr>
          <w:rFonts w:ascii="Baskerville Old Face" w:hAnsi="Baskerville Old Face"/>
          <w:i/>
          <w:iCs/>
        </w:rPr>
        <w:br/>
      </w:r>
      <w:r w:rsidRPr="00B479AE">
        <w:rPr>
          <w:rFonts w:ascii="Baskerville Old Face" w:hAnsi="Baskerville Old Face"/>
          <w:i/>
          <w:iCs/>
        </w:rPr>
        <w:lastRenderedPageBreak/>
        <w:t>• renewal status;</w:t>
      </w:r>
      <w:r w:rsidRPr="00B479AE">
        <w:rPr>
          <w:rFonts w:ascii="Baskerville Old Face" w:hAnsi="Baskerville Old Face"/>
          <w:i/>
          <w:iCs/>
        </w:rPr>
        <w:br/>
        <w:t>• review status;</w:t>
      </w:r>
      <w:r w:rsidRPr="00B479AE">
        <w:rPr>
          <w:rFonts w:ascii="Baskerville Old Face" w:hAnsi="Baskerville Old Face"/>
          <w:i/>
          <w:iCs/>
        </w:rPr>
        <w:br/>
        <w:t>• revocation, suspension, restriction, or limitation status, where applicable.</w:t>
      </w:r>
    </w:p>
    <w:p w14:paraId="7E95C225"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Where Prometheus is implemented through Holochain-compatible infrastructure, the acceptance event may be recorded as a signed entry on the participant’s source chain.</w:t>
      </w:r>
    </w:p>
    <w:p w14:paraId="5245FD1A"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A reference, hash, or availability record may be published to the appropriate distributed layer according to the hApp design, privacy rules, and validation logic.</w:t>
      </w:r>
    </w:p>
    <w:p w14:paraId="620BAB6E"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system should preserve the distinction between:</w:t>
      </w:r>
    </w:p>
    <w:p w14:paraId="74BC84C2"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 constitutional meaning;</w:t>
      </w:r>
      <w:r w:rsidRPr="00B479AE">
        <w:rPr>
          <w:rFonts w:ascii="Baskerville Old Face" w:hAnsi="Baskerville Old Face"/>
          <w:i/>
          <w:iCs/>
        </w:rPr>
        <w:br/>
        <w:t>• technical record;</w:t>
      </w:r>
      <w:r w:rsidRPr="00B479AE">
        <w:rPr>
          <w:rFonts w:ascii="Baskerville Old Face" w:hAnsi="Baskerville Old Face"/>
          <w:i/>
          <w:iCs/>
        </w:rPr>
        <w:br/>
        <w:t>• legal agreement;</w:t>
      </w:r>
      <w:r w:rsidRPr="00B479AE">
        <w:rPr>
          <w:rFonts w:ascii="Baskerville Old Face" w:hAnsi="Baskerville Old Face"/>
          <w:i/>
          <w:iCs/>
        </w:rPr>
        <w:br/>
        <w:t>• governance status;</w:t>
      </w:r>
      <w:r w:rsidRPr="00B479AE">
        <w:rPr>
          <w:rFonts w:ascii="Baskerville Old Face" w:hAnsi="Baskerville Old Face"/>
          <w:i/>
          <w:iCs/>
        </w:rPr>
        <w:br/>
        <w:t>• operational permission;</w:t>
      </w:r>
      <w:r w:rsidRPr="00B479AE">
        <w:rPr>
          <w:rFonts w:ascii="Baskerville Old Face" w:hAnsi="Baskerville Old Face"/>
          <w:i/>
          <w:iCs/>
        </w:rPr>
        <w:br/>
        <w:t>• token or credential status;</w:t>
      </w:r>
      <w:r w:rsidRPr="00B479AE">
        <w:rPr>
          <w:rFonts w:ascii="Baskerville Old Face" w:hAnsi="Baskerville Old Face"/>
          <w:i/>
          <w:iCs/>
        </w:rPr>
        <w:br/>
        <w:t>• investor-facing status;</w:t>
      </w:r>
      <w:r w:rsidRPr="00B479AE">
        <w:rPr>
          <w:rFonts w:ascii="Baskerville Old Face" w:hAnsi="Baskerville Old Face"/>
          <w:i/>
          <w:iCs/>
        </w:rPr>
        <w:br/>
        <w:t>• MRV admissibility status.</w:t>
      </w:r>
    </w:p>
    <w:p w14:paraId="7F3DF298"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These layers may interoperate.</w:t>
      </w:r>
    </w:p>
    <w:p w14:paraId="0690B59F"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They must not be collapsed.</w:t>
      </w:r>
    </w:p>
    <w:p w14:paraId="789446BC"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A digital record does not replace legal documentation where legal rights are involved.</w:t>
      </w:r>
    </w:p>
    <w:p w14:paraId="6B6AA06B"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A legal document does not replace constitutional alignment.</w:t>
      </w:r>
    </w:p>
    <w:p w14:paraId="7499081A"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A governance status does not create PRU value.</w:t>
      </w:r>
    </w:p>
    <w:p w14:paraId="2DD8C88E"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A token credential does not create investor entitlement.</w:t>
      </w:r>
    </w:p>
    <w:p w14:paraId="7092B3D8"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A community role does not create Prometheus authority unless the relevant Prometheus pathway explicitly grants it.</w:t>
      </w:r>
    </w:p>
    <w:p w14:paraId="470A5184"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record architecture exists to make participation traceable without confusing the meaning of participation.</w:t>
      </w:r>
    </w:p>
    <w:p w14:paraId="216AD813" w14:textId="77777777" w:rsidR="00B90855" w:rsidRPr="00B479AE" w:rsidRDefault="00B90855" w:rsidP="00B90855">
      <w:pPr>
        <w:spacing w:line="360" w:lineRule="auto"/>
        <w:rPr>
          <w:rFonts w:ascii="Baskerville Old Face" w:hAnsi="Baskerville Old Face"/>
          <w:b/>
          <w:bCs/>
          <w:i/>
          <w:iCs/>
        </w:rPr>
      </w:pPr>
      <w:r w:rsidRPr="00B479AE">
        <w:rPr>
          <w:rFonts w:ascii="Baskerville Old Face" w:hAnsi="Baskerville Old Face"/>
          <w:b/>
          <w:bCs/>
          <w:i/>
          <w:iCs/>
        </w:rPr>
        <w:lastRenderedPageBreak/>
        <w:t>6.3 Cryptographic and Technical Enforcement</w:t>
      </w:r>
    </w:p>
    <w:p w14:paraId="1AF02559"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Access Covenant should be supported by cryptographic and technical controls where feasible.</w:t>
      </w:r>
    </w:p>
    <w:p w14:paraId="09D59603"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These controls may include:</w:t>
      </w:r>
    </w:p>
    <w:p w14:paraId="61E899ED"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 signed acceptance events;</w:t>
      </w:r>
      <w:r w:rsidRPr="00B479AE">
        <w:rPr>
          <w:rFonts w:ascii="Baskerville Old Face" w:hAnsi="Baskerville Old Face"/>
          <w:i/>
          <w:iCs/>
        </w:rPr>
        <w:br/>
        <w:t>• canonical text hashing;</w:t>
      </w:r>
      <w:r w:rsidRPr="00B479AE">
        <w:rPr>
          <w:rFonts w:ascii="Baskerville Old Face" w:hAnsi="Baskerville Old Face"/>
          <w:i/>
          <w:iCs/>
        </w:rPr>
        <w:br/>
        <w:t>• source-chain records;</w:t>
      </w:r>
      <w:r w:rsidRPr="00B479AE">
        <w:rPr>
          <w:rFonts w:ascii="Baskerville Old Face" w:hAnsi="Baskerville Old Face"/>
          <w:i/>
          <w:iCs/>
        </w:rPr>
        <w:br/>
        <w:t>• DHT publication where appropriate;</w:t>
      </w:r>
      <w:r w:rsidRPr="00B479AE">
        <w:rPr>
          <w:rFonts w:ascii="Baskerville Old Face" w:hAnsi="Baskerville Old Face"/>
          <w:i/>
          <w:iCs/>
        </w:rPr>
        <w:br/>
        <w:t>• versioned Covenant references;</w:t>
      </w:r>
      <w:r w:rsidRPr="00B479AE">
        <w:rPr>
          <w:rFonts w:ascii="Baskerville Old Face" w:hAnsi="Baskerville Old Face"/>
          <w:i/>
          <w:iCs/>
        </w:rPr>
        <w:br/>
        <w:t>• validation checks;</w:t>
      </w:r>
      <w:r w:rsidRPr="00B479AE">
        <w:rPr>
          <w:rFonts w:ascii="Baskerville Old Face" w:hAnsi="Baskerville Old Face"/>
          <w:i/>
          <w:iCs/>
        </w:rPr>
        <w:br/>
        <w:t>• permission gates;</w:t>
      </w:r>
      <w:r w:rsidRPr="00B479AE">
        <w:rPr>
          <w:rFonts w:ascii="Baskerville Old Face" w:hAnsi="Baskerville Old Face"/>
          <w:i/>
          <w:iCs/>
        </w:rPr>
        <w:br/>
        <w:t>• access-control lists;</w:t>
      </w:r>
      <w:r w:rsidRPr="00B479AE">
        <w:rPr>
          <w:rFonts w:ascii="Baskerville Old Face" w:hAnsi="Baskerville Old Face"/>
          <w:i/>
          <w:iCs/>
        </w:rPr>
        <w:br/>
        <w:t>• role-based authorization;</w:t>
      </w:r>
      <w:r w:rsidRPr="00B479AE">
        <w:rPr>
          <w:rFonts w:ascii="Baskerville Old Face" w:hAnsi="Baskerville Old Face"/>
          <w:i/>
          <w:iCs/>
        </w:rPr>
        <w:br/>
        <w:t>• revocation or suspension records;</w:t>
      </w:r>
      <w:r w:rsidRPr="00B479AE">
        <w:rPr>
          <w:rFonts w:ascii="Baskerville Old Face" w:hAnsi="Baskerville Old Face"/>
          <w:i/>
          <w:iCs/>
        </w:rPr>
        <w:br/>
        <w:t>• audit logs;</w:t>
      </w:r>
      <w:r w:rsidRPr="00B479AE">
        <w:rPr>
          <w:rFonts w:ascii="Baskerville Old Face" w:hAnsi="Baskerville Old Face"/>
          <w:i/>
          <w:iCs/>
        </w:rPr>
        <w:br/>
        <w:t>• governance-review flags;</w:t>
      </w:r>
      <w:r w:rsidRPr="00B479AE">
        <w:rPr>
          <w:rFonts w:ascii="Baskerville Old Face" w:hAnsi="Baskerville Old Face"/>
          <w:i/>
          <w:iCs/>
        </w:rPr>
        <w:br/>
        <w:t>• policy-engine constraints;</w:t>
      </w:r>
      <w:r w:rsidRPr="00B479AE">
        <w:rPr>
          <w:rFonts w:ascii="Baskerville Old Face" w:hAnsi="Baskerville Old Face"/>
          <w:i/>
          <w:iCs/>
        </w:rPr>
        <w:br/>
        <w:t>• test suites for Covenant-dependent operations;</w:t>
      </w:r>
      <w:r w:rsidRPr="00B479AE">
        <w:rPr>
          <w:rFonts w:ascii="Baskerville Old Face" w:hAnsi="Baskerville Old Face"/>
          <w:i/>
          <w:iCs/>
        </w:rPr>
        <w:br/>
        <w:t>• canonical release manifests;</w:t>
      </w:r>
      <w:r w:rsidRPr="00B479AE">
        <w:rPr>
          <w:rFonts w:ascii="Baskerville Old Face" w:hAnsi="Baskerville Old Face"/>
          <w:i/>
          <w:iCs/>
        </w:rPr>
        <w:br/>
        <w:t>• emergency-pause procedures for high-impact pathways.</w:t>
      </w:r>
    </w:p>
    <w:p w14:paraId="3365F2B7"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In a mature Holochain-compatible implementation, sensitive operations may check whether a participant has a valid Covenant status before permitting access to:</w:t>
      </w:r>
    </w:p>
    <w:p w14:paraId="691D133F"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 governance actions;</w:t>
      </w:r>
      <w:r w:rsidRPr="00B479AE">
        <w:rPr>
          <w:rFonts w:ascii="Baskerville Old Face" w:hAnsi="Baskerville Old Face"/>
          <w:i/>
          <w:iCs/>
        </w:rPr>
        <w:br/>
        <w:t>• role-specific operations;</w:t>
      </w:r>
      <w:r w:rsidRPr="00B479AE">
        <w:rPr>
          <w:rFonts w:ascii="Baskerville Old Face" w:hAnsi="Baskerville Old Face"/>
          <w:i/>
          <w:iCs/>
        </w:rPr>
        <w:br/>
        <w:t>• PRU-related workflows;</w:t>
      </w:r>
      <w:r w:rsidRPr="00B479AE">
        <w:rPr>
          <w:rFonts w:ascii="Baskerville Old Face" w:hAnsi="Baskerville Old Face"/>
          <w:i/>
          <w:iCs/>
        </w:rPr>
        <w:br/>
        <w:t>• RAP-related workflows;</w:t>
      </w:r>
      <w:r w:rsidRPr="00B479AE">
        <w:rPr>
          <w:rFonts w:ascii="Baskerville Old Face" w:hAnsi="Baskerville Old Face"/>
          <w:i/>
          <w:iCs/>
        </w:rPr>
        <w:br/>
        <w:t>• MRV submission or validation;</w:t>
      </w:r>
      <w:r w:rsidRPr="00B479AE">
        <w:rPr>
          <w:rFonts w:ascii="Baskerville Old Face" w:hAnsi="Baskerville Old Face"/>
          <w:i/>
          <w:iCs/>
        </w:rPr>
        <w:br/>
        <w:t>• investor-facing data rooms;</w:t>
      </w:r>
      <w:r w:rsidRPr="00B479AE">
        <w:rPr>
          <w:rFonts w:ascii="Baskerville Old Face" w:hAnsi="Baskerville Old Face"/>
          <w:i/>
          <w:iCs/>
        </w:rPr>
        <w:br/>
        <w:t>• token-mediated participation;</w:t>
      </w:r>
      <w:r w:rsidRPr="00B479AE">
        <w:rPr>
          <w:rFonts w:ascii="Baskerville Old Face" w:hAnsi="Baskerville Old Face"/>
          <w:i/>
          <w:iCs/>
        </w:rPr>
        <w:br/>
        <w:t>• protected APIs;</w:t>
      </w:r>
      <w:r w:rsidRPr="00B479AE">
        <w:rPr>
          <w:rFonts w:ascii="Baskerville Old Face" w:hAnsi="Baskerville Old Face"/>
          <w:i/>
          <w:iCs/>
        </w:rPr>
        <w:br/>
        <w:t>• institutional dashboards;</w:t>
      </w:r>
      <w:r w:rsidRPr="00B479AE">
        <w:rPr>
          <w:rFonts w:ascii="Baskerville Old Face" w:hAnsi="Baskerville Old Face"/>
          <w:i/>
          <w:iCs/>
        </w:rPr>
        <w:br/>
      </w:r>
      <w:r w:rsidRPr="00B479AE">
        <w:rPr>
          <w:rFonts w:ascii="Baskerville Old Face" w:hAnsi="Baskerville Old Face"/>
          <w:i/>
          <w:iCs/>
        </w:rPr>
        <w:lastRenderedPageBreak/>
        <w:t>• capital-readiness workflows;</w:t>
      </w:r>
      <w:r w:rsidRPr="00B479AE">
        <w:rPr>
          <w:rFonts w:ascii="Baskerville Old Face" w:hAnsi="Baskerville Old Face"/>
          <w:i/>
          <w:iCs/>
        </w:rPr>
        <w:br/>
        <w:t>• other protected functions.</w:t>
      </w:r>
    </w:p>
    <w:p w14:paraId="1B783DA4"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However, technical enforcement should be described with implementation discipline.</w:t>
      </w:r>
    </w:p>
    <w:p w14:paraId="6EE189AD"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Prometheus should not claim that every enforcement mechanism is automatic until it is actually implemented, tested, audited, and governed.</w:t>
      </w:r>
    </w:p>
    <w:p w14:paraId="5D6BAE87"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correct principle is:</w:t>
      </w:r>
    </w:p>
    <w:p w14:paraId="0713547A"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where implemented, Covenant-dependent operations should be technically gated;</w:t>
      </w:r>
    </w:p>
    <w:p w14:paraId="0B9C8139"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where not yet implemented, Covenant compliance should be governed through procedural, legal, institutional, and governance review.</w:t>
      </w:r>
    </w:p>
    <w:p w14:paraId="0E162454"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This preserves credibility while keeping the constitutional architecture strong.</w:t>
      </w:r>
    </w:p>
    <w:p w14:paraId="027C5BF9"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Covenant is not complete merely because it is written.</w:t>
      </w:r>
    </w:p>
    <w:p w14:paraId="77E10E6F"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becomes operational when it is reflected in code, permissions, records, review pathways, and institutional behavior.</w:t>
      </w:r>
    </w:p>
    <w:p w14:paraId="1357232B" w14:textId="77777777" w:rsidR="00B90855" w:rsidRPr="00B479AE" w:rsidRDefault="00B90855" w:rsidP="00B90855">
      <w:pPr>
        <w:spacing w:line="360" w:lineRule="auto"/>
        <w:rPr>
          <w:rFonts w:ascii="Baskerville Old Face" w:hAnsi="Baskerville Old Face"/>
          <w:b/>
          <w:bCs/>
          <w:i/>
          <w:iCs/>
        </w:rPr>
      </w:pPr>
      <w:r w:rsidRPr="00B479AE">
        <w:rPr>
          <w:rFonts w:ascii="Baskerville Old Face" w:hAnsi="Baskerville Old Face"/>
          <w:b/>
          <w:bCs/>
          <w:i/>
          <w:iCs/>
        </w:rPr>
        <w:t>6.4 Legal Integration for Institutional and Capital Participation</w:t>
      </w:r>
    </w:p>
    <w:p w14:paraId="10ECDE46"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For institutions, legal entities, investment funds, foundations, trusts, public agencies, companies, SPVs, DAOs, infrastructure providers, or other formal participants, the Access Covenant should be integrated through a two-layer structure.</w:t>
      </w:r>
    </w:p>
    <w:p w14:paraId="15B32193" w14:textId="77777777" w:rsidR="00784064" w:rsidRPr="00B479AE" w:rsidRDefault="00784064" w:rsidP="00B90855">
      <w:pPr>
        <w:spacing w:line="360" w:lineRule="auto"/>
        <w:rPr>
          <w:rFonts w:ascii="Baskerville Old Face" w:hAnsi="Baskerville Old Face"/>
          <w:b/>
          <w:bCs/>
          <w:i/>
          <w:iCs/>
        </w:rPr>
      </w:pPr>
    </w:p>
    <w:p w14:paraId="6A17D900" w14:textId="56E120C6" w:rsidR="00B90855" w:rsidRPr="00B479AE" w:rsidRDefault="00B90855" w:rsidP="00B90855">
      <w:pPr>
        <w:spacing w:line="360" w:lineRule="auto"/>
        <w:rPr>
          <w:rFonts w:ascii="Baskerville Old Face" w:hAnsi="Baskerville Old Face"/>
          <w:b/>
          <w:bCs/>
          <w:i/>
          <w:iCs/>
        </w:rPr>
      </w:pPr>
      <w:r w:rsidRPr="00B479AE">
        <w:rPr>
          <w:rFonts w:ascii="Baskerville Old Face" w:hAnsi="Baskerville Old Face"/>
          <w:b/>
          <w:bCs/>
          <w:i/>
          <w:iCs/>
        </w:rPr>
        <w:t>Digital layer</w:t>
      </w:r>
    </w:p>
    <w:p w14:paraId="2FECD055"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An authorized representative may digitally acknowledge the Covenant through the Prometheus hApp or equivalent interface.</w:t>
      </w:r>
    </w:p>
    <w:p w14:paraId="2B0125F8"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digital layer may create:</w:t>
      </w:r>
    </w:p>
    <w:p w14:paraId="661A73CF"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 a signed record;</w:t>
      </w:r>
      <w:r w:rsidRPr="00B479AE">
        <w:rPr>
          <w:rFonts w:ascii="Baskerville Old Face" w:hAnsi="Baskerville Old Face"/>
          <w:i/>
          <w:iCs/>
        </w:rPr>
        <w:br/>
        <w:t>• hash reference;</w:t>
      </w:r>
      <w:r w:rsidRPr="00B479AE">
        <w:rPr>
          <w:rFonts w:ascii="Baskerville Old Face" w:hAnsi="Baskerville Old Face"/>
          <w:i/>
          <w:iCs/>
        </w:rPr>
        <w:br/>
        <w:t>• Covenant version reference;</w:t>
      </w:r>
      <w:r w:rsidRPr="00B479AE">
        <w:rPr>
          <w:rFonts w:ascii="Baskerville Old Face" w:hAnsi="Baskerville Old Face"/>
          <w:i/>
          <w:iCs/>
        </w:rPr>
        <w:br/>
      </w:r>
      <w:r w:rsidRPr="00B479AE">
        <w:rPr>
          <w:rFonts w:ascii="Baskerville Old Face" w:hAnsi="Baskerville Old Face"/>
          <w:i/>
          <w:iCs/>
        </w:rPr>
        <w:lastRenderedPageBreak/>
        <w:t>• timestamp;</w:t>
      </w:r>
      <w:r w:rsidRPr="00B479AE">
        <w:rPr>
          <w:rFonts w:ascii="Baskerville Old Face" w:hAnsi="Baskerville Old Face"/>
          <w:i/>
          <w:iCs/>
        </w:rPr>
        <w:br/>
        <w:t>• access-status record;</w:t>
      </w:r>
      <w:r w:rsidRPr="00B479AE">
        <w:rPr>
          <w:rFonts w:ascii="Baskerville Old Face" w:hAnsi="Baskerville Old Face"/>
          <w:i/>
          <w:iCs/>
        </w:rPr>
        <w:br/>
        <w:t>• representative identity reference;</w:t>
      </w:r>
      <w:r w:rsidRPr="00B479AE">
        <w:rPr>
          <w:rFonts w:ascii="Baskerville Old Face" w:hAnsi="Baskerville Old Face"/>
          <w:i/>
          <w:iCs/>
        </w:rPr>
        <w:br/>
        <w:t>• role or authority reference;</w:t>
      </w:r>
      <w:r w:rsidRPr="00B479AE">
        <w:rPr>
          <w:rFonts w:ascii="Baskerville Old Face" w:hAnsi="Baskerville Old Face"/>
          <w:i/>
          <w:iCs/>
        </w:rPr>
        <w:br/>
        <w:t>• technical permission state.</w:t>
      </w:r>
    </w:p>
    <w:p w14:paraId="1FD9A870" w14:textId="77777777" w:rsidR="00B90855" w:rsidRPr="00B479AE" w:rsidRDefault="00B90855" w:rsidP="00B90855">
      <w:pPr>
        <w:spacing w:line="360" w:lineRule="auto"/>
        <w:rPr>
          <w:rFonts w:ascii="Baskerville Old Face" w:hAnsi="Baskerville Old Face"/>
          <w:b/>
          <w:bCs/>
          <w:i/>
          <w:iCs/>
        </w:rPr>
      </w:pPr>
      <w:r w:rsidRPr="00B479AE">
        <w:rPr>
          <w:rFonts w:ascii="Baskerville Old Face" w:hAnsi="Baskerville Old Face"/>
          <w:b/>
          <w:bCs/>
          <w:i/>
          <w:iCs/>
        </w:rPr>
        <w:t>Legal layer</w:t>
      </w:r>
    </w:p>
    <w:p w14:paraId="6390893A" w14:textId="61D491B4"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entity should also execute a separate Access Agreement, participation agreement, governance agreement, fund-side letter, subscription document, operating agreement, partnership agreement, data-sharing agreement, service agreement, or other legally appropriate instrument that incorporates the Access Covenant by reference. The legal instrument should clarify:</w:t>
      </w:r>
    </w:p>
    <w:p w14:paraId="3AED505C"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 authority of the signer;</w:t>
      </w:r>
      <w:r w:rsidRPr="00B479AE">
        <w:rPr>
          <w:rFonts w:ascii="Baskerville Old Face" w:hAnsi="Baskerville Old Face"/>
          <w:i/>
          <w:iCs/>
        </w:rPr>
        <w:br/>
        <w:t>• applicable jurisdiction;</w:t>
      </w:r>
      <w:r w:rsidRPr="00B479AE">
        <w:rPr>
          <w:rFonts w:ascii="Baskerville Old Face" w:hAnsi="Baskerville Old Face"/>
          <w:i/>
          <w:iCs/>
        </w:rPr>
        <w:br/>
        <w:t>• participant category;</w:t>
      </w:r>
      <w:r w:rsidRPr="00B479AE">
        <w:rPr>
          <w:rFonts w:ascii="Baskerville Old Face" w:hAnsi="Baskerville Old Face"/>
          <w:i/>
          <w:iCs/>
        </w:rPr>
        <w:br/>
        <w:t>• scope of permitted participation;</w:t>
      </w:r>
      <w:r w:rsidRPr="00B479AE">
        <w:rPr>
          <w:rFonts w:ascii="Baskerville Old Face" w:hAnsi="Baskerville Old Face"/>
          <w:i/>
          <w:iCs/>
        </w:rPr>
        <w:br/>
        <w:t>• governance rights, if any;</w:t>
      </w:r>
      <w:r w:rsidRPr="00B479AE">
        <w:rPr>
          <w:rFonts w:ascii="Baskerville Old Face" w:hAnsi="Baskerville Old Face"/>
          <w:i/>
          <w:iCs/>
        </w:rPr>
        <w:br/>
        <w:t>• financial rights, if any;</w:t>
      </w:r>
      <w:r w:rsidRPr="00B479AE">
        <w:rPr>
          <w:rFonts w:ascii="Baskerville Old Face" w:hAnsi="Baskerville Old Face"/>
          <w:i/>
          <w:iCs/>
        </w:rPr>
        <w:br/>
        <w:t>• data access, if any;</w:t>
      </w:r>
      <w:r w:rsidRPr="00B479AE">
        <w:rPr>
          <w:rFonts w:ascii="Baskerville Old Face" w:hAnsi="Baskerville Old Face"/>
          <w:i/>
          <w:iCs/>
        </w:rPr>
        <w:br/>
        <w:t>• confidentiality obligations;</w:t>
      </w:r>
      <w:r w:rsidRPr="00B479AE">
        <w:rPr>
          <w:rFonts w:ascii="Baskerville Old Face" w:hAnsi="Baskerville Old Face"/>
          <w:i/>
          <w:iCs/>
        </w:rPr>
        <w:br/>
        <w:t>• Covenant obligations;</w:t>
      </w:r>
      <w:r w:rsidRPr="00B479AE">
        <w:rPr>
          <w:rFonts w:ascii="Baskerville Old Face" w:hAnsi="Baskerville Old Face"/>
          <w:i/>
          <w:iCs/>
        </w:rPr>
        <w:br/>
        <w:t>• consequences of breach;</w:t>
      </w:r>
      <w:r w:rsidRPr="00B479AE">
        <w:rPr>
          <w:rFonts w:ascii="Baskerville Old Face" w:hAnsi="Baskerville Old Face"/>
          <w:i/>
          <w:iCs/>
        </w:rPr>
        <w:br/>
        <w:t>• dispute-resolution pathway;</w:t>
      </w:r>
      <w:r w:rsidRPr="00B479AE">
        <w:rPr>
          <w:rFonts w:ascii="Baskerville Old Face" w:hAnsi="Baskerville Old Face"/>
          <w:i/>
          <w:iCs/>
        </w:rPr>
        <w:br/>
        <w:t>• limitation, suspension, or termination conditions;</w:t>
      </w:r>
      <w:r w:rsidRPr="00B479AE">
        <w:rPr>
          <w:rFonts w:ascii="Baskerville Old Face" w:hAnsi="Baskerville Old Face"/>
          <w:i/>
          <w:iCs/>
        </w:rPr>
        <w:br/>
        <w:t>• relationship between digital records and legal instruments;</w:t>
      </w:r>
      <w:r w:rsidRPr="00B479AE">
        <w:rPr>
          <w:rFonts w:ascii="Baskerville Old Face" w:hAnsi="Baskerville Old Face"/>
          <w:i/>
          <w:iCs/>
        </w:rPr>
        <w:br/>
        <w:t>• relationship between participation and any token, credential, PRU, RAP, MRV, or investor-facing status.</w:t>
      </w:r>
    </w:p>
    <w:p w14:paraId="3D30AE8A"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This is especially important for capital-market actors.</w:t>
      </w:r>
    </w:p>
    <w:p w14:paraId="0FA4CB2A"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No investor, fund, noteholder, token participant, philanthropic vehicle, family office, institutional counterparty, or public-sector partner should rely on the Access Covenant alone as a substitute for enforceable legal documentation.</w:t>
      </w:r>
    </w:p>
    <w:p w14:paraId="4012B45E"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Covenant is constitutional infrastructure.</w:t>
      </w:r>
    </w:p>
    <w:p w14:paraId="289E5723"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lastRenderedPageBreak/>
        <w:t>Legal instruments create enforceable rights and obligations in specific jurisdictions.</w:t>
      </w:r>
    </w:p>
    <w:p w14:paraId="5D819D26"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Both layers are needed.</w:t>
      </w:r>
    </w:p>
    <w:p w14:paraId="5076A6ED"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digital layer creates traceability.</w:t>
      </w:r>
    </w:p>
    <w:p w14:paraId="72EEB00E"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legal layer creates enforceability.</w:t>
      </w:r>
    </w:p>
    <w:p w14:paraId="49E500BF"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constitutional layer defines meaning.</w:t>
      </w:r>
    </w:p>
    <w:p w14:paraId="715A7C5F"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governance layer preserves alignment.</w:t>
      </w:r>
    </w:p>
    <w:p w14:paraId="4D30ECD2" w14:textId="77777777" w:rsidR="00B90855" w:rsidRPr="00B479AE" w:rsidRDefault="00B90855" w:rsidP="00B90855">
      <w:pPr>
        <w:spacing w:line="360" w:lineRule="auto"/>
        <w:rPr>
          <w:rFonts w:ascii="Baskerville Old Face" w:hAnsi="Baskerville Old Face"/>
          <w:b/>
          <w:bCs/>
          <w:i/>
          <w:iCs/>
        </w:rPr>
      </w:pPr>
      <w:r w:rsidRPr="00B479AE">
        <w:rPr>
          <w:rFonts w:ascii="Baskerville Old Face" w:hAnsi="Baskerville Old Face"/>
          <w:b/>
          <w:bCs/>
          <w:i/>
          <w:iCs/>
        </w:rPr>
        <w:t>6.5 User Interface and Acceptance Flow</w:t>
      </w:r>
    </w:p>
    <w:p w14:paraId="68FA123F"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Prometheus interface should make Covenant acceptance deliberate, explicit, and reviewable.</w:t>
      </w:r>
    </w:p>
    <w:p w14:paraId="5C9AF28C" w14:textId="243AFE41"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A valid acceptance flow may include:</w:t>
      </w:r>
      <w:r w:rsidR="00192AA9" w:rsidRPr="00B479AE">
        <w:rPr>
          <w:rFonts w:ascii="Baskerville Old Face" w:hAnsi="Baskerville Old Face"/>
          <w:i/>
          <w:iCs/>
        </w:rPr>
        <w:t xml:space="preserve"> </w:t>
      </w:r>
    </w:p>
    <w:p w14:paraId="09F37BAD" w14:textId="77777777" w:rsidR="00784064" w:rsidRPr="00B479AE" w:rsidRDefault="00784064" w:rsidP="00B90855">
      <w:pPr>
        <w:spacing w:line="360" w:lineRule="auto"/>
        <w:rPr>
          <w:rFonts w:ascii="Baskerville Old Face" w:hAnsi="Baskerville Old Face"/>
          <w:i/>
          <w:iCs/>
        </w:rPr>
      </w:pPr>
    </w:p>
    <w:p w14:paraId="0BB94ADF" w14:textId="77777777" w:rsidR="00784064" w:rsidRPr="00B479AE" w:rsidRDefault="00784064" w:rsidP="00B90855">
      <w:pPr>
        <w:spacing w:line="360" w:lineRule="auto"/>
        <w:rPr>
          <w:rFonts w:ascii="Baskerville Old Face" w:hAnsi="Baskerville Old Face"/>
          <w:i/>
          <w:iCs/>
        </w:rPr>
      </w:pPr>
    </w:p>
    <w:p w14:paraId="07D0BFD7" w14:textId="77777777" w:rsidR="00784064" w:rsidRPr="00B479AE" w:rsidRDefault="00784064" w:rsidP="00B90855">
      <w:pPr>
        <w:spacing w:line="360" w:lineRule="auto"/>
        <w:rPr>
          <w:rFonts w:ascii="Baskerville Old Face" w:hAnsi="Baskerville Old Face"/>
          <w:i/>
          <w:iCs/>
        </w:rPr>
      </w:pPr>
    </w:p>
    <w:p w14:paraId="63BE78A3" w14:textId="77777777" w:rsidR="00784064" w:rsidRPr="00B479AE" w:rsidRDefault="00784064" w:rsidP="00B90855">
      <w:pPr>
        <w:spacing w:line="360" w:lineRule="auto"/>
        <w:rPr>
          <w:rFonts w:ascii="Baskerville Old Face" w:hAnsi="Baskerville Old Face"/>
          <w:i/>
          <w:iCs/>
        </w:rPr>
      </w:pPr>
    </w:p>
    <w:p w14:paraId="7CB72F29" w14:textId="77777777" w:rsidR="00784064" w:rsidRPr="00B479AE" w:rsidRDefault="00784064" w:rsidP="00B90855">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58"/>
        <w:gridCol w:w="5006"/>
        <w:gridCol w:w="2664"/>
      </w:tblGrid>
      <w:tr w:rsidR="00B90855" w:rsidRPr="00B479AE" w14:paraId="38A1A569" w14:textId="77777777" w:rsidTr="00B90855">
        <w:trPr>
          <w:tblHeader/>
          <w:tblCellSpacing w:w="15" w:type="dxa"/>
        </w:trPr>
        <w:tc>
          <w:tcPr>
            <w:tcW w:w="0" w:type="auto"/>
            <w:vAlign w:val="center"/>
            <w:hideMark/>
          </w:tcPr>
          <w:p w14:paraId="3F57C1C5" w14:textId="77777777" w:rsidR="00B90855" w:rsidRPr="00B479AE" w:rsidRDefault="00B90855" w:rsidP="00B9085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Step</w:t>
            </w:r>
          </w:p>
        </w:tc>
        <w:tc>
          <w:tcPr>
            <w:tcW w:w="0" w:type="auto"/>
            <w:vAlign w:val="center"/>
            <w:hideMark/>
          </w:tcPr>
          <w:p w14:paraId="24B18566" w14:textId="77777777" w:rsidR="00B90855" w:rsidRPr="00B479AE" w:rsidRDefault="00B90855" w:rsidP="00B9085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Function</w:t>
            </w:r>
          </w:p>
        </w:tc>
        <w:tc>
          <w:tcPr>
            <w:tcW w:w="0" w:type="auto"/>
            <w:vAlign w:val="center"/>
            <w:hideMark/>
          </w:tcPr>
          <w:p w14:paraId="495763EF" w14:textId="77777777" w:rsidR="00B90855" w:rsidRPr="00B479AE" w:rsidRDefault="00B90855" w:rsidP="00B9085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Control purpose</w:t>
            </w:r>
          </w:p>
        </w:tc>
      </w:tr>
      <w:tr w:rsidR="00B90855" w:rsidRPr="00B479AE" w14:paraId="29FEC0F0" w14:textId="77777777" w:rsidTr="00B90855">
        <w:trPr>
          <w:tblCellSpacing w:w="15" w:type="dxa"/>
        </w:trPr>
        <w:tc>
          <w:tcPr>
            <w:tcW w:w="0" w:type="auto"/>
            <w:vAlign w:val="center"/>
            <w:hideMark/>
          </w:tcPr>
          <w:p w14:paraId="2C5381F7"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Covenant presentation</w:t>
            </w:r>
          </w:p>
        </w:tc>
        <w:tc>
          <w:tcPr>
            <w:tcW w:w="0" w:type="auto"/>
            <w:vAlign w:val="center"/>
            <w:hideMark/>
          </w:tcPr>
          <w:p w14:paraId="1AADABE3"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Participant is shown the current canonical Covenant text.</w:t>
            </w:r>
          </w:p>
        </w:tc>
        <w:tc>
          <w:tcPr>
            <w:tcW w:w="0" w:type="auto"/>
            <w:vAlign w:val="center"/>
            <w:hideMark/>
          </w:tcPr>
          <w:p w14:paraId="13A7DE10"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Prevents hidden or implied acceptance.</w:t>
            </w:r>
          </w:p>
        </w:tc>
      </w:tr>
      <w:tr w:rsidR="00B90855" w:rsidRPr="00B479AE" w14:paraId="7857C23A" w14:textId="77777777" w:rsidTr="00B90855">
        <w:trPr>
          <w:tblCellSpacing w:w="15" w:type="dxa"/>
        </w:trPr>
        <w:tc>
          <w:tcPr>
            <w:tcW w:w="0" w:type="auto"/>
            <w:vAlign w:val="center"/>
            <w:hideMark/>
          </w:tcPr>
          <w:p w14:paraId="2D3C88B6"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Version disclosure</w:t>
            </w:r>
          </w:p>
        </w:tc>
        <w:tc>
          <w:tcPr>
            <w:tcW w:w="0" w:type="auto"/>
            <w:vAlign w:val="center"/>
            <w:hideMark/>
          </w:tcPr>
          <w:p w14:paraId="06557993"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The applicable Covenant version and hash are displayed.</w:t>
            </w:r>
          </w:p>
        </w:tc>
        <w:tc>
          <w:tcPr>
            <w:tcW w:w="0" w:type="auto"/>
            <w:vAlign w:val="center"/>
            <w:hideMark/>
          </w:tcPr>
          <w:p w14:paraId="1825AC82"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Preserves canonical traceability.</w:t>
            </w:r>
          </w:p>
        </w:tc>
      </w:tr>
      <w:tr w:rsidR="00B90855" w:rsidRPr="00B479AE" w14:paraId="575D4184" w14:textId="77777777" w:rsidTr="00B90855">
        <w:trPr>
          <w:tblCellSpacing w:w="15" w:type="dxa"/>
        </w:trPr>
        <w:tc>
          <w:tcPr>
            <w:tcW w:w="0" w:type="auto"/>
            <w:vAlign w:val="center"/>
            <w:hideMark/>
          </w:tcPr>
          <w:p w14:paraId="59C32474"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Three Affirmations</w:t>
            </w:r>
          </w:p>
        </w:tc>
        <w:tc>
          <w:tcPr>
            <w:tcW w:w="0" w:type="auto"/>
            <w:vAlign w:val="center"/>
            <w:hideMark/>
          </w:tcPr>
          <w:p w14:paraId="2E5A59DF"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Each affirmation is presented separately and accepted actively.</w:t>
            </w:r>
          </w:p>
        </w:tc>
        <w:tc>
          <w:tcPr>
            <w:tcW w:w="0" w:type="auto"/>
            <w:vAlign w:val="center"/>
            <w:hideMark/>
          </w:tcPr>
          <w:p w14:paraId="5B3690C8"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Prevents passive consent.</w:t>
            </w:r>
          </w:p>
        </w:tc>
      </w:tr>
      <w:tr w:rsidR="00B90855" w:rsidRPr="00B479AE" w14:paraId="1BBADC26" w14:textId="77777777" w:rsidTr="00B90855">
        <w:trPr>
          <w:tblCellSpacing w:w="15" w:type="dxa"/>
        </w:trPr>
        <w:tc>
          <w:tcPr>
            <w:tcW w:w="0" w:type="auto"/>
            <w:vAlign w:val="center"/>
            <w:hideMark/>
          </w:tcPr>
          <w:p w14:paraId="2FA73E45"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Scope disclosure</w:t>
            </w:r>
          </w:p>
        </w:tc>
        <w:tc>
          <w:tcPr>
            <w:tcW w:w="0" w:type="auto"/>
            <w:vAlign w:val="center"/>
            <w:hideMark/>
          </w:tcPr>
          <w:p w14:paraId="3E0CA453"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Participant sees what access, rights, roles, limits, or restrictions apply.</w:t>
            </w:r>
          </w:p>
        </w:tc>
        <w:tc>
          <w:tcPr>
            <w:tcW w:w="0" w:type="auto"/>
            <w:vAlign w:val="center"/>
            <w:hideMark/>
          </w:tcPr>
          <w:p w14:paraId="0608D408"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Prevents misunderstanding of participation status.</w:t>
            </w:r>
          </w:p>
        </w:tc>
      </w:tr>
      <w:tr w:rsidR="00B90855" w:rsidRPr="00B479AE" w14:paraId="3A1B3E99" w14:textId="77777777" w:rsidTr="00B90855">
        <w:trPr>
          <w:tblCellSpacing w:w="15" w:type="dxa"/>
        </w:trPr>
        <w:tc>
          <w:tcPr>
            <w:tcW w:w="0" w:type="auto"/>
            <w:vAlign w:val="center"/>
            <w:hideMark/>
          </w:tcPr>
          <w:p w14:paraId="6A9C5BD8"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lastRenderedPageBreak/>
              <w:t>Boundary notice</w:t>
            </w:r>
          </w:p>
        </w:tc>
        <w:tc>
          <w:tcPr>
            <w:tcW w:w="0" w:type="auto"/>
            <w:vAlign w:val="center"/>
            <w:hideMark/>
          </w:tcPr>
          <w:p w14:paraId="0B7C5699"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Participant is informed that the Covenant does not create PRU value, land rights, investor rights, or token entitlement by itself.</w:t>
            </w:r>
          </w:p>
        </w:tc>
        <w:tc>
          <w:tcPr>
            <w:tcW w:w="0" w:type="auto"/>
            <w:vAlign w:val="center"/>
            <w:hideMark/>
          </w:tcPr>
          <w:p w14:paraId="3C12D8FD"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Prevents category collapse.</w:t>
            </w:r>
          </w:p>
        </w:tc>
      </w:tr>
      <w:tr w:rsidR="00B90855" w:rsidRPr="00B479AE" w14:paraId="597A4E78" w14:textId="77777777" w:rsidTr="00B90855">
        <w:trPr>
          <w:tblCellSpacing w:w="15" w:type="dxa"/>
        </w:trPr>
        <w:tc>
          <w:tcPr>
            <w:tcW w:w="0" w:type="auto"/>
            <w:vAlign w:val="center"/>
            <w:hideMark/>
          </w:tcPr>
          <w:p w14:paraId="423D4182"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Risk and review notice</w:t>
            </w:r>
          </w:p>
        </w:tc>
        <w:tc>
          <w:tcPr>
            <w:tcW w:w="0" w:type="auto"/>
            <w:vAlign w:val="center"/>
            <w:hideMark/>
          </w:tcPr>
          <w:p w14:paraId="4306EE78"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Participant understands that sensitive actions may require governance, MRV, legal, compliance, or technical review.</w:t>
            </w:r>
          </w:p>
        </w:tc>
        <w:tc>
          <w:tcPr>
            <w:tcW w:w="0" w:type="auto"/>
            <w:vAlign w:val="center"/>
            <w:hideMark/>
          </w:tcPr>
          <w:p w14:paraId="7BF74E0D"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Preserves review discipline.</w:t>
            </w:r>
          </w:p>
        </w:tc>
      </w:tr>
      <w:tr w:rsidR="00B90855" w:rsidRPr="00B479AE" w14:paraId="1A6BC4B2" w14:textId="77777777" w:rsidTr="00B90855">
        <w:trPr>
          <w:tblCellSpacing w:w="15" w:type="dxa"/>
        </w:trPr>
        <w:tc>
          <w:tcPr>
            <w:tcW w:w="0" w:type="auto"/>
            <w:vAlign w:val="center"/>
            <w:hideMark/>
          </w:tcPr>
          <w:p w14:paraId="44213446"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Digital signature or authentication</w:t>
            </w:r>
          </w:p>
        </w:tc>
        <w:tc>
          <w:tcPr>
            <w:tcW w:w="0" w:type="auto"/>
            <w:vAlign w:val="center"/>
            <w:hideMark/>
          </w:tcPr>
          <w:p w14:paraId="48DF43BC"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Participant confirms acceptance through appropriate identity or authorization mechanism.</w:t>
            </w:r>
          </w:p>
        </w:tc>
        <w:tc>
          <w:tcPr>
            <w:tcW w:w="0" w:type="auto"/>
            <w:vAlign w:val="center"/>
            <w:hideMark/>
          </w:tcPr>
          <w:p w14:paraId="38366920"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Creates verifiable acceptance.</w:t>
            </w:r>
          </w:p>
        </w:tc>
      </w:tr>
      <w:tr w:rsidR="00B90855" w:rsidRPr="00B479AE" w14:paraId="44C9B370" w14:textId="77777777" w:rsidTr="00B90855">
        <w:trPr>
          <w:tblCellSpacing w:w="15" w:type="dxa"/>
        </w:trPr>
        <w:tc>
          <w:tcPr>
            <w:tcW w:w="0" w:type="auto"/>
            <w:vAlign w:val="center"/>
            <w:hideMark/>
          </w:tcPr>
          <w:p w14:paraId="3365B2DD"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Legal agreement, if applicable</w:t>
            </w:r>
          </w:p>
        </w:tc>
        <w:tc>
          <w:tcPr>
            <w:tcW w:w="0" w:type="auto"/>
            <w:vAlign w:val="center"/>
            <w:hideMark/>
          </w:tcPr>
          <w:p w14:paraId="5F8B85BA"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Legal entities execute additional legal documentation.</w:t>
            </w:r>
          </w:p>
        </w:tc>
        <w:tc>
          <w:tcPr>
            <w:tcW w:w="0" w:type="auto"/>
            <w:vAlign w:val="center"/>
            <w:hideMark/>
          </w:tcPr>
          <w:p w14:paraId="06960851"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Creates jurisdiction-specific enforceability.</w:t>
            </w:r>
          </w:p>
        </w:tc>
      </w:tr>
      <w:tr w:rsidR="00B90855" w:rsidRPr="00B479AE" w14:paraId="771762D4" w14:textId="77777777" w:rsidTr="00B90855">
        <w:trPr>
          <w:tblCellSpacing w:w="15" w:type="dxa"/>
        </w:trPr>
        <w:tc>
          <w:tcPr>
            <w:tcW w:w="0" w:type="auto"/>
            <w:vAlign w:val="center"/>
            <w:hideMark/>
          </w:tcPr>
          <w:p w14:paraId="08F5A961"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Receipt and record</w:t>
            </w:r>
          </w:p>
        </w:tc>
        <w:tc>
          <w:tcPr>
            <w:tcW w:w="0" w:type="auto"/>
            <w:vAlign w:val="center"/>
            <w:hideMark/>
          </w:tcPr>
          <w:p w14:paraId="536FB1F9"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Participant receives a receipt or record reference.</w:t>
            </w:r>
          </w:p>
        </w:tc>
        <w:tc>
          <w:tcPr>
            <w:tcW w:w="0" w:type="auto"/>
            <w:vAlign w:val="center"/>
            <w:hideMark/>
          </w:tcPr>
          <w:p w14:paraId="7F0B7F16"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Supports auditability and future review.</w:t>
            </w:r>
          </w:p>
        </w:tc>
      </w:tr>
    </w:tbl>
    <w:p w14:paraId="57375853"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interface should avoid manipulative design.</w:t>
      </w:r>
    </w:p>
    <w:p w14:paraId="014444FE"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Participants should not be rushed into constitutional acceptance through dark patterns, default consent, hidden terms, emotional pressure, misleading access claims, scarcity tactics, or symbolic belonging pressure.</w:t>
      </w:r>
    </w:p>
    <w:p w14:paraId="331779C6"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Covenant must be entered consciously.</w:t>
      </w:r>
    </w:p>
    <w:p w14:paraId="26A76EEF"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A system that protects dignity must make its threshold dignified.</w:t>
      </w:r>
    </w:p>
    <w:p w14:paraId="393643F9" w14:textId="77777777" w:rsidR="00B90855" w:rsidRPr="00B479AE" w:rsidRDefault="00B90855" w:rsidP="00B90855">
      <w:pPr>
        <w:spacing w:line="360" w:lineRule="auto"/>
        <w:rPr>
          <w:rFonts w:ascii="Baskerville Old Face" w:hAnsi="Baskerville Old Face"/>
          <w:b/>
          <w:bCs/>
          <w:i/>
          <w:iCs/>
        </w:rPr>
      </w:pPr>
      <w:r w:rsidRPr="00B479AE">
        <w:rPr>
          <w:rFonts w:ascii="Baskerville Old Face" w:hAnsi="Baskerville Old Face"/>
          <w:b/>
          <w:bCs/>
          <w:i/>
          <w:iCs/>
        </w:rPr>
        <w:t>6.6 Periodic Reaffirmation and Renewal</w:t>
      </w:r>
    </w:p>
    <w:p w14:paraId="71DA87A0"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Access Covenant should not be treated as a one-time ritual that becomes meaningless over time.</w:t>
      </w:r>
    </w:p>
    <w:p w14:paraId="679205B3"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Participants may be required to periodically reaffirm the Covenant.</w:t>
      </w:r>
    </w:p>
    <w:p w14:paraId="67F1988A"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Periodic reaffirmation serves several purposes:</w:t>
      </w:r>
    </w:p>
    <w:p w14:paraId="3A75D148"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 maintaining constitutional awareness;</w:t>
      </w:r>
      <w:r w:rsidRPr="00B479AE">
        <w:rPr>
          <w:rFonts w:ascii="Baskerville Old Face" w:hAnsi="Baskerville Old Face"/>
          <w:i/>
          <w:iCs/>
        </w:rPr>
        <w:br/>
        <w:t>• confirming continuing alignment;</w:t>
      </w:r>
      <w:r w:rsidRPr="00B479AE">
        <w:rPr>
          <w:rFonts w:ascii="Baskerville Old Face" w:hAnsi="Baskerville Old Face"/>
          <w:i/>
          <w:iCs/>
        </w:rPr>
        <w:br/>
      </w:r>
      <w:r w:rsidRPr="00B479AE">
        <w:rPr>
          <w:rFonts w:ascii="Baskerville Old Face" w:hAnsi="Baskerville Old Face"/>
          <w:i/>
          <w:iCs/>
        </w:rPr>
        <w:lastRenderedPageBreak/>
        <w:t>• updating participants to canonical text changes;</w:t>
      </w:r>
      <w:r w:rsidRPr="00B479AE">
        <w:rPr>
          <w:rFonts w:ascii="Baskerville Old Face" w:hAnsi="Baskerville Old Face"/>
          <w:i/>
          <w:iCs/>
        </w:rPr>
        <w:br/>
        <w:t>• confirming authority of institutional representatives;</w:t>
      </w:r>
      <w:r w:rsidRPr="00B479AE">
        <w:rPr>
          <w:rFonts w:ascii="Baskerville Old Face" w:hAnsi="Baskerville Old Face"/>
          <w:i/>
          <w:iCs/>
        </w:rPr>
        <w:br/>
        <w:t>• identifying dormant accounts;</w:t>
      </w:r>
      <w:r w:rsidRPr="00B479AE">
        <w:rPr>
          <w:rFonts w:ascii="Baskerville Old Face" w:hAnsi="Baskerville Old Face"/>
          <w:i/>
          <w:iCs/>
        </w:rPr>
        <w:br/>
        <w:t>• reviewing scope of access;</w:t>
      </w:r>
      <w:r w:rsidRPr="00B479AE">
        <w:rPr>
          <w:rFonts w:ascii="Baskerville Old Face" w:hAnsi="Baskerville Old Face"/>
          <w:i/>
          <w:iCs/>
        </w:rPr>
        <w:br/>
        <w:t>• preventing stale privileges;</w:t>
      </w:r>
      <w:r w:rsidRPr="00B479AE">
        <w:rPr>
          <w:rFonts w:ascii="Baskerville Old Face" w:hAnsi="Baskerville Old Face"/>
          <w:i/>
          <w:iCs/>
        </w:rPr>
        <w:br/>
        <w:t>• refreshing governance hygiene;</w:t>
      </w:r>
      <w:r w:rsidRPr="00B479AE">
        <w:rPr>
          <w:rFonts w:ascii="Baskerville Old Face" w:hAnsi="Baskerville Old Face"/>
          <w:i/>
          <w:iCs/>
        </w:rPr>
        <w:br/>
        <w:t>• preserving the link between participation and responsibility.</w:t>
      </w:r>
    </w:p>
    <w:p w14:paraId="54EA8741"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A mature implementation may require annual reaffirmation, or another interval defined by governance.</w:t>
      </w:r>
    </w:p>
    <w:p w14:paraId="588BE24D" w14:textId="1FBA897B"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High-impact participants may require more frequent review. Examples include:</w:t>
      </w:r>
    </w:p>
    <w:p w14:paraId="09758E3A"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 capital allocators;</w:t>
      </w:r>
      <w:r w:rsidRPr="00B479AE">
        <w:rPr>
          <w:rFonts w:ascii="Baskerville Old Face" w:hAnsi="Baskerville Old Face"/>
          <w:i/>
          <w:iCs/>
        </w:rPr>
        <w:br/>
        <w:t>• institutional partners;</w:t>
      </w:r>
      <w:r w:rsidRPr="00B479AE">
        <w:rPr>
          <w:rFonts w:ascii="Baskerville Old Face" w:hAnsi="Baskerville Old Face"/>
          <w:i/>
          <w:iCs/>
        </w:rPr>
        <w:br/>
        <w:t>• governance-role holders;</w:t>
      </w:r>
      <w:r w:rsidRPr="00B479AE">
        <w:rPr>
          <w:rFonts w:ascii="Baskerville Old Face" w:hAnsi="Baskerville Old Face"/>
          <w:i/>
          <w:iCs/>
        </w:rPr>
        <w:br/>
        <w:t>• MRV validators;</w:t>
      </w:r>
      <w:r w:rsidRPr="00B479AE">
        <w:rPr>
          <w:rFonts w:ascii="Baskerville Old Face" w:hAnsi="Baskerville Old Face"/>
          <w:i/>
          <w:iCs/>
        </w:rPr>
        <w:br/>
        <w:t>• data-room users;</w:t>
      </w:r>
      <w:r w:rsidRPr="00B479AE">
        <w:rPr>
          <w:rFonts w:ascii="Baskerville Old Face" w:hAnsi="Baskerville Old Face"/>
          <w:i/>
          <w:iCs/>
        </w:rPr>
        <w:br/>
        <w:t>• token-mediated governance participants;</w:t>
      </w:r>
      <w:r w:rsidRPr="00B479AE">
        <w:rPr>
          <w:rFonts w:ascii="Baskerville Old Face" w:hAnsi="Baskerville Old Face"/>
          <w:i/>
          <w:iCs/>
        </w:rPr>
        <w:br/>
        <w:t>• infrastructure providers;</w:t>
      </w:r>
      <w:r w:rsidRPr="00B479AE">
        <w:rPr>
          <w:rFonts w:ascii="Baskerville Old Face" w:hAnsi="Baskerville Old Face"/>
          <w:i/>
          <w:iCs/>
        </w:rPr>
        <w:br/>
        <w:t>• technical administrators;</w:t>
      </w:r>
      <w:r w:rsidRPr="00B479AE">
        <w:rPr>
          <w:rFonts w:ascii="Baskerville Old Face" w:hAnsi="Baskerville Old Face"/>
          <w:i/>
          <w:iCs/>
        </w:rPr>
        <w:br/>
        <w:t>• public-facing representatives.</w:t>
      </w:r>
    </w:p>
    <w:p w14:paraId="7DDDE9E9"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Failure to reaffirm within a defined grace period should not automatically become punitive unless the relevant governance and technical rules so provide.</w:t>
      </w:r>
    </w:p>
    <w:p w14:paraId="45637B3E"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default response should be proportionate:</w:t>
      </w:r>
    </w:p>
    <w:p w14:paraId="147BCD12"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 reminder;</w:t>
      </w:r>
      <w:r w:rsidRPr="00B479AE">
        <w:rPr>
          <w:rFonts w:ascii="Baskerville Old Face" w:hAnsi="Baskerville Old Face"/>
          <w:i/>
          <w:iCs/>
        </w:rPr>
        <w:br/>
        <w:t>• request for reaffirmation;</w:t>
      </w:r>
      <w:r w:rsidRPr="00B479AE">
        <w:rPr>
          <w:rFonts w:ascii="Baskerville Old Face" w:hAnsi="Baskerville Old Face"/>
          <w:i/>
          <w:iCs/>
        </w:rPr>
        <w:br/>
        <w:t>• temporary limitation of certain rights;</w:t>
      </w:r>
      <w:r w:rsidRPr="00B479AE">
        <w:rPr>
          <w:rFonts w:ascii="Baskerville Old Face" w:hAnsi="Baskerville Old Face"/>
          <w:i/>
          <w:iCs/>
        </w:rPr>
        <w:br/>
        <w:t>• restricted governance participation;</w:t>
      </w:r>
      <w:r w:rsidRPr="00B479AE">
        <w:rPr>
          <w:rFonts w:ascii="Baskerville Old Face" w:hAnsi="Baskerville Old Face"/>
          <w:i/>
          <w:iCs/>
        </w:rPr>
        <w:br/>
        <w:t>• review-required status;</w:t>
      </w:r>
      <w:r w:rsidRPr="00B479AE">
        <w:rPr>
          <w:rFonts w:ascii="Baskerville Old Face" w:hAnsi="Baskerville Old Face"/>
          <w:i/>
          <w:iCs/>
        </w:rPr>
        <w:br/>
        <w:t>• suspension of sensitive operations until reaffirmation;</w:t>
      </w:r>
      <w:r w:rsidRPr="00B479AE">
        <w:rPr>
          <w:rFonts w:ascii="Baskerville Old Face" w:hAnsi="Baskerville Old Face"/>
          <w:i/>
          <w:iCs/>
        </w:rPr>
        <w:br/>
        <w:t>• escalation if combined with other risk indicators.</w:t>
      </w:r>
    </w:p>
    <w:p w14:paraId="6C76F351"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Reaffirmation preserves constitutional continuity without turning governance into a trapdoor.</w:t>
      </w:r>
    </w:p>
    <w:p w14:paraId="2A616B14"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lastRenderedPageBreak/>
        <w:t>The purpose is not punishment.</w:t>
      </w:r>
    </w:p>
    <w:p w14:paraId="7655B375"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purpose is coherence over time.</w:t>
      </w:r>
    </w:p>
    <w:p w14:paraId="362563DA" w14:textId="77777777" w:rsidR="00B90855" w:rsidRPr="00B479AE" w:rsidRDefault="00B90855" w:rsidP="00B90855">
      <w:pPr>
        <w:spacing w:line="360" w:lineRule="auto"/>
        <w:rPr>
          <w:rFonts w:ascii="Baskerville Old Face" w:hAnsi="Baskerville Old Face"/>
          <w:b/>
          <w:bCs/>
          <w:i/>
          <w:iCs/>
        </w:rPr>
      </w:pPr>
      <w:r w:rsidRPr="00B479AE">
        <w:rPr>
          <w:rFonts w:ascii="Baskerville Old Face" w:hAnsi="Baskerville Old Face"/>
          <w:b/>
          <w:bCs/>
          <w:i/>
          <w:iCs/>
        </w:rPr>
        <w:t>6.7 Covenant Immutability and Version Discipline</w:t>
      </w:r>
    </w:p>
    <w:p w14:paraId="53747F8E"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Access Covenant is constitutionally protected.</w:t>
      </w:r>
    </w:p>
    <w:p w14:paraId="374E50DD"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Its substance must remain aligned with the foundational articles and the Eternity Clauses.</w:t>
      </w:r>
    </w:p>
    <w:p w14:paraId="528105CD"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cannot be amended, repealed, weakened, inverted, diluted, obscured, or bypassed through ordinary governance, token vote, investor demand, emergency procedure, legal wrapper, model output, autonomous agent action, community pressure, or operational convenience.</w:t>
      </w:r>
    </w:p>
    <w:p w14:paraId="357CBB64" w14:textId="70614F84"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However, implementation language may evolve. The Covenant may require:</w:t>
      </w:r>
    </w:p>
    <w:p w14:paraId="0D2DADF1"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 clarifying language;</w:t>
      </w:r>
      <w:r w:rsidRPr="00B479AE">
        <w:rPr>
          <w:rFonts w:ascii="Baskerville Old Face" w:hAnsi="Baskerville Old Face"/>
          <w:i/>
          <w:iCs/>
        </w:rPr>
        <w:br/>
        <w:t>• translation;</w:t>
      </w:r>
      <w:r w:rsidRPr="00B479AE">
        <w:rPr>
          <w:rFonts w:ascii="Baskerville Old Face" w:hAnsi="Baskerville Old Face"/>
          <w:i/>
          <w:iCs/>
        </w:rPr>
        <w:br/>
        <w:t>• jurisdiction-specific legal adaptation;</w:t>
      </w:r>
      <w:r w:rsidRPr="00B479AE">
        <w:rPr>
          <w:rFonts w:ascii="Baskerville Old Face" w:hAnsi="Baskerville Old Face"/>
          <w:i/>
          <w:iCs/>
        </w:rPr>
        <w:br/>
        <w:t>• accessibility improvements;</w:t>
      </w:r>
      <w:r w:rsidRPr="00B479AE">
        <w:rPr>
          <w:rFonts w:ascii="Baskerville Old Face" w:hAnsi="Baskerville Old Face"/>
          <w:i/>
          <w:iCs/>
        </w:rPr>
        <w:br/>
        <w:t>• interface improvements;</w:t>
      </w:r>
      <w:r w:rsidRPr="00B479AE">
        <w:rPr>
          <w:rFonts w:ascii="Baskerville Old Face" w:hAnsi="Baskerville Old Face"/>
          <w:i/>
          <w:iCs/>
        </w:rPr>
        <w:br/>
        <w:t>• technical implementation updates;</w:t>
      </w:r>
      <w:r w:rsidRPr="00B479AE">
        <w:rPr>
          <w:rFonts w:ascii="Baskerville Old Face" w:hAnsi="Baskerville Old Face"/>
          <w:i/>
          <w:iCs/>
        </w:rPr>
        <w:br/>
        <w:t>• versioning;</w:t>
      </w:r>
      <w:r w:rsidRPr="00B479AE">
        <w:rPr>
          <w:rFonts w:ascii="Baskerville Old Face" w:hAnsi="Baskerville Old Face"/>
          <w:i/>
          <w:iCs/>
        </w:rPr>
        <w:br/>
        <w:t>• canonical release management;</w:t>
      </w:r>
      <w:r w:rsidRPr="00B479AE">
        <w:rPr>
          <w:rFonts w:ascii="Baskerville Old Face" w:hAnsi="Baskerville Old Face"/>
          <w:i/>
          <w:iCs/>
        </w:rPr>
        <w:br/>
        <w:t>• cryptographic anchoring;</w:t>
      </w:r>
      <w:r w:rsidRPr="00B479AE">
        <w:rPr>
          <w:rFonts w:ascii="Baskerville Old Face" w:hAnsi="Baskerville Old Face"/>
          <w:i/>
          <w:iCs/>
        </w:rPr>
        <w:br/>
        <w:t>• audit trail;</w:t>
      </w:r>
      <w:r w:rsidRPr="00B479AE">
        <w:rPr>
          <w:rFonts w:ascii="Baskerville Old Face" w:hAnsi="Baskerville Old Face"/>
          <w:i/>
          <w:iCs/>
        </w:rPr>
        <w:br/>
        <w:t>• legal review;</w:t>
      </w:r>
      <w:r w:rsidRPr="00B479AE">
        <w:rPr>
          <w:rFonts w:ascii="Baskerville Old Face" w:hAnsi="Baskerville Old Face"/>
          <w:i/>
          <w:iCs/>
        </w:rPr>
        <w:br/>
        <w:t>• governance review;</w:t>
      </w:r>
      <w:r w:rsidRPr="00B479AE">
        <w:rPr>
          <w:rFonts w:ascii="Baskerville Old Face" w:hAnsi="Baskerville Old Face"/>
          <w:i/>
          <w:iCs/>
        </w:rPr>
        <w:br/>
        <w:t>• public explanatory notes.</w:t>
      </w:r>
    </w:p>
    <w:p w14:paraId="2C76BC63"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This distinction is essential.</w:t>
      </w:r>
    </w:p>
    <w:p w14:paraId="6225E087"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constitutional substance is protected.</w:t>
      </w:r>
    </w:p>
    <w:p w14:paraId="62238E95"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implementation form may evolve.</w:t>
      </w:r>
    </w:p>
    <w:p w14:paraId="0921C76B"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A translation may change words without changing meaning.</w:t>
      </w:r>
    </w:p>
    <w:p w14:paraId="6FEC0CD0"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A jurisdictional adaptation may adjust legal form without weakening the Covenant.</w:t>
      </w:r>
    </w:p>
    <w:p w14:paraId="4DB48990"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lastRenderedPageBreak/>
        <w:t>A technical implementation may improve enforcement without altering constitutional substance.</w:t>
      </w:r>
    </w:p>
    <w:p w14:paraId="220E38D9"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An accessibility improvement may make the Covenant easier to understand without making it less binding.</w:t>
      </w:r>
    </w:p>
    <w:p w14:paraId="16A7A704"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Any material change must pass through constitutional review, versioned approval, canonical release discipline, and, where appropriate, legal review.</w:t>
      </w:r>
    </w:p>
    <w:p w14:paraId="38BEF130"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No change is valid if it weakens the Access Covenant’s function as a source-layer entry condition.</w:t>
      </w:r>
    </w:p>
    <w:p w14:paraId="103782C6"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Covenant may become clearer.</w:t>
      </w:r>
    </w:p>
    <w:p w14:paraId="3CA0B295"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may not become weaker.</w:t>
      </w:r>
    </w:p>
    <w:p w14:paraId="7BEFD0FF"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may become more accessible.</w:t>
      </w:r>
    </w:p>
    <w:p w14:paraId="3A31C2CB"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may not become more capturable.</w:t>
      </w:r>
    </w:p>
    <w:p w14:paraId="220ABED7"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may evolve in form.</w:t>
      </w:r>
    </w:p>
    <w:p w14:paraId="1147F076"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may not betray its source.</w:t>
      </w:r>
    </w:p>
    <w:p w14:paraId="35B70781" w14:textId="77777777" w:rsidR="00B90855" w:rsidRPr="00B479AE" w:rsidRDefault="00B90855" w:rsidP="00B90855">
      <w:pPr>
        <w:spacing w:line="360" w:lineRule="auto"/>
        <w:rPr>
          <w:rFonts w:ascii="Baskerville Old Face" w:hAnsi="Baskerville Old Face"/>
          <w:b/>
          <w:bCs/>
          <w:i/>
          <w:iCs/>
        </w:rPr>
      </w:pPr>
      <w:r w:rsidRPr="00B479AE">
        <w:rPr>
          <w:rFonts w:ascii="Baskerville Old Face" w:hAnsi="Baskerville Old Face"/>
          <w:b/>
          <w:bCs/>
          <w:i/>
          <w:iCs/>
        </w:rPr>
        <w:t>6.8 Covenant Violation Status</w:t>
      </w:r>
    </w:p>
    <w:p w14:paraId="49A7A878"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A violation or attempted bypass of the Access Covenant must be handled through a proportionate and reviewable pathway.</w:t>
      </w:r>
    </w:p>
    <w:p w14:paraId="3FF6DDCF"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purpose is to preserve constitutional integrity while avoiding arbitrary punishment.</w:t>
      </w:r>
    </w:p>
    <w:p w14:paraId="7CA81C59"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Depending on severity, intent, evidence, repetition, harm, role, legal context, and applicable governance rules, the status may be: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3"/>
        <w:gridCol w:w="7805"/>
      </w:tblGrid>
      <w:tr w:rsidR="00B90855" w:rsidRPr="00B479AE" w14:paraId="1A80B3E8" w14:textId="77777777" w:rsidTr="00B90855">
        <w:trPr>
          <w:tblHeader/>
          <w:tblCellSpacing w:w="15" w:type="dxa"/>
        </w:trPr>
        <w:tc>
          <w:tcPr>
            <w:tcW w:w="0" w:type="auto"/>
            <w:vAlign w:val="center"/>
            <w:hideMark/>
          </w:tcPr>
          <w:p w14:paraId="58546D7A" w14:textId="77777777" w:rsidR="00B90855" w:rsidRPr="00B479AE" w:rsidRDefault="00B90855" w:rsidP="00B9085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Status</w:t>
            </w:r>
          </w:p>
        </w:tc>
        <w:tc>
          <w:tcPr>
            <w:tcW w:w="0" w:type="auto"/>
            <w:vAlign w:val="center"/>
            <w:hideMark/>
          </w:tcPr>
          <w:p w14:paraId="39F8D7EF" w14:textId="77777777" w:rsidR="00B90855" w:rsidRPr="00B479AE" w:rsidRDefault="00B90855" w:rsidP="00B9085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r>
      <w:tr w:rsidR="00B90855" w:rsidRPr="00B479AE" w14:paraId="4A95A7DD" w14:textId="77777777" w:rsidTr="00B90855">
        <w:trPr>
          <w:tblCellSpacing w:w="15" w:type="dxa"/>
        </w:trPr>
        <w:tc>
          <w:tcPr>
            <w:tcW w:w="0" w:type="auto"/>
            <w:vAlign w:val="center"/>
            <w:hideMark/>
          </w:tcPr>
          <w:p w14:paraId="56829B14"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Review required</w:t>
            </w:r>
          </w:p>
        </w:tc>
        <w:tc>
          <w:tcPr>
            <w:tcW w:w="0" w:type="auto"/>
            <w:vAlign w:val="center"/>
            <w:hideMark/>
          </w:tcPr>
          <w:p w14:paraId="6B843943"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A potential issue requires governance, legal, technical, ecological, MRV, or constitutional review.</w:t>
            </w:r>
          </w:p>
        </w:tc>
      </w:tr>
      <w:tr w:rsidR="00B90855" w:rsidRPr="00B479AE" w14:paraId="0862FB23" w14:textId="77777777" w:rsidTr="00B90855">
        <w:trPr>
          <w:tblCellSpacing w:w="15" w:type="dxa"/>
        </w:trPr>
        <w:tc>
          <w:tcPr>
            <w:tcW w:w="0" w:type="auto"/>
            <w:vAlign w:val="center"/>
            <w:hideMark/>
          </w:tcPr>
          <w:p w14:paraId="6A55B21C"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Warning / remediation</w:t>
            </w:r>
          </w:p>
        </w:tc>
        <w:tc>
          <w:tcPr>
            <w:tcW w:w="0" w:type="auto"/>
            <w:vAlign w:val="center"/>
            <w:hideMark/>
          </w:tcPr>
          <w:p w14:paraId="749EBA6E"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Minor or inadvertent breach can be corrected through education, clarification, or corrective action.</w:t>
            </w:r>
          </w:p>
        </w:tc>
      </w:tr>
      <w:tr w:rsidR="00B90855" w:rsidRPr="00B479AE" w14:paraId="305A28CF" w14:textId="77777777" w:rsidTr="00B90855">
        <w:trPr>
          <w:tblCellSpacing w:w="15" w:type="dxa"/>
        </w:trPr>
        <w:tc>
          <w:tcPr>
            <w:tcW w:w="0" w:type="auto"/>
            <w:vAlign w:val="center"/>
            <w:hideMark/>
          </w:tcPr>
          <w:p w14:paraId="584913DA"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lastRenderedPageBreak/>
              <w:t>Restricted status</w:t>
            </w:r>
          </w:p>
        </w:tc>
        <w:tc>
          <w:tcPr>
            <w:tcW w:w="0" w:type="auto"/>
            <w:vAlign w:val="center"/>
            <w:hideMark/>
          </w:tcPr>
          <w:p w14:paraId="068B7D7F"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Certain rights, roles, accesses, or operations are temporarily limited.</w:t>
            </w:r>
          </w:p>
        </w:tc>
      </w:tr>
      <w:tr w:rsidR="00B90855" w:rsidRPr="00B479AE" w14:paraId="76A32605" w14:textId="77777777" w:rsidTr="00B90855">
        <w:trPr>
          <w:tblCellSpacing w:w="15" w:type="dxa"/>
        </w:trPr>
        <w:tc>
          <w:tcPr>
            <w:tcW w:w="0" w:type="auto"/>
            <w:vAlign w:val="center"/>
            <w:hideMark/>
          </w:tcPr>
          <w:p w14:paraId="0DDC6578"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Suspended status</w:t>
            </w:r>
          </w:p>
        </w:tc>
        <w:tc>
          <w:tcPr>
            <w:tcW w:w="0" w:type="auto"/>
            <w:vAlign w:val="center"/>
            <w:hideMark/>
          </w:tcPr>
          <w:p w14:paraId="5B2D5F05"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Sensitive access is paused pending review, remediation, or decision.</w:t>
            </w:r>
          </w:p>
        </w:tc>
      </w:tr>
      <w:tr w:rsidR="00B90855" w:rsidRPr="00B479AE" w14:paraId="307E142D" w14:textId="77777777" w:rsidTr="00B90855">
        <w:trPr>
          <w:tblCellSpacing w:w="15" w:type="dxa"/>
        </w:trPr>
        <w:tc>
          <w:tcPr>
            <w:tcW w:w="0" w:type="auto"/>
            <w:vAlign w:val="center"/>
            <w:hideMark/>
          </w:tcPr>
          <w:p w14:paraId="6BF67A89"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Non-admissible status</w:t>
            </w:r>
          </w:p>
        </w:tc>
        <w:tc>
          <w:tcPr>
            <w:tcW w:w="0" w:type="auto"/>
            <w:vAlign w:val="center"/>
            <w:hideMark/>
          </w:tcPr>
          <w:p w14:paraId="69C7C930"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The participant’s output, claim, or action cannot enter PRU, RAP, governance, token, investor-facing, or public-reporting pathways.</w:t>
            </w:r>
          </w:p>
        </w:tc>
      </w:tr>
      <w:tr w:rsidR="00B90855" w:rsidRPr="00B479AE" w14:paraId="2F604F9B" w14:textId="77777777" w:rsidTr="00B90855">
        <w:trPr>
          <w:tblCellSpacing w:w="15" w:type="dxa"/>
        </w:trPr>
        <w:tc>
          <w:tcPr>
            <w:tcW w:w="0" w:type="auto"/>
            <w:vAlign w:val="center"/>
            <w:hideMark/>
          </w:tcPr>
          <w:p w14:paraId="6FD8BEBD"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Quarantined status</w:t>
            </w:r>
          </w:p>
        </w:tc>
        <w:tc>
          <w:tcPr>
            <w:tcW w:w="0" w:type="auto"/>
            <w:vAlign w:val="center"/>
            <w:hideMark/>
          </w:tcPr>
          <w:p w14:paraId="691A41EF"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The pathway is isolated due to serious risk, capture attempt, manipulation, legal exposure, ecological harm, or constitutional breach.</w:t>
            </w:r>
          </w:p>
        </w:tc>
      </w:tr>
      <w:tr w:rsidR="00B90855" w:rsidRPr="00B479AE" w14:paraId="61C2A769" w14:textId="77777777" w:rsidTr="00B90855">
        <w:trPr>
          <w:tblCellSpacing w:w="15" w:type="dxa"/>
        </w:trPr>
        <w:tc>
          <w:tcPr>
            <w:tcW w:w="0" w:type="auto"/>
            <w:vAlign w:val="center"/>
            <w:hideMark/>
          </w:tcPr>
          <w:p w14:paraId="1CDAC8B9"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Excluded status</w:t>
            </w:r>
          </w:p>
        </w:tc>
        <w:tc>
          <w:tcPr>
            <w:tcW w:w="0" w:type="auto"/>
            <w:vAlign w:val="center"/>
            <w:hideMark/>
          </w:tcPr>
          <w:p w14:paraId="10532BC4"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The participant is removed from defined forms of participation according to governance and legal procedures.</w:t>
            </w:r>
          </w:p>
        </w:tc>
      </w:tr>
      <w:tr w:rsidR="00B90855" w:rsidRPr="00B479AE" w14:paraId="305DB839" w14:textId="77777777" w:rsidTr="00B90855">
        <w:trPr>
          <w:tblCellSpacing w:w="15" w:type="dxa"/>
        </w:trPr>
        <w:tc>
          <w:tcPr>
            <w:tcW w:w="0" w:type="auto"/>
            <w:vAlign w:val="center"/>
            <w:hideMark/>
          </w:tcPr>
          <w:p w14:paraId="039D639B"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External legal escalation</w:t>
            </w:r>
          </w:p>
        </w:tc>
        <w:tc>
          <w:tcPr>
            <w:tcW w:w="0" w:type="auto"/>
            <w:vAlign w:val="center"/>
            <w:hideMark/>
          </w:tcPr>
          <w:p w14:paraId="4802D978" w14:textId="77777777" w:rsidR="00B90855" w:rsidRPr="00B479AE" w:rsidRDefault="00B90855" w:rsidP="00B90855">
            <w:pPr>
              <w:spacing w:line="360" w:lineRule="auto"/>
              <w:rPr>
                <w:rFonts w:ascii="Baskerville Old Face" w:hAnsi="Baskerville Old Face"/>
                <w:i/>
                <w:iCs/>
                <w:sz w:val="22"/>
                <w:szCs w:val="22"/>
              </w:rPr>
            </w:pPr>
            <w:r w:rsidRPr="00B479AE">
              <w:rPr>
                <w:rFonts w:ascii="Baskerville Old Face" w:hAnsi="Baskerville Old Face"/>
                <w:i/>
                <w:iCs/>
                <w:sz w:val="22"/>
                <w:szCs w:val="22"/>
              </w:rPr>
              <w:t>Serious misconduct may require referral to competent legal, regulatory, fiduciary, or enforcement authorities.</w:t>
            </w:r>
          </w:p>
        </w:tc>
      </w:tr>
    </w:tbl>
    <w:p w14:paraId="16711E34"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Violation handling should follow core principles:</w:t>
      </w:r>
    </w:p>
    <w:p w14:paraId="0CA06CE9"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 proportionality;</w:t>
      </w:r>
      <w:r w:rsidRPr="00B479AE">
        <w:rPr>
          <w:rFonts w:ascii="Baskerville Old Face" w:hAnsi="Baskerville Old Face"/>
          <w:i/>
          <w:iCs/>
        </w:rPr>
        <w:br/>
        <w:t>• evidence;</w:t>
      </w:r>
      <w:r w:rsidRPr="00B479AE">
        <w:rPr>
          <w:rFonts w:ascii="Baskerville Old Face" w:hAnsi="Baskerville Old Face"/>
          <w:i/>
          <w:iCs/>
        </w:rPr>
        <w:br/>
        <w:t>• reviewability;</w:t>
      </w:r>
      <w:r w:rsidRPr="00B479AE">
        <w:rPr>
          <w:rFonts w:ascii="Baskerville Old Face" w:hAnsi="Baskerville Old Face"/>
          <w:i/>
          <w:iCs/>
        </w:rPr>
        <w:br/>
        <w:t>• right to respond where appropriate;</w:t>
      </w:r>
      <w:r w:rsidRPr="00B479AE">
        <w:rPr>
          <w:rFonts w:ascii="Baskerville Old Face" w:hAnsi="Baskerville Old Face"/>
          <w:i/>
          <w:iCs/>
        </w:rPr>
        <w:br/>
        <w:t>• protection of the community field;</w:t>
      </w:r>
      <w:r w:rsidRPr="00B479AE">
        <w:rPr>
          <w:rFonts w:ascii="Baskerville Old Face" w:hAnsi="Baskerville Old Face"/>
          <w:i/>
          <w:iCs/>
        </w:rPr>
        <w:br/>
        <w:t>• protection of the constitutional source layer;</w:t>
      </w:r>
      <w:r w:rsidRPr="00B479AE">
        <w:rPr>
          <w:rFonts w:ascii="Baskerville Old Face" w:hAnsi="Baskerville Old Face"/>
          <w:i/>
          <w:iCs/>
        </w:rPr>
        <w:br/>
        <w:t>• protection of vulnerable participants;</w:t>
      </w:r>
      <w:r w:rsidRPr="00B479AE">
        <w:rPr>
          <w:rFonts w:ascii="Baskerville Old Face" w:hAnsi="Baskerville Old Face"/>
          <w:i/>
          <w:iCs/>
        </w:rPr>
        <w:br/>
        <w:t>• protection of ecological and investor-facing integrity;</w:t>
      </w:r>
      <w:r w:rsidRPr="00B479AE">
        <w:rPr>
          <w:rFonts w:ascii="Baskerville Old Face" w:hAnsi="Baskerville Old Face"/>
          <w:i/>
          <w:iCs/>
        </w:rPr>
        <w:br/>
        <w:t>• preservation of due process.</w:t>
      </w:r>
    </w:p>
    <w:p w14:paraId="76ED6A6D" w14:textId="182FB316" w:rsidR="001E2174" w:rsidRPr="00B479AE" w:rsidRDefault="001E2174" w:rsidP="00B90855">
      <w:pPr>
        <w:spacing w:line="360" w:lineRule="auto"/>
        <w:rPr>
          <w:rFonts w:ascii="Baskerville Old Face" w:hAnsi="Baskerville Old Face"/>
          <w:i/>
          <w:iCs/>
        </w:rPr>
      </w:pPr>
      <w:r w:rsidRPr="00B479AE">
        <w:rPr>
          <w:rFonts w:ascii="Baskerville Old Face" w:hAnsi="Baskerville Old Face"/>
          <w:i/>
          <w:iCs/>
        </w:rPr>
        <w:t>Prometheus may use automated monitoring, anomaly detection, routing, and review triggers where implemented. However, enforcement depends on the applicable governance, legal, MRV, technical, or constitutional review pathway. No automatic enforcement should be implied unless a reviewed technical and legal mechanism expressly exists.</w:t>
      </w:r>
      <w:r w:rsidR="00A245A4" w:rsidRPr="00B479AE">
        <w:rPr>
          <w:rFonts w:ascii="Baskerville Old Face" w:hAnsi="Baskerville Old Face"/>
          <w:i/>
          <w:iCs/>
        </w:rPr>
        <w:t xml:space="preserve"> </w:t>
      </w:r>
    </w:p>
    <w:p w14:paraId="3FA89063" w14:textId="77777777" w:rsidR="00A245A4" w:rsidRPr="00B479AE" w:rsidRDefault="00A245A4" w:rsidP="00A245A4">
      <w:pPr>
        <w:spacing w:line="360" w:lineRule="auto"/>
        <w:rPr>
          <w:rFonts w:ascii="Baskerville Old Face" w:hAnsi="Baskerville Old Face"/>
          <w:i/>
          <w:iCs/>
        </w:rPr>
      </w:pPr>
      <w:r w:rsidRPr="00B479AE">
        <w:rPr>
          <w:rFonts w:ascii="Baskerville Old Face" w:hAnsi="Baskerville Old Face"/>
          <w:i/>
          <w:iCs/>
        </w:rPr>
        <w:t>This structure preserves the immune function of Prometheus without overclaiming automatic enforcement.</w:t>
      </w:r>
    </w:p>
    <w:p w14:paraId="7D59E836" w14:textId="0D18D4F5"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lastRenderedPageBreak/>
        <w:t>The system should be firm where the constitution is threatened and precise where proportionality is required.</w:t>
      </w:r>
    </w:p>
    <w:p w14:paraId="7D2E588D"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Covenant is a gate, but it is also a teacher.</w:t>
      </w:r>
    </w:p>
    <w:p w14:paraId="7608050B"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must protect the system without becoming arbitrary.</w:t>
      </w:r>
    </w:p>
    <w:p w14:paraId="6B7B5A24" w14:textId="77777777" w:rsidR="00B90855" w:rsidRPr="00B479AE" w:rsidRDefault="00B90855" w:rsidP="00B90855">
      <w:pPr>
        <w:spacing w:line="360" w:lineRule="auto"/>
        <w:rPr>
          <w:rFonts w:ascii="Baskerville Old Face" w:hAnsi="Baskerville Old Face"/>
          <w:b/>
          <w:bCs/>
          <w:i/>
          <w:iCs/>
        </w:rPr>
      </w:pPr>
      <w:r w:rsidRPr="00B479AE">
        <w:rPr>
          <w:rFonts w:ascii="Baskerville Old Face" w:hAnsi="Baskerville Old Face"/>
          <w:b/>
          <w:bCs/>
          <w:i/>
          <w:iCs/>
        </w:rPr>
        <w:t>6.9 Final Covenant Principle</w:t>
      </w:r>
    </w:p>
    <w:p w14:paraId="763DF556"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Access Covenant exists to ensure that Prometheus remains open without becoming capturable.</w:t>
      </w:r>
    </w:p>
    <w:p w14:paraId="41F9D190"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allows participation, but not extraction.</w:t>
      </w:r>
    </w:p>
    <w:p w14:paraId="27E95BC1"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allows governance, but not constitutional inversion.</w:t>
      </w:r>
    </w:p>
    <w:p w14:paraId="3E71B7CE"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allows capital, but not sovereignty over life.</w:t>
      </w:r>
    </w:p>
    <w:p w14:paraId="2BA5389F"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allows intelligence, but not authority without evidence and review.</w:t>
      </w:r>
    </w:p>
    <w:p w14:paraId="7C79FCFB"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allows community, but not coercive belonging.</w:t>
      </w:r>
    </w:p>
    <w:p w14:paraId="6EEB257D"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allows pluralism, but not harm disguised as culture.</w:t>
      </w:r>
    </w:p>
    <w:p w14:paraId="4E0A1370"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allows tokens, where appropriate, but not semantic confusion between access, value, governance, ownership, or investor rights.</w:t>
      </w:r>
    </w:p>
    <w:p w14:paraId="7398803C"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allows evolution, but not drift.</w:t>
      </w:r>
    </w:p>
    <w:p w14:paraId="3C7C61C0"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Covenant is therefore the threshold guardian of Prometheus.</w:t>
      </w:r>
    </w:p>
    <w:p w14:paraId="0ABEE895"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does not ask participants to worship the system.</w:t>
      </w:r>
    </w:p>
    <w:p w14:paraId="58ED49D5"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asks them to recognize the living foundation that the system exists to protect.</w:t>
      </w:r>
    </w:p>
    <w:p w14:paraId="223668F1"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No actor is above the Covenant.</w:t>
      </w:r>
    </w:p>
    <w:p w14:paraId="1C64A2FF"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No token is above the Covenant.</w:t>
      </w:r>
    </w:p>
    <w:p w14:paraId="5BCDC203"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No capital structure is above the Covenant.</w:t>
      </w:r>
    </w:p>
    <w:p w14:paraId="7F98E1D3"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No AI model is above the Covenant.</w:t>
      </w:r>
    </w:p>
    <w:p w14:paraId="271C5BB5"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lastRenderedPageBreak/>
        <w:t>No governance majority is above the Covenant.</w:t>
      </w:r>
    </w:p>
    <w:p w14:paraId="05F6F291"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No community status is above the Covenant.</w:t>
      </w:r>
    </w:p>
    <w:p w14:paraId="6DC466E9"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No institutional power is above the Covenant.</w:t>
      </w:r>
    </w:p>
    <w:p w14:paraId="22ACE85D"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The Covenant is the gate through which participation becomes legitimate.</w:t>
      </w:r>
    </w:p>
    <w:p w14:paraId="5E5B0B07"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It is the first promise of Prometheus:</w:t>
      </w:r>
    </w:p>
    <w:p w14:paraId="65C3042D" w14:textId="77777777" w:rsidR="00B90855" w:rsidRPr="00B479AE" w:rsidRDefault="00B90855" w:rsidP="00B90855">
      <w:pPr>
        <w:spacing w:line="360" w:lineRule="auto"/>
        <w:rPr>
          <w:rFonts w:ascii="Baskerville Old Face" w:hAnsi="Baskerville Old Face"/>
          <w:i/>
          <w:iCs/>
        </w:rPr>
      </w:pPr>
      <w:r w:rsidRPr="00B479AE">
        <w:rPr>
          <w:rFonts w:ascii="Baskerville Old Face" w:hAnsi="Baskerville Old Face"/>
          <w:i/>
          <w:iCs/>
        </w:rPr>
        <w:t>to remain open to life,</w:t>
      </w:r>
      <w:r w:rsidRPr="00B479AE">
        <w:rPr>
          <w:rFonts w:ascii="Baskerville Old Face" w:hAnsi="Baskerville Old Face"/>
          <w:i/>
          <w:iCs/>
        </w:rPr>
        <w:br/>
        <w:t>disciplined by evidence,</w:t>
      </w:r>
      <w:r w:rsidRPr="00B479AE">
        <w:rPr>
          <w:rFonts w:ascii="Baskerville Old Face" w:hAnsi="Baskerville Old Face"/>
          <w:i/>
          <w:iCs/>
        </w:rPr>
        <w:br/>
        <w:t>grounded in dignity,</w:t>
      </w:r>
      <w:r w:rsidRPr="00B479AE">
        <w:rPr>
          <w:rFonts w:ascii="Baskerville Old Face" w:hAnsi="Baskerville Old Face"/>
          <w:i/>
          <w:iCs/>
        </w:rPr>
        <w:br/>
        <w:t>protected by governance,</w:t>
      </w:r>
      <w:r w:rsidRPr="00B479AE">
        <w:rPr>
          <w:rFonts w:ascii="Baskerville Old Face" w:hAnsi="Baskerville Old Face"/>
          <w:i/>
          <w:iCs/>
        </w:rPr>
        <w:br/>
        <w:t>and faithful to the living field from which all value arises.</w:t>
      </w:r>
    </w:p>
    <w:p w14:paraId="12F79F54" w14:textId="77777777" w:rsidR="00BB351D" w:rsidRPr="00B479AE" w:rsidRDefault="00BB351D" w:rsidP="00BB351D">
      <w:pPr>
        <w:spacing w:line="360" w:lineRule="auto"/>
        <w:rPr>
          <w:rFonts w:ascii="Baskerville Old Face" w:hAnsi="Baskerville Old Face"/>
          <w:b/>
          <w:bCs/>
          <w:i/>
          <w:iCs/>
        </w:rPr>
      </w:pPr>
      <w:r w:rsidRPr="00B479AE">
        <w:rPr>
          <w:rFonts w:ascii="Baskerville Old Face" w:hAnsi="Baskerville Old Face"/>
          <w:b/>
          <w:bCs/>
          <w:i/>
          <w:iCs/>
        </w:rPr>
        <w:t>7. Eligibility Criteria by Entity Type</w:t>
      </w:r>
    </w:p>
    <w:p w14:paraId="40A812C3"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The Access Covenant applies to every participant.</w:t>
      </w:r>
    </w:p>
    <w:p w14:paraId="0AE493FE"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However, different entity types create different responsibilities, risk profiles, evidence requirements, legal considerations, and governance implications.</w:t>
      </w:r>
    </w:p>
    <w:p w14:paraId="7E0E1FE2"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For this reason, Prometheus defines eligibility criteria by entity type.</w:t>
      </w:r>
    </w:p>
    <w:p w14:paraId="7EEA0C2C"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These criteria do not exist to create exclusionary gatekeeping.</w:t>
      </w:r>
    </w:p>
    <w:p w14:paraId="73E1E38D"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They exist to ensure that each participant enters the ecosystem through an appropriate pathway, with a clear scope of access, a defined responsibility profile, and a reviewable relationship to the constitutional source layer.</w:t>
      </w:r>
    </w:p>
    <w:p w14:paraId="3BE383E5"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Eligibility is therefore not a social rank.</w:t>
      </w:r>
    </w:p>
    <w:p w14:paraId="2247C2C8"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It is a governed participation status.</w:t>
      </w:r>
    </w:p>
    <w:p w14:paraId="36083D49"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A participant may be welcomed into Prometheus only when its role, rights, responsibilities, evidence obligations, governance boundaries, and risk exposure are sufficiently clear.</w:t>
      </w:r>
    </w:p>
    <w:p w14:paraId="7523F00F"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Eligibility should be assessed through a combination of:</w:t>
      </w:r>
    </w:p>
    <w:p w14:paraId="7EBD67C8"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lastRenderedPageBreak/>
        <w:t>• Access Covenant acceptance;</w:t>
      </w:r>
      <w:r w:rsidRPr="00B479AE">
        <w:rPr>
          <w:rFonts w:ascii="Baskerville Old Face" w:hAnsi="Baskerville Old Face"/>
          <w:i/>
          <w:iCs/>
        </w:rPr>
        <w:br/>
        <w:t>• identity or authority verification, where appropriate;</w:t>
      </w:r>
      <w:r w:rsidRPr="00B479AE">
        <w:rPr>
          <w:rFonts w:ascii="Baskerville Old Face" w:hAnsi="Baskerville Old Face"/>
          <w:i/>
          <w:iCs/>
        </w:rPr>
        <w:br/>
        <w:t>• legal documentation, where relevant;</w:t>
      </w:r>
      <w:r w:rsidRPr="00B479AE">
        <w:rPr>
          <w:rFonts w:ascii="Baskerville Old Face" w:hAnsi="Baskerville Old Face"/>
          <w:i/>
          <w:iCs/>
        </w:rPr>
        <w:br/>
        <w:t>• governance review;</w:t>
      </w:r>
      <w:r w:rsidRPr="00B479AE">
        <w:rPr>
          <w:rFonts w:ascii="Baskerville Old Face" w:hAnsi="Baskerville Old Face"/>
          <w:i/>
          <w:iCs/>
        </w:rPr>
        <w:br/>
        <w:t>• technical onboarding;</w:t>
      </w:r>
      <w:r w:rsidRPr="00B479AE">
        <w:rPr>
          <w:rFonts w:ascii="Baskerville Old Face" w:hAnsi="Baskerville Old Face"/>
          <w:i/>
          <w:iCs/>
        </w:rPr>
        <w:br/>
        <w:t>• evidence of alignment;</w:t>
      </w:r>
      <w:r w:rsidRPr="00B479AE">
        <w:rPr>
          <w:rFonts w:ascii="Baskerville Old Face" w:hAnsi="Baskerville Old Face"/>
          <w:i/>
          <w:iCs/>
        </w:rPr>
        <w:br/>
        <w:t>• risk classification;</w:t>
      </w:r>
      <w:r w:rsidRPr="00B479AE">
        <w:rPr>
          <w:rFonts w:ascii="Baskerville Old Face" w:hAnsi="Baskerville Old Face"/>
          <w:i/>
          <w:iCs/>
        </w:rPr>
        <w:br/>
        <w:t>• scope definition;</w:t>
      </w:r>
      <w:r w:rsidRPr="00B479AE">
        <w:rPr>
          <w:rFonts w:ascii="Baskerville Old Face" w:hAnsi="Baskerville Old Face"/>
          <w:i/>
          <w:iCs/>
        </w:rPr>
        <w:br/>
        <w:t>• periodic review.</w:t>
      </w:r>
    </w:p>
    <w:p w14:paraId="43435912"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Verification may use digital records, signed source-chain entries, hash references, legal documents, governance records, off-chain documentation, public registries, or other appropriate evidence depending on implementation stage and participant type.</w:t>
      </w:r>
    </w:p>
    <w:p w14:paraId="09BCD34C"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Prometheus should not claim that every eligibility condition is automatically enforced on-chain unless the relevant technical infrastructure has been implemented, tested, audited, and governed.</w:t>
      </w:r>
    </w:p>
    <w:p w14:paraId="2C02B03A"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The correct principle is:</w:t>
      </w:r>
    </w:p>
    <w:p w14:paraId="7E2F5B96"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eligibility must be reviewable, proportionate, source-linked, and constitutionally aligned.</w:t>
      </w:r>
    </w:p>
    <w:p w14:paraId="28B82C85" w14:textId="77777777" w:rsidR="00BB351D" w:rsidRPr="00B479AE" w:rsidRDefault="00BB351D" w:rsidP="00BB351D">
      <w:pPr>
        <w:spacing w:line="360" w:lineRule="auto"/>
        <w:rPr>
          <w:rFonts w:ascii="Baskerville Old Face" w:hAnsi="Baskerville Old Face"/>
          <w:b/>
          <w:bCs/>
          <w:i/>
          <w:iCs/>
        </w:rPr>
      </w:pPr>
      <w:r w:rsidRPr="00B479AE">
        <w:rPr>
          <w:rFonts w:ascii="Baskerville Old Face" w:hAnsi="Baskerville Old Face"/>
          <w:b/>
          <w:bCs/>
          <w:i/>
          <w:iCs/>
        </w:rPr>
        <w:t>7.1 Individuals</w:t>
      </w:r>
    </w:p>
    <w:p w14:paraId="3C90B578"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Individuals may participate as learners, stewards, contributors, governance participants, technical contributors, community members, researchers, operators, mentors, role holders, or other approved participants.</w:t>
      </w:r>
    </w:p>
    <w:p w14:paraId="168E9D8E"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Minimum criteria may include:</w:t>
      </w:r>
    </w:p>
    <w:p w14:paraId="783F05B5"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 legal capacity or age of majority in the relevant jurisdiction, where legally required;</w:t>
      </w:r>
      <w:r w:rsidRPr="00B479AE">
        <w:rPr>
          <w:rFonts w:ascii="Baskerville Old Face" w:hAnsi="Baskerville Old Face"/>
          <w:i/>
          <w:iCs/>
        </w:rPr>
        <w:br/>
        <w:t>• acknowledgment of the Access Covenant;</w:t>
      </w:r>
      <w:r w:rsidRPr="00B479AE">
        <w:rPr>
          <w:rFonts w:ascii="Baskerville Old Face" w:hAnsi="Baskerville Old Face"/>
          <w:i/>
          <w:iCs/>
        </w:rPr>
        <w:br/>
        <w:t>• completion of an orientation module or equivalent onboarding process;</w:t>
      </w:r>
      <w:r w:rsidRPr="00B479AE">
        <w:rPr>
          <w:rFonts w:ascii="Baskerville Old Face" w:hAnsi="Baskerville Old Face"/>
          <w:i/>
          <w:iCs/>
        </w:rPr>
        <w:br/>
        <w:t>• acceptance of the relevant role boundaries;</w:t>
      </w:r>
      <w:r w:rsidRPr="00B479AE">
        <w:rPr>
          <w:rFonts w:ascii="Baskerville Old Face" w:hAnsi="Baskerville Old Face"/>
          <w:i/>
          <w:iCs/>
        </w:rPr>
        <w:br/>
        <w:t>• understanding that participation does not create financial entitlement, land rights, PRU value, investor rights, or governance authority beyond the applicable scope;</w:t>
      </w:r>
      <w:r w:rsidRPr="00B479AE">
        <w:rPr>
          <w:rFonts w:ascii="Baskerville Old Face" w:hAnsi="Baskerville Old Face"/>
          <w:i/>
          <w:iCs/>
        </w:rPr>
        <w:br/>
        <w:t>• no unresolved exclusion, suspension, serious Covenant breach, or governance restriction preventing participation under current rules.</w:t>
      </w:r>
    </w:p>
    <w:p w14:paraId="24CAE8A4"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lastRenderedPageBreak/>
        <w:t>Individual onboarding should be educational before it is restrictive.</w:t>
      </w:r>
    </w:p>
    <w:p w14:paraId="174BA709"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The objective is to help participants understand Prometheus, not to create unnecessary barriers.</w:t>
      </w:r>
    </w:p>
    <w:p w14:paraId="4C53B460"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Where a participant is a minor, vulnerable person, student, or dependent participant, participation should follow appropriate safeguarding, consent, parental or guardian authorization, educational, privacy, and legal requirements.</w:t>
      </w:r>
    </w:p>
    <w:p w14:paraId="423B91E1"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Prometheus must protect the dignity of every individual participant.</w:t>
      </w:r>
    </w:p>
    <w:p w14:paraId="025837C3"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A person enters the ecosystem as a human being, not as a wallet, score, data point, productivity unit, or governance weight.</w:t>
      </w:r>
    </w:p>
    <w:p w14:paraId="34B54F08" w14:textId="77777777" w:rsidR="00BB351D" w:rsidRPr="00B479AE" w:rsidRDefault="00BB351D" w:rsidP="00BB351D">
      <w:pPr>
        <w:spacing w:line="360" w:lineRule="auto"/>
        <w:rPr>
          <w:rFonts w:ascii="Baskerville Old Face" w:hAnsi="Baskerville Old Face"/>
          <w:b/>
          <w:bCs/>
          <w:i/>
          <w:iCs/>
        </w:rPr>
      </w:pPr>
      <w:r w:rsidRPr="00B479AE">
        <w:rPr>
          <w:rFonts w:ascii="Baskerville Old Face" w:hAnsi="Baskerville Old Face"/>
          <w:b/>
          <w:bCs/>
          <w:i/>
          <w:iCs/>
        </w:rPr>
        <w:t>7.2 Communities, Unincorporated Groups, Bioregional Networks, and Cooperatives</w:t>
      </w:r>
    </w:p>
    <w:p w14:paraId="2AA5A90B"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Communities may participate when they can demonstrate a meaningful collective relationship to regeneration, stewardship, territory, education, food systems, ecological restoration, cultural continuity, mutual aid, or governance learning.</w:t>
      </w:r>
    </w:p>
    <w:p w14:paraId="3052DB3F"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Minimum criteria may include:</w:t>
      </w:r>
    </w:p>
    <w:p w14:paraId="75B1C7F7"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 identification of the community or group;</w:t>
      </w:r>
      <w:r w:rsidRPr="00B479AE">
        <w:rPr>
          <w:rFonts w:ascii="Baskerville Old Face" w:hAnsi="Baskerville Old Face"/>
          <w:i/>
          <w:iCs/>
        </w:rPr>
        <w:br/>
        <w:t>• at least one designated contact or representative;</w:t>
      </w:r>
      <w:r w:rsidRPr="00B479AE">
        <w:rPr>
          <w:rFonts w:ascii="Baskerville Old Face" w:hAnsi="Baskerville Old Face"/>
          <w:i/>
          <w:iCs/>
        </w:rPr>
        <w:br/>
        <w:t>• a description of purpose, territory, membership, or shared activity;</w:t>
      </w:r>
      <w:r w:rsidRPr="00B479AE">
        <w:rPr>
          <w:rFonts w:ascii="Baskerville Old Face" w:hAnsi="Baskerville Old Face"/>
          <w:i/>
          <w:iCs/>
        </w:rPr>
        <w:br/>
        <w:t>• acknowledgment of the Access Covenant by representatives and, where appropriate, by individual members;</w:t>
      </w:r>
      <w:r w:rsidRPr="00B479AE">
        <w:rPr>
          <w:rFonts w:ascii="Baskerville Old Face" w:hAnsi="Baskerville Old Face"/>
          <w:i/>
          <w:iCs/>
        </w:rPr>
        <w:br/>
        <w:t>• basic governance description;</w:t>
      </w:r>
      <w:r w:rsidRPr="00B479AE">
        <w:rPr>
          <w:rFonts w:ascii="Baskerville Old Face" w:hAnsi="Baskerville Old Face"/>
          <w:i/>
          <w:iCs/>
        </w:rPr>
        <w:br/>
        <w:t>• internal dispute-resolution pathway;</w:t>
      </w:r>
      <w:r w:rsidRPr="00B479AE">
        <w:rPr>
          <w:rFonts w:ascii="Baskerville Old Face" w:hAnsi="Baskerville Old Face"/>
          <w:i/>
          <w:iCs/>
        </w:rPr>
        <w:br/>
        <w:t>• commitment to human dignity, voluntary participation, non-coercion, and regenerative alignment;</w:t>
      </w:r>
      <w:r w:rsidRPr="00B479AE">
        <w:rPr>
          <w:rFonts w:ascii="Baskerville Old Face" w:hAnsi="Baskerville Old Face"/>
          <w:i/>
          <w:iCs/>
        </w:rPr>
        <w:br/>
        <w:t>• commitment to avoid using community status as a shield for extraction, exclusion, domination, or governance capture.</w:t>
      </w:r>
    </w:p>
    <w:p w14:paraId="405144E5"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Sociocratic, consent-based, cooperative, customary, indigenous, bioregional, religious, spiritual, civic, educational, or other governance forms may be recognized when compatible with the Access Covenant and applicable law.</w:t>
      </w:r>
    </w:p>
    <w:p w14:paraId="08CCC9E8"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Prometheus should respect local governance diversity while preserving constitutional boundaries.</w:t>
      </w:r>
    </w:p>
    <w:p w14:paraId="336A6C0D"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lastRenderedPageBreak/>
        <w:t>Community participation does not create automatic ownership, token entitlement, land rights, PRU claims, investor rights, or veto power unless separately and legally structured.</w:t>
      </w:r>
    </w:p>
    <w:p w14:paraId="14BFECFE"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A community may remain itself while becoming interoperable with Prometheus.</w:t>
      </w:r>
    </w:p>
    <w:p w14:paraId="21F37D94"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That is the purpose of sovereign alignment.</w:t>
      </w:r>
    </w:p>
    <w:p w14:paraId="559A9BCB" w14:textId="77777777" w:rsidR="00BB351D" w:rsidRPr="00B479AE" w:rsidRDefault="00BB351D" w:rsidP="00BB351D">
      <w:pPr>
        <w:spacing w:line="360" w:lineRule="auto"/>
        <w:rPr>
          <w:rFonts w:ascii="Baskerville Old Face" w:hAnsi="Baskerville Old Face"/>
          <w:b/>
          <w:bCs/>
          <w:i/>
          <w:iCs/>
        </w:rPr>
      </w:pPr>
      <w:r w:rsidRPr="00B479AE">
        <w:rPr>
          <w:rFonts w:ascii="Baskerville Old Face" w:hAnsi="Baskerville Old Face"/>
          <w:b/>
          <w:bCs/>
          <w:i/>
          <w:iCs/>
        </w:rPr>
        <w:t>7.3 Companies and Business Entities</w:t>
      </w:r>
    </w:p>
    <w:p w14:paraId="2757A479"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Companies and business entities may participate when their activities, governance, products, services, or capital deployment remain compatible with the Prometheus constitutional architecture.</w:t>
      </w:r>
    </w:p>
    <w:p w14:paraId="684D74BF"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Eligibility review may include:</w:t>
      </w:r>
    </w:p>
    <w:p w14:paraId="7E84A577"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 legal identity and registration documentation;</w:t>
      </w:r>
      <w:r w:rsidRPr="00B479AE">
        <w:rPr>
          <w:rFonts w:ascii="Baskerville Old Face" w:hAnsi="Baskerville Old Face"/>
          <w:i/>
          <w:iCs/>
        </w:rPr>
        <w:br/>
        <w:t>• authority of the representative entering the Access Covenant;</w:t>
      </w:r>
      <w:r w:rsidRPr="00B479AE">
        <w:rPr>
          <w:rFonts w:ascii="Baskerville Old Face" w:hAnsi="Baskerville Old Face"/>
          <w:i/>
          <w:iCs/>
        </w:rPr>
        <w:br/>
        <w:t>• business model review;</w:t>
      </w:r>
      <w:r w:rsidRPr="00B479AE">
        <w:rPr>
          <w:rFonts w:ascii="Baskerville Old Face" w:hAnsi="Baskerville Old Face"/>
          <w:i/>
          <w:iCs/>
        </w:rPr>
        <w:br/>
        <w:t>• ownership or control disclosure where relevant;</w:t>
      </w:r>
      <w:r w:rsidRPr="00B479AE">
        <w:rPr>
          <w:rFonts w:ascii="Baskerville Old Face" w:hAnsi="Baskerville Old Face"/>
          <w:i/>
          <w:iCs/>
        </w:rPr>
        <w:br/>
        <w:t>• conflict-of-interest disclosure;</w:t>
      </w:r>
      <w:r w:rsidRPr="00B479AE">
        <w:rPr>
          <w:rFonts w:ascii="Baskerville Old Face" w:hAnsi="Baskerville Old Face"/>
          <w:i/>
          <w:iCs/>
        </w:rPr>
        <w:br/>
        <w:t>• governance and compliance contact;</w:t>
      </w:r>
      <w:r w:rsidRPr="00B479AE">
        <w:rPr>
          <w:rFonts w:ascii="Baskerville Old Face" w:hAnsi="Baskerville Old Face"/>
          <w:i/>
          <w:iCs/>
        </w:rPr>
        <w:br/>
        <w:t>• commitment to avoid extractive practices inconsistent with the Access Covenant;</w:t>
      </w:r>
      <w:r w:rsidRPr="00B479AE">
        <w:rPr>
          <w:rFonts w:ascii="Baskerville Old Face" w:hAnsi="Baskerville Old Face"/>
          <w:i/>
          <w:iCs/>
        </w:rPr>
        <w:br/>
        <w:t>• commitment to avoid misleading environmental, regenerative, financial, tokenomic, or health-related claims;</w:t>
      </w:r>
      <w:r w:rsidRPr="00B479AE">
        <w:rPr>
          <w:rFonts w:ascii="Baskerville Old Face" w:hAnsi="Baskerville Old Face"/>
          <w:i/>
          <w:iCs/>
        </w:rPr>
        <w:br/>
        <w:t>• agreement that participation does not authorize PRU value, investor claims, token issuance, securities offering, or public impact claims without evidence and review.</w:t>
      </w:r>
    </w:p>
    <w:p w14:paraId="41CCBD84"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Where technically implemented, documents may be hashed, referenced, or linked to source-chain records for traceability.</w:t>
      </w:r>
    </w:p>
    <w:p w14:paraId="668F5162"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However, document hashing is an integrity-support mechanism.</w:t>
      </w:r>
    </w:p>
    <w:p w14:paraId="2332140A"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It is not a substitute for legal review, governance review, or substantive alignment.</w:t>
      </w:r>
    </w:p>
    <w:p w14:paraId="53378BA3"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A company may be eligible for limited participation before full institutional participation, depending on scope, risk profile, evidence quality, legal clarity, and governance maturity.</w:t>
      </w:r>
    </w:p>
    <w:p w14:paraId="14F4DB69"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Prometheus may therefore distinguish between:</w:t>
      </w:r>
    </w:p>
    <w:p w14:paraId="109213E7"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lastRenderedPageBreak/>
        <w:t>• observer participation;</w:t>
      </w:r>
      <w:r w:rsidRPr="00B479AE">
        <w:rPr>
          <w:rFonts w:ascii="Baskerville Old Face" w:hAnsi="Baskerville Old Face"/>
          <w:i/>
          <w:iCs/>
        </w:rPr>
        <w:br/>
        <w:t>• pilot-specific participation;</w:t>
      </w:r>
      <w:r w:rsidRPr="00B479AE">
        <w:rPr>
          <w:rFonts w:ascii="Baskerville Old Face" w:hAnsi="Baskerville Old Face"/>
          <w:i/>
          <w:iCs/>
        </w:rPr>
        <w:br/>
        <w:t>• service-provider participation;</w:t>
      </w:r>
      <w:r w:rsidRPr="00B479AE">
        <w:rPr>
          <w:rFonts w:ascii="Baskerville Old Face" w:hAnsi="Baskerville Old Face"/>
          <w:i/>
          <w:iCs/>
        </w:rPr>
        <w:br/>
        <w:t>• operational participation;</w:t>
      </w:r>
      <w:r w:rsidRPr="00B479AE">
        <w:rPr>
          <w:rFonts w:ascii="Baskerville Old Face" w:hAnsi="Baskerville Old Face"/>
          <w:i/>
          <w:iCs/>
        </w:rPr>
        <w:br/>
        <w:t>• governance participation;</w:t>
      </w:r>
      <w:r w:rsidRPr="00B479AE">
        <w:rPr>
          <w:rFonts w:ascii="Baskerville Old Face" w:hAnsi="Baskerville Old Face"/>
          <w:i/>
          <w:iCs/>
        </w:rPr>
        <w:br/>
        <w:t>• capital-facing participation;</w:t>
      </w:r>
      <w:r w:rsidRPr="00B479AE">
        <w:rPr>
          <w:rFonts w:ascii="Baskerville Old Face" w:hAnsi="Baskerville Old Face"/>
          <w:i/>
          <w:iCs/>
        </w:rPr>
        <w:br/>
        <w:t>• institutional participation.</w:t>
      </w:r>
    </w:p>
    <w:p w14:paraId="4F1246B4"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Each category should be explicitly scoped.</w:t>
      </w:r>
    </w:p>
    <w:p w14:paraId="31A9664B" w14:textId="77777777" w:rsidR="00BB351D" w:rsidRPr="00B479AE" w:rsidRDefault="00BB351D" w:rsidP="00BB351D">
      <w:pPr>
        <w:spacing w:line="360" w:lineRule="auto"/>
        <w:rPr>
          <w:rFonts w:ascii="Baskerville Old Face" w:hAnsi="Baskerville Old Face"/>
          <w:b/>
          <w:bCs/>
          <w:i/>
          <w:iCs/>
        </w:rPr>
      </w:pPr>
      <w:r w:rsidRPr="00B479AE">
        <w:rPr>
          <w:rFonts w:ascii="Baskerville Old Face" w:hAnsi="Baskerville Old Face"/>
          <w:b/>
          <w:bCs/>
          <w:i/>
          <w:iCs/>
        </w:rPr>
        <w:t>7.4 Foundations, Trusts, Philanthropic Entities, and Mission-Aligned Institutions</w:t>
      </w:r>
    </w:p>
    <w:p w14:paraId="4AC6144D"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Foundations, trusts, philanthropic entities, and mission-aligned institutions may support research, pilots, ecological restoration, education, community programs, MRV development, public-interest deployment, food-system resilience, public-health research, or catalytic capital.</w:t>
      </w:r>
    </w:p>
    <w:p w14:paraId="2C05ABA2"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Eligibility review may include:</w:t>
      </w:r>
    </w:p>
    <w:p w14:paraId="709641A3"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 legal identity and governing documents;</w:t>
      </w:r>
      <w:r w:rsidRPr="00B479AE">
        <w:rPr>
          <w:rFonts w:ascii="Baskerville Old Face" w:hAnsi="Baskerville Old Face"/>
          <w:i/>
          <w:iCs/>
        </w:rPr>
        <w:br/>
        <w:t>• authority of representative;</w:t>
      </w:r>
      <w:r w:rsidRPr="00B479AE">
        <w:rPr>
          <w:rFonts w:ascii="Baskerville Old Face" w:hAnsi="Baskerville Old Face"/>
          <w:i/>
          <w:iCs/>
        </w:rPr>
        <w:br/>
        <w:t>• mission and purpose alignment;</w:t>
      </w:r>
      <w:r w:rsidRPr="00B479AE">
        <w:rPr>
          <w:rFonts w:ascii="Baskerville Old Face" w:hAnsi="Baskerville Old Face"/>
          <w:i/>
          <w:iCs/>
        </w:rPr>
        <w:br/>
        <w:t>• grantmaking or investment-policy alignment where relevant;</w:t>
      </w:r>
      <w:r w:rsidRPr="00B479AE">
        <w:rPr>
          <w:rFonts w:ascii="Baskerville Old Face" w:hAnsi="Baskerville Old Face"/>
          <w:i/>
          <w:iCs/>
        </w:rPr>
        <w:br/>
        <w:t>• conflict-of-interest disclosure;</w:t>
      </w:r>
      <w:r w:rsidRPr="00B479AE">
        <w:rPr>
          <w:rFonts w:ascii="Baskerville Old Face" w:hAnsi="Baskerville Old Face"/>
          <w:i/>
          <w:iCs/>
        </w:rPr>
        <w:br/>
        <w:t>• commitment to avoid funding activities that violate the Access Covenant;</w:t>
      </w:r>
      <w:r w:rsidRPr="00B479AE">
        <w:rPr>
          <w:rFonts w:ascii="Baskerville Old Face" w:hAnsi="Baskerville Old Face"/>
          <w:i/>
          <w:iCs/>
        </w:rPr>
        <w:br/>
        <w:t>• respect for local autonomy and community consent;</w:t>
      </w:r>
      <w:r w:rsidRPr="00B479AE">
        <w:rPr>
          <w:rFonts w:ascii="Baskerville Old Face" w:hAnsi="Baskerville Old Face"/>
          <w:i/>
          <w:iCs/>
        </w:rPr>
        <w:br/>
        <w:t>• reporting expectations appropriate to the participant’s role;</w:t>
      </w:r>
      <w:r w:rsidRPr="00B479AE">
        <w:rPr>
          <w:rFonts w:ascii="Baskerville Old Face" w:hAnsi="Baskerville Old Face"/>
          <w:i/>
          <w:iCs/>
        </w:rPr>
        <w:br/>
        <w:t>• periodic review when the relationship is material or long-term.</w:t>
      </w:r>
    </w:p>
    <w:p w14:paraId="4F60F79C"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Philanthropic participation should not become hidden control.</w:t>
      </w:r>
    </w:p>
    <w:p w14:paraId="5607FD01"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Mission alignment does not exempt any entity from the Access Covenant.</w:t>
      </w:r>
    </w:p>
    <w:p w14:paraId="0B81E755"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Trust or foundation structures may support Prometheus only when they preserve the separation between mission, governance, legal rights, financial rights, ecological evidence, and community sovereignty.</w:t>
      </w:r>
    </w:p>
    <w:p w14:paraId="119464CC"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A philanthropic actor may fund regeneration.</w:t>
      </w:r>
    </w:p>
    <w:p w14:paraId="04EBB370"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lastRenderedPageBreak/>
        <w:t>It may not own the meaning of regeneration.</w:t>
      </w:r>
    </w:p>
    <w:p w14:paraId="450295ED" w14:textId="77777777" w:rsidR="00BB351D" w:rsidRPr="00B479AE" w:rsidRDefault="00BB351D" w:rsidP="00BB351D">
      <w:pPr>
        <w:spacing w:line="360" w:lineRule="auto"/>
        <w:rPr>
          <w:rFonts w:ascii="Baskerville Old Face" w:hAnsi="Baskerville Old Face"/>
          <w:b/>
          <w:bCs/>
          <w:i/>
          <w:iCs/>
        </w:rPr>
      </w:pPr>
      <w:r w:rsidRPr="00B479AE">
        <w:rPr>
          <w:rFonts w:ascii="Baskerville Old Face" w:hAnsi="Baskerville Old Face"/>
          <w:b/>
          <w:bCs/>
          <w:i/>
          <w:iCs/>
        </w:rPr>
        <w:t>7.5 Investment Funds, Asset Managers, Family Offices, and Capital Allocators</w:t>
      </w:r>
    </w:p>
    <w:p w14:paraId="0F3E817D"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Capital allocators require enhanced review because capital can support regeneration, but it can also distort, accelerate, capture, or prematurely financialize the system.</w:t>
      </w:r>
    </w:p>
    <w:p w14:paraId="6BFA4A76"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Eligibility review may include:</w:t>
      </w:r>
    </w:p>
    <w:p w14:paraId="7C077797"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 legal identity and regulatory status;</w:t>
      </w:r>
      <w:r w:rsidRPr="00B479AE">
        <w:rPr>
          <w:rFonts w:ascii="Baskerville Old Face" w:hAnsi="Baskerville Old Face"/>
          <w:i/>
          <w:iCs/>
        </w:rPr>
        <w:br/>
        <w:t>• authority of representative;</w:t>
      </w:r>
      <w:r w:rsidRPr="00B479AE">
        <w:rPr>
          <w:rFonts w:ascii="Baskerville Old Face" w:hAnsi="Baskerville Old Face"/>
          <w:i/>
          <w:iCs/>
        </w:rPr>
        <w:br/>
        <w:t>• investment strategy;</w:t>
      </w:r>
      <w:r w:rsidRPr="00B479AE">
        <w:rPr>
          <w:rFonts w:ascii="Baskerville Old Face" w:hAnsi="Baskerville Old Face"/>
          <w:i/>
          <w:iCs/>
        </w:rPr>
        <w:br/>
        <w:t>• mandate alignment;</w:t>
      </w:r>
      <w:r w:rsidRPr="00B479AE">
        <w:rPr>
          <w:rFonts w:ascii="Baskerville Old Face" w:hAnsi="Baskerville Old Face"/>
          <w:i/>
          <w:iCs/>
        </w:rPr>
        <w:br/>
        <w:t>• source-of-funds review where appropriate;</w:t>
      </w:r>
      <w:r w:rsidRPr="00B479AE">
        <w:rPr>
          <w:rFonts w:ascii="Baskerville Old Face" w:hAnsi="Baskerville Old Face"/>
          <w:i/>
          <w:iCs/>
        </w:rPr>
        <w:br/>
        <w:t>• conflict-of-interest disclosure;</w:t>
      </w:r>
      <w:r w:rsidRPr="00B479AE">
        <w:rPr>
          <w:rFonts w:ascii="Baskerville Old Face" w:hAnsi="Baskerville Old Face"/>
          <w:i/>
          <w:iCs/>
        </w:rPr>
        <w:br/>
        <w:t>• relevant portfolio or exposure disclosure, subject to confidentiality;</w:t>
      </w:r>
      <w:r w:rsidRPr="00B479AE">
        <w:rPr>
          <w:rFonts w:ascii="Baskerville Old Face" w:hAnsi="Baskerville Old Face"/>
          <w:i/>
          <w:iCs/>
        </w:rPr>
        <w:br/>
        <w:t>• time horizon;</w:t>
      </w:r>
      <w:r w:rsidRPr="00B479AE">
        <w:rPr>
          <w:rFonts w:ascii="Baskerville Old Face" w:hAnsi="Baskerville Old Face"/>
          <w:i/>
          <w:iCs/>
        </w:rPr>
        <w:br/>
        <w:t>• liquidity expectations;</w:t>
      </w:r>
      <w:r w:rsidRPr="00B479AE">
        <w:rPr>
          <w:rFonts w:ascii="Baskerville Old Face" w:hAnsi="Baskerville Old Face"/>
          <w:i/>
          <w:iCs/>
        </w:rPr>
        <w:br/>
        <w:t>• exit strategy;</w:t>
      </w:r>
      <w:r w:rsidRPr="00B479AE">
        <w:rPr>
          <w:rFonts w:ascii="Baskerville Old Face" w:hAnsi="Baskerville Old Face"/>
          <w:i/>
          <w:iCs/>
        </w:rPr>
        <w:br/>
        <w:t>• leverage profile;</w:t>
      </w:r>
      <w:r w:rsidRPr="00B479AE">
        <w:rPr>
          <w:rFonts w:ascii="Baskerville Old Face" w:hAnsi="Baskerville Old Face"/>
          <w:i/>
          <w:iCs/>
        </w:rPr>
        <w:br/>
        <w:t>• investor disclosure discipline;</w:t>
      </w:r>
      <w:r w:rsidRPr="00B479AE">
        <w:rPr>
          <w:rFonts w:ascii="Baskerville Old Face" w:hAnsi="Baskerville Old Face"/>
          <w:i/>
          <w:iCs/>
        </w:rPr>
        <w:br/>
        <w:t>• acceptance that PRU, RAP, tokenization, and investor-facing claims require evidence, legal structure, and compliance review.</w:t>
      </w:r>
    </w:p>
    <w:p w14:paraId="4583DD42"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Prometheus should avoid universal fixed thresholds such as a mandatory percentage of aligned invested capital unless such thresholds are formally adopted by governance for a specific program.</w:t>
      </w:r>
    </w:p>
    <w:p w14:paraId="6ECBFB20"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Instead, Prometheus should use a risk-based alignment review.</w:t>
      </w:r>
    </w:p>
    <w:p w14:paraId="226DE5C6"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A participant’s capital strategy may be classified as follows: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5288"/>
        <w:gridCol w:w="2804"/>
      </w:tblGrid>
      <w:tr w:rsidR="00BB351D" w:rsidRPr="00B479AE" w14:paraId="609B5B3C" w14:textId="77777777" w:rsidTr="00BB351D">
        <w:trPr>
          <w:tblHeader/>
          <w:tblCellSpacing w:w="15" w:type="dxa"/>
        </w:trPr>
        <w:tc>
          <w:tcPr>
            <w:tcW w:w="0" w:type="auto"/>
            <w:vAlign w:val="center"/>
            <w:hideMark/>
          </w:tcPr>
          <w:p w14:paraId="6D14AD2D" w14:textId="77777777" w:rsidR="00BB351D" w:rsidRPr="00B479AE" w:rsidRDefault="00BB351D" w:rsidP="00BB351D">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Alignment status</w:t>
            </w:r>
          </w:p>
        </w:tc>
        <w:tc>
          <w:tcPr>
            <w:tcW w:w="0" w:type="auto"/>
            <w:vAlign w:val="center"/>
            <w:hideMark/>
          </w:tcPr>
          <w:p w14:paraId="4D4485CB" w14:textId="77777777" w:rsidR="00BB351D" w:rsidRPr="00B479AE" w:rsidRDefault="00BB351D" w:rsidP="00BB351D">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c>
          <w:tcPr>
            <w:tcW w:w="0" w:type="auto"/>
            <w:vAlign w:val="center"/>
            <w:hideMark/>
          </w:tcPr>
          <w:p w14:paraId="58CD8CB2" w14:textId="77777777" w:rsidR="00BB351D" w:rsidRPr="00B479AE" w:rsidRDefault="00BB351D" w:rsidP="00BB351D">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Access implication</w:t>
            </w:r>
          </w:p>
        </w:tc>
      </w:tr>
      <w:tr w:rsidR="00BB351D" w:rsidRPr="00B479AE" w14:paraId="29800639" w14:textId="77777777" w:rsidTr="00BB351D">
        <w:trPr>
          <w:tblCellSpacing w:w="15" w:type="dxa"/>
        </w:trPr>
        <w:tc>
          <w:tcPr>
            <w:tcW w:w="0" w:type="auto"/>
            <w:vAlign w:val="center"/>
            <w:hideMark/>
          </w:tcPr>
          <w:p w14:paraId="4307ED14"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Aligned</w:t>
            </w:r>
          </w:p>
        </w:tc>
        <w:tc>
          <w:tcPr>
            <w:tcW w:w="0" w:type="auto"/>
            <w:vAlign w:val="center"/>
            <w:hideMark/>
          </w:tcPr>
          <w:p w14:paraId="221F01C4"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Strategy is substantially compatible with regenerative infrastructure, evidence discipline, and constitutional constraints.</w:t>
            </w:r>
          </w:p>
        </w:tc>
        <w:tc>
          <w:tcPr>
            <w:tcW w:w="0" w:type="auto"/>
            <w:vAlign w:val="center"/>
            <w:hideMark/>
          </w:tcPr>
          <w:p w14:paraId="1A938C74"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Eligible for ordinary capital-participation review.</w:t>
            </w:r>
          </w:p>
        </w:tc>
      </w:tr>
      <w:tr w:rsidR="00BB351D" w:rsidRPr="00B479AE" w14:paraId="6D867D29" w14:textId="77777777" w:rsidTr="00BB351D">
        <w:trPr>
          <w:tblCellSpacing w:w="15" w:type="dxa"/>
        </w:trPr>
        <w:tc>
          <w:tcPr>
            <w:tcW w:w="0" w:type="auto"/>
            <w:vAlign w:val="center"/>
            <w:hideMark/>
          </w:tcPr>
          <w:p w14:paraId="2F7B8882"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lastRenderedPageBreak/>
              <w:t>Conditionally aligned</w:t>
            </w:r>
          </w:p>
        </w:tc>
        <w:tc>
          <w:tcPr>
            <w:tcW w:w="0" w:type="auto"/>
            <w:vAlign w:val="center"/>
            <w:hideMark/>
          </w:tcPr>
          <w:p w14:paraId="3130A7DD"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Strategy may become compatible if specific exclusions, disclosures, limitations, or review conditions are accepted.</w:t>
            </w:r>
          </w:p>
        </w:tc>
        <w:tc>
          <w:tcPr>
            <w:tcW w:w="0" w:type="auto"/>
            <w:vAlign w:val="center"/>
            <w:hideMark/>
          </w:tcPr>
          <w:p w14:paraId="32A48B73"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Eligible only with conditions.</w:t>
            </w:r>
          </w:p>
        </w:tc>
      </w:tr>
      <w:tr w:rsidR="00BB351D" w:rsidRPr="00B479AE" w14:paraId="375E4D16" w14:textId="77777777" w:rsidTr="00BB351D">
        <w:trPr>
          <w:tblCellSpacing w:w="15" w:type="dxa"/>
        </w:trPr>
        <w:tc>
          <w:tcPr>
            <w:tcW w:w="0" w:type="auto"/>
            <w:vAlign w:val="center"/>
            <w:hideMark/>
          </w:tcPr>
          <w:p w14:paraId="5B7C8B8C"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Transitional</w:t>
            </w:r>
          </w:p>
        </w:tc>
        <w:tc>
          <w:tcPr>
            <w:tcW w:w="0" w:type="auto"/>
            <w:vAlign w:val="center"/>
            <w:hideMark/>
          </w:tcPr>
          <w:p w14:paraId="54026B3A"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Entity is moving from conventional or mixed exposure toward regenerative alignment.</w:t>
            </w:r>
          </w:p>
        </w:tc>
        <w:tc>
          <w:tcPr>
            <w:tcW w:w="0" w:type="auto"/>
            <w:vAlign w:val="center"/>
            <w:hideMark/>
          </w:tcPr>
          <w:p w14:paraId="7BD86316"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Eligible for limited, observed, or pilot-specific participation.</w:t>
            </w:r>
          </w:p>
        </w:tc>
      </w:tr>
      <w:tr w:rsidR="00BB351D" w:rsidRPr="00B479AE" w14:paraId="5ECDA56D" w14:textId="77777777" w:rsidTr="00BB351D">
        <w:trPr>
          <w:tblCellSpacing w:w="15" w:type="dxa"/>
        </w:trPr>
        <w:tc>
          <w:tcPr>
            <w:tcW w:w="0" w:type="auto"/>
            <w:vAlign w:val="center"/>
            <w:hideMark/>
          </w:tcPr>
          <w:p w14:paraId="37C015D7"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High-risk</w:t>
            </w:r>
          </w:p>
        </w:tc>
        <w:tc>
          <w:tcPr>
            <w:tcW w:w="0" w:type="auto"/>
            <w:vAlign w:val="center"/>
            <w:hideMark/>
          </w:tcPr>
          <w:p w14:paraId="5F12B291"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Strategy includes leverage, extraction, greenwashing, speculative tokenization, short-term exit pressure, or conflict with the Covenant.</w:t>
            </w:r>
          </w:p>
        </w:tc>
        <w:tc>
          <w:tcPr>
            <w:tcW w:w="0" w:type="auto"/>
            <w:vAlign w:val="center"/>
            <w:hideMark/>
          </w:tcPr>
          <w:p w14:paraId="6B59603B"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Requires enhanced review, restriction, or rejection.</w:t>
            </w:r>
          </w:p>
        </w:tc>
      </w:tr>
      <w:tr w:rsidR="00BB351D" w:rsidRPr="00B479AE" w14:paraId="0E5D611C" w14:textId="77777777" w:rsidTr="00BB351D">
        <w:trPr>
          <w:tblCellSpacing w:w="15" w:type="dxa"/>
        </w:trPr>
        <w:tc>
          <w:tcPr>
            <w:tcW w:w="0" w:type="auto"/>
            <w:vAlign w:val="center"/>
            <w:hideMark/>
          </w:tcPr>
          <w:p w14:paraId="12503951"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Incompatible</w:t>
            </w:r>
          </w:p>
        </w:tc>
        <w:tc>
          <w:tcPr>
            <w:tcW w:w="0" w:type="auto"/>
            <w:vAlign w:val="center"/>
            <w:hideMark/>
          </w:tcPr>
          <w:p w14:paraId="2AB38F6D"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Strategy materially violates foundational articles, Eternity Clauses, or Access Covenant.</w:t>
            </w:r>
          </w:p>
        </w:tc>
        <w:tc>
          <w:tcPr>
            <w:tcW w:w="0" w:type="auto"/>
            <w:vAlign w:val="center"/>
            <w:hideMark/>
          </w:tcPr>
          <w:p w14:paraId="45920883"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Not eligible unless strategy changes.</w:t>
            </w:r>
          </w:p>
        </w:tc>
      </w:tr>
    </w:tbl>
    <w:p w14:paraId="2F6328A5" w14:textId="41C32515"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Capital allocators may be subject to enhanced scrutiny, additional documentation, staged access, reporting requirements, observation periods, or legal review.</w:t>
      </w:r>
    </w:p>
    <w:p w14:paraId="0A1B01A2"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Any observation period should be defined by governance according to risk, not imposed as a universal fixed duration.</w:t>
      </w:r>
    </w:p>
    <w:p w14:paraId="491A6676"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No capital allocator may use Prometheus participation to imply investment approval, PRU entitlement, token rights, public offering, guaranteed return, or preferential access to future financial instruments.</w:t>
      </w:r>
    </w:p>
    <w:p w14:paraId="14D9A911"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Capital may enter Prometheus only as disciplined support for verified regeneration.</w:t>
      </w:r>
    </w:p>
    <w:p w14:paraId="7D37AFBD"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It may not become sovereignty over life.</w:t>
      </w:r>
    </w:p>
    <w:p w14:paraId="176256F7" w14:textId="77777777" w:rsidR="00BB351D" w:rsidRPr="00B479AE" w:rsidRDefault="00BB351D" w:rsidP="00BB351D">
      <w:pPr>
        <w:spacing w:line="360" w:lineRule="auto"/>
        <w:rPr>
          <w:rFonts w:ascii="Baskerville Old Face" w:hAnsi="Baskerville Old Face"/>
          <w:b/>
          <w:bCs/>
          <w:i/>
          <w:iCs/>
        </w:rPr>
      </w:pPr>
      <w:r w:rsidRPr="00B479AE">
        <w:rPr>
          <w:rFonts w:ascii="Baskerville Old Face" w:hAnsi="Baskerville Old Face"/>
          <w:b/>
          <w:bCs/>
          <w:i/>
          <w:iCs/>
        </w:rPr>
        <w:t>7.6 Governments and Public Agencies</w:t>
      </w:r>
    </w:p>
    <w:p w14:paraId="32AF089D"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Governments and public agencies may participate in public-interest, territorial, ecological, educational, procurement, research, food-system, health, climate-adaptation, resilience, or infrastructure roles.</w:t>
      </w:r>
    </w:p>
    <w:p w14:paraId="7FEA426D"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Eligibility review may include:</w:t>
      </w:r>
    </w:p>
    <w:p w14:paraId="5903562B"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lastRenderedPageBreak/>
        <w:t>• legal authority to participate;</w:t>
      </w:r>
      <w:r w:rsidRPr="00B479AE">
        <w:rPr>
          <w:rFonts w:ascii="Baskerville Old Face" w:hAnsi="Baskerville Old Face"/>
          <w:i/>
          <w:iCs/>
        </w:rPr>
        <w:br/>
        <w:t>• identification of responsible office or representative;</w:t>
      </w:r>
      <w:r w:rsidRPr="00B479AE">
        <w:rPr>
          <w:rFonts w:ascii="Baskerville Old Face" w:hAnsi="Baskerville Old Face"/>
          <w:i/>
          <w:iCs/>
        </w:rPr>
        <w:br/>
        <w:t>• scope of participation;</w:t>
      </w:r>
      <w:r w:rsidRPr="00B479AE">
        <w:rPr>
          <w:rFonts w:ascii="Baskerville Old Face" w:hAnsi="Baskerville Old Face"/>
          <w:i/>
          <w:iCs/>
        </w:rPr>
        <w:br/>
        <w:t>• public-interest alignment;</w:t>
      </w:r>
      <w:r w:rsidRPr="00B479AE">
        <w:rPr>
          <w:rFonts w:ascii="Baskerville Old Face" w:hAnsi="Baskerville Old Face"/>
          <w:i/>
          <w:iCs/>
        </w:rPr>
        <w:br/>
        <w:t>• data-governance requirements;</w:t>
      </w:r>
      <w:r w:rsidRPr="00B479AE">
        <w:rPr>
          <w:rFonts w:ascii="Baskerville Old Face" w:hAnsi="Baskerville Old Face"/>
          <w:i/>
          <w:iCs/>
        </w:rPr>
        <w:br/>
        <w:t>• procurement or funding rules;</w:t>
      </w:r>
      <w:r w:rsidRPr="00B479AE">
        <w:rPr>
          <w:rFonts w:ascii="Baskerville Old Face" w:hAnsi="Baskerville Old Face"/>
          <w:i/>
          <w:iCs/>
        </w:rPr>
        <w:br/>
        <w:t>• respect for community participation and local autonomy;</w:t>
      </w:r>
      <w:r w:rsidRPr="00B479AE">
        <w:rPr>
          <w:rFonts w:ascii="Baskerville Old Face" w:hAnsi="Baskerville Old Face"/>
          <w:i/>
          <w:iCs/>
        </w:rPr>
        <w:br/>
        <w:t>• avoidance of coercive deployment;</w:t>
      </w:r>
      <w:r w:rsidRPr="00B479AE">
        <w:rPr>
          <w:rFonts w:ascii="Baskerville Old Face" w:hAnsi="Baskerville Old Face"/>
          <w:i/>
          <w:iCs/>
        </w:rPr>
        <w:br/>
        <w:t>• commitment to transparency, proportionality, and due process;</w:t>
      </w:r>
      <w:r w:rsidRPr="00B479AE">
        <w:rPr>
          <w:rFonts w:ascii="Baskerville Old Face" w:hAnsi="Baskerville Old Face"/>
          <w:i/>
          <w:iCs/>
        </w:rPr>
        <w:br/>
        <w:t>• legal review of any conflict between public-law obligations and Prometheus governance.</w:t>
      </w:r>
    </w:p>
    <w:p w14:paraId="700D9226"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The relationship with public agencies must be handled carefully.</w:t>
      </w:r>
    </w:p>
    <w:p w14:paraId="53ACB689"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Prometheus cannot erase sovereign, statutory, administrative, procurement, or public-law obligations by private covenant language.</w:t>
      </w:r>
    </w:p>
    <w:p w14:paraId="23E393FE"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A public agency may be bound by the Access Covenant within the scope of its participation, but the consequences of breach must be handled through legally appropriate instruments, agreements, remedies, governance pathways, and applicable law.</w:t>
      </w:r>
    </w:p>
    <w:p w14:paraId="6CB1322A"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The correct principle is not that sovereign immunity “does not exist.”</w:t>
      </w:r>
    </w:p>
    <w:p w14:paraId="64DE6C9E"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The correct principle is:</w:t>
      </w:r>
    </w:p>
    <w:p w14:paraId="43F9D0E0"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public authority does not grant permission to violate the Prometheus constitutional source layer within the Prometheus ecosystem.</w:t>
      </w:r>
    </w:p>
    <w:p w14:paraId="61CEF54B"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Where legal doctrines limit remedies, Prometheus may still restrict ecosystem access, classify actions as non-admissible, refuse participation pathways, require review, suspend specific interfaces, or terminate participation according to the applicable agreement and law.</w:t>
      </w:r>
    </w:p>
    <w:p w14:paraId="5BA528DE"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Prometheus respects public authority.</w:t>
      </w:r>
    </w:p>
    <w:p w14:paraId="6A1DB8B1"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It also preserves its own constitutional boundary.</w:t>
      </w:r>
    </w:p>
    <w:p w14:paraId="60201173" w14:textId="77777777" w:rsidR="00BB351D" w:rsidRPr="00B479AE" w:rsidRDefault="00BB351D" w:rsidP="00BB351D">
      <w:pPr>
        <w:spacing w:line="360" w:lineRule="auto"/>
        <w:rPr>
          <w:rFonts w:ascii="Baskerville Old Face" w:hAnsi="Baskerville Old Face"/>
          <w:b/>
          <w:bCs/>
          <w:i/>
          <w:iCs/>
        </w:rPr>
      </w:pPr>
      <w:r w:rsidRPr="00B479AE">
        <w:rPr>
          <w:rFonts w:ascii="Baskerville Old Face" w:hAnsi="Baskerville Old Face"/>
          <w:b/>
          <w:bCs/>
          <w:i/>
          <w:iCs/>
        </w:rPr>
        <w:t>7.7 Token Communities, DAOs, Digital Networks, and Token Projects</w:t>
      </w:r>
    </w:p>
    <w:p w14:paraId="494A4550"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lastRenderedPageBreak/>
        <w:t>Token communities, DAOs, digital networks, and token projects may participate only if they respect the strict separation between governance, participation, access, token representation, financial rights, PRU value, land rights, investor exposure, and ecological verification.</w:t>
      </w:r>
    </w:p>
    <w:p w14:paraId="4151F46A"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Eligibility review may include:</w:t>
      </w:r>
    </w:p>
    <w:p w14:paraId="001A64FF"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 public governance process or equivalent governance disclosure;</w:t>
      </w:r>
      <w:r w:rsidRPr="00B479AE">
        <w:rPr>
          <w:rFonts w:ascii="Baskerville Old Face" w:hAnsi="Baskerville Old Face"/>
          <w:i/>
          <w:iCs/>
        </w:rPr>
        <w:br/>
        <w:t>• tokenomics review where relevant;</w:t>
      </w:r>
      <w:r w:rsidRPr="00B479AE">
        <w:rPr>
          <w:rFonts w:ascii="Baskerville Old Face" w:hAnsi="Baskerville Old Face"/>
          <w:i/>
          <w:iCs/>
        </w:rPr>
        <w:br/>
        <w:t>• legal classification review;</w:t>
      </w:r>
      <w:r w:rsidRPr="00B479AE">
        <w:rPr>
          <w:rFonts w:ascii="Baskerville Old Face" w:hAnsi="Baskerville Old Face"/>
          <w:i/>
          <w:iCs/>
        </w:rPr>
        <w:br/>
        <w:t>• rights and claims associated with the token;</w:t>
      </w:r>
      <w:r w:rsidRPr="00B479AE">
        <w:rPr>
          <w:rFonts w:ascii="Baskerville Old Face" w:hAnsi="Baskerville Old Face"/>
          <w:i/>
          <w:iCs/>
        </w:rPr>
        <w:br/>
        <w:t>• treasury policy;</w:t>
      </w:r>
      <w:r w:rsidRPr="00B479AE">
        <w:rPr>
          <w:rFonts w:ascii="Baskerville Old Face" w:hAnsi="Baskerville Old Face"/>
          <w:i/>
          <w:iCs/>
        </w:rPr>
        <w:br/>
        <w:t>• voting mechanism;</w:t>
      </w:r>
      <w:r w:rsidRPr="00B479AE">
        <w:rPr>
          <w:rFonts w:ascii="Baskerville Old Face" w:hAnsi="Baskerville Old Face"/>
          <w:i/>
          <w:iCs/>
        </w:rPr>
        <w:br/>
        <w:t>• concentration and whale-risk analysis;</w:t>
      </w:r>
      <w:r w:rsidRPr="00B479AE">
        <w:rPr>
          <w:rFonts w:ascii="Baskerville Old Face" w:hAnsi="Baskerville Old Face"/>
          <w:i/>
          <w:iCs/>
        </w:rPr>
        <w:br/>
        <w:t>• bridge or interoperability risks;</w:t>
      </w:r>
      <w:r w:rsidRPr="00B479AE">
        <w:rPr>
          <w:rFonts w:ascii="Baskerville Old Face" w:hAnsi="Baskerville Old Face"/>
          <w:i/>
          <w:iCs/>
        </w:rPr>
        <w:br/>
        <w:t>• compliance with the Access Covenant;</w:t>
      </w:r>
      <w:r w:rsidRPr="00B479AE">
        <w:rPr>
          <w:rFonts w:ascii="Baskerville Old Face" w:hAnsi="Baskerville Old Face"/>
          <w:i/>
          <w:iCs/>
        </w:rPr>
        <w:br/>
        <w:t>• avoidance of false claims about regeneration, PRU, land, yield, ownership, liquidity, or investor entitlement.</w:t>
      </w:r>
    </w:p>
    <w:p w14:paraId="0FA13FFD"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Token projects must not be admitted merely because they use regenerative language.</w:t>
      </w:r>
    </w:p>
    <w:p w14:paraId="38208CFA"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They must demonstrate that their token logic does not convert narrative into value, governance into entitlement, or speculation into ecological performance.</w:t>
      </w:r>
    </w:p>
    <w:p w14:paraId="53CD2047"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Potential access statuses may include:</w:t>
      </w:r>
    </w:p>
    <w:p w14:paraId="44073BE5" w14:textId="77777777" w:rsidR="002E24FF" w:rsidRPr="00B479AE" w:rsidRDefault="002E24FF" w:rsidP="00BB351D">
      <w:pPr>
        <w:spacing w:line="360" w:lineRule="auto"/>
        <w:rPr>
          <w:rFonts w:ascii="Baskerville Old Face" w:hAnsi="Baskerville Old Face"/>
          <w:i/>
          <w:iCs/>
        </w:rPr>
      </w:pPr>
    </w:p>
    <w:p w14:paraId="3FB8231F" w14:textId="77777777" w:rsidR="002E24FF" w:rsidRPr="00B479AE" w:rsidRDefault="002E24FF" w:rsidP="00BB351D">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5"/>
        <w:gridCol w:w="7333"/>
      </w:tblGrid>
      <w:tr w:rsidR="00BB351D" w:rsidRPr="00B479AE" w14:paraId="59ECF7F1" w14:textId="77777777" w:rsidTr="002E24FF">
        <w:trPr>
          <w:tblHeader/>
          <w:tblCellSpacing w:w="15" w:type="dxa"/>
        </w:trPr>
        <w:tc>
          <w:tcPr>
            <w:tcW w:w="0" w:type="auto"/>
            <w:vAlign w:val="center"/>
            <w:hideMark/>
          </w:tcPr>
          <w:p w14:paraId="7F5C1E74" w14:textId="77777777" w:rsidR="00BB351D" w:rsidRPr="00B479AE" w:rsidRDefault="00BB351D" w:rsidP="00BB351D">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Status</w:t>
            </w:r>
          </w:p>
        </w:tc>
        <w:tc>
          <w:tcPr>
            <w:tcW w:w="0" w:type="auto"/>
            <w:vAlign w:val="center"/>
            <w:hideMark/>
          </w:tcPr>
          <w:p w14:paraId="0C09401B" w14:textId="77777777" w:rsidR="00BB351D" w:rsidRPr="00B479AE" w:rsidRDefault="00BB351D" w:rsidP="00BB351D">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r>
      <w:tr w:rsidR="00BB351D" w:rsidRPr="00B479AE" w14:paraId="51338C3B" w14:textId="77777777" w:rsidTr="002E24FF">
        <w:trPr>
          <w:tblCellSpacing w:w="15" w:type="dxa"/>
        </w:trPr>
        <w:tc>
          <w:tcPr>
            <w:tcW w:w="0" w:type="auto"/>
            <w:vAlign w:val="center"/>
            <w:hideMark/>
          </w:tcPr>
          <w:p w14:paraId="72F0B1DD"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Observer status</w:t>
            </w:r>
          </w:p>
        </w:tc>
        <w:tc>
          <w:tcPr>
            <w:tcW w:w="0" w:type="auto"/>
            <w:vAlign w:val="center"/>
            <w:hideMark/>
          </w:tcPr>
          <w:p w14:paraId="16E458E8"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May learn, participate in non-sensitive forums, or explore compatibility.</w:t>
            </w:r>
          </w:p>
        </w:tc>
      </w:tr>
      <w:tr w:rsidR="00BB351D" w:rsidRPr="00B479AE" w14:paraId="35AB0771" w14:textId="77777777" w:rsidTr="002E24FF">
        <w:trPr>
          <w:tblCellSpacing w:w="15" w:type="dxa"/>
        </w:trPr>
        <w:tc>
          <w:tcPr>
            <w:tcW w:w="0" w:type="auto"/>
            <w:vAlign w:val="center"/>
            <w:hideMark/>
          </w:tcPr>
          <w:p w14:paraId="41978601"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Research / sandbox status</w:t>
            </w:r>
          </w:p>
        </w:tc>
        <w:tc>
          <w:tcPr>
            <w:tcW w:w="0" w:type="auto"/>
            <w:vAlign w:val="center"/>
            <w:hideMark/>
          </w:tcPr>
          <w:p w14:paraId="6CFCB4A5"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May test interoperability under restricted conditions.</w:t>
            </w:r>
          </w:p>
        </w:tc>
      </w:tr>
      <w:tr w:rsidR="00BB351D" w:rsidRPr="00B479AE" w14:paraId="3F3DCD09" w14:textId="77777777" w:rsidTr="002E24FF">
        <w:trPr>
          <w:tblCellSpacing w:w="15" w:type="dxa"/>
        </w:trPr>
        <w:tc>
          <w:tcPr>
            <w:tcW w:w="0" w:type="auto"/>
            <w:vAlign w:val="center"/>
            <w:hideMark/>
          </w:tcPr>
          <w:p w14:paraId="7D494A4C"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Limited participation</w:t>
            </w:r>
          </w:p>
        </w:tc>
        <w:tc>
          <w:tcPr>
            <w:tcW w:w="0" w:type="auto"/>
            <w:vAlign w:val="center"/>
            <w:hideMark/>
          </w:tcPr>
          <w:p w14:paraId="7FB4340D"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May access specific functions under defined boundaries.</w:t>
            </w:r>
          </w:p>
        </w:tc>
      </w:tr>
      <w:tr w:rsidR="00BB351D" w:rsidRPr="00B479AE" w14:paraId="5E8FA55A" w14:textId="77777777" w:rsidTr="002E24FF">
        <w:trPr>
          <w:tblCellSpacing w:w="15" w:type="dxa"/>
        </w:trPr>
        <w:tc>
          <w:tcPr>
            <w:tcW w:w="0" w:type="auto"/>
            <w:vAlign w:val="center"/>
            <w:hideMark/>
          </w:tcPr>
          <w:p w14:paraId="40EFA4EA"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lastRenderedPageBreak/>
              <w:t>Governance participation</w:t>
            </w:r>
          </w:p>
        </w:tc>
        <w:tc>
          <w:tcPr>
            <w:tcW w:w="0" w:type="auto"/>
            <w:vAlign w:val="center"/>
            <w:hideMark/>
          </w:tcPr>
          <w:p w14:paraId="44968C42"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May participate in governance only within approved scope and legal boundaries.</w:t>
            </w:r>
          </w:p>
        </w:tc>
      </w:tr>
      <w:tr w:rsidR="00BB351D" w:rsidRPr="00B479AE" w14:paraId="6E51C3E8" w14:textId="77777777" w:rsidTr="002E24FF">
        <w:trPr>
          <w:tblCellSpacing w:w="15" w:type="dxa"/>
        </w:trPr>
        <w:tc>
          <w:tcPr>
            <w:tcW w:w="0" w:type="auto"/>
            <w:vAlign w:val="center"/>
            <w:hideMark/>
          </w:tcPr>
          <w:p w14:paraId="47C764AE"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Rejected / incompatible</w:t>
            </w:r>
          </w:p>
        </w:tc>
        <w:tc>
          <w:tcPr>
            <w:tcW w:w="0" w:type="auto"/>
            <w:vAlign w:val="center"/>
            <w:hideMark/>
          </w:tcPr>
          <w:p w14:paraId="476E5222"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Not eligible due to tokenomic, legal, governance, ecological, or constitutional conflict.</w:t>
            </w:r>
          </w:p>
        </w:tc>
      </w:tr>
    </w:tbl>
    <w:p w14:paraId="51D58827"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Any observation period should be risk-based and governance-defined.</w:t>
      </w:r>
    </w:p>
    <w:p w14:paraId="07D5172A"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A fixed six-month minimum may be used as a policy option, but it should not be presented as a universal constitutional requirement unless formally adopted.</w:t>
      </w:r>
    </w:p>
    <w:p w14:paraId="14E65551"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Where a token ecosystem has its own governance, treasury, token logic, role structure, and community identity, Prometheus should interact through sovereign alignment and interoperability, not absorption.</w:t>
      </w:r>
    </w:p>
    <w:p w14:paraId="03FA65F0" w14:textId="77777777" w:rsidR="00BB351D" w:rsidRPr="00B479AE" w:rsidRDefault="00BB351D" w:rsidP="00BB351D">
      <w:pPr>
        <w:spacing w:line="360" w:lineRule="auto"/>
        <w:rPr>
          <w:rFonts w:ascii="Baskerville Old Face" w:hAnsi="Baskerville Old Face"/>
          <w:b/>
          <w:bCs/>
          <w:i/>
          <w:iCs/>
        </w:rPr>
      </w:pPr>
      <w:r w:rsidRPr="00B479AE">
        <w:rPr>
          <w:rFonts w:ascii="Baskerville Old Face" w:hAnsi="Baskerville Old Face"/>
          <w:b/>
          <w:bCs/>
          <w:i/>
          <w:iCs/>
        </w:rPr>
        <w:t>7.8 Digital Agents, AI Systems, Infrastructure Providers, and Technical Operators</w:t>
      </w:r>
    </w:p>
    <w:p w14:paraId="3825604F"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Digital agents, AI systems, infrastructure providers, model operators, connector providers, data-service providers, and technical maintainers may participate only through strict role boundaries.</w:t>
      </w:r>
    </w:p>
    <w:p w14:paraId="0CEC926A"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Eligibility review may include:</w:t>
      </w:r>
    </w:p>
    <w:p w14:paraId="6AB9AC92"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 operator identity;</w:t>
      </w:r>
      <w:r w:rsidRPr="00B479AE">
        <w:rPr>
          <w:rFonts w:ascii="Baskerville Old Face" w:hAnsi="Baskerville Old Face"/>
          <w:i/>
          <w:iCs/>
        </w:rPr>
        <w:br/>
        <w:t>• technical function;</w:t>
      </w:r>
      <w:r w:rsidRPr="00B479AE">
        <w:rPr>
          <w:rFonts w:ascii="Baskerville Old Face" w:hAnsi="Baskerville Old Face"/>
          <w:i/>
          <w:iCs/>
        </w:rPr>
        <w:br/>
        <w:t>• access scope;</w:t>
      </w:r>
      <w:r w:rsidRPr="00B479AE">
        <w:rPr>
          <w:rFonts w:ascii="Baskerville Old Face" w:hAnsi="Baskerville Old Face"/>
          <w:i/>
          <w:iCs/>
        </w:rPr>
        <w:br/>
        <w:t>• data permissions;</w:t>
      </w:r>
      <w:r w:rsidRPr="00B479AE">
        <w:rPr>
          <w:rFonts w:ascii="Baskerville Old Face" w:hAnsi="Baskerville Old Face"/>
          <w:i/>
          <w:iCs/>
        </w:rPr>
        <w:br/>
        <w:t>• model or system description where relevant;</w:t>
      </w:r>
      <w:r w:rsidRPr="00B479AE">
        <w:rPr>
          <w:rFonts w:ascii="Baskerville Old Face" w:hAnsi="Baskerville Old Face"/>
          <w:i/>
          <w:iCs/>
        </w:rPr>
        <w:br/>
        <w:t>• security posture;</w:t>
      </w:r>
      <w:r w:rsidRPr="00B479AE">
        <w:rPr>
          <w:rFonts w:ascii="Baskerville Old Face" w:hAnsi="Baskerville Old Face"/>
          <w:i/>
          <w:iCs/>
        </w:rPr>
        <w:br/>
        <w:t>• auditability;</w:t>
      </w:r>
      <w:r w:rsidRPr="00B479AE">
        <w:rPr>
          <w:rFonts w:ascii="Baskerville Old Face" w:hAnsi="Baskerville Old Face"/>
          <w:i/>
          <w:iCs/>
        </w:rPr>
        <w:br/>
        <w:t>• logging requirements;</w:t>
      </w:r>
      <w:r w:rsidRPr="00B479AE">
        <w:rPr>
          <w:rFonts w:ascii="Baskerville Old Face" w:hAnsi="Baskerville Old Face"/>
          <w:i/>
          <w:iCs/>
        </w:rPr>
        <w:br/>
        <w:t>• incident-response procedure;</w:t>
      </w:r>
      <w:r w:rsidRPr="00B479AE">
        <w:rPr>
          <w:rFonts w:ascii="Baskerville Old Face" w:hAnsi="Baskerville Old Face"/>
          <w:i/>
          <w:iCs/>
        </w:rPr>
        <w:br/>
        <w:t>• model-risk review where applicable;</w:t>
      </w:r>
      <w:r w:rsidRPr="00B479AE">
        <w:rPr>
          <w:rFonts w:ascii="Baskerville Old Face" w:hAnsi="Baskerville Old Face"/>
          <w:i/>
          <w:iCs/>
        </w:rPr>
        <w:br/>
        <w:t>• compliance with non-bypassability constraints;</w:t>
      </w:r>
      <w:r w:rsidRPr="00B479AE">
        <w:rPr>
          <w:rFonts w:ascii="Baskerville Old Face" w:hAnsi="Baskerville Old Face"/>
          <w:i/>
          <w:iCs/>
        </w:rPr>
        <w:br/>
        <w:t>• prohibition on autonomous execution without authorization.</w:t>
      </w:r>
    </w:p>
    <w:p w14:paraId="701E427D"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lastRenderedPageBreak/>
        <w:t>No AI system, autonomous agent, dashboard, connector, API, or technical provider may independently authorize:</w:t>
      </w:r>
    </w:p>
    <w:p w14:paraId="53E9B35D"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 PRU value;</w:t>
      </w:r>
      <w:r w:rsidRPr="00B479AE">
        <w:rPr>
          <w:rFonts w:ascii="Baskerville Old Face" w:hAnsi="Baskerville Old Face"/>
          <w:i/>
          <w:iCs/>
        </w:rPr>
        <w:br/>
        <w:t>• RAP inclusion;</w:t>
      </w:r>
      <w:r w:rsidRPr="00B479AE">
        <w:rPr>
          <w:rFonts w:ascii="Baskerville Old Face" w:hAnsi="Baskerville Old Face"/>
          <w:i/>
          <w:iCs/>
        </w:rPr>
        <w:br/>
        <w:t>• investor-facing claims;</w:t>
      </w:r>
      <w:r w:rsidRPr="00B479AE">
        <w:rPr>
          <w:rFonts w:ascii="Baskerville Old Face" w:hAnsi="Baskerville Old Face"/>
          <w:i/>
          <w:iCs/>
        </w:rPr>
        <w:br/>
        <w:t>• token issuance;</w:t>
      </w:r>
      <w:r w:rsidRPr="00B479AE">
        <w:rPr>
          <w:rFonts w:ascii="Baskerville Old Face" w:hAnsi="Baskerville Old Face"/>
          <w:i/>
          <w:iCs/>
        </w:rPr>
        <w:br/>
        <w:t>• ecological interventions;</w:t>
      </w:r>
      <w:r w:rsidRPr="00B479AE">
        <w:rPr>
          <w:rFonts w:ascii="Baskerville Old Face" w:hAnsi="Baskerville Old Face"/>
          <w:i/>
          <w:iCs/>
        </w:rPr>
        <w:br/>
        <w:t>• legal rights;</w:t>
      </w:r>
      <w:r w:rsidRPr="00B479AE">
        <w:rPr>
          <w:rFonts w:ascii="Baskerville Old Face" w:hAnsi="Baskerville Old Face"/>
          <w:i/>
          <w:iCs/>
        </w:rPr>
        <w:br/>
        <w:t>• governance decisions;</w:t>
      </w:r>
      <w:r w:rsidRPr="00B479AE">
        <w:rPr>
          <w:rFonts w:ascii="Baskerville Old Face" w:hAnsi="Baskerville Old Face"/>
          <w:i/>
          <w:iCs/>
        </w:rPr>
        <w:br/>
        <w:t>• capital deployment.</w:t>
      </w:r>
    </w:p>
    <w:p w14:paraId="4792DDA9"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Technical systems may assist.</w:t>
      </w:r>
    </w:p>
    <w:p w14:paraId="684E854B"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They may observe, route, calculate, compare, flag, recommend, and explain.</w:t>
      </w:r>
    </w:p>
    <w:p w14:paraId="275C737A"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They may not become constitutional authority.</w:t>
      </w:r>
    </w:p>
    <w:p w14:paraId="20C6D202"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Prometheus uses intelligence.</w:t>
      </w:r>
    </w:p>
    <w:p w14:paraId="06736388"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It does not surrender sovereignty to intelligence.</w:t>
      </w:r>
    </w:p>
    <w:p w14:paraId="7DE602BE" w14:textId="77777777" w:rsidR="00BB351D" w:rsidRPr="00B479AE" w:rsidRDefault="00BB351D" w:rsidP="00BB351D">
      <w:pPr>
        <w:spacing w:line="360" w:lineRule="auto"/>
        <w:rPr>
          <w:rFonts w:ascii="Baskerville Old Face" w:hAnsi="Baskerville Old Face"/>
          <w:b/>
          <w:bCs/>
          <w:i/>
          <w:iCs/>
        </w:rPr>
      </w:pPr>
      <w:r w:rsidRPr="00B479AE">
        <w:rPr>
          <w:rFonts w:ascii="Baskerville Old Face" w:hAnsi="Baskerville Old Face"/>
          <w:b/>
          <w:bCs/>
          <w:i/>
          <w:iCs/>
        </w:rPr>
        <w:t>7.9 Auditors, Verifiers, Researchers, and Methodology Contributors</w:t>
      </w:r>
    </w:p>
    <w:p w14:paraId="7C043326"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Auditors, verifiers, researchers, universities, laboratories, and methodology contributors may participate when their role strengthens evidence quality, verification discipline, scientific integrity, or methodology development.</w:t>
      </w:r>
    </w:p>
    <w:p w14:paraId="482B2A05"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Eligibility review may include:</w:t>
      </w:r>
    </w:p>
    <w:p w14:paraId="3AF7ED57"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 professional identity or institutional affiliation;</w:t>
      </w:r>
      <w:r w:rsidRPr="00B479AE">
        <w:rPr>
          <w:rFonts w:ascii="Baskerville Old Face" w:hAnsi="Baskerville Old Face"/>
          <w:i/>
          <w:iCs/>
        </w:rPr>
        <w:br/>
        <w:t>• relevant expertise;</w:t>
      </w:r>
      <w:r w:rsidRPr="00B479AE">
        <w:rPr>
          <w:rFonts w:ascii="Baskerville Old Face" w:hAnsi="Baskerville Old Face"/>
          <w:i/>
          <w:iCs/>
        </w:rPr>
        <w:br/>
        <w:t>• conflict-of-interest disclosure;</w:t>
      </w:r>
      <w:r w:rsidRPr="00B479AE">
        <w:rPr>
          <w:rFonts w:ascii="Baskerville Old Face" w:hAnsi="Baskerville Old Face"/>
          <w:i/>
          <w:iCs/>
        </w:rPr>
        <w:br/>
        <w:t>• methodology transparency;</w:t>
      </w:r>
      <w:r w:rsidRPr="00B479AE">
        <w:rPr>
          <w:rFonts w:ascii="Baskerville Old Face" w:hAnsi="Baskerville Old Face"/>
          <w:i/>
          <w:iCs/>
        </w:rPr>
        <w:br/>
        <w:t>• data-access boundaries;</w:t>
      </w:r>
      <w:r w:rsidRPr="00B479AE">
        <w:rPr>
          <w:rFonts w:ascii="Baskerville Old Face" w:hAnsi="Baskerville Old Face"/>
          <w:i/>
          <w:iCs/>
        </w:rPr>
        <w:br/>
        <w:t>• confidentiality obligations;</w:t>
      </w:r>
      <w:r w:rsidRPr="00B479AE">
        <w:rPr>
          <w:rFonts w:ascii="Baskerville Old Face" w:hAnsi="Baskerville Old Face"/>
          <w:i/>
          <w:iCs/>
        </w:rPr>
        <w:br/>
        <w:t>• publication or reporting rules;</w:t>
      </w:r>
      <w:r w:rsidRPr="00B479AE">
        <w:rPr>
          <w:rFonts w:ascii="Baskerville Old Face" w:hAnsi="Baskerville Old Face"/>
          <w:i/>
          <w:iCs/>
        </w:rPr>
        <w:br/>
        <w:t>• independence requirements where relevant;</w:t>
      </w:r>
      <w:r w:rsidRPr="00B479AE">
        <w:rPr>
          <w:rFonts w:ascii="Baskerville Old Face" w:hAnsi="Baskerville Old Face"/>
          <w:i/>
          <w:iCs/>
        </w:rPr>
        <w:br/>
      </w:r>
      <w:r w:rsidRPr="00B479AE">
        <w:rPr>
          <w:rFonts w:ascii="Baskerville Old Face" w:hAnsi="Baskerville Old Face"/>
          <w:i/>
          <w:iCs/>
        </w:rPr>
        <w:lastRenderedPageBreak/>
        <w:t>• evidence-handling procedures;</w:t>
      </w:r>
      <w:r w:rsidRPr="00B479AE">
        <w:rPr>
          <w:rFonts w:ascii="Baskerville Old Face" w:hAnsi="Baskerville Old Face"/>
          <w:i/>
          <w:iCs/>
        </w:rPr>
        <w:br/>
        <w:t>• agreement not to overstate findings beyond data quality and methodology.</w:t>
      </w:r>
    </w:p>
    <w:p w14:paraId="5458EF2E"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Researchers may explore frontier hypotheses.</w:t>
      </w:r>
    </w:p>
    <w:p w14:paraId="72DCA9F9"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Auditors and verifiers must preserve institutional credibility.</w:t>
      </w:r>
    </w:p>
    <w:p w14:paraId="1671B5BD"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A research hypothesis is not PRU value.</w:t>
      </w:r>
    </w:p>
    <w:p w14:paraId="2355C5F0"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A laboratory result is not automatically admissible value.</w:t>
      </w:r>
    </w:p>
    <w:p w14:paraId="2C975D75"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A model output is not verification unless methodology and review conditions are satisfied.</w:t>
      </w:r>
    </w:p>
    <w:p w14:paraId="45E9201B"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Scientific curiosity is welcome.</w:t>
      </w:r>
    </w:p>
    <w:p w14:paraId="1B81740B"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Financial admissibility requires evidence discipline.</w:t>
      </w:r>
    </w:p>
    <w:p w14:paraId="4868D5E7" w14:textId="77777777" w:rsidR="00BB351D" w:rsidRPr="00B479AE" w:rsidRDefault="00BB351D" w:rsidP="00BB351D">
      <w:pPr>
        <w:spacing w:line="360" w:lineRule="auto"/>
        <w:rPr>
          <w:rFonts w:ascii="Baskerville Old Face" w:hAnsi="Baskerville Old Face"/>
          <w:b/>
          <w:bCs/>
          <w:i/>
          <w:iCs/>
        </w:rPr>
      </w:pPr>
      <w:r w:rsidRPr="00B479AE">
        <w:rPr>
          <w:rFonts w:ascii="Baskerville Old Face" w:hAnsi="Baskerville Old Face"/>
          <w:b/>
          <w:bCs/>
          <w:i/>
          <w:iCs/>
        </w:rPr>
        <w:t>7.10 Religious, Spiritual, Cultural, and Ancestral Communities</w:t>
      </w:r>
    </w:p>
    <w:p w14:paraId="78E2E830"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Prometheus may collaborate with religious, spiritual, cultural, and ancestral communities when such collaboration supports dignity, stewardship, ecological care, education, community resilience, food systems, land restoration, intergenerational continuity, or human coherence.</w:t>
      </w:r>
    </w:p>
    <w:p w14:paraId="33F28182"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Eligibility review may include:</w:t>
      </w:r>
    </w:p>
    <w:p w14:paraId="795F2CAB"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 identification of the community or institution;</w:t>
      </w:r>
      <w:r w:rsidRPr="00B479AE">
        <w:rPr>
          <w:rFonts w:ascii="Baskerville Old Face" w:hAnsi="Baskerville Old Face"/>
          <w:i/>
          <w:iCs/>
        </w:rPr>
        <w:br/>
        <w:t>• representative authority where relevant;</w:t>
      </w:r>
      <w:r w:rsidRPr="00B479AE">
        <w:rPr>
          <w:rFonts w:ascii="Baskerville Old Face" w:hAnsi="Baskerville Old Face"/>
          <w:i/>
          <w:iCs/>
        </w:rPr>
        <w:br/>
        <w:t>• scope of collaboration;</w:t>
      </w:r>
      <w:r w:rsidRPr="00B479AE">
        <w:rPr>
          <w:rFonts w:ascii="Baskerville Old Face" w:hAnsi="Baskerville Old Face"/>
          <w:i/>
          <w:iCs/>
        </w:rPr>
        <w:br/>
        <w:t>• internal governance or leadership structure;</w:t>
      </w:r>
      <w:r w:rsidRPr="00B479AE">
        <w:rPr>
          <w:rFonts w:ascii="Baskerville Old Face" w:hAnsi="Baskerville Old Face"/>
          <w:i/>
          <w:iCs/>
        </w:rPr>
        <w:br/>
        <w:t>• safeguarding and consent policies where needed;</w:t>
      </w:r>
      <w:r w:rsidRPr="00B479AE">
        <w:rPr>
          <w:rFonts w:ascii="Baskerville Old Face" w:hAnsi="Baskerville Old Face"/>
          <w:i/>
          <w:iCs/>
        </w:rPr>
        <w:br/>
        <w:t>• respect for voluntary participation and freedom of conscience;</w:t>
      </w:r>
      <w:r w:rsidRPr="00B479AE">
        <w:rPr>
          <w:rFonts w:ascii="Baskerville Old Face" w:hAnsi="Baskerville Old Face"/>
          <w:i/>
          <w:iCs/>
        </w:rPr>
        <w:br/>
        <w:t>• clear distinction between spiritual meaning and Prometheus evidence;</w:t>
      </w:r>
      <w:r w:rsidRPr="00B479AE">
        <w:rPr>
          <w:rFonts w:ascii="Baskerville Old Face" w:hAnsi="Baskerville Old Face"/>
          <w:i/>
          <w:iCs/>
        </w:rPr>
        <w:br/>
        <w:t>• clear distinction between ritual, testimony, observation, and verified indicators;</w:t>
      </w:r>
      <w:r w:rsidRPr="00B479AE">
        <w:rPr>
          <w:rFonts w:ascii="Baskerville Old Face" w:hAnsi="Baskerville Old Face"/>
          <w:i/>
          <w:iCs/>
        </w:rPr>
        <w:br/>
        <w:t>• commitment not to use Prometheus participation for coercion, exclusion, manipulation, or financial overclaiming.</w:t>
      </w:r>
    </w:p>
    <w:p w14:paraId="53419129"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Prometheus recognizes that communities may speak different languages of meaning.</w:t>
      </w:r>
    </w:p>
    <w:p w14:paraId="156AA13F"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Some may speak of Creation.</w:t>
      </w:r>
    </w:p>
    <w:p w14:paraId="36B8AF13"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lastRenderedPageBreak/>
        <w:t>Some may speak of Nature.</w:t>
      </w:r>
    </w:p>
    <w:p w14:paraId="662146CA"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Some may speak of Earth.</w:t>
      </w:r>
    </w:p>
    <w:p w14:paraId="25A599E3"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Some may speak of God, Spirit, ancestry, science, ecology, or interdependence.</w:t>
      </w:r>
    </w:p>
    <w:p w14:paraId="5D0D5F85"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Prometheus does not impose one sacred language.</w:t>
      </w:r>
    </w:p>
    <w:p w14:paraId="65166B26"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It protects the living foundation behind many languages.</w:t>
      </w:r>
    </w:p>
    <w:p w14:paraId="281977FC"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A spiritual or cultural community may contribute meaning, care, ritual, memory, stewardship, and human coherence.</w:t>
      </w:r>
    </w:p>
    <w:p w14:paraId="741CB697"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However, spiritual or cultural legitimacy does not automatically create MRV evidence, PRU value, governance authority, investor rights, or legal entitlement.</w:t>
      </w:r>
    </w:p>
    <w:p w14:paraId="0C95B9F7"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This boundary protects both the community and Prometheus.</w:t>
      </w:r>
    </w:p>
    <w:p w14:paraId="670BFCFD"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Meaning is honored.</w:t>
      </w:r>
    </w:p>
    <w:p w14:paraId="51F561F5"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Evidence is verified.</w:t>
      </w:r>
    </w:p>
    <w:p w14:paraId="38676E0E" w14:textId="77777777" w:rsidR="00BB351D" w:rsidRPr="00B479AE" w:rsidRDefault="00BB351D" w:rsidP="00BB351D">
      <w:pPr>
        <w:spacing w:line="360" w:lineRule="auto"/>
        <w:rPr>
          <w:rFonts w:ascii="Baskerville Old Face" w:hAnsi="Baskerville Old Face"/>
          <w:b/>
          <w:bCs/>
          <w:i/>
          <w:iCs/>
        </w:rPr>
      </w:pPr>
      <w:r w:rsidRPr="00B479AE">
        <w:rPr>
          <w:rFonts w:ascii="Baskerville Old Face" w:hAnsi="Baskerville Old Face"/>
          <w:b/>
          <w:bCs/>
          <w:i/>
          <w:iCs/>
        </w:rPr>
        <w:t>7.11 General Eligibility Outcomes</w:t>
      </w:r>
    </w:p>
    <w:p w14:paraId="72F5EB9F" w14:textId="79C50836"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After review, an entity may receive one of several eligibility outcomes.</w:t>
      </w:r>
      <w:r w:rsidR="007A502C" w:rsidRPr="00B479AE">
        <w:rPr>
          <w:rFonts w:ascii="Baskerville Old Face" w:hAnsi="Baskerville Old Face"/>
          <w:i/>
          <w:iCs/>
        </w:rPr>
        <w:t xml:space="preserve"> </w:t>
      </w:r>
    </w:p>
    <w:p w14:paraId="1F451CBE" w14:textId="77777777" w:rsidR="007A502C" w:rsidRPr="00B479AE" w:rsidRDefault="007A502C" w:rsidP="00BB351D">
      <w:pPr>
        <w:spacing w:line="360" w:lineRule="auto"/>
        <w:rPr>
          <w:rFonts w:ascii="Baskerville Old Face" w:hAnsi="Baskerville Old Face"/>
          <w:i/>
          <w:iCs/>
        </w:rPr>
      </w:pPr>
    </w:p>
    <w:p w14:paraId="10322E25" w14:textId="77777777" w:rsidR="007A502C" w:rsidRPr="00B479AE" w:rsidRDefault="007A502C" w:rsidP="00BB351D">
      <w:pPr>
        <w:spacing w:line="360" w:lineRule="auto"/>
        <w:rPr>
          <w:rFonts w:ascii="Baskerville Old Face" w:hAnsi="Baskerville Old Face"/>
          <w:i/>
          <w:iCs/>
        </w:rPr>
      </w:pPr>
    </w:p>
    <w:p w14:paraId="3BD0C800" w14:textId="77777777" w:rsidR="007A502C" w:rsidRPr="00B479AE" w:rsidRDefault="007A502C" w:rsidP="00BB351D">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4"/>
        <w:gridCol w:w="7584"/>
      </w:tblGrid>
      <w:tr w:rsidR="00BB351D" w:rsidRPr="00B479AE" w14:paraId="410BF745" w14:textId="77777777" w:rsidTr="002E24FF">
        <w:trPr>
          <w:tblHeader/>
          <w:tblCellSpacing w:w="15" w:type="dxa"/>
        </w:trPr>
        <w:tc>
          <w:tcPr>
            <w:tcW w:w="0" w:type="auto"/>
            <w:vAlign w:val="center"/>
            <w:hideMark/>
          </w:tcPr>
          <w:p w14:paraId="5F5D191D" w14:textId="77777777" w:rsidR="00BB351D" w:rsidRPr="00B479AE" w:rsidRDefault="00BB351D" w:rsidP="00BB351D">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Eligibility outcome</w:t>
            </w:r>
          </w:p>
        </w:tc>
        <w:tc>
          <w:tcPr>
            <w:tcW w:w="0" w:type="auto"/>
            <w:vAlign w:val="center"/>
            <w:hideMark/>
          </w:tcPr>
          <w:p w14:paraId="11994C2C" w14:textId="77777777" w:rsidR="00BB351D" w:rsidRPr="00B479AE" w:rsidRDefault="00BB351D" w:rsidP="00BB351D">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r>
      <w:tr w:rsidR="00BB351D" w:rsidRPr="00B479AE" w14:paraId="6E650BB0" w14:textId="77777777" w:rsidTr="002E24FF">
        <w:trPr>
          <w:tblCellSpacing w:w="15" w:type="dxa"/>
        </w:trPr>
        <w:tc>
          <w:tcPr>
            <w:tcW w:w="0" w:type="auto"/>
            <w:vAlign w:val="center"/>
            <w:hideMark/>
          </w:tcPr>
          <w:p w14:paraId="0319F041"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Eligible</w:t>
            </w:r>
          </w:p>
        </w:tc>
        <w:tc>
          <w:tcPr>
            <w:tcW w:w="0" w:type="auto"/>
            <w:vAlign w:val="center"/>
            <w:hideMark/>
          </w:tcPr>
          <w:p w14:paraId="1522AD75"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Participant may enter within the approved scope.</w:t>
            </w:r>
          </w:p>
        </w:tc>
      </w:tr>
      <w:tr w:rsidR="00BB351D" w:rsidRPr="00B479AE" w14:paraId="2AE8BFAA" w14:textId="77777777" w:rsidTr="002E24FF">
        <w:trPr>
          <w:tblCellSpacing w:w="15" w:type="dxa"/>
        </w:trPr>
        <w:tc>
          <w:tcPr>
            <w:tcW w:w="0" w:type="auto"/>
            <w:vAlign w:val="center"/>
            <w:hideMark/>
          </w:tcPr>
          <w:p w14:paraId="357E59E5"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Eligible with conditions</w:t>
            </w:r>
          </w:p>
        </w:tc>
        <w:tc>
          <w:tcPr>
            <w:tcW w:w="0" w:type="auto"/>
            <w:vAlign w:val="center"/>
            <w:hideMark/>
          </w:tcPr>
          <w:p w14:paraId="4B4B82E1"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Participant may enter subject to defined limitations, disclosures, review, or controls.</w:t>
            </w:r>
          </w:p>
        </w:tc>
      </w:tr>
      <w:tr w:rsidR="00BB351D" w:rsidRPr="00B479AE" w14:paraId="3A5B0540" w14:textId="77777777" w:rsidTr="002E24FF">
        <w:trPr>
          <w:tblCellSpacing w:w="15" w:type="dxa"/>
        </w:trPr>
        <w:tc>
          <w:tcPr>
            <w:tcW w:w="0" w:type="auto"/>
            <w:vAlign w:val="center"/>
            <w:hideMark/>
          </w:tcPr>
          <w:p w14:paraId="3E0DB300"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Limited / sandbox access</w:t>
            </w:r>
          </w:p>
        </w:tc>
        <w:tc>
          <w:tcPr>
            <w:tcW w:w="0" w:type="auto"/>
            <w:vAlign w:val="center"/>
            <w:hideMark/>
          </w:tcPr>
          <w:p w14:paraId="2E98E377"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Participant may test compatibility without full participation rights.</w:t>
            </w:r>
          </w:p>
        </w:tc>
      </w:tr>
      <w:tr w:rsidR="00BB351D" w:rsidRPr="00B479AE" w14:paraId="43F7D124" w14:textId="77777777" w:rsidTr="002E24FF">
        <w:trPr>
          <w:tblCellSpacing w:w="15" w:type="dxa"/>
        </w:trPr>
        <w:tc>
          <w:tcPr>
            <w:tcW w:w="0" w:type="auto"/>
            <w:vAlign w:val="center"/>
            <w:hideMark/>
          </w:tcPr>
          <w:p w14:paraId="50E54ADB"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lastRenderedPageBreak/>
              <w:t>Observer status</w:t>
            </w:r>
          </w:p>
        </w:tc>
        <w:tc>
          <w:tcPr>
            <w:tcW w:w="0" w:type="auto"/>
            <w:vAlign w:val="center"/>
            <w:hideMark/>
          </w:tcPr>
          <w:p w14:paraId="07758EE6"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Participant may learn or engage without governance, capital, or operational authority.</w:t>
            </w:r>
          </w:p>
        </w:tc>
      </w:tr>
      <w:tr w:rsidR="00BB351D" w:rsidRPr="00B479AE" w14:paraId="77819C59" w14:textId="77777777" w:rsidTr="002E24FF">
        <w:trPr>
          <w:tblCellSpacing w:w="15" w:type="dxa"/>
        </w:trPr>
        <w:tc>
          <w:tcPr>
            <w:tcW w:w="0" w:type="auto"/>
            <w:vAlign w:val="center"/>
            <w:hideMark/>
          </w:tcPr>
          <w:p w14:paraId="151F25C7"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Review required</w:t>
            </w:r>
          </w:p>
        </w:tc>
        <w:tc>
          <w:tcPr>
            <w:tcW w:w="0" w:type="auto"/>
            <w:vAlign w:val="center"/>
            <w:hideMark/>
          </w:tcPr>
          <w:p w14:paraId="66F8F2A5"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Additional evidence, legal review, governance review, or documentation is required.</w:t>
            </w:r>
          </w:p>
        </w:tc>
      </w:tr>
      <w:tr w:rsidR="00BB351D" w:rsidRPr="00B479AE" w14:paraId="237682FA" w14:textId="77777777" w:rsidTr="002E24FF">
        <w:trPr>
          <w:tblCellSpacing w:w="15" w:type="dxa"/>
        </w:trPr>
        <w:tc>
          <w:tcPr>
            <w:tcW w:w="0" w:type="auto"/>
            <w:vAlign w:val="center"/>
            <w:hideMark/>
          </w:tcPr>
          <w:p w14:paraId="4257FE90"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Restricted</w:t>
            </w:r>
          </w:p>
        </w:tc>
        <w:tc>
          <w:tcPr>
            <w:tcW w:w="0" w:type="auto"/>
            <w:vAlign w:val="center"/>
            <w:hideMark/>
          </w:tcPr>
          <w:p w14:paraId="44CDBA72"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Participant may access only narrow functions due to risk profile.</w:t>
            </w:r>
          </w:p>
        </w:tc>
      </w:tr>
      <w:tr w:rsidR="00BB351D" w:rsidRPr="00B479AE" w14:paraId="7CE6BE88" w14:textId="77777777" w:rsidTr="002E24FF">
        <w:trPr>
          <w:tblCellSpacing w:w="15" w:type="dxa"/>
        </w:trPr>
        <w:tc>
          <w:tcPr>
            <w:tcW w:w="0" w:type="auto"/>
            <w:vAlign w:val="center"/>
            <w:hideMark/>
          </w:tcPr>
          <w:p w14:paraId="148B8950"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Suspended</w:t>
            </w:r>
          </w:p>
        </w:tc>
        <w:tc>
          <w:tcPr>
            <w:tcW w:w="0" w:type="auto"/>
            <w:vAlign w:val="center"/>
            <w:hideMark/>
          </w:tcPr>
          <w:p w14:paraId="481F8965"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Existing participation is paused pending review or remediation.</w:t>
            </w:r>
          </w:p>
        </w:tc>
      </w:tr>
      <w:tr w:rsidR="00BB351D" w:rsidRPr="00B479AE" w14:paraId="6D127AE2" w14:textId="77777777" w:rsidTr="002E24FF">
        <w:trPr>
          <w:tblCellSpacing w:w="15" w:type="dxa"/>
        </w:trPr>
        <w:tc>
          <w:tcPr>
            <w:tcW w:w="0" w:type="auto"/>
            <w:vAlign w:val="center"/>
            <w:hideMark/>
          </w:tcPr>
          <w:p w14:paraId="3B285540"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Rejected</w:t>
            </w:r>
          </w:p>
        </w:tc>
        <w:tc>
          <w:tcPr>
            <w:tcW w:w="0" w:type="auto"/>
            <w:vAlign w:val="center"/>
            <w:hideMark/>
          </w:tcPr>
          <w:p w14:paraId="155B5D2E"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Participant is not eligible under current facts or constitutional constraints.</w:t>
            </w:r>
          </w:p>
        </w:tc>
      </w:tr>
      <w:tr w:rsidR="00BB351D" w:rsidRPr="00B479AE" w14:paraId="1948F709" w14:textId="77777777" w:rsidTr="002E24FF">
        <w:trPr>
          <w:tblCellSpacing w:w="15" w:type="dxa"/>
        </w:trPr>
        <w:tc>
          <w:tcPr>
            <w:tcW w:w="0" w:type="auto"/>
            <w:vAlign w:val="center"/>
            <w:hideMark/>
          </w:tcPr>
          <w:p w14:paraId="790133BF"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Quarantined</w:t>
            </w:r>
          </w:p>
        </w:tc>
        <w:tc>
          <w:tcPr>
            <w:tcW w:w="0" w:type="auto"/>
            <w:vAlign w:val="center"/>
            <w:hideMark/>
          </w:tcPr>
          <w:p w14:paraId="3E2B2C22"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Participant or pathway presents serious capture, legal, ecological, financial, tokenomic, or governance risk.</w:t>
            </w:r>
          </w:p>
        </w:tc>
      </w:tr>
    </w:tbl>
    <w:p w14:paraId="1F39D037"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Eligibility is not a permanent badge.</w:t>
      </w:r>
    </w:p>
    <w:p w14:paraId="07F58D73"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It is a governed status.</w:t>
      </w:r>
    </w:p>
    <w:p w14:paraId="7240227B"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It may evolve as evidence, conduct, legal status, governance maturity, risk profile, Covenant compliance, community-field health, or technical implementation changes.</w:t>
      </w:r>
    </w:p>
    <w:p w14:paraId="0A3D4B68" w14:textId="77777777" w:rsidR="00BB351D" w:rsidRPr="00B479AE" w:rsidRDefault="00BB351D" w:rsidP="00BB351D">
      <w:pPr>
        <w:spacing w:line="360" w:lineRule="auto"/>
        <w:rPr>
          <w:rFonts w:ascii="Baskerville Old Face" w:hAnsi="Baskerville Old Face"/>
          <w:b/>
          <w:bCs/>
          <w:i/>
          <w:iCs/>
        </w:rPr>
      </w:pPr>
      <w:r w:rsidRPr="00B479AE">
        <w:rPr>
          <w:rFonts w:ascii="Baskerville Old Face" w:hAnsi="Baskerville Old Face"/>
          <w:b/>
          <w:bCs/>
          <w:i/>
          <w:iCs/>
        </w:rPr>
        <w:t>7.12 Eligibility Review Matrix</w:t>
      </w:r>
    </w:p>
    <w:p w14:paraId="6C828D20"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Prometheus may use an eligibility review matrix to make onboarding more transparent.</w:t>
      </w:r>
    </w:p>
    <w:p w14:paraId="7B5923E3" w14:textId="77777777" w:rsidR="002E24FF" w:rsidRPr="00B479AE" w:rsidRDefault="002E24FF" w:rsidP="00BB351D">
      <w:pPr>
        <w:spacing w:line="360" w:lineRule="auto"/>
        <w:rPr>
          <w:rFonts w:ascii="Baskerville Old Face" w:hAnsi="Baskerville Old Face"/>
          <w:i/>
          <w:iCs/>
        </w:rPr>
      </w:pPr>
    </w:p>
    <w:p w14:paraId="05DDF918" w14:textId="77777777" w:rsidR="00315BCB" w:rsidRPr="00B479AE" w:rsidRDefault="00315BCB" w:rsidP="00BB351D">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6"/>
        <w:gridCol w:w="7302"/>
      </w:tblGrid>
      <w:tr w:rsidR="00BB351D" w:rsidRPr="00B479AE" w14:paraId="2BF6B1F1" w14:textId="77777777" w:rsidTr="002E24FF">
        <w:trPr>
          <w:tblHeader/>
          <w:tblCellSpacing w:w="15" w:type="dxa"/>
        </w:trPr>
        <w:tc>
          <w:tcPr>
            <w:tcW w:w="0" w:type="auto"/>
            <w:vAlign w:val="center"/>
            <w:hideMark/>
          </w:tcPr>
          <w:p w14:paraId="676CF53D" w14:textId="77777777" w:rsidR="00BB351D" w:rsidRPr="00B479AE" w:rsidRDefault="00BB351D" w:rsidP="00BB351D">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Review dimension</w:t>
            </w:r>
          </w:p>
        </w:tc>
        <w:tc>
          <w:tcPr>
            <w:tcW w:w="0" w:type="auto"/>
            <w:vAlign w:val="center"/>
            <w:hideMark/>
          </w:tcPr>
          <w:p w14:paraId="5A0925A9" w14:textId="77777777" w:rsidR="00BB351D" w:rsidRPr="00B479AE" w:rsidRDefault="00BB351D" w:rsidP="00BB351D">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Key question</w:t>
            </w:r>
          </w:p>
        </w:tc>
      </w:tr>
      <w:tr w:rsidR="00BB351D" w:rsidRPr="00B479AE" w14:paraId="7C779819" w14:textId="77777777" w:rsidTr="002E24FF">
        <w:trPr>
          <w:tblCellSpacing w:w="15" w:type="dxa"/>
        </w:trPr>
        <w:tc>
          <w:tcPr>
            <w:tcW w:w="0" w:type="auto"/>
            <w:vAlign w:val="center"/>
            <w:hideMark/>
          </w:tcPr>
          <w:p w14:paraId="32153375"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Identity / authority</w:t>
            </w:r>
          </w:p>
        </w:tc>
        <w:tc>
          <w:tcPr>
            <w:tcW w:w="0" w:type="auto"/>
            <w:vAlign w:val="center"/>
            <w:hideMark/>
          </w:tcPr>
          <w:p w14:paraId="7263DF3A"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Who is entering, and who has authority to bind the entity?</w:t>
            </w:r>
          </w:p>
        </w:tc>
      </w:tr>
      <w:tr w:rsidR="00BB351D" w:rsidRPr="00B479AE" w14:paraId="3D3FEE7D" w14:textId="77777777" w:rsidTr="002E24FF">
        <w:trPr>
          <w:tblCellSpacing w:w="15" w:type="dxa"/>
        </w:trPr>
        <w:tc>
          <w:tcPr>
            <w:tcW w:w="0" w:type="auto"/>
            <w:vAlign w:val="center"/>
            <w:hideMark/>
          </w:tcPr>
          <w:p w14:paraId="1312E3CE"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Purpose alignment</w:t>
            </w:r>
          </w:p>
        </w:tc>
        <w:tc>
          <w:tcPr>
            <w:tcW w:w="0" w:type="auto"/>
            <w:vAlign w:val="center"/>
            <w:hideMark/>
          </w:tcPr>
          <w:p w14:paraId="56BA1EE4"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Why does the participant want to enter Prometheus?</w:t>
            </w:r>
          </w:p>
        </w:tc>
      </w:tr>
      <w:tr w:rsidR="00BB351D" w:rsidRPr="00B479AE" w14:paraId="0EE76349" w14:textId="77777777" w:rsidTr="002E24FF">
        <w:trPr>
          <w:tblCellSpacing w:w="15" w:type="dxa"/>
        </w:trPr>
        <w:tc>
          <w:tcPr>
            <w:tcW w:w="0" w:type="auto"/>
            <w:vAlign w:val="center"/>
            <w:hideMark/>
          </w:tcPr>
          <w:p w14:paraId="58AD0D32"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Constitutional compatibility</w:t>
            </w:r>
          </w:p>
        </w:tc>
        <w:tc>
          <w:tcPr>
            <w:tcW w:w="0" w:type="auto"/>
            <w:vAlign w:val="center"/>
            <w:hideMark/>
          </w:tcPr>
          <w:p w14:paraId="01E02490"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Does participation align with foundational articles, Eternity Clauses, and the Access Covenant?</w:t>
            </w:r>
          </w:p>
        </w:tc>
      </w:tr>
      <w:tr w:rsidR="00BB351D" w:rsidRPr="00B479AE" w14:paraId="4D27A31E" w14:textId="77777777" w:rsidTr="002E24FF">
        <w:trPr>
          <w:tblCellSpacing w:w="15" w:type="dxa"/>
        </w:trPr>
        <w:tc>
          <w:tcPr>
            <w:tcW w:w="0" w:type="auto"/>
            <w:vAlign w:val="center"/>
            <w:hideMark/>
          </w:tcPr>
          <w:p w14:paraId="5DD8991F"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lastRenderedPageBreak/>
              <w:t>Role clarity</w:t>
            </w:r>
          </w:p>
        </w:tc>
        <w:tc>
          <w:tcPr>
            <w:tcW w:w="0" w:type="auto"/>
            <w:vAlign w:val="center"/>
            <w:hideMark/>
          </w:tcPr>
          <w:p w14:paraId="5977348B"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What function will the participant perform?</w:t>
            </w:r>
          </w:p>
        </w:tc>
      </w:tr>
      <w:tr w:rsidR="00BB351D" w:rsidRPr="00B479AE" w14:paraId="49EE74B3" w14:textId="77777777" w:rsidTr="002E24FF">
        <w:trPr>
          <w:tblCellSpacing w:w="15" w:type="dxa"/>
        </w:trPr>
        <w:tc>
          <w:tcPr>
            <w:tcW w:w="0" w:type="auto"/>
            <w:vAlign w:val="center"/>
            <w:hideMark/>
          </w:tcPr>
          <w:p w14:paraId="04A9A1F3"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Evidence responsibility</w:t>
            </w:r>
          </w:p>
        </w:tc>
        <w:tc>
          <w:tcPr>
            <w:tcW w:w="0" w:type="auto"/>
            <w:vAlign w:val="center"/>
            <w:hideMark/>
          </w:tcPr>
          <w:p w14:paraId="7AB697E7"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Will the participant generate, handle, verify, or rely on evidence?</w:t>
            </w:r>
          </w:p>
        </w:tc>
      </w:tr>
      <w:tr w:rsidR="00BB351D" w:rsidRPr="00B479AE" w14:paraId="1C6C553F" w14:textId="77777777" w:rsidTr="002E24FF">
        <w:trPr>
          <w:tblCellSpacing w:w="15" w:type="dxa"/>
        </w:trPr>
        <w:tc>
          <w:tcPr>
            <w:tcW w:w="0" w:type="auto"/>
            <w:vAlign w:val="center"/>
            <w:hideMark/>
          </w:tcPr>
          <w:p w14:paraId="5BFFD390"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Governance scope</w:t>
            </w:r>
          </w:p>
        </w:tc>
        <w:tc>
          <w:tcPr>
            <w:tcW w:w="0" w:type="auto"/>
            <w:vAlign w:val="center"/>
            <w:hideMark/>
          </w:tcPr>
          <w:p w14:paraId="006421AB"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What decisions, if any, can the participant influence?</w:t>
            </w:r>
          </w:p>
        </w:tc>
      </w:tr>
      <w:tr w:rsidR="00BB351D" w:rsidRPr="00B479AE" w14:paraId="6C00AA54" w14:textId="77777777" w:rsidTr="002E24FF">
        <w:trPr>
          <w:tblCellSpacing w:w="15" w:type="dxa"/>
        </w:trPr>
        <w:tc>
          <w:tcPr>
            <w:tcW w:w="0" w:type="auto"/>
            <w:vAlign w:val="center"/>
            <w:hideMark/>
          </w:tcPr>
          <w:p w14:paraId="030F073E"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Financial boundary</w:t>
            </w:r>
          </w:p>
        </w:tc>
        <w:tc>
          <w:tcPr>
            <w:tcW w:w="0" w:type="auto"/>
            <w:vAlign w:val="center"/>
            <w:hideMark/>
          </w:tcPr>
          <w:p w14:paraId="72957D9B"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Does participation create or imply financial rights?</w:t>
            </w:r>
          </w:p>
        </w:tc>
      </w:tr>
      <w:tr w:rsidR="00BB351D" w:rsidRPr="00B479AE" w14:paraId="33C28DE2" w14:textId="77777777" w:rsidTr="002E24FF">
        <w:trPr>
          <w:tblCellSpacing w:w="15" w:type="dxa"/>
        </w:trPr>
        <w:tc>
          <w:tcPr>
            <w:tcW w:w="0" w:type="auto"/>
            <w:vAlign w:val="center"/>
            <w:hideMark/>
          </w:tcPr>
          <w:p w14:paraId="70935591"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Token boundary</w:t>
            </w:r>
          </w:p>
        </w:tc>
        <w:tc>
          <w:tcPr>
            <w:tcW w:w="0" w:type="auto"/>
            <w:vAlign w:val="center"/>
            <w:hideMark/>
          </w:tcPr>
          <w:p w14:paraId="5F46A205"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Is any token involved, and what does it represent or not represent?</w:t>
            </w:r>
          </w:p>
        </w:tc>
      </w:tr>
      <w:tr w:rsidR="00BB351D" w:rsidRPr="00B479AE" w14:paraId="792264D9" w14:textId="77777777" w:rsidTr="002E24FF">
        <w:trPr>
          <w:tblCellSpacing w:w="15" w:type="dxa"/>
        </w:trPr>
        <w:tc>
          <w:tcPr>
            <w:tcW w:w="0" w:type="auto"/>
            <w:vAlign w:val="center"/>
            <w:hideMark/>
          </w:tcPr>
          <w:p w14:paraId="49C9D870"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Legal boundary</w:t>
            </w:r>
          </w:p>
        </w:tc>
        <w:tc>
          <w:tcPr>
            <w:tcW w:w="0" w:type="auto"/>
            <w:vAlign w:val="center"/>
            <w:hideMark/>
          </w:tcPr>
          <w:p w14:paraId="5F812983"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Does the relationship require legal documentation or jurisdictional review?</w:t>
            </w:r>
          </w:p>
        </w:tc>
      </w:tr>
      <w:tr w:rsidR="00BB351D" w:rsidRPr="00B479AE" w14:paraId="74726994" w14:textId="77777777" w:rsidTr="002E24FF">
        <w:trPr>
          <w:tblCellSpacing w:w="15" w:type="dxa"/>
        </w:trPr>
        <w:tc>
          <w:tcPr>
            <w:tcW w:w="0" w:type="auto"/>
            <w:vAlign w:val="center"/>
            <w:hideMark/>
          </w:tcPr>
          <w:p w14:paraId="3783C601"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Risk classification</w:t>
            </w:r>
          </w:p>
        </w:tc>
        <w:tc>
          <w:tcPr>
            <w:tcW w:w="0" w:type="auto"/>
            <w:vAlign w:val="center"/>
            <w:hideMark/>
          </w:tcPr>
          <w:p w14:paraId="554FE0DD"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What risks does this participant introduce or reduce?</w:t>
            </w:r>
          </w:p>
        </w:tc>
      </w:tr>
      <w:tr w:rsidR="00BB351D" w:rsidRPr="00B479AE" w14:paraId="1419D358" w14:textId="77777777" w:rsidTr="002E24FF">
        <w:trPr>
          <w:tblCellSpacing w:w="15" w:type="dxa"/>
        </w:trPr>
        <w:tc>
          <w:tcPr>
            <w:tcW w:w="0" w:type="auto"/>
            <w:vAlign w:val="center"/>
            <w:hideMark/>
          </w:tcPr>
          <w:p w14:paraId="64495729"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Review cycle</w:t>
            </w:r>
          </w:p>
        </w:tc>
        <w:tc>
          <w:tcPr>
            <w:tcW w:w="0" w:type="auto"/>
            <w:vAlign w:val="center"/>
            <w:hideMark/>
          </w:tcPr>
          <w:p w14:paraId="6CA1BE99" w14:textId="77777777" w:rsidR="00BB351D" w:rsidRPr="00B479AE" w:rsidRDefault="00BB351D" w:rsidP="00BB351D">
            <w:pPr>
              <w:spacing w:line="360" w:lineRule="auto"/>
              <w:rPr>
                <w:rFonts w:ascii="Baskerville Old Face" w:hAnsi="Baskerville Old Face"/>
                <w:i/>
                <w:iCs/>
                <w:sz w:val="22"/>
                <w:szCs w:val="22"/>
              </w:rPr>
            </w:pPr>
            <w:r w:rsidRPr="00B479AE">
              <w:rPr>
                <w:rFonts w:ascii="Baskerville Old Face" w:hAnsi="Baskerville Old Face"/>
                <w:i/>
                <w:iCs/>
                <w:sz w:val="22"/>
                <w:szCs w:val="22"/>
              </w:rPr>
              <w:t>When should eligibility be reviewed again?</w:t>
            </w:r>
          </w:p>
        </w:tc>
      </w:tr>
    </w:tbl>
    <w:p w14:paraId="3DCD8FD7"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This matrix helps Prometheus remain open without becoming vague.</w:t>
      </w:r>
    </w:p>
    <w:p w14:paraId="1213FFC7"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It gives the onboarding process a spine.</w:t>
      </w:r>
    </w:p>
    <w:p w14:paraId="00C68E6E" w14:textId="77777777" w:rsidR="00BB351D" w:rsidRPr="00B479AE" w:rsidRDefault="00BB351D" w:rsidP="00BB351D">
      <w:pPr>
        <w:spacing w:line="360" w:lineRule="auto"/>
        <w:rPr>
          <w:rFonts w:ascii="Baskerville Old Face" w:hAnsi="Baskerville Old Face"/>
          <w:b/>
          <w:bCs/>
          <w:i/>
          <w:iCs/>
        </w:rPr>
      </w:pPr>
      <w:r w:rsidRPr="00B479AE">
        <w:rPr>
          <w:rFonts w:ascii="Baskerville Old Face" w:hAnsi="Baskerville Old Face"/>
          <w:b/>
          <w:bCs/>
          <w:i/>
          <w:iCs/>
        </w:rPr>
        <w:t>7.13 Final Eligibility Principle</w:t>
      </w:r>
    </w:p>
    <w:p w14:paraId="5C52C656"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Eligibility exists to protect openness from capture.</w:t>
      </w:r>
    </w:p>
    <w:p w14:paraId="6E8FA9CE"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Prometheus should be open to persons, communities, institutions, capital, technology, research, governance innovation, cultural wisdom, spiritual traditions, and future human coordination forms.</w:t>
      </w:r>
    </w:p>
    <w:p w14:paraId="187243F7"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But openness without constitutional discipline becomes vulnerability.</w:t>
      </w:r>
    </w:p>
    <w:p w14:paraId="72A62595"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The eligibility layer therefore asks one question before all others:</w:t>
      </w:r>
    </w:p>
    <w:p w14:paraId="6AFCB093"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can this participant enter without weakening the living foundation, evidence discipline, governance integrity, legal clarity, human dignity, or regenerative fidelity of Prometheus?</w:t>
      </w:r>
    </w:p>
    <w:p w14:paraId="7B0EE385"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If yes, access may be granted within the correct scope.</w:t>
      </w:r>
    </w:p>
    <w:p w14:paraId="053B69B8"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If not, access must be conditioned, limited, deferred, or refused.</w:t>
      </w:r>
    </w:p>
    <w:p w14:paraId="535369D2"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lastRenderedPageBreak/>
        <w:t>Participation is welcome.</w:t>
      </w:r>
    </w:p>
    <w:p w14:paraId="420F7D0C"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Contribution is welcome.</w:t>
      </w:r>
    </w:p>
    <w:p w14:paraId="673D1471"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Difference is welcome.</w:t>
      </w:r>
    </w:p>
    <w:p w14:paraId="2D462026"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Plurality is welcome.</w:t>
      </w:r>
    </w:p>
    <w:p w14:paraId="764C1743" w14:textId="77777777" w:rsidR="00BB351D" w:rsidRPr="00B479AE" w:rsidRDefault="00BB351D" w:rsidP="00BB351D">
      <w:pPr>
        <w:spacing w:line="360" w:lineRule="auto"/>
        <w:rPr>
          <w:rFonts w:ascii="Baskerville Old Face" w:hAnsi="Baskerville Old Face"/>
          <w:i/>
          <w:iCs/>
        </w:rPr>
      </w:pPr>
      <w:r w:rsidRPr="00B479AE">
        <w:rPr>
          <w:rFonts w:ascii="Baskerville Old Face" w:hAnsi="Baskerville Old Face"/>
          <w:i/>
          <w:iCs/>
        </w:rPr>
        <w:t>Capture is not.</w:t>
      </w:r>
    </w:p>
    <w:p w14:paraId="0913F97B" w14:textId="3F574EC1" w:rsidR="00B13B31" w:rsidRPr="00B479AE" w:rsidRDefault="00B13B31" w:rsidP="00B13B31">
      <w:pPr>
        <w:spacing w:line="360" w:lineRule="auto"/>
        <w:rPr>
          <w:rFonts w:ascii="Baskerville Old Face" w:hAnsi="Baskerville Old Face"/>
          <w:b/>
          <w:bCs/>
          <w:i/>
          <w:iCs/>
        </w:rPr>
      </w:pPr>
      <w:r w:rsidRPr="00B479AE">
        <w:rPr>
          <w:rFonts w:ascii="Baskerville Old Face" w:hAnsi="Baskerville Old Face"/>
          <w:b/>
          <w:bCs/>
          <w:i/>
          <w:iCs/>
        </w:rPr>
        <w:t>8. Procedures for Gaining Access</w:t>
      </w:r>
    </w:p>
    <w:p w14:paraId="5E56A3AC"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Access to Prometheus is not granted through assumption, proximity, enthusiasm, capital, technical capacity, community status, token exposure, or institutional prestige.</w:t>
      </w:r>
    </w:p>
    <w:p w14:paraId="3CD1DBF8"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Access is granted through a reviewable procedure.</w:t>
      </w:r>
    </w:p>
    <w:p w14:paraId="59F094CE"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purpose of the access procedure is to translate the Access Covenant and the eligibility criteria into a clear operational pathway.</w:t>
      </w:r>
    </w:p>
    <w:p w14:paraId="7D898942"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procedure must remain:</w:t>
      </w:r>
    </w:p>
    <w:p w14:paraId="2063B4CC"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proportional;</w:t>
      </w:r>
      <w:r w:rsidRPr="00B479AE">
        <w:rPr>
          <w:rFonts w:ascii="Baskerville Old Face" w:hAnsi="Baskerville Old Face"/>
          <w:i/>
          <w:iCs/>
        </w:rPr>
        <w:br/>
        <w:t>• documented;</w:t>
      </w:r>
      <w:r w:rsidRPr="00B479AE">
        <w:rPr>
          <w:rFonts w:ascii="Baskerville Old Face" w:hAnsi="Baskerville Old Face"/>
          <w:i/>
          <w:iCs/>
        </w:rPr>
        <w:br/>
        <w:t>• reviewable;</w:t>
      </w:r>
      <w:r w:rsidRPr="00B479AE">
        <w:rPr>
          <w:rFonts w:ascii="Baskerville Old Face" w:hAnsi="Baskerville Old Face"/>
          <w:i/>
          <w:iCs/>
        </w:rPr>
        <w:br/>
        <w:t>• role-specific;</w:t>
      </w:r>
      <w:r w:rsidRPr="00B479AE">
        <w:rPr>
          <w:rFonts w:ascii="Baskerville Old Face" w:hAnsi="Baskerville Old Face"/>
          <w:i/>
          <w:iCs/>
        </w:rPr>
        <w:br/>
        <w:t>• evidence-aware;</w:t>
      </w:r>
      <w:r w:rsidRPr="00B479AE">
        <w:rPr>
          <w:rFonts w:ascii="Baskerville Old Face" w:hAnsi="Baskerville Old Face"/>
          <w:i/>
          <w:iCs/>
        </w:rPr>
        <w:br/>
        <w:t>• legally appropriate;</w:t>
      </w:r>
      <w:r w:rsidRPr="00B479AE">
        <w:rPr>
          <w:rFonts w:ascii="Baskerville Old Face" w:hAnsi="Baskerville Old Face"/>
          <w:i/>
          <w:iCs/>
        </w:rPr>
        <w:br/>
        <w:t>• technically grounded where implemented;</w:t>
      </w:r>
      <w:r w:rsidRPr="00B479AE">
        <w:rPr>
          <w:rFonts w:ascii="Baskerville Old Face" w:hAnsi="Baskerville Old Face"/>
          <w:i/>
          <w:iCs/>
        </w:rPr>
        <w:br/>
        <w:t>• respectful of human dignity;</w:t>
      </w:r>
      <w:r w:rsidRPr="00B479AE">
        <w:rPr>
          <w:rFonts w:ascii="Baskerville Old Face" w:hAnsi="Baskerville Old Face"/>
          <w:i/>
          <w:iCs/>
        </w:rPr>
        <w:br/>
        <w:t>• aligned with the constitutional source layer.</w:t>
      </w:r>
    </w:p>
    <w:p w14:paraId="2C1BA77D"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access procedure is not designed to create unnecessary bureaucracy.</w:t>
      </w:r>
    </w:p>
    <w:p w14:paraId="3BF534C9"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It is designed to prevent ambiguity.</w:t>
      </w:r>
    </w:p>
    <w:p w14:paraId="48F6DCB5"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 participant should know:</w:t>
      </w:r>
    </w:p>
    <w:p w14:paraId="417DF5DA"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what they are applying for;</w:t>
      </w:r>
      <w:r w:rsidRPr="00B479AE">
        <w:rPr>
          <w:rFonts w:ascii="Baskerville Old Face" w:hAnsi="Baskerville Old Face"/>
          <w:i/>
          <w:iCs/>
        </w:rPr>
        <w:br/>
        <w:t>• which role or access scope is being requested;</w:t>
      </w:r>
      <w:r w:rsidRPr="00B479AE">
        <w:rPr>
          <w:rFonts w:ascii="Baskerville Old Face" w:hAnsi="Baskerville Old Face"/>
          <w:i/>
          <w:iCs/>
        </w:rPr>
        <w:br/>
      </w:r>
      <w:r w:rsidRPr="00B479AE">
        <w:rPr>
          <w:rFonts w:ascii="Baskerville Old Face" w:hAnsi="Baskerville Old Face"/>
          <w:i/>
          <w:iCs/>
        </w:rPr>
        <w:lastRenderedPageBreak/>
        <w:t>• which documents or declarations are required;</w:t>
      </w:r>
      <w:r w:rsidRPr="00B479AE">
        <w:rPr>
          <w:rFonts w:ascii="Baskerville Old Face" w:hAnsi="Baskerville Old Face"/>
          <w:i/>
          <w:iCs/>
        </w:rPr>
        <w:br/>
        <w:t>• which governance body or process reviews the request;</w:t>
      </w:r>
      <w:r w:rsidRPr="00B479AE">
        <w:rPr>
          <w:rFonts w:ascii="Baskerville Old Face" w:hAnsi="Baskerville Old Face"/>
          <w:i/>
          <w:iCs/>
        </w:rPr>
        <w:br/>
        <w:t>• which risks are being evaluated;</w:t>
      </w:r>
      <w:r w:rsidRPr="00B479AE">
        <w:rPr>
          <w:rFonts w:ascii="Baskerville Old Face" w:hAnsi="Baskerville Old Face"/>
          <w:i/>
          <w:iCs/>
        </w:rPr>
        <w:br/>
        <w:t>• which rights are granted;</w:t>
      </w:r>
      <w:r w:rsidRPr="00B479AE">
        <w:rPr>
          <w:rFonts w:ascii="Baskerville Old Face" w:hAnsi="Baskerville Old Face"/>
          <w:i/>
          <w:iCs/>
        </w:rPr>
        <w:br/>
        <w:t>• which rights are not granted;</w:t>
      </w:r>
      <w:r w:rsidRPr="00B479AE">
        <w:rPr>
          <w:rFonts w:ascii="Baskerville Old Face" w:hAnsi="Baskerville Old Face"/>
          <w:i/>
          <w:iCs/>
        </w:rPr>
        <w:br/>
        <w:t>• which renewal or review duties apply;</w:t>
      </w:r>
      <w:r w:rsidRPr="00B479AE">
        <w:rPr>
          <w:rFonts w:ascii="Baskerville Old Face" w:hAnsi="Baskerville Old Face"/>
          <w:i/>
          <w:iCs/>
        </w:rPr>
        <w:br/>
        <w:t>• which consequences may follow from breach, misrepresentation, or drift.</w:t>
      </w:r>
    </w:p>
    <w:p w14:paraId="184D8DD4"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Prometheus must remain open enough to welcome real contribution and disciplined enough to protect the living field from capture.</w:t>
      </w:r>
    </w:p>
    <w:p w14:paraId="7246CB7D"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access procedure is the bridge between openness and institutional integrity.</w:t>
      </w:r>
    </w:p>
    <w:p w14:paraId="1CD376F1" w14:textId="77777777" w:rsidR="00B13B31" w:rsidRPr="00B479AE" w:rsidRDefault="00B13B31" w:rsidP="00B13B31">
      <w:pPr>
        <w:spacing w:line="360" w:lineRule="auto"/>
        <w:rPr>
          <w:rFonts w:ascii="Baskerville Old Face" w:hAnsi="Baskerville Old Face"/>
          <w:b/>
          <w:bCs/>
          <w:i/>
          <w:iCs/>
        </w:rPr>
      </w:pPr>
      <w:r w:rsidRPr="00B479AE">
        <w:rPr>
          <w:rFonts w:ascii="Baskerville Old Face" w:hAnsi="Baskerville Old Face"/>
          <w:b/>
          <w:bCs/>
          <w:i/>
          <w:iCs/>
        </w:rPr>
        <w:t>8.1 Application</w:t>
      </w:r>
    </w:p>
    <w:p w14:paraId="7786B94A"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An application for access should identify the participant, the requested access scope, the intended role, and the relevant eligibility pathway.</w:t>
      </w:r>
    </w:p>
    <w:p w14:paraId="067F3F80"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Depending on the participant type, the application may be submitted through a Prometheus hApp interface, governance portal, legal intake process, institutional onboarding workflow, written application, signed agreement, or other approved pathway.</w:t>
      </w:r>
    </w:p>
    <w:p w14:paraId="5AB3CF77"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Prometheus should not assume that all access procedures are already fully automated.</w:t>
      </w:r>
    </w:p>
    <w:p w14:paraId="3F2AEA63"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Where digital infrastructure is implemented, the application may generate a signed digital record, source-chain entry, hash reference, or access-status record.</w:t>
      </w:r>
    </w:p>
    <w:p w14:paraId="6C6EAFDA"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Where digital infrastructure is not yet implemented, the application may be processed through documented governance, legal, operational, or institutional procedures.</w:t>
      </w:r>
    </w:p>
    <w:p w14:paraId="6D5D40DE"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application may include:</w:t>
      </w:r>
    </w:p>
    <w:p w14:paraId="2D8E7C76"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participant type;</w:t>
      </w:r>
      <w:r w:rsidRPr="00B479AE">
        <w:rPr>
          <w:rFonts w:ascii="Baskerville Old Face" w:hAnsi="Baskerville Old Face"/>
          <w:i/>
          <w:iCs/>
        </w:rPr>
        <w:br/>
        <w:t>• basic identifying information;</w:t>
      </w:r>
      <w:r w:rsidRPr="00B479AE">
        <w:rPr>
          <w:rFonts w:ascii="Baskerville Old Face" w:hAnsi="Baskerville Old Face"/>
          <w:i/>
          <w:iCs/>
        </w:rPr>
        <w:br/>
        <w:t>• requested access scope;</w:t>
      </w:r>
      <w:r w:rsidRPr="00B479AE">
        <w:rPr>
          <w:rFonts w:ascii="Baskerville Old Face" w:hAnsi="Baskerville Old Face"/>
          <w:i/>
          <w:iCs/>
        </w:rPr>
        <w:br/>
        <w:t>• intended role or function;</w:t>
      </w:r>
      <w:r w:rsidRPr="00B479AE">
        <w:rPr>
          <w:rFonts w:ascii="Baskerville Old Face" w:hAnsi="Baskerville Old Face"/>
          <w:i/>
          <w:iCs/>
        </w:rPr>
        <w:br/>
        <w:t>• contact or representative details;</w:t>
      </w:r>
      <w:r w:rsidRPr="00B479AE">
        <w:rPr>
          <w:rFonts w:ascii="Baskerville Old Face" w:hAnsi="Baskerville Old Face"/>
          <w:i/>
          <w:iCs/>
        </w:rPr>
        <w:br/>
        <w:t>• authority of representative, where applicable;</w:t>
      </w:r>
      <w:r w:rsidRPr="00B479AE">
        <w:rPr>
          <w:rFonts w:ascii="Baskerville Old Face" w:hAnsi="Baskerville Old Face"/>
          <w:i/>
          <w:iCs/>
        </w:rPr>
        <w:br/>
      </w:r>
      <w:r w:rsidRPr="00B479AE">
        <w:rPr>
          <w:rFonts w:ascii="Baskerville Old Face" w:hAnsi="Baskerville Old Face"/>
          <w:i/>
          <w:iCs/>
        </w:rPr>
        <w:lastRenderedPageBreak/>
        <w:t>• Access Covenant acknowledgment;</w:t>
      </w:r>
      <w:r w:rsidRPr="00B479AE">
        <w:rPr>
          <w:rFonts w:ascii="Baskerville Old Face" w:hAnsi="Baskerville Old Face"/>
          <w:i/>
          <w:iCs/>
        </w:rPr>
        <w:br/>
        <w:t>• eligibility documentation required under Section 7;</w:t>
      </w:r>
      <w:r w:rsidRPr="00B479AE">
        <w:rPr>
          <w:rFonts w:ascii="Baskerville Old Face" w:hAnsi="Baskerville Old Face"/>
          <w:i/>
          <w:iCs/>
        </w:rPr>
        <w:br/>
        <w:t>• legal documentation, where relevant;</w:t>
      </w:r>
      <w:r w:rsidRPr="00B479AE">
        <w:rPr>
          <w:rFonts w:ascii="Baskerville Old Face" w:hAnsi="Baskerville Old Face"/>
          <w:i/>
          <w:iCs/>
        </w:rPr>
        <w:br/>
        <w:t>• governance disclosures, where relevant;</w:t>
      </w:r>
      <w:r w:rsidRPr="00B479AE">
        <w:rPr>
          <w:rFonts w:ascii="Baskerville Old Face" w:hAnsi="Baskerville Old Face"/>
          <w:i/>
          <w:iCs/>
        </w:rPr>
        <w:br/>
        <w:t>• token, treasury, or financial-rights disclosures, where relevant;</w:t>
      </w:r>
      <w:r w:rsidRPr="00B479AE">
        <w:rPr>
          <w:rFonts w:ascii="Baskerville Old Face" w:hAnsi="Baskerville Old Face"/>
          <w:i/>
          <w:iCs/>
        </w:rPr>
        <w:br/>
        <w:t>• data-access or technical-access requests, where relevant;</w:t>
      </w:r>
      <w:r w:rsidRPr="00B479AE">
        <w:rPr>
          <w:rFonts w:ascii="Baskerville Old Face" w:hAnsi="Baskerville Old Face"/>
          <w:i/>
          <w:iCs/>
        </w:rPr>
        <w:br/>
        <w:t>• conflict-of-interest disclosures;</w:t>
      </w:r>
      <w:r w:rsidRPr="00B479AE">
        <w:rPr>
          <w:rFonts w:ascii="Baskerville Old Face" w:hAnsi="Baskerville Old Face"/>
          <w:i/>
          <w:iCs/>
        </w:rPr>
        <w:br/>
        <w:t>• risk disclosures;</w:t>
      </w:r>
      <w:r w:rsidRPr="00B479AE">
        <w:rPr>
          <w:rFonts w:ascii="Baskerville Old Face" w:hAnsi="Baskerville Old Face"/>
          <w:i/>
          <w:iCs/>
        </w:rPr>
        <w:br/>
        <w:t>• any other information reasonably required by the reviewing body.</w:t>
      </w:r>
    </w:p>
    <w:p w14:paraId="4E497F6D"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application must distinguish between:</w:t>
      </w:r>
    </w:p>
    <w:p w14:paraId="74AA5A27"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ordinary participation;</w:t>
      </w:r>
      <w:r w:rsidRPr="00B479AE">
        <w:rPr>
          <w:rFonts w:ascii="Baskerville Old Face" w:hAnsi="Baskerville Old Face"/>
          <w:i/>
          <w:iCs/>
        </w:rPr>
        <w:br/>
        <w:t>• community participation;</w:t>
      </w:r>
      <w:r w:rsidRPr="00B479AE">
        <w:rPr>
          <w:rFonts w:ascii="Baskerville Old Face" w:hAnsi="Baskerville Old Face"/>
          <w:i/>
          <w:iCs/>
        </w:rPr>
        <w:br/>
        <w:t>• governance participation;</w:t>
      </w:r>
      <w:r w:rsidRPr="00B479AE">
        <w:rPr>
          <w:rFonts w:ascii="Baskerville Old Face" w:hAnsi="Baskerville Old Face"/>
          <w:i/>
          <w:iCs/>
        </w:rPr>
        <w:br/>
        <w:t>• operational participation;</w:t>
      </w:r>
      <w:r w:rsidRPr="00B479AE">
        <w:rPr>
          <w:rFonts w:ascii="Baskerville Old Face" w:hAnsi="Baskerville Old Face"/>
          <w:i/>
          <w:iCs/>
        </w:rPr>
        <w:br/>
        <w:t>• technical participation;</w:t>
      </w:r>
      <w:r w:rsidRPr="00B479AE">
        <w:rPr>
          <w:rFonts w:ascii="Baskerville Old Face" w:hAnsi="Baskerville Old Face"/>
          <w:i/>
          <w:iCs/>
        </w:rPr>
        <w:br/>
        <w:t>• MRV participation;</w:t>
      </w:r>
      <w:r w:rsidRPr="00B479AE">
        <w:rPr>
          <w:rFonts w:ascii="Baskerville Old Face" w:hAnsi="Baskerville Old Face"/>
          <w:i/>
          <w:iCs/>
        </w:rPr>
        <w:br/>
        <w:t>• capital-facing participation;</w:t>
      </w:r>
      <w:r w:rsidRPr="00B479AE">
        <w:rPr>
          <w:rFonts w:ascii="Baskerville Old Face" w:hAnsi="Baskerville Old Face"/>
          <w:i/>
          <w:iCs/>
        </w:rPr>
        <w:br/>
        <w:t>• institutional participation;</w:t>
      </w:r>
      <w:r w:rsidRPr="00B479AE">
        <w:rPr>
          <w:rFonts w:ascii="Baskerville Old Face" w:hAnsi="Baskerville Old Face"/>
          <w:i/>
          <w:iCs/>
        </w:rPr>
        <w:br/>
        <w:t>• legal or financial participation.</w:t>
      </w:r>
    </w:p>
    <w:p w14:paraId="4651770A"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This distinction is essential.</w:t>
      </w:r>
    </w:p>
    <w:p w14:paraId="3E5091A0"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 participant may be eligible for one form of access and not another.</w:t>
      </w:r>
    </w:p>
    <w:p w14:paraId="33EF7C8B"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 community may be eligible for educational participation but not PRU-related claims.</w:t>
      </w:r>
    </w:p>
    <w:p w14:paraId="0589BD09"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 technical provider may be eligible for infrastructure support but not governance authority.</w:t>
      </w:r>
    </w:p>
    <w:p w14:paraId="1025C243"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 capital allocator may be eligible for exploratory dialogue but not investor-facing participation.</w:t>
      </w:r>
    </w:p>
    <w:p w14:paraId="139A3C77"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 token community may be eligible for sandbox interoperability but not Prometheus governance rights.</w:t>
      </w:r>
    </w:p>
    <w:p w14:paraId="1F0E5695"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Access must be scoped before it is granted.</w:t>
      </w:r>
    </w:p>
    <w:p w14:paraId="4D8A0741" w14:textId="77777777" w:rsidR="00B13B31" w:rsidRPr="00B479AE" w:rsidRDefault="00B13B31" w:rsidP="00B13B31">
      <w:pPr>
        <w:spacing w:line="360" w:lineRule="auto"/>
        <w:rPr>
          <w:rFonts w:ascii="Baskerville Old Face" w:hAnsi="Baskerville Old Face"/>
          <w:b/>
          <w:bCs/>
          <w:i/>
          <w:iCs/>
        </w:rPr>
      </w:pPr>
      <w:r w:rsidRPr="00B479AE">
        <w:rPr>
          <w:rFonts w:ascii="Baskerville Old Face" w:hAnsi="Baskerville Old Face"/>
          <w:b/>
          <w:bCs/>
          <w:i/>
          <w:iCs/>
        </w:rPr>
        <w:t>8.2 Intake and Completeness Review</w:t>
      </w:r>
    </w:p>
    <w:p w14:paraId="43452034"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lastRenderedPageBreak/>
        <w:t>Before substantive review, the application should undergo an intake and completeness check.</w:t>
      </w:r>
    </w:p>
    <w:p w14:paraId="4DF151B1"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purpose of this step is to determine whether the application contains enough information to be evaluated.</w:t>
      </w:r>
    </w:p>
    <w:p w14:paraId="3DD7D53C"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intake process may verify:</w:t>
      </w:r>
    </w:p>
    <w:p w14:paraId="1C1C21C9"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identity or entity information;</w:t>
      </w:r>
      <w:r w:rsidRPr="00B479AE">
        <w:rPr>
          <w:rFonts w:ascii="Baskerville Old Face" w:hAnsi="Baskerville Old Face"/>
          <w:i/>
          <w:iCs/>
        </w:rPr>
        <w:br/>
        <w:t>• representative authority;</w:t>
      </w:r>
      <w:r w:rsidRPr="00B479AE">
        <w:rPr>
          <w:rFonts w:ascii="Baskerville Old Face" w:hAnsi="Baskerville Old Face"/>
          <w:i/>
          <w:iCs/>
        </w:rPr>
        <w:br/>
        <w:t>• requested access scope;</w:t>
      </w:r>
      <w:r w:rsidRPr="00B479AE">
        <w:rPr>
          <w:rFonts w:ascii="Baskerville Old Face" w:hAnsi="Baskerville Old Face"/>
          <w:i/>
          <w:iCs/>
        </w:rPr>
        <w:br/>
        <w:t>• required documentation;</w:t>
      </w:r>
      <w:r w:rsidRPr="00B479AE">
        <w:rPr>
          <w:rFonts w:ascii="Baskerville Old Face" w:hAnsi="Baskerville Old Face"/>
          <w:i/>
          <w:iCs/>
        </w:rPr>
        <w:br/>
        <w:t>• Access Covenant acknowledgment;</w:t>
      </w:r>
      <w:r w:rsidRPr="00B479AE">
        <w:rPr>
          <w:rFonts w:ascii="Baskerville Old Face" w:hAnsi="Baskerville Old Face"/>
          <w:i/>
          <w:iCs/>
        </w:rPr>
        <w:br/>
        <w:t>• eligibility pathway;</w:t>
      </w:r>
      <w:r w:rsidRPr="00B479AE">
        <w:rPr>
          <w:rFonts w:ascii="Baskerville Old Face" w:hAnsi="Baskerville Old Face"/>
          <w:i/>
          <w:iCs/>
        </w:rPr>
        <w:br/>
        <w:t>• obvious conflicts;</w:t>
      </w:r>
      <w:r w:rsidRPr="00B479AE">
        <w:rPr>
          <w:rFonts w:ascii="Baskerville Old Face" w:hAnsi="Baskerville Old Face"/>
          <w:i/>
          <w:iCs/>
        </w:rPr>
        <w:br/>
        <w:t>• missing information;</w:t>
      </w:r>
      <w:r w:rsidRPr="00B479AE">
        <w:rPr>
          <w:rFonts w:ascii="Baskerville Old Face" w:hAnsi="Baskerville Old Face"/>
          <w:i/>
          <w:iCs/>
        </w:rPr>
        <w:br/>
        <w:t>• need for legal review;</w:t>
      </w:r>
      <w:r w:rsidRPr="00B479AE">
        <w:rPr>
          <w:rFonts w:ascii="Baskerville Old Face" w:hAnsi="Baskerville Old Face"/>
          <w:i/>
          <w:iCs/>
        </w:rPr>
        <w:br/>
        <w:t>• need for technical review;</w:t>
      </w:r>
      <w:r w:rsidRPr="00B479AE">
        <w:rPr>
          <w:rFonts w:ascii="Baskerville Old Face" w:hAnsi="Baskerville Old Face"/>
          <w:i/>
          <w:iCs/>
        </w:rPr>
        <w:br/>
        <w:t>• need for MRV review;</w:t>
      </w:r>
      <w:r w:rsidRPr="00B479AE">
        <w:rPr>
          <w:rFonts w:ascii="Baskerville Old Face" w:hAnsi="Baskerville Old Face"/>
          <w:i/>
          <w:iCs/>
        </w:rPr>
        <w:br/>
        <w:t>• need for community consultation;</w:t>
      </w:r>
      <w:r w:rsidRPr="00B479AE">
        <w:rPr>
          <w:rFonts w:ascii="Baskerville Old Face" w:hAnsi="Baskerville Old Face"/>
          <w:i/>
          <w:iCs/>
        </w:rPr>
        <w:br/>
        <w:t>• need for enhanced risk classification.</w:t>
      </w:r>
    </w:p>
    <w:p w14:paraId="7E48DE54"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If the application is incomplete, the reviewing body should request additional information.</w:t>
      </w:r>
    </w:p>
    <w:p w14:paraId="4C863334"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An incomplete application should not be treated as denial unless the participant refuses to provide required information, provides materially false information, or presents a clear constitutional, legal, ecological, financial, technical, or governance risk.</w:t>
      </w:r>
    </w:p>
    <w:p w14:paraId="536720F0"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correct outcome for an incomplete but potentially valid application is:</w:t>
      </w:r>
    </w:p>
    <w:p w14:paraId="3667893B"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review pending.</w:t>
      </w:r>
    </w:p>
    <w:p w14:paraId="3D086171"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This preserves openness without weakening diligence.</w:t>
      </w:r>
    </w:p>
    <w:p w14:paraId="5C8E1A3B" w14:textId="77777777" w:rsidR="00B13B31" w:rsidRPr="00B479AE" w:rsidRDefault="00B13B31" w:rsidP="00B13B31">
      <w:pPr>
        <w:spacing w:line="360" w:lineRule="auto"/>
        <w:rPr>
          <w:rFonts w:ascii="Baskerville Old Face" w:hAnsi="Baskerville Old Face"/>
          <w:b/>
          <w:bCs/>
          <w:i/>
          <w:iCs/>
        </w:rPr>
      </w:pPr>
      <w:r w:rsidRPr="00B479AE">
        <w:rPr>
          <w:rFonts w:ascii="Baskerville Old Face" w:hAnsi="Baskerville Old Face"/>
          <w:b/>
          <w:bCs/>
          <w:i/>
          <w:iCs/>
        </w:rPr>
        <w:t>8.3 Substantive Review</w:t>
      </w:r>
    </w:p>
    <w:p w14:paraId="52912299"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After intake, the application enters substantive review.</w:t>
      </w:r>
    </w:p>
    <w:p w14:paraId="24E92744"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lastRenderedPageBreak/>
        <w:t>The reviewing body may be a Stewardship Circle, onboarding circle, governance circle, protocol-stewardship body, institutional review body, legal reviewer, technical reviewer, MRV reviewer, or other approved process depending on the access type.</w:t>
      </w:r>
    </w:p>
    <w:p w14:paraId="1F9433D2"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review should evaluate:</w:t>
      </w:r>
    </w:p>
    <w:p w14:paraId="1394CA25"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constitutional compatibility;</w:t>
      </w:r>
      <w:r w:rsidRPr="00B479AE">
        <w:rPr>
          <w:rFonts w:ascii="Baskerville Old Face" w:hAnsi="Baskerville Old Face"/>
          <w:i/>
          <w:iCs/>
        </w:rPr>
        <w:br/>
        <w:t>• Access Covenant alignment;</w:t>
      </w:r>
      <w:r w:rsidRPr="00B479AE">
        <w:rPr>
          <w:rFonts w:ascii="Baskerville Old Face" w:hAnsi="Baskerville Old Face"/>
          <w:i/>
          <w:iCs/>
        </w:rPr>
        <w:br/>
        <w:t>• eligibility under Section 7;</w:t>
      </w:r>
      <w:r w:rsidRPr="00B479AE">
        <w:rPr>
          <w:rFonts w:ascii="Baskerville Old Face" w:hAnsi="Baskerville Old Face"/>
          <w:i/>
          <w:iCs/>
        </w:rPr>
        <w:br/>
        <w:t>• role clarity;</w:t>
      </w:r>
      <w:r w:rsidRPr="00B479AE">
        <w:rPr>
          <w:rFonts w:ascii="Baskerville Old Face" w:hAnsi="Baskerville Old Face"/>
          <w:i/>
          <w:iCs/>
        </w:rPr>
        <w:br/>
        <w:t>• risk profile;</w:t>
      </w:r>
      <w:r w:rsidRPr="00B479AE">
        <w:rPr>
          <w:rFonts w:ascii="Baskerville Old Face" w:hAnsi="Baskerville Old Face"/>
          <w:i/>
          <w:iCs/>
        </w:rPr>
        <w:br/>
        <w:t>• legal requirements;</w:t>
      </w:r>
      <w:r w:rsidRPr="00B479AE">
        <w:rPr>
          <w:rFonts w:ascii="Baskerville Old Face" w:hAnsi="Baskerville Old Face"/>
          <w:i/>
          <w:iCs/>
        </w:rPr>
        <w:br/>
        <w:t>• governance implications;</w:t>
      </w:r>
      <w:r w:rsidRPr="00B479AE">
        <w:rPr>
          <w:rFonts w:ascii="Baskerville Old Face" w:hAnsi="Baskerville Old Face"/>
          <w:i/>
          <w:iCs/>
        </w:rPr>
        <w:br/>
        <w:t>• technical implications;</w:t>
      </w:r>
      <w:r w:rsidRPr="00B479AE">
        <w:rPr>
          <w:rFonts w:ascii="Baskerville Old Face" w:hAnsi="Baskerville Old Face"/>
          <w:i/>
          <w:iCs/>
        </w:rPr>
        <w:br/>
        <w:t>• MRV implications;</w:t>
      </w:r>
      <w:r w:rsidRPr="00B479AE">
        <w:rPr>
          <w:rFonts w:ascii="Baskerville Old Face" w:hAnsi="Baskerville Old Face"/>
          <w:i/>
          <w:iCs/>
        </w:rPr>
        <w:br/>
        <w:t>• financial or tokenomic implications;</w:t>
      </w:r>
      <w:r w:rsidRPr="00B479AE">
        <w:rPr>
          <w:rFonts w:ascii="Baskerville Old Face" w:hAnsi="Baskerville Old Face"/>
          <w:i/>
          <w:iCs/>
        </w:rPr>
        <w:br/>
        <w:t>• community-field implications;</w:t>
      </w:r>
      <w:r w:rsidRPr="00B479AE">
        <w:rPr>
          <w:rFonts w:ascii="Baskerville Old Face" w:hAnsi="Baskerville Old Face"/>
          <w:i/>
          <w:iCs/>
        </w:rPr>
        <w:br/>
        <w:t>• conflict-of-interest issues;</w:t>
      </w:r>
      <w:r w:rsidRPr="00B479AE">
        <w:rPr>
          <w:rFonts w:ascii="Baskerville Old Face" w:hAnsi="Baskerville Old Face"/>
          <w:i/>
          <w:iCs/>
        </w:rPr>
        <w:br/>
        <w:t>• public-communication risks;</w:t>
      </w:r>
      <w:r w:rsidRPr="00B479AE">
        <w:rPr>
          <w:rFonts w:ascii="Baskerville Old Face" w:hAnsi="Baskerville Old Face"/>
          <w:i/>
          <w:iCs/>
        </w:rPr>
        <w:br/>
        <w:t>• potential for capture, drift, overclaiming, or category collapse.</w:t>
      </w:r>
    </w:p>
    <w:p w14:paraId="4E1BB286"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review should not rely on one signal alone.</w:t>
      </w:r>
    </w:p>
    <w:p w14:paraId="179CAAA7"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 strong application may require convergence across documents, declarations, governance records, public information, operational evidence, legal instruments, technical review, community consultation, or institutional due diligence.</w:t>
      </w:r>
    </w:p>
    <w:p w14:paraId="704B98B0" w14:textId="2FA9C9D0"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Where appropriate, the reviewing body may classify the application according to risk:</w:t>
      </w:r>
      <w:r w:rsidR="00315BCB" w:rsidRPr="00B479AE">
        <w:rPr>
          <w:rFonts w:ascii="Baskerville Old Face" w:hAnsi="Baskerville Old Face"/>
          <w:i/>
          <w:iCs/>
        </w:rPr>
        <w:t xml:space="preserve"> </w:t>
      </w:r>
    </w:p>
    <w:p w14:paraId="3DAEB88F" w14:textId="77777777" w:rsidR="00315BCB" w:rsidRPr="00B479AE" w:rsidRDefault="00315BCB" w:rsidP="00B13B31">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1"/>
        <w:gridCol w:w="5551"/>
        <w:gridCol w:w="2986"/>
      </w:tblGrid>
      <w:tr w:rsidR="00B13B31" w:rsidRPr="00B479AE" w14:paraId="07AE7D63" w14:textId="77777777" w:rsidTr="00B13B31">
        <w:trPr>
          <w:tblHeader/>
          <w:tblCellSpacing w:w="15" w:type="dxa"/>
        </w:trPr>
        <w:tc>
          <w:tcPr>
            <w:tcW w:w="0" w:type="auto"/>
            <w:vAlign w:val="center"/>
            <w:hideMark/>
          </w:tcPr>
          <w:p w14:paraId="1F2D97D8" w14:textId="77777777" w:rsidR="00B13B31" w:rsidRPr="00B479AE" w:rsidRDefault="00B13B31" w:rsidP="00B13B31">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Risk class</w:t>
            </w:r>
          </w:p>
        </w:tc>
        <w:tc>
          <w:tcPr>
            <w:tcW w:w="0" w:type="auto"/>
            <w:vAlign w:val="center"/>
            <w:hideMark/>
          </w:tcPr>
          <w:p w14:paraId="3326EF58" w14:textId="77777777" w:rsidR="00B13B31" w:rsidRPr="00B479AE" w:rsidRDefault="00B13B31" w:rsidP="00B13B31">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c>
          <w:tcPr>
            <w:tcW w:w="0" w:type="auto"/>
            <w:vAlign w:val="center"/>
            <w:hideMark/>
          </w:tcPr>
          <w:p w14:paraId="77B8CD72" w14:textId="77777777" w:rsidR="00B13B31" w:rsidRPr="00B479AE" w:rsidRDefault="00B13B31" w:rsidP="00B13B31">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Review intensity</w:t>
            </w:r>
          </w:p>
        </w:tc>
      </w:tr>
      <w:tr w:rsidR="00B13B31" w:rsidRPr="00B479AE" w14:paraId="22C32107" w14:textId="77777777" w:rsidTr="00B13B31">
        <w:trPr>
          <w:tblCellSpacing w:w="15" w:type="dxa"/>
        </w:trPr>
        <w:tc>
          <w:tcPr>
            <w:tcW w:w="0" w:type="auto"/>
            <w:vAlign w:val="center"/>
            <w:hideMark/>
          </w:tcPr>
          <w:p w14:paraId="4C0CF2E4"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Low risk</w:t>
            </w:r>
          </w:p>
        </w:tc>
        <w:tc>
          <w:tcPr>
            <w:tcW w:w="0" w:type="auto"/>
            <w:vAlign w:val="center"/>
            <w:hideMark/>
          </w:tcPr>
          <w:p w14:paraId="27CEE9F3"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i/>
                <w:iCs/>
                <w:sz w:val="22"/>
                <w:szCs w:val="22"/>
              </w:rPr>
              <w:t>Ordinary participation with limited access and no sensitive claims.</w:t>
            </w:r>
          </w:p>
        </w:tc>
        <w:tc>
          <w:tcPr>
            <w:tcW w:w="0" w:type="auto"/>
            <w:vAlign w:val="center"/>
            <w:hideMark/>
          </w:tcPr>
          <w:p w14:paraId="47F1CFF1"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i/>
                <w:iCs/>
                <w:sz w:val="22"/>
                <w:szCs w:val="22"/>
              </w:rPr>
              <w:t>Standard review.</w:t>
            </w:r>
          </w:p>
        </w:tc>
      </w:tr>
      <w:tr w:rsidR="00B13B31" w:rsidRPr="00B479AE" w14:paraId="29AEFD4A" w14:textId="77777777" w:rsidTr="00B13B31">
        <w:trPr>
          <w:tblCellSpacing w:w="15" w:type="dxa"/>
        </w:trPr>
        <w:tc>
          <w:tcPr>
            <w:tcW w:w="0" w:type="auto"/>
            <w:vAlign w:val="center"/>
            <w:hideMark/>
          </w:tcPr>
          <w:p w14:paraId="32D6C02B"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lastRenderedPageBreak/>
              <w:t>Moderate risk</w:t>
            </w:r>
          </w:p>
        </w:tc>
        <w:tc>
          <w:tcPr>
            <w:tcW w:w="0" w:type="auto"/>
            <w:vAlign w:val="center"/>
            <w:hideMark/>
          </w:tcPr>
          <w:p w14:paraId="7396F50E"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Participation affects community, governance, operations, data, or public representation.</w:t>
            </w:r>
          </w:p>
        </w:tc>
        <w:tc>
          <w:tcPr>
            <w:tcW w:w="0" w:type="auto"/>
            <w:vAlign w:val="center"/>
            <w:hideMark/>
          </w:tcPr>
          <w:p w14:paraId="01440636"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i/>
                <w:iCs/>
                <w:sz w:val="22"/>
                <w:szCs w:val="22"/>
              </w:rPr>
              <w:t>Enhanced review.</w:t>
            </w:r>
          </w:p>
        </w:tc>
      </w:tr>
      <w:tr w:rsidR="00B13B31" w:rsidRPr="00B479AE" w14:paraId="0FCF5E1C" w14:textId="77777777" w:rsidTr="00B13B31">
        <w:trPr>
          <w:tblCellSpacing w:w="15" w:type="dxa"/>
        </w:trPr>
        <w:tc>
          <w:tcPr>
            <w:tcW w:w="0" w:type="auto"/>
            <w:vAlign w:val="center"/>
            <w:hideMark/>
          </w:tcPr>
          <w:p w14:paraId="3937D826"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High risk</w:t>
            </w:r>
          </w:p>
        </w:tc>
        <w:tc>
          <w:tcPr>
            <w:tcW w:w="0" w:type="auto"/>
            <w:vAlign w:val="center"/>
            <w:hideMark/>
          </w:tcPr>
          <w:p w14:paraId="2E6C0E19"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Participation affects capital, MRV, PRU, RAP, tokenization, institutional claims, legal rights, or sensitive infrastructure.</w:t>
            </w:r>
          </w:p>
        </w:tc>
        <w:tc>
          <w:tcPr>
            <w:tcW w:w="0" w:type="auto"/>
            <w:vAlign w:val="center"/>
            <w:hideMark/>
          </w:tcPr>
          <w:p w14:paraId="0265A09D"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i/>
                <w:iCs/>
                <w:sz w:val="22"/>
                <w:szCs w:val="22"/>
              </w:rPr>
              <w:t>Formal review with legal, governance, technical, or MRV input.</w:t>
            </w:r>
          </w:p>
        </w:tc>
      </w:tr>
      <w:tr w:rsidR="00B13B31" w:rsidRPr="00B479AE" w14:paraId="4C8146CB" w14:textId="77777777" w:rsidTr="00B13B31">
        <w:trPr>
          <w:tblCellSpacing w:w="15" w:type="dxa"/>
        </w:trPr>
        <w:tc>
          <w:tcPr>
            <w:tcW w:w="0" w:type="auto"/>
            <w:vAlign w:val="center"/>
            <w:hideMark/>
          </w:tcPr>
          <w:p w14:paraId="215A1F0F"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Critical risk</w:t>
            </w:r>
          </w:p>
        </w:tc>
        <w:tc>
          <w:tcPr>
            <w:tcW w:w="0" w:type="auto"/>
            <w:vAlign w:val="center"/>
            <w:hideMark/>
          </w:tcPr>
          <w:p w14:paraId="1966467D"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Participation may affect constitutional integrity, investor-facing claims, protected infrastructure, major public commitments, or systemic trust.</w:t>
            </w:r>
          </w:p>
        </w:tc>
        <w:tc>
          <w:tcPr>
            <w:tcW w:w="0" w:type="auto"/>
            <w:vAlign w:val="center"/>
            <w:hideMark/>
          </w:tcPr>
          <w:p w14:paraId="03AADA31"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i/>
                <w:iCs/>
                <w:sz w:val="22"/>
                <w:szCs w:val="22"/>
              </w:rPr>
              <w:t>Constitutional, legal, and multi-layer review required.</w:t>
            </w:r>
          </w:p>
        </w:tc>
      </w:tr>
    </w:tbl>
    <w:p w14:paraId="1685AE0B"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Risk classification does not imply hostility.</w:t>
      </w:r>
    </w:p>
    <w:p w14:paraId="21729CBD"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It determines the level of care required.</w:t>
      </w:r>
    </w:p>
    <w:p w14:paraId="44F3AFBD"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Prometheus should be friendly at the door and forensic at the boundary.</w:t>
      </w:r>
    </w:p>
    <w:p w14:paraId="31FF04DB" w14:textId="77777777" w:rsidR="00B13B31" w:rsidRPr="00B479AE" w:rsidRDefault="00B13B31" w:rsidP="00B13B31">
      <w:pPr>
        <w:spacing w:line="360" w:lineRule="auto"/>
        <w:rPr>
          <w:rFonts w:ascii="Baskerville Old Face" w:hAnsi="Baskerville Old Face"/>
          <w:b/>
          <w:bCs/>
          <w:i/>
          <w:iCs/>
        </w:rPr>
      </w:pPr>
      <w:r w:rsidRPr="00B479AE">
        <w:rPr>
          <w:rFonts w:ascii="Baskerville Old Face" w:hAnsi="Baskerville Old Face"/>
          <w:b/>
          <w:bCs/>
          <w:i/>
          <w:iCs/>
        </w:rPr>
        <w:t>8.4 Community and Affected-Party Consultation</w:t>
      </w:r>
    </w:p>
    <w:p w14:paraId="1F6A07CC"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Where an application affects an existing community, territory, bioregion, stakeholder group, Tribe, DAO, token community, land base, data community, or institutional partner, consultation may be required.</w:t>
      </w:r>
    </w:p>
    <w:p w14:paraId="41B9E677"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Consultation may include:</w:t>
      </w:r>
    </w:p>
    <w:p w14:paraId="13CB3667"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affected community representatives;</w:t>
      </w:r>
      <w:r w:rsidRPr="00B479AE">
        <w:rPr>
          <w:rFonts w:ascii="Baskerville Old Face" w:hAnsi="Baskerville Old Face"/>
          <w:i/>
          <w:iCs/>
        </w:rPr>
        <w:br/>
        <w:t>• local stewards;</w:t>
      </w:r>
      <w:r w:rsidRPr="00B479AE">
        <w:rPr>
          <w:rFonts w:ascii="Baskerville Old Face" w:hAnsi="Baskerville Old Face"/>
          <w:i/>
          <w:iCs/>
        </w:rPr>
        <w:br/>
        <w:t>• relevant governance circles;</w:t>
      </w:r>
      <w:r w:rsidRPr="00B479AE">
        <w:rPr>
          <w:rFonts w:ascii="Baskerville Old Face" w:hAnsi="Baskerville Old Face"/>
          <w:i/>
          <w:iCs/>
        </w:rPr>
        <w:br/>
        <w:t>• technical maintainers;</w:t>
      </w:r>
      <w:r w:rsidRPr="00B479AE">
        <w:rPr>
          <w:rFonts w:ascii="Baskerville Old Face" w:hAnsi="Baskerville Old Face"/>
          <w:i/>
          <w:iCs/>
        </w:rPr>
        <w:br/>
        <w:t>• MRV validators;</w:t>
      </w:r>
      <w:r w:rsidRPr="00B479AE">
        <w:rPr>
          <w:rFonts w:ascii="Baskerville Old Face" w:hAnsi="Baskerville Old Face"/>
          <w:i/>
          <w:iCs/>
        </w:rPr>
        <w:br/>
        <w:t>• legal counterparties;</w:t>
      </w:r>
      <w:r w:rsidRPr="00B479AE">
        <w:rPr>
          <w:rFonts w:ascii="Baskerville Old Face" w:hAnsi="Baskerville Old Face"/>
          <w:i/>
          <w:iCs/>
        </w:rPr>
        <w:br/>
        <w:t>• institutional partners;</w:t>
      </w:r>
      <w:r w:rsidRPr="00B479AE">
        <w:rPr>
          <w:rFonts w:ascii="Baskerville Old Face" w:hAnsi="Baskerville Old Face"/>
          <w:i/>
          <w:iCs/>
        </w:rPr>
        <w:br/>
        <w:t>• community-interface roles;</w:t>
      </w:r>
      <w:r w:rsidRPr="00B479AE">
        <w:rPr>
          <w:rFonts w:ascii="Baskerville Old Face" w:hAnsi="Baskerville Old Face"/>
          <w:i/>
          <w:iCs/>
        </w:rPr>
        <w:br/>
        <w:t>• conflict or integrity roles;</w:t>
      </w:r>
      <w:r w:rsidRPr="00B479AE">
        <w:rPr>
          <w:rFonts w:ascii="Baskerville Old Face" w:hAnsi="Baskerville Old Face"/>
          <w:i/>
          <w:iCs/>
        </w:rPr>
        <w:br/>
        <w:t>• bioregional representatives.</w:t>
      </w:r>
    </w:p>
    <w:p w14:paraId="75F2D8B8"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lastRenderedPageBreak/>
        <w:t>Consultation is not automatic veto.</w:t>
      </w:r>
    </w:p>
    <w:p w14:paraId="0070F9BE"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It is field intelligence.</w:t>
      </w:r>
    </w:p>
    <w:p w14:paraId="09299AE9"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purpose is to identify context, risk, trust conditions, historical tensions, operational constraints, local knowledge, and possible hidden impacts.</w:t>
      </w:r>
    </w:p>
    <w:p w14:paraId="1C28888E"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Prometheus should distinguish:</w:t>
      </w:r>
    </w:p>
    <w:p w14:paraId="5A0B7F7F"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consultation;</w:t>
      </w:r>
      <w:r w:rsidRPr="00B479AE">
        <w:rPr>
          <w:rFonts w:ascii="Baskerville Old Face" w:hAnsi="Baskerville Old Face"/>
          <w:i/>
          <w:iCs/>
        </w:rPr>
        <w:br/>
        <w:t>• consent;</w:t>
      </w:r>
      <w:r w:rsidRPr="00B479AE">
        <w:rPr>
          <w:rFonts w:ascii="Baskerville Old Face" w:hAnsi="Baskerville Old Face"/>
          <w:i/>
          <w:iCs/>
        </w:rPr>
        <w:br/>
        <w:t>• advice;</w:t>
      </w:r>
      <w:r w:rsidRPr="00B479AE">
        <w:rPr>
          <w:rFonts w:ascii="Baskerville Old Face" w:hAnsi="Baskerville Old Face"/>
          <w:i/>
          <w:iCs/>
        </w:rPr>
        <w:br/>
        <w:t>• approval;</w:t>
      </w:r>
      <w:r w:rsidRPr="00B479AE">
        <w:rPr>
          <w:rFonts w:ascii="Baskerville Old Face" w:hAnsi="Baskerville Old Face"/>
          <w:i/>
          <w:iCs/>
        </w:rPr>
        <w:br/>
        <w:t>• legal authorization;</w:t>
      </w:r>
      <w:r w:rsidRPr="00B479AE">
        <w:rPr>
          <w:rFonts w:ascii="Baskerville Old Face" w:hAnsi="Baskerville Old Face"/>
          <w:i/>
          <w:iCs/>
        </w:rPr>
        <w:br/>
        <w:t>• governance decision;</w:t>
      </w:r>
      <w:r w:rsidRPr="00B479AE">
        <w:rPr>
          <w:rFonts w:ascii="Baskerville Old Face" w:hAnsi="Baskerville Old Face"/>
          <w:i/>
          <w:iCs/>
        </w:rPr>
        <w:br/>
        <w:t>• constitutional review.</w:t>
      </w:r>
    </w:p>
    <w:p w14:paraId="06270D69"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These are not the same thing.</w:t>
      </w:r>
    </w:p>
    <w:p w14:paraId="233A1DE8"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 community may provide context without holding formal decision authority.</w:t>
      </w:r>
    </w:p>
    <w:p w14:paraId="079A1FEE"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 legal entity may authorize an agreement without creating community legitimacy.</w:t>
      </w:r>
    </w:p>
    <w:p w14:paraId="3EC7AE59"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 governance circle may approve a scope while still requiring MRV or legal review.</w:t>
      </w:r>
    </w:p>
    <w:p w14:paraId="0D7871B7"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procedure must keep these layers legible.</w:t>
      </w:r>
    </w:p>
    <w:p w14:paraId="39FAF495" w14:textId="77777777" w:rsidR="00B13B31" w:rsidRPr="00B479AE" w:rsidRDefault="00B13B31" w:rsidP="00B13B31">
      <w:pPr>
        <w:spacing w:line="360" w:lineRule="auto"/>
        <w:rPr>
          <w:rFonts w:ascii="Baskerville Old Face" w:hAnsi="Baskerville Old Face"/>
          <w:b/>
          <w:bCs/>
          <w:i/>
          <w:iCs/>
        </w:rPr>
      </w:pPr>
      <w:r w:rsidRPr="00B479AE">
        <w:rPr>
          <w:rFonts w:ascii="Baskerville Old Face" w:hAnsi="Baskerville Old Face"/>
          <w:b/>
          <w:bCs/>
          <w:i/>
          <w:iCs/>
        </w:rPr>
        <w:t>8.5 Decision Outcomes</w:t>
      </w:r>
    </w:p>
    <w:p w14:paraId="6B85D9AF" w14:textId="5971AA8B"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xml:space="preserve">After review, the reviewing body may issue one of several outcomes. </w:t>
      </w:r>
    </w:p>
    <w:p w14:paraId="4026E5F4" w14:textId="77777777" w:rsidR="00315BCB" w:rsidRPr="00B479AE" w:rsidRDefault="00315BCB" w:rsidP="00B13B31">
      <w:pPr>
        <w:spacing w:line="360" w:lineRule="auto"/>
        <w:rPr>
          <w:rFonts w:ascii="Baskerville Old Face" w:hAnsi="Baskerville Old Face"/>
          <w:i/>
          <w:iCs/>
        </w:rPr>
      </w:pPr>
    </w:p>
    <w:p w14:paraId="41B197A2" w14:textId="77777777" w:rsidR="00315BCB" w:rsidRPr="00B479AE" w:rsidRDefault="00315BCB" w:rsidP="00B13B31">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5"/>
        <w:gridCol w:w="7283"/>
      </w:tblGrid>
      <w:tr w:rsidR="00B13B31" w:rsidRPr="00B479AE" w14:paraId="7EF33A32" w14:textId="77777777" w:rsidTr="00B13B31">
        <w:trPr>
          <w:tblHeader/>
          <w:tblCellSpacing w:w="15" w:type="dxa"/>
        </w:trPr>
        <w:tc>
          <w:tcPr>
            <w:tcW w:w="0" w:type="auto"/>
            <w:vAlign w:val="center"/>
            <w:hideMark/>
          </w:tcPr>
          <w:p w14:paraId="08FCFB73" w14:textId="77777777" w:rsidR="00B13B31" w:rsidRPr="00B479AE" w:rsidRDefault="00B13B31" w:rsidP="00B13B31">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Decision outcome</w:t>
            </w:r>
          </w:p>
        </w:tc>
        <w:tc>
          <w:tcPr>
            <w:tcW w:w="0" w:type="auto"/>
            <w:vAlign w:val="center"/>
            <w:hideMark/>
          </w:tcPr>
          <w:p w14:paraId="6C471B67" w14:textId="77777777" w:rsidR="00B13B31" w:rsidRPr="00B479AE" w:rsidRDefault="00B13B31" w:rsidP="00B13B31">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r>
      <w:tr w:rsidR="00B13B31" w:rsidRPr="00B479AE" w14:paraId="2853109D" w14:textId="77777777" w:rsidTr="00B13B31">
        <w:trPr>
          <w:tblCellSpacing w:w="15" w:type="dxa"/>
        </w:trPr>
        <w:tc>
          <w:tcPr>
            <w:tcW w:w="0" w:type="auto"/>
            <w:vAlign w:val="center"/>
            <w:hideMark/>
          </w:tcPr>
          <w:p w14:paraId="540C9310"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Approved</w:t>
            </w:r>
          </w:p>
        </w:tc>
        <w:tc>
          <w:tcPr>
            <w:tcW w:w="0" w:type="auto"/>
            <w:vAlign w:val="center"/>
            <w:hideMark/>
          </w:tcPr>
          <w:p w14:paraId="0172B33E"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i/>
                <w:iCs/>
                <w:sz w:val="22"/>
                <w:szCs w:val="22"/>
              </w:rPr>
              <w:t>Access is granted within the defined scope.</w:t>
            </w:r>
          </w:p>
        </w:tc>
      </w:tr>
      <w:tr w:rsidR="00B13B31" w:rsidRPr="00B479AE" w14:paraId="1BA2202E" w14:textId="77777777" w:rsidTr="00B13B31">
        <w:trPr>
          <w:tblCellSpacing w:w="15" w:type="dxa"/>
        </w:trPr>
        <w:tc>
          <w:tcPr>
            <w:tcW w:w="0" w:type="auto"/>
            <w:vAlign w:val="center"/>
            <w:hideMark/>
          </w:tcPr>
          <w:p w14:paraId="15B12EA1"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lastRenderedPageBreak/>
              <w:t>Approved with conditions</w:t>
            </w:r>
          </w:p>
        </w:tc>
        <w:tc>
          <w:tcPr>
            <w:tcW w:w="0" w:type="auto"/>
            <w:vAlign w:val="center"/>
            <w:hideMark/>
          </w:tcPr>
          <w:p w14:paraId="4956A26E"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i/>
                <w:iCs/>
                <w:sz w:val="22"/>
                <w:szCs w:val="22"/>
              </w:rPr>
              <w:t>Access is granted subject to limitations, disclosures, review duties, remediation, time limits, or monitoring.</w:t>
            </w:r>
          </w:p>
        </w:tc>
      </w:tr>
      <w:tr w:rsidR="00B13B31" w:rsidRPr="00B479AE" w14:paraId="5F233545" w14:textId="77777777" w:rsidTr="00B13B31">
        <w:trPr>
          <w:tblCellSpacing w:w="15" w:type="dxa"/>
        </w:trPr>
        <w:tc>
          <w:tcPr>
            <w:tcW w:w="0" w:type="auto"/>
            <w:vAlign w:val="center"/>
            <w:hideMark/>
          </w:tcPr>
          <w:p w14:paraId="35B94826"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Limited / sandbox access</w:t>
            </w:r>
          </w:p>
        </w:tc>
        <w:tc>
          <w:tcPr>
            <w:tcW w:w="0" w:type="auto"/>
            <w:vAlign w:val="center"/>
            <w:hideMark/>
          </w:tcPr>
          <w:p w14:paraId="20119F91"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i/>
                <w:iCs/>
                <w:sz w:val="22"/>
                <w:szCs w:val="22"/>
              </w:rPr>
              <w:t>Access is granted only for testing, observation, research, learning, or restricted interoperability.</w:t>
            </w:r>
          </w:p>
        </w:tc>
      </w:tr>
      <w:tr w:rsidR="00B13B31" w:rsidRPr="00B479AE" w14:paraId="3CCDE484" w14:textId="77777777" w:rsidTr="00B13B31">
        <w:trPr>
          <w:tblCellSpacing w:w="15" w:type="dxa"/>
        </w:trPr>
        <w:tc>
          <w:tcPr>
            <w:tcW w:w="0" w:type="auto"/>
            <w:vAlign w:val="center"/>
            <w:hideMark/>
          </w:tcPr>
          <w:p w14:paraId="64BF8FBA"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Observer status</w:t>
            </w:r>
          </w:p>
        </w:tc>
        <w:tc>
          <w:tcPr>
            <w:tcW w:w="0" w:type="auto"/>
            <w:vAlign w:val="center"/>
            <w:hideMark/>
          </w:tcPr>
          <w:p w14:paraId="23F9AF7C"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Participant may learn or engage without operational, governance, capital, or technical authority.</w:t>
            </w:r>
          </w:p>
        </w:tc>
      </w:tr>
      <w:tr w:rsidR="00B13B31" w:rsidRPr="00B479AE" w14:paraId="1CEACD8D" w14:textId="77777777" w:rsidTr="00B13B31">
        <w:trPr>
          <w:tblCellSpacing w:w="15" w:type="dxa"/>
        </w:trPr>
        <w:tc>
          <w:tcPr>
            <w:tcW w:w="0" w:type="auto"/>
            <w:vAlign w:val="center"/>
            <w:hideMark/>
          </w:tcPr>
          <w:p w14:paraId="41C465D5"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Request for additional information</w:t>
            </w:r>
          </w:p>
        </w:tc>
        <w:tc>
          <w:tcPr>
            <w:tcW w:w="0" w:type="auto"/>
            <w:vAlign w:val="center"/>
            <w:hideMark/>
          </w:tcPr>
          <w:p w14:paraId="268379F7"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i/>
                <w:iCs/>
                <w:sz w:val="22"/>
                <w:szCs w:val="22"/>
              </w:rPr>
              <w:t>Application is paused until missing information is provided.</w:t>
            </w:r>
          </w:p>
        </w:tc>
      </w:tr>
      <w:tr w:rsidR="00B13B31" w:rsidRPr="00B479AE" w14:paraId="64A26B04" w14:textId="77777777" w:rsidTr="00B13B31">
        <w:trPr>
          <w:tblCellSpacing w:w="15" w:type="dxa"/>
        </w:trPr>
        <w:tc>
          <w:tcPr>
            <w:tcW w:w="0" w:type="auto"/>
            <w:vAlign w:val="center"/>
            <w:hideMark/>
          </w:tcPr>
          <w:p w14:paraId="76DC655F"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Manual review required</w:t>
            </w:r>
          </w:p>
        </w:tc>
        <w:tc>
          <w:tcPr>
            <w:tcW w:w="0" w:type="auto"/>
            <w:vAlign w:val="center"/>
            <w:hideMark/>
          </w:tcPr>
          <w:p w14:paraId="0029F4D6"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i/>
                <w:iCs/>
                <w:sz w:val="22"/>
                <w:szCs w:val="22"/>
              </w:rPr>
              <w:t>Application requires higher-level governance, legal, technical, MRV, or constitutional review.</w:t>
            </w:r>
          </w:p>
        </w:tc>
      </w:tr>
      <w:tr w:rsidR="00B13B31" w:rsidRPr="00B479AE" w14:paraId="5A0475BA" w14:textId="77777777" w:rsidTr="00B13B31">
        <w:trPr>
          <w:tblCellSpacing w:w="15" w:type="dxa"/>
        </w:trPr>
        <w:tc>
          <w:tcPr>
            <w:tcW w:w="0" w:type="auto"/>
            <w:vAlign w:val="center"/>
            <w:hideMark/>
          </w:tcPr>
          <w:p w14:paraId="45F057EA"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Deferred</w:t>
            </w:r>
          </w:p>
        </w:tc>
        <w:tc>
          <w:tcPr>
            <w:tcW w:w="0" w:type="auto"/>
            <w:vAlign w:val="center"/>
            <w:hideMark/>
          </w:tcPr>
          <w:p w14:paraId="30697D9B"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i/>
                <w:iCs/>
                <w:sz w:val="22"/>
                <w:szCs w:val="22"/>
              </w:rPr>
              <w:t>Application may be reconsidered later after specific conditions change.</w:t>
            </w:r>
          </w:p>
        </w:tc>
      </w:tr>
      <w:tr w:rsidR="00B13B31" w:rsidRPr="00B479AE" w14:paraId="41D8596B" w14:textId="77777777" w:rsidTr="00B13B31">
        <w:trPr>
          <w:tblCellSpacing w:w="15" w:type="dxa"/>
        </w:trPr>
        <w:tc>
          <w:tcPr>
            <w:tcW w:w="0" w:type="auto"/>
            <w:vAlign w:val="center"/>
            <w:hideMark/>
          </w:tcPr>
          <w:p w14:paraId="78255947"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Restricted</w:t>
            </w:r>
          </w:p>
        </w:tc>
        <w:tc>
          <w:tcPr>
            <w:tcW w:w="0" w:type="auto"/>
            <w:vAlign w:val="center"/>
            <w:hideMark/>
          </w:tcPr>
          <w:p w14:paraId="4BDEEA89"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i/>
                <w:iCs/>
                <w:sz w:val="22"/>
                <w:szCs w:val="22"/>
              </w:rPr>
              <w:t>Access is narrower than requested due to risk profile.</w:t>
            </w:r>
          </w:p>
        </w:tc>
      </w:tr>
      <w:tr w:rsidR="00B13B31" w:rsidRPr="00B479AE" w14:paraId="56427212" w14:textId="77777777" w:rsidTr="00B13B31">
        <w:trPr>
          <w:tblCellSpacing w:w="15" w:type="dxa"/>
        </w:trPr>
        <w:tc>
          <w:tcPr>
            <w:tcW w:w="0" w:type="auto"/>
            <w:vAlign w:val="center"/>
            <w:hideMark/>
          </w:tcPr>
          <w:p w14:paraId="23EB3AEF"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Rejected</w:t>
            </w:r>
          </w:p>
        </w:tc>
        <w:tc>
          <w:tcPr>
            <w:tcW w:w="0" w:type="auto"/>
            <w:vAlign w:val="center"/>
            <w:hideMark/>
          </w:tcPr>
          <w:p w14:paraId="1240AD3B"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i/>
                <w:iCs/>
                <w:sz w:val="22"/>
                <w:szCs w:val="22"/>
              </w:rPr>
              <w:t>Access is denied under current facts or constitutional constraints.</w:t>
            </w:r>
          </w:p>
        </w:tc>
      </w:tr>
      <w:tr w:rsidR="00B13B31" w:rsidRPr="00B479AE" w14:paraId="17E96D7A" w14:textId="77777777" w:rsidTr="00B13B31">
        <w:trPr>
          <w:tblCellSpacing w:w="15" w:type="dxa"/>
        </w:trPr>
        <w:tc>
          <w:tcPr>
            <w:tcW w:w="0" w:type="auto"/>
            <w:vAlign w:val="center"/>
            <w:hideMark/>
          </w:tcPr>
          <w:p w14:paraId="4E1EFAE0"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Quarantined</w:t>
            </w:r>
          </w:p>
        </w:tc>
        <w:tc>
          <w:tcPr>
            <w:tcW w:w="0" w:type="auto"/>
            <w:vAlign w:val="center"/>
            <w:hideMark/>
          </w:tcPr>
          <w:p w14:paraId="158B3127" w14:textId="77777777" w:rsidR="00B13B31" w:rsidRPr="00B479AE" w:rsidRDefault="00B13B31" w:rsidP="00B13B31">
            <w:pPr>
              <w:spacing w:line="360" w:lineRule="auto"/>
              <w:rPr>
                <w:rFonts w:ascii="Baskerville Old Face" w:hAnsi="Baskerville Old Face"/>
                <w:i/>
                <w:iCs/>
                <w:sz w:val="22"/>
                <w:szCs w:val="22"/>
              </w:rPr>
            </w:pPr>
            <w:r w:rsidRPr="00B479AE">
              <w:rPr>
                <w:rFonts w:ascii="Baskerville Old Face" w:hAnsi="Baskerville Old Face"/>
                <w:i/>
                <w:iCs/>
                <w:sz w:val="22"/>
                <w:szCs w:val="22"/>
              </w:rPr>
              <w:t>The pathway presents serious capture, legal, ecological, financial, tokenomic, technical, or governance risk and must be isolated.</w:t>
            </w:r>
          </w:p>
        </w:tc>
      </w:tr>
    </w:tbl>
    <w:p w14:paraId="71199FA8"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Every material decision should be documented.</w:t>
      </w:r>
    </w:p>
    <w:p w14:paraId="7F0EF507"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Documentation should include:</w:t>
      </w:r>
    </w:p>
    <w:p w14:paraId="7BDAF743"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participant identity or entity reference;</w:t>
      </w:r>
      <w:r w:rsidRPr="00B479AE">
        <w:rPr>
          <w:rFonts w:ascii="Baskerville Old Face" w:hAnsi="Baskerville Old Face"/>
          <w:i/>
          <w:iCs/>
        </w:rPr>
        <w:br/>
        <w:t>• requested scope;</w:t>
      </w:r>
      <w:r w:rsidRPr="00B479AE">
        <w:rPr>
          <w:rFonts w:ascii="Baskerville Old Face" w:hAnsi="Baskerville Old Face"/>
          <w:i/>
          <w:iCs/>
        </w:rPr>
        <w:br/>
        <w:t>• review pathway;</w:t>
      </w:r>
      <w:r w:rsidRPr="00B479AE">
        <w:rPr>
          <w:rFonts w:ascii="Baskerville Old Face" w:hAnsi="Baskerville Old Face"/>
          <w:i/>
          <w:iCs/>
        </w:rPr>
        <w:br/>
        <w:t>• decision outcome;</w:t>
      </w:r>
      <w:r w:rsidRPr="00B479AE">
        <w:rPr>
          <w:rFonts w:ascii="Baskerville Old Face" w:hAnsi="Baskerville Old Face"/>
          <w:i/>
          <w:iCs/>
        </w:rPr>
        <w:br/>
        <w:t>• granted scope;</w:t>
      </w:r>
      <w:r w:rsidRPr="00B479AE">
        <w:rPr>
          <w:rFonts w:ascii="Baskerville Old Face" w:hAnsi="Baskerville Old Face"/>
          <w:i/>
          <w:iCs/>
        </w:rPr>
        <w:br/>
        <w:t>• limitations or conditions;</w:t>
      </w:r>
      <w:r w:rsidRPr="00B479AE">
        <w:rPr>
          <w:rFonts w:ascii="Baskerville Old Face" w:hAnsi="Baskerville Old Face"/>
          <w:i/>
          <w:iCs/>
        </w:rPr>
        <w:br/>
        <w:t>• review date;</w:t>
      </w:r>
      <w:r w:rsidRPr="00B479AE">
        <w:rPr>
          <w:rFonts w:ascii="Baskerville Old Face" w:hAnsi="Baskerville Old Face"/>
          <w:i/>
          <w:iCs/>
        </w:rPr>
        <w:br/>
        <w:t>• responsible reviewing body;</w:t>
      </w:r>
      <w:r w:rsidRPr="00B479AE">
        <w:rPr>
          <w:rFonts w:ascii="Baskerville Old Face" w:hAnsi="Baskerville Old Face"/>
          <w:i/>
          <w:iCs/>
        </w:rPr>
        <w:br/>
      </w:r>
      <w:r w:rsidRPr="00B479AE">
        <w:rPr>
          <w:rFonts w:ascii="Baskerville Old Face" w:hAnsi="Baskerville Old Face"/>
          <w:i/>
          <w:iCs/>
        </w:rPr>
        <w:lastRenderedPageBreak/>
        <w:t>• reasoned explanation where appropriate;</w:t>
      </w:r>
      <w:r w:rsidRPr="00B479AE">
        <w:rPr>
          <w:rFonts w:ascii="Baskerville Old Face" w:hAnsi="Baskerville Old Face"/>
          <w:i/>
          <w:iCs/>
        </w:rPr>
        <w:br/>
        <w:t>• legal or technical references where relevant;</w:t>
      </w:r>
      <w:r w:rsidRPr="00B479AE">
        <w:rPr>
          <w:rFonts w:ascii="Baskerville Old Face" w:hAnsi="Baskerville Old Face"/>
          <w:i/>
          <w:iCs/>
        </w:rPr>
        <w:br/>
        <w:t>• appeal or reconsideration pathway, where applicable.</w:t>
      </w:r>
    </w:p>
    <w:p w14:paraId="1A4CD0EF"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purpose of documentation is not bureaucracy.</w:t>
      </w:r>
    </w:p>
    <w:p w14:paraId="0FF82397"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It is institutional memory.</w:t>
      </w:r>
    </w:p>
    <w:p w14:paraId="3D7A0543"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 system without memory becomes capturable by charisma, urgency, capital, or confusion.</w:t>
      </w:r>
    </w:p>
    <w:p w14:paraId="6E28B277" w14:textId="77777777" w:rsidR="00B13B31" w:rsidRPr="00B479AE" w:rsidRDefault="00B13B31" w:rsidP="00B13B31">
      <w:pPr>
        <w:spacing w:line="360" w:lineRule="auto"/>
        <w:rPr>
          <w:rFonts w:ascii="Baskerville Old Face" w:hAnsi="Baskerville Old Face"/>
          <w:b/>
          <w:bCs/>
          <w:i/>
          <w:iCs/>
        </w:rPr>
      </w:pPr>
      <w:r w:rsidRPr="00B479AE">
        <w:rPr>
          <w:rFonts w:ascii="Baskerville Old Face" w:hAnsi="Baskerville Old Face"/>
          <w:b/>
          <w:bCs/>
          <w:i/>
          <w:iCs/>
        </w:rPr>
        <w:t>8.6 Access Grant and Scope Definition</w:t>
      </w:r>
    </w:p>
    <w:p w14:paraId="2A537BD6"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When access is approved, the scope of access must be defined.</w:t>
      </w:r>
    </w:p>
    <w:p w14:paraId="5FC29D47"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Access may include one or more of the following:</w:t>
      </w:r>
    </w:p>
    <w:p w14:paraId="48189325"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learning access;</w:t>
      </w:r>
      <w:r w:rsidRPr="00B479AE">
        <w:rPr>
          <w:rFonts w:ascii="Baskerville Old Face" w:hAnsi="Baskerville Old Face"/>
          <w:i/>
          <w:iCs/>
        </w:rPr>
        <w:br/>
        <w:t>• community access;</w:t>
      </w:r>
      <w:r w:rsidRPr="00B479AE">
        <w:rPr>
          <w:rFonts w:ascii="Baskerville Old Face" w:hAnsi="Baskerville Old Face"/>
          <w:i/>
          <w:iCs/>
        </w:rPr>
        <w:br/>
        <w:t>• governance access;</w:t>
      </w:r>
      <w:r w:rsidRPr="00B479AE">
        <w:rPr>
          <w:rFonts w:ascii="Baskerville Old Face" w:hAnsi="Baskerville Old Face"/>
          <w:i/>
          <w:iCs/>
        </w:rPr>
        <w:br/>
        <w:t>• operational access;</w:t>
      </w:r>
      <w:r w:rsidRPr="00B479AE">
        <w:rPr>
          <w:rFonts w:ascii="Baskerville Old Face" w:hAnsi="Baskerville Old Face"/>
          <w:i/>
          <w:iCs/>
        </w:rPr>
        <w:br/>
        <w:t>• technical access;</w:t>
      </w:r>
      <w:r w:rsidRPr="00B479AE">
        <w:rPr>
          <w:rFonts w:ascii="Baskerville Old Face" w:hAnsi="Baskerville Old Face"/>
          <w:i/>
          <w:iCs/>
        </w:rPr>
        <w:br/>
        <w:t>• MRV access;</w:t>
      </w:r>
      <w:r w:rsidRPr="00B479AE">
        <w:rPr>
          <w:rFonts w:ascii="Baskerville Old Face" w:hAnsi="Baskerville Old Face"/>
          <w:i/>
          <w:iCs/>
        </w:rPr>
        <w:br/>
        <w:t>• data-room access;</w:t>
      </w:r>
      <w:r w:rsidRPr="00B479AE">
        <w:rPr>
          <w:rFonts w:ascii="Baskerville Old Face" w:hAnsi="Baskerville Old Face"/>
          <w:i/>
          <w:iCs/>
        </w:rPr>
        <w:br/>
        <w:t>• research access;</w:t>
      </w:r>
      <w:r w:rsidRPr="00B479AE">
        <w:rPr>
          <w:rFonts w:ascii="Baskerville Old Face" w:hAnsi="Baskerville Old Face"/>
          <w:i/>
          <w:iCs/>
        </w:rPr>
        <w:br/>
        <w:t>• service-provider access;</w:t>
      </w:r>
      <w:r w:rsidRPr="00B479AE">
        <w:rPr>
          <w:rFonts w:ascii="Baskerville Old Face" w:hAnsi="Baskerville Old Face"/>
          <w:i/>
          <w:iCs/>
        </w:rPr>
        <w:br/>
        <w:t>• capital-facing access;</w:t>
      </w:r>
      <w:r w:rsidRPr="00B479AE">
        <w:rPr>
          <w:rFonts w:ascii="Baskerville Old Face" w:hAnsi="Baskerville Old Face"/>
          <w:i/>
          <w:iCs/>
        </w:rPr>
        <w:br/>
        <w:t>• institutional access;</w:t>
      </w:r>
      <w:r w:rsidRPr="00B479AE">
        <w:rPr>
          <w:rFonts w:ascii="Baskerville Old Face" w:hAnsi="Baskerville Old Face"/>
          <w:i/>
          <w:iCs/>
        </w:rPr>
        <w:br/>
        <w:t>• sandbox access;</w:t>
      </w:r>
      <w:r w:rsidRPr="00B479AE">
        <w:rPr>
          <w:rFonts w:ascii="Baskerville Old Face" w:hAnsi="Baskerville Old Face"/>
          <w:i/>
          <w:iCs/>
        </w:rPr>
        <w:br/>
        <w:t>• pilot-specific access.</w:t>
      </w:r>
    </w:p>
    <w:p w14:paraId="71D1D0EC"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Each access grant should specify:</w:t>
      </w:r>
    </w:p>
    <w:p w14:paraId="1948EFD0"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what the participant may do;</w:t>
      </w:r>
      <w:r w:rsidRPr="00B479AE">
        <w:rPr>
          <w:rFonts w:ascii="Baskerville Old Face" w:hAnsi="Baskerville Old Face"/>
          <w:i/>
          <w:iCs/>
        </w:rPr>
        <w:br/>
        <w:t>• what the participant may not do;</w:t>
      </w:r>
      <w:r w:rsidRPr="00B479AE">
        <w:rPr>
          <w:rFonts w:ascii="Baskerville Old Face" w:hAnsi="Baskerville Old Face"/>
          <w:i/>
          <w:iCs/>
        </w:rPr>
        <w:br/>
        <w:t>• which systems or spaces they may access;</w:t>
      </w:r>
      <w:r w:rsidRPr="00B479AE">
        <w:rPr>
          <w:rFonts w:ascii="Baskerville Old Face" w:hAnsi="Baskerville Old Face"/>
          <w:i/>
          <w:iCs/>
        </w:rPr>
        <w:br/>
        <w:t>• which data they may access;</w:t>
      </w:r>
      <w:r w:rsidRPr="00B479AE">
        <w:rPr>
          <w:rFonts w:ascii="Baskerville Old Face" w:hAnsi="Baskerville Old Face"/>
          <w:i/>
          <w:iCs/>
        </w:rPr>
        <w:br/>
        <w:t>• which decisions they may influence;</w:t>
      </w:r>
      <w:r w:rsidRPr="00B479AE">
        <w:rPr>
          <w:rFonts w:ascii="Baskerville Old Face" w:hAnsi="Baskerville Old Face"/>
          <w:i/>
          <w:iCs/>
        </w:rPr>
        <w:br/>
        <w:t>• which claims they may make publicly;</w:t>
      </w:r>
      <w:r w:rsidRPr="00B479AE">
        <w:rPr>
          <w:rFonts w:ascii="Baskerville Old Face" w:hAnsi="Baskerville Old Face"/>
          <w:i/>
          <w:iCs/>
        </w:rPr>
        <w:br/>
      </w:r>
      <w:r w:rsidRPr="00B479AE">
        <w:rPr>
          <w:rFonts w:ascii="Baskerville Old Face" w:hAnsi="Baskerville Old Face"/>
          <w:i/>
          <w:iCs/>
        </w:rPr>
        <w:lastRenderedPageBreak/>
        <w:t>• whether legal documentation is required;</w:t>
      </w:r>
      <w:r w:rsidRPr="00B479AE">
        <w:rPr>
          <w:rFonts w:ascii="Baskerville Old Face" w:hAnsi="Baskerville Old Face"/>
          <w:i/>
          <w:iCs/>
        </w:rPr>
        <w:br/>
        <w:t>• whether renewal is required;</w:t>
      </w:r>
      <w:r w:rsidRPr="00B479AE">
        <w:rPr>
          <w:rFonts w:ascii="Baskerville Old Face" w:hAnsi="Baskerville Old Face"/>
          <w:i/>
          <w:iCs/>
        </w:rPr>
        <w:br/>
        <w:t>• whether monitoring or reporting applies;</w:t>
      </w:r>
      <w:r w:rsidRPr="00B479AE">
        <w:rPr>
          <w:rFonts w:ascii="Baskerville Old Face" w:hAnsi="Baskerville Old Face"/>
          <w:i/>
          <w:iCs/>
        </w:rPr>
        <w:br/>
        <w:t>• whether access is time-bounded;</w:t>
      </w:r>
      <w:r w:rsidRPr="00B479AE">
        <w:rPr>
          <w:rFonts w:ascii="Baskerville Old Face" w:hAnsi="Baskerville Old Face"/>
          <w:i/>
          <w:iCs/>
        </w:rPr>
        <w:br/>
        <w:t>• whether access depends on continued Covenant compliance.</w:t>
      </w:r>
    </w:p>
    <w:p w14:paraId="1E24BEA1"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No participant should receive ambiguous access.</w:t>
      </w:r>
    </w:p>
    <w:p w14:paraId="02B1E595"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Ambiguous access becomes future conflict.</w:t>
      </w:r>
    </w:p>
    <w:p w14:paraId="7DC1365A"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Prometheus should therefore make the access grant precise enough that the participant, the community, governance reviewers, auditors, and future institutional counterparties can understand what was actually authorized.</w:t>
      </w:r>
    </w:p>
    <w:p w14:paraId="0FB91BEF" w14:textId="77777777" w:rsidR="00B13B31" w:rsidRPr="00B479AE" w:rsidRDefault="00B13B31" w:rsidP="00B13B31">
      <w:pPr>
        <w:spacing w:line="360" w:lineRule="auto"/>
        <w:rPr>
          <w:rFonts w:ascii="Baskerville Old Face" w:hAnsi="Baskerville Old Face"/>
          <w:b/>
          <w:bCs/>
          <w:i/>
          <w:iCs/>
        </w:rPr>
      </w:pPr>
      <w:r w:rsidRPr="00B479AE">
        <w:rPr>
          <w:rFonts w:ascii="Baskerville Old Face" w:hAnsi="Baskerville Old Face"/>
          <w:b/>
          <w:bCs/>
          <w:i/>
          <w:iCs/>
        </w:rPr>
        <w:t>8.7 Record Architecture</w:t>
      </w:r>
    </w:p>
    <w:p w14:paraId="4B7160C9"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Approved access should generate an appropriate record.</w:t>
      </w:r>
    </w:p>
    <w:p w14:paraId="579AEB5D"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record may be digital, legal, governance-based, operational, or combined depending on implementation stage and access type.</w:t>
      </w:r>
    </w:p>
    <w:p w14:paraId="6D4441A6"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 mature record may include:</w:t>
      </w:r>
    </w:p>
    <w:p w14:paraId="6E976899"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participant identity or entity reference;</w:t>
      </w:r>
      <w:r w:rsidRPr="00B479AE">
        <w:rPr>
          <w:rFonts w:ascii="Baskerville Old Face" w:hAnsi="Baskerville Old Face"/>
          <w:i/>
          <w:iCs/>
        </w:rPr>
        <w:br/>
        <w:t>• Access Covenant version;</w:t>
      </w:r>
      <w:r w:rsidRPr="00B479AE">
        <w:rPr>
          <w:rFonts w:ascii="Baskerville Old Face" w:hAnsi="Baskerville Old Face"/>
          <w:i/>
          <w:iCs/>
        </w:rPr>
        <w:br/>
        <w:t>• eligibility category;</w:t>
      </w:r>
      <w:r w:rsidRPr="00B479AE">
        <w:rPr>
          <w:rFonts w:ascii="Baskerville Old Face" w:hAnsi="Baskerville Old Face"/>
          <w:i/>
          <w:iCs/>
        </w:rPr>
        <w:br/>
        <w:t>• requested access scope;</w:t>
      </w:r>
      <w:r w:rsidRPr="00B479AE">
        <w:rPr>
          <w:rFonts w:ascii="Baskerville Old Face" w:hAnsi="Baskerville Old Face"/>
          <w:i/>
          <w:iCs/>
        </w:rPr>
        <w:br/>
        <w:t>• approved access scope;</w:t>
      </w:r>
      <w:r w:rsidRPr="00B479AE">
        <w:rPr>
          <w:rFonts w:ascii="Baskerville Old Face" w:hAnsi="Baskerville Old Face"/>
          <w:i/>
          <w:iCs/>
        </w:rPr>
        <w:br/>
        <w:t>• conditions or restrictions;</w:t>
      </w:r>
      <w:r w:rsidRPr="00B479AE">
        <w:rPr>
          <w:rFonts w:ascii="Baskerville Old Face" w:hAnsi="Baskerville Old Face"/>
          <w:i/>
          <w:iCs/>
        </w:rPr>
        <w:br/>
        <w:t>• timestamp;</w:t>
      </w:r>
      <w:r w:rsidRPr="00B479AE">
        <w:rPr>
          <w:rFonts w:ascii="Baskerville Old Face" w:hAnsi="Baskerville Old Face"/>
          <w:i/>
          <w:iCs/>
        </w:rPr>
        <w:br/>
        <w:t>• reviewer or reviewing body;</w:t>
      </w:r>
      <w:r w:rsidRPr="00B479AE">
        <w:rPr>
          <w:rFonts w:ascii="Baskerville Old Face" w:hAnsi="Baskerville Old Face"/>
          <w:i/>
          <w:iCs/>
        </w:rPr>
        <w:br/>
        <w:t>• legal agreement reference, where applicable;</w:t>
      </w:r>
      <w:r w:rsidRPr="00B479AE">
        <w:rPr>
          <w:rFonts w:ascii="Baskerville Old Face" w:hAnsi="Baskerville Old Face"/>
          <w:i/>
          <w:iCs/>
        </w:rPr>
        <w:br/>
        <w:t>• hash reference, where applicable;</w:t>
      </w:r>
      <w:r w:rsidRPr="00B479AE">
        <w:rPr>
          <w:rFonts w:ascii="Baskerville Old Face" w:hAnsi="Baskerville Old Face"/>
          <w:i/>
          <w:iCs/>
        </w:rPr>
        <w:br/>
        <w:t>• source-chain entry, where implemented;</w:t>
      </w:r>
      <w:r w:rsidRPr="00B479AE">
        <w:rPr>
          <w:rFonts w:ascii="Baskerville Old Face" w:hAnsi="Baskerville Old Face"/>
          <w:i/>
          <w:iCs/>
        </w:rPr>
        <w:br/>
        <w:t>• governance decision reference;</w:t>
      </w:r>
      <w:r w:rsidRPr="00B479AE">
        <w:rPr>
          <w:rFonts w:ascii="Baskerville Old Face" w:hAnsi="Baskerville Old Face"/>
          <w:i/>
          <w:iCs/>
        </w:rPr>
        <w:br/>
        <w:t>• renewal date;</w:t>
      </w:r>
      <w:r w:rsidRPr="00B479AE">
        <w:rPr>
          <w:rFonts w:ascii="Baskerville Old Face" w:hAnsi="Baskerville Old Face"/>
          <w:i/>
          <w:iCs/>
        </w:rPr>
        <w:br/>
        <w:t>• suspension or revocation status, if any.</w:t>
      </w:r>
    </w:p>
    <w:p w14:paraId="4194B9FB"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lastRenderedPageBreak/>
        <w:t>Where Prometheus uses Holochain-compatible infrastructure, access records may be represented through signed entries, source-chain records, DHT-published references, or validation-controlled access states.</w:t>
      </w:r>
    </w:p>
    <w:p w14:paraId="01AFAA87"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However, the document should preserve implementation discipline.</w:t>
      </w:r>
    </w:p>
    <w:p w14:paraId="4B2DB670"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 record may support traceability.</w:t>
      </w:r>
    </w:p>
    <w:p w14:paraId="33BCC5C6"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It does not by itself create financial rights, PRU value, land rights, investor rights, token entitlement, or governance authority beyond the scope explicitly granted.</w:t>
      </w:r>
    </w:p>
    <w:p w14:paraId="6BFC1AAA"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access record is evidence of status.</w:t>
      </w:r>
    </w:p>
    <w:p w14:paraId="4197CE83"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It is not a blank cheque from the gods of distributed systems.</w:t>
      </w:r>
    </w:p>
    <w:p w14:paraId="0FC89FBC" w14:textId="77777777" w:rsidR="00B13B31" w:rsidRPr="00B479AE" w:rsidRDefault="00B13B31" w:rsidP="00B13B31">
      <w:pPr>
        <w:spacing w:line="360" w:lineRule="auto"/>
        <w:rPr>
          <w:rFonts w:ascii="Baskerville Old Face" w:hAnsi="Baskerville Old Face"/>
          <w:b/>
          <w:bCs/>
          <w:i/>
          <w:iCs/>
        </w:rPr>
      </w:pPr>
      <w:r w:rsidRPr="00B479AE">
        <w:rPr>
          <w:rFonts w:ascii="Baskerville Old Face" w:hAnsi="Baskerville Old Face"/>
          <w:b/>
          <w:bCs/>
          <w:i/>
          <w:iCs/>
        </w:rPr>
        <w:t>8.8 Renewal and Reaffirmation</w:t>
      </w:r>
    </w:p>
    <w:p w14:paraId="1EA4BBA7"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Access should be periodically reviewed.</w:t>
      </w:r>
    </w:p>
    <w:p w14:paraId="30BFACAB"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review frequency should depend on role, risk, access scope, legal context, and implementation maturity.</w:t>
      </w:r>
    </w:p>
    <w:p w14:paraId="444FDC09"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Possible renewal triggers include:</w:t>
      </w:r>
    </w:p>
    <w:p w14:paraId="46B91CC9"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annual reaffirmation;</w:t>
      </w:r>
      <w:r w:rsidRPr="00B479AE">
        <w:rPr>
          <w:rFonts w:ascii="Baskerville Old Face" w:hAnsi="Baskerville Old Face"/>
          <w:i/>
          <w:iCs/>
        </w:rPr>
        <w:br/>
        <w:t>• expiration of access term;</w:t>
      </w:r>
      <w:r w:rsidRPr="00B479AE">
        <w:rPr>
          <w:rFonts w:ascii="Baskerville Old Face" w:hAnsi="Baskerville Old Face"/>
          <w:i/>
          <w:iCs/>
        </w:rPr>
        <w:br/>
        <w:t>• change of participant role;</w:t>
      </w:r>
      <w:r w:rsidRPr="00B479AE">
        <w:rPr>
          <w:rFonts w:ascii="Baskerville Old Face" w:hAnsi="Baskerville Old Face"/>
          <w:i/>
          <w:iCs/>
        </w:rPr>
        <w:br/>
        <w:t>• change of entity structure;</w:t>
      </w:r>
      <w:r w:rsidRPr="00B479AE">
        <w:rPr>
          <w:rFonts w:ascii="Baskerville Old Face" w:hAnsi="Baskerville Old Face"/>
          <w:i/>
          <w:iCs/>
        </w:rPr>
        <w:br/>
        <w:t>• change of control;</w:t>
      </w:r>
      <w:r w:rsidRPr="00B479AE">
        <w:rPr>
          <w:rFonts w:ascii="Baskerville Old Face" w:hAnsi="Baskerville Old Face"/>
          <w:i/>
          <w:iCs/>
        </w:rPr>
        <w:br/>
        <w:t>• change of tokenomics;</w:t>
      </w:r>
      <w:r w:rsidRPr="00B479AE">
        <w:rPr>
          <w:rFonts w:ascii="Baskerville Old Face" w:hAnsi="Baskerville Old Face"/>
          <w:i/>
          <w:iCs/>
        </w:rPr>
        <w:br/>
        <w:t>• change of investment strategy;</w:t>
      </w:r>
      <w:r w:rsidRPr="00B479AE">
        <w:rPr>
          <w:rFonts w:ascii="Baskerville Old Face" w:hAnsi="Baskerville Old Face"/>
          <w:i/>
          <w:iCs/>
        </w:rPr>
        <w:br/>
        <w:t>• change of legal status;</w:t>
      </w:r>
      <w:r w:rsidRPr="00B479AE">
        <w:rPr>
          <w:rFonts w:ascii="Baskerville Old Face" w:hAnsi="Baskerville Old Face"/>
          <w:i/>
          <w:iCs/>
        </w:rPr>
        <w:br/>
        <w:t>• change of MRV role;</w:t>
      </w:r>
      <w:r w:rsidRPr="00B479AE">
        <w:rPr>
          <w:rFonts w:ascii="Baskerville Old Face" w:hAnsi="Baskerville Old Face"/>
          <w:i/>
          <w:iCs/>
        </w:rPr>
        <w:br/>
        <w:t>• change of technical permissions;</w:t>
      </w:r>
      <w:r w:rsidRPr="00B479AE">
        <w:rPr>
          <w:rFonts w:ascii="Baskerville Old Face" w:hAnsi="Baskerville Old Face"/>
          <w:i/>
          <w:iCs/>
        </w:rPr>
        <w:br/>
        <w:t>• breach or suspected breach;</w:t>
      </w:r>
      <w:r w:rsidRPr="00B479AE">
        <w:rPr>
          <w:rFonts w:ascii="Baskerville Old Face" w:hAnsi="Baskerville Old Face"/>
          <w:i/>
          <w:iCs/>
        </w:rPr>
        <w:br/>
        <w:t>• material governance concern;</w:t>
      </w:r>
      <w:r w:rsidRPr="00B479AE">
        <w:rPr>
          <w:rFonts w:ascii="Baskerville Old Face" w:hAnsi="Baskerville Old Face"/>
          <w:i/>
          <w:iCs/>
        </w:rPr>
        <w:br/>
        <w:t>• material ecological, financial, technical, or reputational risk.</w:t>
      </w:r>
    </w:p>
    <w:p w14:paraId="46922ADA"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Reaffirmation may include:</w:t>
      </w:r>
    </w:p>
    <w:p w14:paraId="7082D33F"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lastRenderedPageBreak/>
        <w:t>• renewed Access Covenant acknowledgment;</w:t>
      </w:r>
      <w:r w:rsidRPr="00B479AE">
        <w:rPr>
          <w:rFonts w:ascii="Baskerville Old Face" w:hAnsi="Baskerville Old Face"/>
          <w:i/>
          <w:iCs/>
        </w:rPr>
        <w:br/>
        <w:t>• confirmation of current role;</w:t>
      </w:r>
      <w:r w:rsidRPr="00B479AE">
        <w:rPr>
          <w:rFonts w:ascii="Baskerville Old Face" w:hAnsi="Baskerville Old Face"/>
          <w:i/>
          <w:iCs/>
        </w:rPr>
        <w:br/>
        <w:t>• confirmation of current representative authority;</w:t>
      </w:r>
      <w:r w:rsidRPr="00B479AE">
        <w:rPr>
          <w:rFonts w:ascii="Baskerville Old Face" w:hAnsi="Baskerville Old Face"/>
          <w:i/>
          <w:iCs/>
        </w:rPr>
        <w:br/>
        <w:t>• updated documentation;</w:t>
      </w:r>
      <w:r w:rsidRPr="00B479AE">
        <w:rPr>
          <w:rFonts w:ascii="Baskerville Old Face" w:hAnsi="Baskerville Old Face"/>
          <w:i/>
          <w:iCs/>
        </w:rPr>
        <w:br/>
        <w:t>• conflict-of-interest update;</w:t>
      </w:r>
      <w:r w:rsidRPr="00B479AE">
        <w:rPr>
          <w:rFonts w:ascii="Baskerville Old Face" w:hAnsi="Baskerville Old Face"/>
          <w:i/>
          <w:iCs/>
        </w:rPr>
        <w:br/>
        <w:t>• confirmation of continued eligibility;</w:t>
      </w:r>
      <w:r w:rsidRPr="00B479AE">
        <w:rPr>
          <w:rFonts w:ascii="Baskerville Old Face" w:hAnsi="Baskerville Old Face"/>
          <w:i/>
          <w:iCs/>
        </w:rPr>
        <w:br/>
        <w:t>• review of conditions or restrictions;</w:t>
      </w:r>
      <w:r w:rsidRPr="00B479AE">
        <w:rPr>
          <w:rFonts w:ascii="Baskerville Old Face" w:hAnsi="Baskerville Old Face"/>
          <w:i/>
          <w:iCs/>
        </w:rPr>
        <w:br/>
        <w:t>• update of access scope.</w:t>
      </w:r>
    </w:p>
    <w:p w14:paraId="65EF00DC"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Failure to renew should be handled proportionately.</w:t>
      </w:r>
    </w:p>
    <w:p w14:paraId="1D00E432"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Possible responses include:</w:t>
      </w:r>
    </w:p>
    <w:p w14:paraId="463F17B3"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reminder;</w:t>
      </w:r>
      <w:r w:rsidRPr="00B479AE">
        <w:rPr>
          <w:rFonts w:ascii="Baskerville Old Face" w:hAnsi="Baskerville Old Face"/>
          <w:i/>
          <w:iCs/>
        </w:rPr>
        <w:br/>
        <w:t>• grace period;</w:t>
      </w:r>
      <w:r w:rsidRPr="00B479AE">
        <w:rPr>
          <w:rFonts w:ascii="Baskerville Old Face" w:hAnsi="Baskerville Old Face"/>
          <w:i/>
          <w:iCs/>
        </w:rPr>
        <w:br/>
        <w:t>• review-required status;</w:t>
      </w:r>
      <w:r w:rsidRPr="00B479AE">
        <w:rPr>
          <w:rFonts w:ascii="Baskerville Old Face" w:hAnsi="Baskerville Old Face"/>
          <w:i/>
          <w:iCs/>
        </w:rPr>
        <w:br/>
        <w:t>• temporary limitation of sensitive access;</w:t>
      </w:r>
      <w:r w:rsidRPr="00B479AE">
        <w:rPr>
          <w:rFonts w:ascii="Baskerville Old Face" w:hAnsi="Baskerville Old Face"/>
          <w:i/>
          <w:iCs/>
        </w:rPr>
        <w:br/>
        <w:t>• suspension of governance or technical functions;</w:t>
      </w:r>
      <w:r w:rsidRPr="00B479AE">
        <w:rPr>
          <w:rFonts w:ascii="Baskerville Old Face" w:hAnsi="Baskerville Old Face"/>
          <w:i/>
          <w:iCs/>
        </w:rPr>
        <w:br/>
        <w:t>• suspension of capital-facing privileges;</w:t>
      </w:r>
      <w:r w:rsidRPr="00B479AE">
        <w:rPr>
          <w:rFonts w:ascii="Baskerville Old Face" w:hAnsi="Baskerville Old Face"/>
          <w:i/>
          <w:iCs/>
        </w:rPr>
        <w:br/>
        <w:t>• termination of access where appropriate.</w:t>
      </w:r>
    </w:p>
    <w:p w14:paraId="7D7CF714"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Prometheus should avoid automatic punitive escalation unless formally defined, technically implemented, legally appropriate, and governance-approved.</w:t>
      </w:r>
    </w:p>
    <w:p w14:paraId="3E1FBE4A"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purpose of renewal is continuity of coherence, not bureaucratic ambush.</w:t>
      </w:r>
    </w:p>
    <w:p w14:paraId="78FD6541" w14:textId="77777777" w:rsidR="00B13B31" w:rsidRPr="00B479AE" w:rsidRDefault="00B13B31" w:rsidP="00B13B31">
      <w:pPr>
        <w:spacing w:line="360" w:lineRule="auto"/>
        <w:rPr>
          <w:rFonts w:ascii="Baskerville Old Face" w:hAnsi="Baskerville Old Face"/>
          <w:b/>
          <w:bCs/>
          <w:i/>
          <w:iCs/>
        </w:rPr>
      </w:pPr>
      <w:r w:rsidRPr="00B479AE">
        <w:rPr>
          <w:rFonts w:ascii="Baskerville Old Face" w:hAnsi="Baskerville Old Face"/>
          <w:b/>
          <w:bCs/>
          <w:i/>
          <w:iCs/>
        </w:rPr>
        <w:t>8.9 Material Changes</w:t>
      </w:r>
    </w:p>
    <w:p w14:paraId="3FE55AF7" w14:textId="031CD0A3"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 participant must disclose material changes that may affect eligibility, risk, access scope, or Covenant alignment.</w:t>
      </w:r>
      <w:r w:rsidR="00D078E8" w:rsidRPr="00B479AE">
        <w:rPr>
          <w:rFonts w:ascii="Baskerville Old Face" w:hAnsi="Baskerville Old Face"/>
          <w:i/>
          <w:iCs/>
        </w:rPr>
        <w:t xml:space="preserve"> </w:t>
      </w:r>
      <w:r w:rsidRPr="00B479AE">
        <w:rPr>
          <w:rFonts w:ascii="Baskerville Old Face" w:hAnsi="Baskerville Old Face"/>
          <w:i/>
          <w:iCs/>
        </w:rPr>
        <w:t>Material changes may include:</w:t>
      </w:r>
    </w:p>
    <w:p w14:paraId="5CDF98EF"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change of legal identity;</w:t>
      </w:r>
      <w:r w:rsidRPr="00B479AE">
        <w:rPr>
          <w:rFonts w:ascii="Baskerville Old Face" w:hAnsi="Baskerville Old Face"/>
          <w:i/>
          <w:iCs/>
        </w:rPr>
        <w:br/>
        <w:t>• change of ownership or control;</w:t>
      </w:r>
      <w:r w:rsidRPr="00B479AE">
        <w:rPr>
          <w:rFonts w:ascii="Baskerville Old Face" w:hAnsi="Baskerville Old Face"/>
          <w:i/>
          <w:iCs/>
        </w:rPr>
        <w:br/>
        <w:t>• change of representative authority;</w:t>
      </w:r>
      <w:r w:rsidRPr="00B479AE">
        <w:rPr>
          <w:rFonts w:ascii="Baskerville Old Face" w:hAnsi="Baskerville Old Face"/>
          <w:i/>
          <w:iCs/>
        </w:rPr>
        <w:br/>
        <w:t>• change of governance structure;</w:t>
      </w:r>
      <w:r w:rsidRPr="00B479AE">
        <w:rPr>
          <w:rFonts w:ascii="Baskerville Old Face" w:hAnsi="Baskerville Old Face"/>
          <w:i/>
          <w:iCs/>
        </w:rPr>
        <w:br/>
        <w:t>• change of tokenomics;</w:t>
      </w:r>
      <w:r w:rsidRPr="00B479AE">
        <w:rPr>
          <w:rFonts w:ascii="Baskerville Old Face" w:hAnsi="Baskerville Old Face"/>
          <w:i/>
          <w:iCs/>
        </w:rPr>
        <w:br/>
        <w:t>• change of treasury policy;</w:t>
      </w:r>
      <w:r w:rsidRPr="00B479AE">
        <w:rPr>
          <w:rFonts w:ascii="Baskerville Old Face" w:hAnsi="Baskerville Old Face"/>
          <w:i/>
          <w:iCs/>
        </w:rPr>
        <w:br/>
      </w:r>
      <w:r w:rsidRPr="00B479AE">
        <w:rPr>
          <w:rFonts w:ascii="Baskerville Old Face" w:hAnsi="Baskerville Old Face"/>
          <w:i/>
          <w:iCs/>
        </w:rPr>
        <w:lastRenderedPageBreak/>
        <w:t>• change of investment strategy;</w:t>
      </w:r>
      <w:r w:rsidRPr="00B479AE">
        <w:rPr>
          <w:rFonts w:ascii="Baskerville Old Face" w:hAnsi="Baskerville Old Face"/>
          <w:i/>
          <w:iCs/>
        </w:rPr>
        <w:br/>
        <w:t>• change of regulatory status;</w:t>
      </w:r>
      <w:r w:rsidRPr="00B479AE">
        <w:rPr>
          <w:rFonts w:ascii="Baskerville Old Face" w:hAnsi="Baskerville Old Face"/>
          <w:i/>
          <w:iCs/>
        </w:rPr>
        <w:br/>
        <w:t>• change of data-processing practices;</w:t>
      </w:r>
      <w:r w:rsidRPr="00B479AE">
        <w:rPr>
          <w:rFonts w:ascii="Baskerville Old Face" w:hAnsi="Baskerville Old Face"/>
          <w:i/>
          <w:iCs/>
        </w:rPr>
        <w:br/>
        <w:t>• change of technical infrastructure;</w:t>
      </w:r>
      <w:r w:rsidRPr="00B479AE">
        <w:rPr>
          <w:rFonts w:ascii="Baskerville Old Face" w:hAnsi="Baskerville Old Face"/>
          <w:i/>
          <w:iCs/>
        </w:rPr>
        <w:br/>
        <w:t>• change of MRV methodology or role;</w:t>
      </w:r>
      <w:r w:rsidRPr="00B479AE">
        <w:rPr>
          <w:rFonts w:ascii="Baskerville Old Face" w:hAnsi="Baskerville Old Face"/>
          <w:i/>
          <w:iCs/>
        </w:rPr>
        <w:br/>
        <w:t>• change of public claims;</w:t>
      </w:r>
      <w:r w:rsidRPr="00B479AE">
        <w:rPr>
          <w:rFonts w:ascii="Baskerville Old Face" w:hAnsi="Baskerville Old Face"/>
          <w:i/>
          <w:iCs/>
        </w:rPr>
        <w:br/>
        <w:t>• change of business model;</w:t>
      </w:r>
      <w:r w:rsidRPr="00B479AE">
        <w:rPr>
          <w:rFonts w:ascii="Baskerville Old Face" w:hAnsi="Baskerville Old Face"/>
          <w:i/>
          <w:iCs/>
        </w:rPr>
        <w:br/>
        <w:t>• change of land-access arrangement;</w:t>
      </w:r>
      <w:r w:rsidRPr="00B479AE">
        <w:rPr>
          <w:rFonts w:ascii="Baskerville Old Face" w:hAnsi="Baskerville Old Face"/>
          <w:i/>
          <w:iCs/>
        </w:rPr>
        <w:br/>
        <w:t>• change of community governance;</w:t>
      </w:r>
      <w:r w:rsidRPr="00B479AE">
        <w:rPr>
          <w:rFonts w:ascii="Baskerville Old Face" w:hAnsi="Baskerville Old Face"/>
          <w:i/>
          <w:iCs/>
        </w:rPr>
        <w:br/>
        <w:t>• emergence of conflict of interest;</w:t>
      </w:r>
      <w:r w:rsidRPr="00B479AE">
        <w:rPr>
          <w:rFonts w:ascii="Baskerville Old Face" w:hAnsi="Baskerville Old Face"/>
          <w:i/>
          <w:iCs/>
        </w:rPr>
        <w:br/>
        <w:t>• litigation, enforcement, insolvency, or serious reputational event.</w:t>
      </w:r>
    </w:p>
    <w:p w14:paraId="08FAF58D"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Material changes do not automatically terminate access.</w:t>
      </w:r>
    </w:p>
    <w:p w14:paraId="184E42CD" w14:textId="0333F3F8"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They trigger review.</w:t>
      </w:r>
      <w:r w:rsidR="00CA4128" w:rsidRPr="00B479AE">
        <w:rPr>
          <w:rFonts w:ascii="Baskerville Old Face" w:hAnsi="Baskerville Old Face"/>
          <w:i/>
          <w:iCs/>
        </w:rPr>
        <w:t xml:space="preserve"> </w:t>
      </w:r>
      <w:r w:rsidRPr="00B479AE">
        <w:rPr>
          <w:rFonts w:ascii="Baskerville Old Face" w:hAnsi="Baskerville Old Face"/>
          <w:i/>
          <w:iCs/>
        </w:rPr>
        <w:t>The review may result in:</w:t>
      </w:r>
    </w:p>
    <w:p w14:paraId="0D656C05"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no change;</w:t>
      </w:r>
      <w:r w:rsidRPr="00B479AE">
        <w:rPr>
          <w:rFonts w:ascii="Baskerville Old Face" w:hAnsi="Baskerville Old Face"/>
          <w:i/>
          <w:iCs/>
        </w:rPr>
        <w:br/>
        <w:t>• updated access scope;</w:t>
      </w:r>
      <w:r w:rsidRPr="00B479AE">
        <w:rPr>
          <w:rFonts w:ascii="Baskerville Old Face" w:hAnsi="Baskerville Old Face"/>
          <w:i/>
          <w:iCs/>
        </w:rPr>
        <w:br/>
        <w:t>• additional documentation;</w:t>
      </w:r>
      <w:r w:rsidRPr="00B479AE">
        <w:rPr>
          <w:rFonts w:ascii="Baskerville Old Face" w:hAnsi="Baskerville Old Face"/>
          <w:i/>
          <w:iCs/>
        </w:rPr>
        <w:br/>
        <w:t>• enhanced monitoring;</w:t>
      </w:r>
      <w:r w:rsidRPr="00B479AE">
        <w:rPr>
          <w:rFonts w:ascii="Baskerville Old Face" w:hAnsi="Baskerville Old Face"/>
          <w:i/>
          <w:iCs/>
        </w:rPr>
        <w:br/>
        <w:t>• temporary restriction;</w:t>
      </w:r>
      <w:r w:rsidRPr="00B479AE">
        <w:rPr>
          <w:rFonts w:ascii="Baskerville Old Face" w:hAnsi="Baskerville Old Face"/>
          <w:i/>
          <w:iCs/>
        </w:rPr>
        <w:br/>
        <w:t>• reclassification of risk;</w:t>
      </w:r>
      <w:r w:rsidRPr="00B479AE">
        <w:rPr>
          <w:rFonts w:ascii="Baskerville Old Face" w:hAnsi="Baskerville Old Face"/>
          <w:i/>
          <w:iCs/>
        </w:rPr>
        <w:br/>
        <w:t>• legal review;</w:t>
      </w:r>
      <w:r w:rsidRPr="00B479AE">
        <w:rPr>
          <w:rFonts w:ascii="Baskerville Old Face" w:hAnsi="Baskerville Old Face"/>
          <w:i/>
          <w:iCs/>
        </w:rPr>
        <w:br/>
        <w:t>• governance review;</w:t>
      </w:r>
      <w:r w:rsidRPr="00B479AE">
        <w:rPr>
          <w:rFonts w:ascii="Baskerville Old Face" w:hAnsi="Baskerville Old Face"/>
          <w:i/>
          <w:iCs/>
        </w:rPr>
        <w:br/>
        <w:t>• suspension;</w:t>
      </w:r>
      <w:r w:rsidRPr="00B479AE">
        <w:rPr>
          <w:rFonts w:ascii="Baskerville Old Face" w:hAnsi="Baskerville Old Face"/>
          <w:i/>
          <w:iCs/>
        </w:rPr>
        <w:br/>
        <w:t>• termination.</w:t>
      </w:r>
    </w:p>
    <w:p w14:paraId="6A4A80CF" w14:textId="64144B22"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principle is adaptive governance.</w:t>
      </w:r>
      <w:r w:rsidR="00D078E8" w:rsidRPr="00B479AE">
        <w:rPr>
          <w:rFonts w:ascii="Baskerville Old Face" w:hAnsi="Baskerville Old Face"/>
          <w:i/>
          <w:iCs/>
        </w:rPr>
        <w:t xml:space="preserve"> </w:t>
      </w:r>
      <w:r w:rsidRPr="00B479AE">
        <w:rPr>
          <w:rFonts w:ascii="Baskerville Old Face" w:hAnsi="Baskerville Old Face"/>
          <w:i/>
          <w:iCs/>
        </w:rPr>
        <w:t>Prometheus should respond to reality as it changes.</w:t>
      </w:r>
    </w:p>
    <w:p w14:paraId="74E573F8" w14:textId="77777777" w:rsidR="00B13B31" w:rsidRPr="00B479AE" w:rsidRDefault="00B13B31" w:rsidP="00B13B31">
      <w:pPr>
        <w:spacing w:line="360" w:lineRule="auto"/>
        <w:rPr>
          <w:rFonts w:ascii="Baskerville Old Face" w:hAnsi="Baskerville Old Face"/>
          <w:b/>
          <w:bCs/>
          <w:i/>
          <w:iCs/>
        </w:rPr>
      </w:pPr>
      <w:r w:rsidRPr="00B479AE">
        <w:rPr>
          <w:rFonts w:ascii="Baskerville Old Face" w:hAnsi="Baskerville Old Face"/>
          <w:b/>
          <w:bCs/>
          <w:i/>
          <w:iCs/>
        </w:rPr>
        <w:t>8.10 Ongoing Compliance and Monitoring</w:t>
      </w:r>
    </w:p>
    <w:p w14:paraId="219EF665"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Participation in Prometheus is not a one-time event.</w:t>
      </w:r>
    </w:p>
    <w:p w14:paraId="6A5F398F"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It is a continuing relationship.</w:t>
      </w:r>
    </w:p>
    <w:p w14:paraId="62301DFB"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Ongoing compliance may include:</w:t>
      </w:r>
    </w:p>
    <w:p w14:paraId="6AFB09C3"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lastRenderedPageBreak/>
        <w:t>• Covenant compliance;</w:t>
      </w:r>
      <w:r w:rsidRPr="00B479AE">
        <w:rPr>
          <w:rFonts w:ascii="Baskerville Old Face" w:hAnsi="Baskerville Old Face"/>
          <w:i/>
          <w:iCs/>
        </w:rPr>
        <w:br/>
        <w:t>• role compliance;</w:t>
      </w:r>
      <w:r w:rsidRPr="00B479AE">
        <w:rPr>
          <w:rFonts w:ascii="Baskerville Old Face" w:hAnsi="Baskerville Old Face"/>
          <w:i/>
          <w:iCs/>
        </w:rPr>
        <w:br/>
        <w:t>• reporting obligations;</w:t>
      </w:r>
      <w:r w:rsidRPr="00B479AE">
        <w:rPr>
          <w:rFonts w:ascii="Baskerville Old Face" w:hAnsi="Baskerville Old Face"/>
          <w:i/>
          <w:iCs/>
        </w:rPr>
        <w:br/>
        <w:t>• technical-access discipline;</w:t>
      </w:r>
      <w:r w:rsidRPr="00B479AE">
        <w:rPr>
          <w:rFonts w:ascii="Baskerville Old Face" w:hAnsi="Baskerville Old Face"/>
          <w:i/>
          <w:iCs/>
        </w:rPr>
        <w:br/>
        <w:t>• MRV integrity;</w:t>
      </w:r>
      <w:r w:rsidRPr="00B479AE">
        <w:rPr>
          <w:rFonts w:ascii="Baskerville Old Face" w:hAnsi="Baskerville Old Face"/>
          <w:i/>
          <w:iCs/>
        </w:rPr>
        <w:br/>
        <w:t>• governance participation rules;</w:t>
      </w:r>
      <w:r w:rsidRPr="00B479AE">
        <w:rPr>
          <w:rFonts w:ascii="Baskerville Old Face" w:hAnsi="Baskerville Old Face"/>
          <w:i/>
          <w:iCs/>
        </w:rPr>
        <w:br/>
        <w:t>• legal agreement compliance;</w:t>
      </w:r>
      <w:r w:rsidRPr="00B479AE">
        <w:rPr>
          <w:rFonts w:ascii="Baskerville Old Face" w:hAnsi="Baskerville Old Face"/>
          <w:i/>
          <w:iCs/>
        </w:rPr>
        <w:br/>
        <w:t>• public-communication discipline;</w:t>
      </w:r>
      <w:r w:rsidRPr="00B479AE">
        <w:rPr>
          <w:rFonts w:ascii="Baskerville Old Face" w:hAnsi="Baskerville Old Face"/>
          <w:i/>
          <w:iCs/>
        </w:rPr>
        <w:br/>
        <w:t>• data-protection compliance;</w:t>
      </w:r>
      <w:r w:rsidRPr="00B479AE">
        <w:rPr>
          <w:rFonts w:ascii="Baskerville Old Face" w:hAnsi="Baskerville Old Face"/>
          <w:i/>
          <w:iCs/>
        </w:rPr>
        <w:br/>
        <w:t>• conflict-of-interest updates;</w:t>
      </w:r>
      <w:r w:rsidRPr="00B479AE">
        <w:rPr>
          <w:rFonts w:ascii="Baskerville Old Face" w:hAnsi="Baskerville Old Face"/>
          <w:i/>
          <w:iCs/>
        </w:rPr>
        <w:br/>
        <w:t>• periodic review.</w:t>
      </w:r>
    </w:p>
    <w:p w14:paraId="3BB2670A"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Monitoring may be human, procedural, legal, technical, governance-based, or automated where implementation allows.</w:t>
      </w:r>
    </w:p>
    <w:p w14:paraId="4627C55F" w14:textId="59D56D76"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xml:space="preserve">Prometheus </w:t>
      </w:r>
      <w:r w:rsidR="00D1089D" w:rsidRPr="00B479AE">
        <w:rPr>
          <w:rFonts w:ascii="Baskerville Old Face" w:hAnsi="Baskerville Old Face"/>
          <w:i/>
          <w:iCs/>
        </w:rPr>
        <w:t xml:space="preserve">must not overclaim </w:t>
      </w:r>
      <w:r w:rsidRPr="00B479AE">
        <w:rPr>
          <w:rFonts w:ascii="Baskerville Old Face" w:hAnsi="Baskerville Old Face"/>
          <w:i/>
          <w:iCs/>
        </w:rPr>
        <w:t>automatic enforcement.</w:t>
      </w:r>
    </w:p>
    <w:p w14:paraId="7ECBA613"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Where automated alerts, validation rules, warrant logic, reputation signals, anomaly detection, or technical controls are implemented, they should support review.</w:t>
      </w:r>
    </w:p>
    <w:p w14:paraId="65AF1B90"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They should not replace due process where human, legal, ecological, financial, or constitutional interpretation is required.</w:t>
      </w:r>
    </w:p>
    <w:p w14:paraId="09C15C7A"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system may flag.</w:t>
      </w:r>
    </w:p>
    <w:p w14:paraId="5A055CC8"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system may restrict.</w:t>
      </w:r>
    </w:p>
    <w:p w14:paraId="1AC541CB"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system may pause.</w:t>
      </w:r>
    </w:p>
    <w:p w14:paraId="1C79DA1F"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system may escalate.</w:t>
      </w:r>
    </w:p>
    <w:p w14:paraId="09B194C8"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But high-impact consequences should remain reviewable according to the applicable governance and legal pathway.</w:t>
      </w:r>
    </w:p>
    <w:p w14:paraId="7CA57500"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This is essential for institutional credibility.</w:t>
      </w:r>
    </w:p>
    <w:p w14:paraId="7286719D"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Automatic punishment is not governance.</w:t>
      </w:r>
    </w:p>
    <w:p w14:paraId="2AC1948A"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It is machinery wearing a judge’s wig.</w:t>
      </w:r>
    </w:p>
    <w:p w14:paraId="5F6C3963"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lastRenderedPageBreak/>
        <w:t>Prometheus must be better than that.</w:t>
      </w:r>
    </w:p>
    <w:p w14:paraId="6D83737E" w14:textId="77777777" w:rsidR="00B13B31" w:rsidRPr="00B479AE" w:rsidRDefault="00B13B31" w:rsidP="00B13B31">
      <w:pPr>
        <w:spacing w:line="360" w:lineRule="auto"/>
        <w:rPr>
          <w:rFonts w:ascii="Baskerville Old Face" w:hAnsi="Baskerville Old Face"/>
          <w:b/>
          <w:bCs/>
          <w:i/>
          <w:iCs/>
        </w:rPr>
      </w:pPr>
      <w:r w:rsidRPr="00B479AE">
        <w:rPr>
          <w:rFonts w:ascii="Baskerville Old Face" w:hAnsi="Baskerville Old Face"/>
          <w:b/>
          <w:bCs/>
          <w:i/>
          <w:iCs/>
        </w:rPr>
        <w:t>8.11 Appeal, Reconsideration, and Review</w:t>
      </w:r>
    </w:p>
    <w:p w14:paraId="66F28D2D"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Where access is denied, restricted, suspended, or materially conditioned, the participant may be entitled to appeal or reconsideration depending on the nature of the decision, access scope, legal context, and governance rules.</w:t>
      </w:r>
    </w:p>
    <w:p w14:paraId="021EE07A"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An appeal pathway may include:</w:t>
      </w:r>
    </w:p>
    <w:p w14:paraId="759655B9"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reasoned request for reconsideration;</w:t>
      </w:r>
      <w:r w:rsidRPr="00B479AE">
        <w:rPr>
          <w:rFonts w:ascii="Baskerville Old Face" w:hAnsi="Baskerville Old Face"/>
          <w:i/>
          <w:iCs/>
        </w:rPr>
        <w:br/>
        <w:t>• submission of additional evidence;</w:t>
      </w:r>
      <w:r w:rsidRPr="00B479AE">
        <w:rPr>
          <w:rFonts w:ascii="Baskerville Old Face" w:hAnsi="Baskerville Old Face"/>
          <w:i/>
          <w:iCs/>
        </w:rPr>
        <w:br/>
        <w:t>• review by a higher or separate circle;</w:t>
      </w:r>
      <w:r w:rsidRPr="00B479AE">
        <w:rPr>
          <w:rFonts w:ascii="Baskerville Old Face" w:hAnsi="Baskerville Old Face"/>
          <w:i/>
          <w:iCs/>
        </w:rPr>
        <w:br/>
        <w:t>• legal review, where relevant;</w:t>
      </w:r>
      <w:r w:rsidRPr="00B479AE">
        <w:rPr>
          <w:rFonts w:ascii="Baskerville Old Face" w:hAnsi="Baskerville Old Face"/>
          <w:i/>
          <w:iCs/>
        </w:rPr>
        <w:br/>
        <w:t>• technical review, where relevant;</w:t>
      </w:r>
      <w:r w:rsidRPr="00B479AE">
        <w:rPr>
          <w:rFonts w:ascii="Baskerville Old Face" w:hAnsi="Baskerville Old Face"/>
          <w:i/>
          <w:iCs/>
        </w:rPr>
        <w:br/>
        <w:t>• MRV review, where relevant;</w:t>
      </w:r>
      <w:r w:rsidRPr="00B479AE">
        <w:rPr>
          <w:rFonts w:ascii="Baskerville Old Face" w:hAnsi="Baskerville Old Face"/>
          <w:i/>
          <w:iCs/>
        </w:rPr>
        <w:br/>
        <w:t>• integrity review, where relevant;</w:t>
      </w:r>
      <w:r w:rsidRPr="00B479AE">
        <w:rPr>
          <w:rFonts w:ascii="Baskerville Old Face" w:hAnsi="Baskerville Old Face"/>
          <w:i/>
          <w:iCs/>
        </w:rPr>
        <w:br/>
        <w:t>• constitutional review for source-layer questions.</w:t>
      </w:r>
    </w:p>
    <w:p w14:paraId="23639D43"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Appeals should not become a mechanism to pressure the system into lowering constitutional standards.</w:t>
      </w:r>
    </w:p>
    <w:p w14:paraId="3F94D1E8"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reviewing body should distinguish between:</w:t>
      </w:r>
    </w:p>
    <w:p w14:paraId="4B457E75"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factual error;</w:t>
      </w:r>
      <w:r w:rsidRPr="00B479AE">
        <w:rPr>
          <w:rFonts w:ascii="Baskerville Old Face" w:hAnsi="Baskerville Old Face"/>
          <w:i/>
          <w:iCs/>
        </w:rPr>
        <w:br/>
        <w:t>• missing information;</w:t>
      </w:r>
      <w:r w:rsidRPr="00B479AE">
        <w:rPr>
          <w:rFonts w:ascii="Baskerville Old Face" w:hAnsi="Baskerville Old Face"/>
          <w:i/>
          <w:iCs/>
        </w:rPr>
        <w:br/>
        <w:t>• misunderstanding of access scope;</w:t>
      </w:r>
      <w:r w:rsidRPr="00B479AE">
        <w:rPr>
          <w:rFonts w:ascii="Baskerville Old Face" w:hAnsi="Baskerville Old Face"/>
          <w:i/>
          <w:iCs/>
        </w:rPr>
        <w:br/>
        <w:t>• changed circumstances;</w:t>
      </w:r>
      <w:r w:rsidRPr="00B479AE">
        <w:rPr>
          <w:rFonts w:ascii="Baskerville Old Face" w:hAnsi="Baskerville Old Face"/>
          <w:i/>
          <w:iCs/>
        </w:rPr>
        <w:br/>
        <w:t>• governance disagreement;</w:t>
      </w:r>
      <w:r w:rsidRPr="00B479AE">
        <w:rPr>
          <w:rFonts w:ascii="Baskerville Old Face" w:hAnsi="Baskerville Old Face"/>
          <w:i/>
          <w:iCs/>
        </w:rPr>
        <w:br/>
        <w:t>• legal dispute;</w:t>
      </w:r>
      <w:r w:rsidRPr="00B479AE">
        <w:rPr>
          <w:rFonts w:ascii="Baskerville Old Face" w:hAnsi="Baskerville Old Face"/>
          <w:i/>
          <w:iCs/>
        </w:rPr>
        <w:br/>
        <w:t>• constitutional incompatibility.</w:t>
      </w:r>
    </w:p>
    <w:p w14:paraId="44112BCA"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 participant may correct facts.</w:t>
      </w:r>
    </w:p>
    <w:p w14:paraId="61C9C3B1"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 participant may provide missing evidence.</w:t>
      </w:r>
    </w:p>
    <w:p w14:paraId="146538F1"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 participant may narrow the requested scope.</w:t>
      </w:r>
    </w:p>
    <w:p w14:paraId="0A462EA6"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 participant may enter through sandbox access.</w:t>
      </w:r>
    </w:p>
    <w:p w14:paraId="41785984"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lastRenderedPageBreak/>
        <w:t>But no appeal may override the foundational articles, Eternity Clauses, Access Covenant, evidence-before-value discipline, PRU/MRV boundaries, or source-layer non-bypassability.</w:t>
      </w:r>
    </w:p>
    <w:p w14:paraId="410EF42B"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highest appeal is not power.</w:t>
      </w:r>
    </w:p>
    <w:p w14:paraId="75B9FFF1"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highest appeal is fidelity.</w:t>
      </w:r>
    </w:p>
    <w:p w14:paraId="4628AE9E" w14:textId="77777777" w:rsidR="00B13B31" w:rsidRPr="00B479AE" w:rsidRDefault="00B13B31" w:rsidP="00B13B31">
      <w:pPr>
        <w:spacing w:line="360" w:lineRule="auto"/>
        <w:rPr>
          <w:rFonts w:ascii="Baskerville Old Face" w:hAnsi="Baskerville Old Face"/>
          <w:b/>
          <w:bCs/>
          <w:i/>
          <w:iCs/>
        </w:rPr>
      </w:pPr>
      <w:r w:rsidRPr="00B479AE">
        <w:rPr>
          <w:rFonts w:ascii="Baskerville Old Face" w:hAnsi="Baskerville Old Face"/>
          <w:b/>
          <w:bCs/>
          <w:i/>
          <w:iCs/>
        </w:rPr>
        <w:t>8.12 Emergency Limitation of Access</w:t>
      </w:r>
    </w:p>
    <w:p w14:paraId="21BFC555"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In urgent situations, Prometheus may temporarily limit access before full review is complete.</w:t>
      </w:r>
    </w:p>
    <w:p w14:paraId="550210DD"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Emergency limitation may be appropriate where there is credible risk of:</w:t>
      </w:r>
    </w:p>
    <w:p w14:paraId="4B4DD6F6"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ecological harm;</w:t>
      </w:r>
      <w:r w:rsidRPr="00B479AE">
        <w:rPr>
          <w:rFonts w:ascii="Baskerville Old Face" w:hAnsi="Baskerville Old Face"/>
          <w:i/>
          <w:iCs/>
        </w:rPr>
        <w:br/>
        <w:t>• data manipulation;</w:t>
      </w:r>
      <w:r w:rsidRPr="00B479AE">
        <w:rPr>
          <w:rFonts w:ascii="Baskerville Old Face" w:hAnsi="Baskerville Old Face"/>
          <w:i/>
          <w:iCs/>
        </w:rPr>
        <w:br/>
        <w:t>• MRV falsification;</w:t>
      </w:r>
      <w:r w:rsidRPr="00B479AE">
        <w:rPr>
          <w:rFonts w:ascii="Baskerville Old Face" w:hAnsi="Baskerville Old Face"/>
          <w:i/>
          <w:iCs/>
        </w:rPr>
        <w:br/>
        <w:t>• investor-facing misrepresentation;</w:t>
      </w:r>
      <w:r w:rsidRPr="00B479AE">
        <w:rPr>
          <w:rFonts w:ascii="Baskerville Old Face" w:hAnsi="Baskerville Old Face"/>
          <w:i/>
          <w:iCs/>
        </w:rPr>
        <w:br/>
        <w:t>• tokenomic confusion;</w:t>
      </w:r>
      <w:r w:rsidRPr="00B479AE">
        <w:rPr>
          <w:rFonts w:ascii="Baskerville Old Face" w:hAnsi="Baskerville Old Face"/>
          <w:i/>
          <w:iCs/>
        </w:rPr>
        <w:br/>
        <w:t>• technical compromise;</w:t>
      </w:r>
      <w:r w:rsidRPr="00B479AE">
        <w:rPr>
          <w:rFonts w:ascii="Baskerville Old Face" w:hAnsi="Baskerville Old Face"/>
          <w:i/>
          <w:iCs/>
        </w:rPr>
        <w:br/>
        <w:t>• security breach;</w:t>
      </w:r>
      <w:r w:rsidRPr="00B479AE">
        <w:rPr>
          <w:rFonts w:ascii="Baskerville Old Face" w:hAnsi="Baskerville Old Face"/>
          <w:i/>
          <w:iCs/>
        </w:rPr>
        <w:br/>
        <w:t>• governance capture;</w:t>
      </w:r>
      <w:r w:rsidRPr="00B479AE">
        <w:rPr>
          <w:rFonts w:ascii="Baskerville Old Face" w:hAnsi="Baskerville Old Face"/>
          <w:i/>
          <w:iCs/>
        </w:rPr>
        <w:br/>
        <w:t>• coercion or exploitation;</w:t>
      </w:r>
      <w:r w:rsidRPr="00B479AE">
        <w:rPr>
          <w:rFonts w:ascii="Baskerville Old Face" w:hAnsi="Baskerville Old Face"/>
          <w:i/>
          <w:iCs/>
        </w:rPr>
        <w:br/>
        <w:t>• serious Covenant violation;</w:t>
      </w:r>
      <w:r w:rsidRPr="00B479AE">
        <w:rPr>
          <w:rFonts w:ascii="Baskerville Old Face" w:hAnsi="Baskerville Old Face"/>
          <w:i/>
          <w:iCs/>
        </w:rPr>
        <w:br/>
        <w:t>• legal or regulatory exposure;</w:t>
      </w:r>
      <w:r w:rsidRPr="00B479AE">
        <w:rPr>
          <w:rFonts w:ascii="Baskerville Old Face" w:hAnsi="Baskerville Old Face"/>
          <w:i/>
          <w:iCs/>
        </w:rPr>
        <w:br/>
        <w:t>• reputational harm to the ecosystem;</w:t>
      </w:r>
      <w:r w:rsidRPr="00B479AE">
        <w:rPr>
          <w:rFonts w:ascii="Baskerville Old Face" w:hAnsi="Baskerville Old Face"/>
          <w:i/>
          <w:iCs/>
        </w:rPr>
        <w:br/>
        <w:t>• constitutional bypass.</w:t>
      </w:r>
    </w:p>
    <w:p w14:paraId="043C6BB2"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Emergency limitation should be:</w:t>
      </w:r>
    </w:p>
    <w:p w14:paraId="1CFC345A"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 temporary;</w:t>
      </w:r>
      <w:r w:rsidRPr="00B479AE">
        <w:rPr>
          <w:rFonts w:ascii="Baskerville Old Face" w:hAnsi="Baskerville Old Face"/>
          <w:i/>
          <w:iCs/>
        </w:rPr>
        <w:br/>
        <w:t>• documented;</w:t>
      </w:r>
      <w:r w:rsidRPr="00B479AE">
        <w:rPr>
          <w:rFonts w:ascii="Baskerville Old Face" w:hAnsi="Baskerville Old Face"/>
          <w:i/>
          <w:iCs/>
        </w:rPr>
        <w:br/>
        <w:t>• proportionate;</w:t>
      </w:r>
      <w:r w:rsidRPr="00B479AE">
        <w:rPr>
          <w:rFonts w:ascii="Baskerville Old Face" w:hAnsi="Baskerville Old Face"/>
          <w:i/>
          <w:iCs/>
        </w:rPr>
        <w:br/>
        <w:t>• reviewable;</w:t>
      </w:r>
      <w:r w:rsidRPr="00B479AE">
        <w:rPr>
          <w:rFonts w:ascii="Baskerville Old Face" w:hAnsi="Baskerville Old Face"/>
          <w:i/>
          <w:iCs/>
        </w:rPr>
        <w:br/>
        <w:t>• limited to the affected function where possible;</w:t>
      </w:r>
      <w:r w:rsidRPr="00B479AE">
        <w:rPr>
          <w:rFonts w:ascii="Baskerville Old Face" w:hAnsi="Baskerville Old Face"/>
          <w:i/>
          <w:iCs/>
        </w:rPr>
        <w:br/>
        <w:t>• escalated to the proper reviewing body.</w:t>
      </w:r>
    </w:p>
    <w:p w14:paraId="12712C60"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Emergency action should not become a shortcut for ordinary governance.</w:t>
      </w:r>
    </w:p>
    <w:p w14:paraId="1AC023E3"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lastRenderedPageBreak/>
        <w:t>It is an immune response, not a permanent constitution.</w:t>
      </w:r>
    </w:p>
    <w:p w14:paraId="582D7A1B"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After emergency limitation, the system should proceed to review, remediation, suspension, restoration, restriction, or termination according to the applicable process.</w:t>
      </w:r>
    </w:p>
    <w:p w14:paraId="463336CE" w14:textId="77777777" w:rsidR="00B13B31" w:rsidRPr="00B479AE" w:rsidRDefault="00B13B31" w:rsidP="00B13B31">
      <w:pPr>
        <w:spacing w:line="360" w:lineRule="auto"/>
        <w:rPr>
          <w:rFonts w:ascii="Baskerville Old Face" w:hAnsi="Baskerville Old Face"/>
          <w:b/>
          <w:bCs/>
          <w:i/>
          <w:iCs/>
        </w:rPr>
      </w:pPr>
      <w:r w:rsidRPr="00B479AE">
        <w:rPr>
          <w:rFonts w:ascii="Baskerville Old Face" w:hAnsi="Baskerville Old Face"/>
          <w:b/>
          <w:bCs/>
          <w:i/>
          <w:iCs/>
        </w:rPr>
        <w:t>8.13 Final Access Procedure Principle</w:t>
      </w:r>
    </w:p>
    <w:p w14:paraId="35CA5C85"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access procedure exists to ensure that Prometheus remains both open and coherent.</w:t>
      </w:r>
    </w:p>
    <w:p w14:paraId="1937972E" w14:textId="2BCC67B4"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It should welcome contribution.</w:t>
      </w:r>
      <w:r w:rsidR="00CA4128" w:rsidRPr="00B479AE">
        <w:rPr>
          <w:rFonts w:ascii="Baskerville Old Face" w:hAnsi="Baskerville Old Face"/>
          <w:i/>
          <w:iCs/>
        </w:rPr>
        <w:t xml:space="preserve"> </w:t>
      </w:r>
      <w:r w:rsidRPr="00B479AE">
        <w:rPr>
          <w:rFonts w:ascii="Baskerville Old Face" w:hAnsi="Baskerville Old Face"/>
          <w:i/>
          <w:iCs/>
        </w:rPr>
        <w:t>It should respect pluralism.</w:t>
      </w:r>
    </w:p>
    <w:p w14:paraId="04AF84CC"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It should make space for communities, capital, technology, science, culture, spirituality, governance innovation, and future forms of human coordination.</w:t>
      </w:r>
    </w:p>
    <w:p w14:paraId="5C864BB7"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But it should never confuse welcome with waiver.</w:t>
      </w:r>
    </w:p>
    <w:p w14:paraId="2713A1DE"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Access does not waive the Covenant.</w:t>
      </w:r>
    </w:p>
    <w:p w14:paraId="37359B30"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Participation does not waive evidence.</w:t>
      </w:r>
    </w:p>
    <w:p w14:paraId="1E8F5C9A"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Community status does not waive dignity.</w:t>
      </w:r>
    </w:p>
    <w:p w14:paraId="7CE04374"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Capital does not waive law.</w:t>
      </w:r>
    </w:p>
    <w:p w14:paraId="4288AC3B"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Technology does not waive review.</w:t>
      </w:r>
    </w:p>
    <w:p w14:paraId="10442D47"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AI does not waive authorization.</w:t>
      </w:r>
    </w:p>
    <w:p w14:paraId="2289A81B"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Tokens do not waive legal structure.</w:t>
      </w:r>
    </w:p>
    <w:p w14:paraId="1602C6D6"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Governance does not waive the source layer.</w:t>
      </w:r>
    </w:p>
    <w:p w14:paraId="0392CDF9"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The final principle is therefore:</w:t>
      </w:r>
    </w:p>
    <w:p w14:paraId="31F46ED9"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access is not possession;</w:t>
      </w:r>
      <w:r w:rsidRPr="00B479AE">
        <w:rPr>
          <w:rFonts w:ascii="Baskerville Old Face" w:hAnsi="Baskerville Old Face"/>
          <w:i/>
          <w:iCs/>
        </w:rPr>
        <w:br/>
        <w:t>participation is not entitlement;</w:t>
      </w:r>
      <w:r w:rsidRPr="00B479AE">
        <w:rPr>
          <w:rFonts w:ascii="Baskerville Old Face" w:hAnsi="Baskerville Old Face"/>
          <w:i/>
          <w:iCs/>
        </w:rPr>
        <w:br/>
        <w:t>approval is not immunity;</w:t>
      </w:r>
      <w:r w:rsidRPr="00B479AE">
        <w:rPr>
          <w:rFonts w:ascii="Baskerville Old Face" w:hAnsi="Baskerville Old Face"/>
          <w:i/>
          <w:iCs/>
        </w:rPr>
        <w:br/>
        <w:t>status is not sovereignty;</w:t>
      </w:r>
      <w:r w:rsidRPr="00B479AE">
        <w:rPr>
          <w:rFonts w:ascii="Baskerville Old Face" w:hAnsi="Baskerville Old Face"/>
          <w:i/>
          <w:iCs/>
        </w:rPr>
        <w:br/>
        <w:t>contribution is not capture;</w:t>
      </w:r>
      <w:r w:rsidRPr="00B479AE">
        <w:rPr>
          <w:rFonts w:ascii="Baskerville Old Face" w:hAnsi="Baskerville Old Face"/>
          <w:i/>
          <w:iCs/>
        </w:rPr>
        <w:br/>
        <w:t>and openness is protected by disciplined boundaries.</w:t>
      </w:r>
    </w:p>
    <w:p w14:paraId="094D46D0"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lastRenderedPageBreak/>
        <w:t>Prometheus becomes trustworthy because it does not close the door to the world.</w:t>
      </w:r>
    </w:p>
    <w:p w14:paraId="74A25414" w14:textId="77777777" w:rsidR="00B13B31" w:rsidRPr="00B479AE" w:rsidRDefault="00B13B31" w:rsidP="00B13B31">
      <w:pPr>
        <w:spacing w:line="360" w:lineRule="auto"/>
        <w:rPr>
          <w:rFonts w:ascii="Baskerville Old Face" w:hAnsi="Baskerville Old Face"/>
          <w:i/>
          <w:iCs/>
        </w:rPr>
      </w:pPr>
      <w:r w:rsidRPr="00B479AE">
        <w:rPr>
          <w:rFonts w:ascii="Baskerville Old Face" w:hAnsi="Baskerville Old Face"/>
          <w:i/>
          <w:iCs/>
        </w:rPr>
        <w:t>It builds a threshold worthy of what may enter.</w:t>
      </w:r>
    </w:p>
    <w:p w14:paraId="49DE5923" w14:textId="77777777" w:rsidR="005949BB" w:rsidRPr="00B479AE" w:rsidRDefault="005949BB" w:rsidP="005949BB">
      <w:pPr>
        <w:spacing w:line="360" w:lineRule="auto"/>
        <w:rPr>
          <w:rFonts w:ascii="Baskerville Old Face" w:hAnsi="Baskerville Old Face"/>
          <w:b/>
          <w:bCs/>
          <w:i/>
          <w:iCs/>
        </w:rPr>
      </w:pPr>
      <w:r w:rsidRPr="00B479AE">
        <w:rPr>
          <w:rFonts w:ascii="Baskerville Old Face" w:hAnsi="Baskerville Old Face"/>
          <w:b/>
          <w:bCs/>
          <w:i/>
          <w:iCs/>
        </w:rPr>
        <w:t>9. Covenant Violation, Remediation, and Consequence Architecture</w:t>
      </w:r>
    </w:p>
    <w:p w14:paraId="720E6250"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The Access Covenant must be enforceable enough to protect Prometheus and proportionate enough to preserve justice.</w:t>
      </w:r>
    </w:p>
    <w:p w14:paraId="2CDE85A8"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A Covenant violation is not merely a procedural error.</w:t>
      </w:r>
    </w:p>
    <w:p w14:paraId="6FBA5BC4"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It is a disturbance in the relationship between participant, community, evidence, governance, and the constitutional source layer.</w:t>
      </w:r>
    </w:p>
    <w:p w14:paraId="5B5F50F5"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For this reason, Prometheus treats violations through a graduated architecture of review, remediation, limitation, suspension, exclusion, and external escalation where necessary.</w:t>
      </w:r>
    </w:p>
    <w:p w14:paraId="596957E0" w14:textId="52843703"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The purpose is not punishment for its own sake.</w:t>
      </w:r>
      <w:r w:rsidR="00CA4128" w:rsidRPr="00B479AE">
        <w:rPr>
          <w:rFonts w:ascii="Baskerville Old Face" w:hAnsi="Baskerville Old Face"/>
          <w:i/>
          <w:iCs/>
        </w:rPr>
        <w:t xml:space="preserve"> </w:t>
      </w:r>
      <w:r w:rsidRPr="00B479AE">
        <w:rPr>
          <w:rFonts w:ascii="Baskerville Old Face" w:hAnsi="Baskerville Old Face"/>
          <w:i/>
          <w:iCs/>
        </w:rPr>
        <w:t>The purpose is to protect the living field, preserve evidence integrity, maintain trust, prevent capture, and restore coherence wherever restoration remains possible.</w:t>
      </w:r>
      <w:r w:rsidR="00CA4128" w:rsidRPr="00B479AE">
        <w:rPr>
          <w:rFonts w:ascii="Baskerville Old Face" w:hAnsi="Baskerville Old Face"/>
          <w:i/>
          <w:iCs/>
        </w:rPr>
        <w:t xml:space="preserve"> </w:t>
      </w:r>
      <w:r w:rsidRPr="00B479AE">
        <w:rPr>
          <w:rFonts w:ascii="Baskerville Old Face" w:hAnsi="Baskerville Old Face"/>
          <w:i/>
          <w:iCs/>
        </w:rPr>
        <w:t>Prometheus therefore adopts a consequence architecture based on:</w:t>
      </w:r>
    </w:p>
    <w:p w14:paraId="395D09BD"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 evidence;</w:t>
      </w:r>
      <w:r w:rsidRPr="00B479AE">
        <w:rPr>
          <w:rFonts w:ascii="Baskerville Old Face" w:hAnsi="Baskerville Old Face"/>
          <w:i/>
          <w:iCs/>
        </w:rPr>
        <w:br/>
        <w:t>• proportionality;</w:t>
      </w:r>
      <w:r w:rsidRPr="00B479AE">
        <w:rPr>
          <w:rFonts w:ascii="Baskerville Old Face" w:hAnsi="Baskerville Old Face"/>
          <w:i/>
          <w:iCs/>
        </w:rPr>
        <w:br/>
        <w:t>• due process;</w:t>
      </w:r>
      <w:r w:rsidRPr="00B479AE">
        <w:rPr>
          <w:rFonts w:ascii="Baskerville Old Face" w:hAnsi="Baskerville Old Face"/>
          <w:i/>
          <w:iCs/>
        </w:rPr>
        <w:br/>
        <w:t>• right to respond where appropriate;</w:t>
      </w:r>
      <w:r w:rsidRPr="00B479AE">
        <w:rPr>
          <w:rFonts w:ascii="Baskerville Old Face" w:hAnsi="Baskerville Old Face"/>
          <w:i/>
          <w:iCs/>
        </w:rPr>
        <w:br/>
        <w:t>• remediation before exclusion where possible;</w:t>
      </w:r>
      <w:r w:rsidRPr="00B479AE">
        <w:rPr>
          <w:rFonts w:ascii="Baskerville Old Face" w:hAnsi="Baskerville Old Face"/>
          <w:i/>
          <w:iCs/>
        </w:rPr>
        <w:br/>
        <w:t>• protection of vulnerable participants;</w:t>
      </w:r>
      <w:r w:rsidRPr="00B479AE">
        <w:rPr>
          <w:rFonts w:ascii="Baskerville Old Face" w:hAnsi="Baskerville Old Face"/>
          <w:i/>
          <w:iCs/>
        </w:rPr>
        <w:br/>
        <w:t>• protection of ecological and investor-facing integrity;</w:t>
      </w:r>
      <w:r w:rsidRPr="00B479AE">
        <w:rPr>
          <w:rFonts w:ascii="Baskerville Old Face" w:hAnsi="Baskerville Old Face"/>
          <w:i/>
          <w:iCs/>
        </w:rPr>
        <w:br/>
        <w:t>• protection of the constitutional source layer;</w:t>
      </w:r>
      <w:r w:rsidRPr="00B479AE">
        <w:rPr>
          <w:rFonts w:ascii="Baskerville Old Face" w:hAnsi="Baskerville Old Face"/>
          <w:i/>
          <w:iCs/>
        </w:rPr>
        <w:br/>
        <w:t>• legal and governance review for high-impact cases;</w:t>
      </w:r>
      <w:r w:rsidRPr="00B479AE">
        <w:rPr>
          <w:rFonts w:ascii="Baskerville Old Face" w:hAnsi="Baskerville Old Face"/>
          <w:i/>
          <w:iCs/>
        </w:rPr>
        <w:br/>
        <w:t>• technical enforcement only where implemented, tested, and governed.</w:t>
      </w:r>
    </w:p>
    <w:p w14:paraId="414B5793"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The system must be firm without becoming arbitrary.</w:t>
      </w:r>
    </w:p>
    <w:p w14:paraId="026B79EC"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It must be protective without becoming punitive by default.</w:t>
      </w:r>
    </w:p>
    <w:p w14:paraId="70310C34"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It must be capable of exclusion without turning exclusion into its first language.</w:t>
      </w:r>
    </w:p>
    <w:p w14:paraId="4433799A" w14:textId="353F4010"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A regenerative constitution must know how to say no.</w:t>
      </w:r>
      <w:r w:rsidR="00CA4128" w:rsidRPr="00B479AE">
        <w:rPr>
          <w:rFonts w:ascii="Baskerville Old Face" w:hAnsi="Baskerville Old Face"/>
          <w:i/>
          <w:iCs/>
        </w:rPr>
        <w:t xml:space="preserve"> </w:t>
      </w:r>
      <w:r w:rsidRPr="00B479AE">
        <w:rPr>
          <w:rFonts w:ascii="Baskerville Old Face" w:hAnsi="Baskerville Old Face"/>
          <w:i/>
          <w:iCs/>
        </w:rPr>
        <w:t>But it must also know how to repair.</w:t>
      </w:r>
      <w:r w:rsidR="00CA4128" w:rsidRPr="00B479AE">
        <w:rPr>
          <w:rFonts w:ascii="Baskerville Old Face" w:hAnsi="Baskerville Old Face"/>
          <w:i/>
          <w:iCs/>
        </w:rPr>
        <w:t xml:space="preserve"> </w:t>
      </w:r>
    </w:p>
    <w:p w14:paraId="2294CEA1" w14:textId="77777777" w:rsidR="005949BB" w:rsidRPr="00B479AE" w:rsidRDefault="005949BB" w:rsidP="005949BB">
      <w:pPr>
        <w:spacing w:line="360" w:lineRule="auto"/>
        <w:rPr>
          <w:rFonts w:ascii="Baskerville Old Face" w:hAnsi="Baskerville Old Face"/>
          <w:b/>
          <w:bCs/>
          <w:i/>
          <w:iCs/>
        </w:rPr>
      </w:pPr>
      <w:r w:rsidRPr="00B479AE">
        <w:rPr>
          <w:rFonts w:ascii="Baskerville Old Face" w:hAnsi="Baskerville Old Face"/>
          <w:b/>
          <w:bCs/>
          <w:i/>
          <w:iCs/>
        </w:rPr>
        <w:lastRenderedPageBreak/>
        <w:t>9.1 Definition of Covenant Violation</w:t>
      </w:r>
    </w:p>
    <w:p w14:paraId="27B5AD87" w14:textId="71FDDD68"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A Covenant violation occurs when a participant, entity, role-holder, community, technical operator, capital allocator, digital agent, or institutional actor acts in a manner materially inconsistent with the Access Covenant, foundational articles, Eternity Clauses, source-layer constraints, evidence-before-value discipline, or approved participation scope.</w:t>
      </w:r>
      <w:r w:rsidR="00D078E8" w:rsidRPr="00B479AE">
        <w:rPr>
          <w:rFonts w:ascii="Baskerville Old Face" w:hAnsi="Baskerville Old Face"/>
          <w:i/>
          <w:iCs/>
        </w:rPr>
        <w:t xml:space="preserve"> </w:t>
      </w:r>
      <w:r w:rsidRPr="00B479AE">
        <w:rPr>
          <w:rFonts w:ascii="Baskerville Old Face" w:hAnsi="Baskerville Old Face"/>
          <w:i/>
          <w:iCs/>
        </w:rPr>
        <w:t>A violation may occur through:</w:t>
      </w:r>
    </w:p>
    <w:p w14:paraId="7FCEE2DD"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 action;</w:t>
      </w:r>
      <w:r w:rsidRPr="00B479AE">
        <w:rPr>
          <w:rFonts w:ascii="Baskerville Old Face" w:hAnsi="Baskerville Old Face"/>
          <w:i/>
          <w:iCs/>
        </w:rPr>
        <w:br/>
        <w:t>• omission;</w:t>
      </w:r>
      <w:r w:rsidRPr="00B479AE">
        <w:rPr>
          <w:rFonts w:ascii="Baskerville Old Face" w:hAnsi="Baskerville Old Face"/>
          <w:i/>
          <w:iCs/>
        </w:rPr>
        <w:br/>
        <w:t>• misrepresentation;</w:t>
      </w:r>
      <w:r w:rsidRPr="00B479AE">
        <w:rPr>
          <w:rFonts w:ascii="Baskerville Old Face" w:hAnsi="Baskerville Old Face"/>
          <w:i/>
          <w:iCs/>
        </w:rPr>
        <w:br/>
        <w:t>• concealment;</w:t>
      </w:r>
      <w:r w:rsidRPr="00B479AE">
        <w:rPr>
          <w:rFonts w:ascii="Baskerville Old Face" w:hAnsi="Baskerville Old Face"/>
          <w:i/>
          <w:iCs/>
        </w:rPr>
        <w:br/>
        <w:t>• negligence;</w:t>
      </w:r>
      <w:r w:rsidRPr="00B479AE">
        <w:rPr>
          <w:rFonts w:ascii="Baskerville Old Face" w:hAnsi="Baskerville Old Face"/>
          <w:i/>
          <w:iCs/>
        </w:rPr>
        <w:br/>
        <w:t>• repeated non-compliance;</w:t>
      </w:r>
      <w:r w:rsidRPr="00B479AE">
        <w:rPr>
          <w:rFonts w:ascii="Baskerville Old Face" w:hAnsi="Baskerville Old Face"/>
          <w:i/>
          <w:iCs/>
        </w:rPr>
        <w:br/>
        <w:t>• attempted bypass;</w:t>
      </w:r>
      <w:r w:rsidRPr="00B479AE">
        <w:rPr>
          <w:rFonts w:ascii="Baskerville Old Face" w:hAnsi="Baskerville Old Face"/>
          <w:i/>
          <w:iCs/>
        </w:rPr>
        <w:br/>
        <w:t>• coercion;</w:t>
      </w:r>
      <w:r w:rsidRPr="00B479AE">
        <w:rPr>
          <w:rFonts w:ascii="Baskerville Old Face" w:hAnsi="Baskerville Old Face"/>
          <w:i/>
          <w:iCs/>
        </w:rPr>
        <w:br/>
        <w:t>• data manipulation;</w:t>
      </w:r>
      <w:r w:rsidRPr="00B479AE">
        <w:rPr>
          <w:rFonts w:ascii="Baskerville Old Face" w:hAnsi="Baskerville Old Face"/>
          <w:i/>
          <w:iCs/>
        </w:rPr>
        <w:br/>
        <w:t>• governance manipulation;</w:t>
      </w:r>
      <w:r w:rsidRPr="00B479AE">
        <w:rPr>
          <w:rFonts w:ascii="Baskerville Old Face" w:hAnsi="Baskerville Old Face"/>
          <w:i/>
          <w:iCs/>
        </w:rPr>
        <w:br/>
        <w:t>• tokenomic confusion;</w:t>
      </w:r>
      <w:r w:rsidRPr="00B479AE">
        <w:rPr>
          <w:rFonts w:ascii="Baskerville Old Face" w:hAnsi="Baskerville Old Face"/>
          <w:i/>
          <w:iCs/>
        </w:rPr>
        <w:br/>
        <w:t>• investor-facing overclaiming;</w:t>
      </w:r>
      <w:r w:rsidRPr="00B479AE">
        <w:rPr>
          <w:rFonts w:ascii="Baskerville Old Face" w:hAnsi="Baskerville Old Face"/>
          <w:i/>
          <w:iCs/>
        </w:rPr>
        <w:br/>
        <w:t>• ecological harm;</w:t>
      </w:r>
      <w:r w:rsidRPr="00B479AE">
        <w:rPr>
          <w:rFonts w:ascii="Baskerville Old Face" w:hAnsi="Baskerville Old Face"/>
          <w:i/>
          <w:iCs/>
        </w:rPr>
        <w:br/>
        <w:t>• misuse of community status;</w:t>
      </w:r>
      <w:r w:rsidRPr="00B479AE">
        <w:rPr>
          <w:rFonts w:ascii="Baskerville Old Face" w:hAnsi="Baskerville Old Face"/>
          <w:i/>
          <w:iCs/>
        </w:rPr>
        <w:br/>
        <w:t>• misuse of capital influence;</w:t>
      </w:r>
      <w:r w:rsidRPr="00B479AE">
        <w:rPr>
          <w:rFonts w:ascii="Baskerville Old Face" w:hAnsi="Baskerville Old Face"/>
          <w:i/>
          <w:iCs/>
        </w:rPr>
        <w:br/>
        <w:t>• misuse of technical access;</w:t>
      </w:r>
      <w:r w:rsidRPr="00B479AE">
        <w:rPr>
          <w:rFonts w:ascii="Baskerville Old Face" w:hAnsi="Baskerville Old Face"/>
          <w:i/>
          <w:iCs/>
        </w:rPr>
        <w:br/>
        <w:t>• misuse of AI or automated systems;</w:t>
      </w:r>
      <w:r w:rsidRPr="00B479AE">
        <w:rPr>
          <w:rFonts w:ascii="Baskerville Old Face" w:hAnsi="Baskerville Old Face"/>
          <w:i/>
          <w:iCs/>
        </w:rPr>
        <w:br/>
        <w:t>• public communication that materially misrepresents Prometheus status, rights, evidence, PRU, RAP, MRV, TRBK, tokenization, financial entitlement, or legal authority.</w:t>
      </w:r>
    </w:p>
    <w:p w14:paraId="3EE23BC9"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Not every error is a violation.</w:t>
      </w:r>
    </w:p>
    <w:p w14:paraId="081C5F78"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Not every disagreement is a violation.</w:t>
      </w:r>
    </w:p>
    <w:p w14:paraId="43874314"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Not every failed proposal is a violation.</w:t>
      </w:r>
    </w:p>
    <w:p w14:paraId="372530DB"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Not every weak signal is misconduct.</w:t>
      </w:r>
    </w:p>
    <w:p w14:paraId="28D00C30"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Prometheus must distinguish between:</w:t>
      </w:r>
    </w:p>
    <w:p w14:paraId="507063FB"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lastRenderedPageBreak/>
        <w:t>• mistake;</w:t>
      </w:r>
      <w:r w:rsidRPr="00B479AE">
        <w:rPr>
          <w:rFonts w:ascii="Baskerville Old Face" w:hAnsi="Baskerville Old Face"/>
          <w:i/>
          <w:iCs/>
        </w:rPr>
        <w:br/>
        <w:t>• misunderstanding;</w:t>
      </w:r>
      <w:r w:rsidRPr="00B479AE">
        <w:rPr>
          <w:rFonts w:ascii="Baskerville Old Face" w:hAnsi="Baskerville Old Face"/>
          <w:i/>
          <w:iCs/>
        </w:rPr>
        <w:br/>
        <w:t>• immaturity;</w:t>
      </w:r>
      <w:r w:rsidRPr="00B479AE">
        <w:rPr>
          <w:rFonts w:ascii="Baskerville Old Face" w:hAnsi="Baskerville Old Face"/>
          <w:i/>
          <w:iCs/>
        </w:rPr>
        <w:br/>
        <w:t>• negligence;</w:t>
      </w:r>
      <w:r w:rsidRPr="00B479AE">
        <w:rPr>
          <w:rFonts w:ascii="Baskerville Old Face" w:hAnsi="Baskerville Old Face"/>
          <w:i/>
          <w:iCs/>
        </w:rPr>
        <w:br/>
        <w:t>• breach;</w:t>
      </w:r>
      <w:r w:rsidRPr="00B479AE">
        <w:rPr>
          <w:rFonts w:ascii="Baskerville Old Face" w:hAnsi="Baskerville Old Face"/>
          <w:i/>
          <w:iCs/>
        </w:rPr>
        <w:br/>
        <w:t>• manipulation;</w:t>
      </w:r>
      <w:r w:rsidRPr="00B479AE">
        <w:rPr>
          <w:rFonts w:ascii="Baskerville Old Face" w:hAnsi="Baskerville Old Face"/>
          <w:i/>
          <w:iCs/>
        </w:rPr>
        <w:br/>
        <w:t>• capture attempt;</w:t>
      </w:r>
      <w:r w:rsidRPr="00B479AE">
        <w:rPr>
          <w:rFonts w:ascii="Baskerville Old Face" w:hAnsi="Baskerville Old Face"/>
          <w:i/>
          <w:iCs/>
        </w:rPr>
        <w:br/>
        <w:t>• constitutional violation.</w:t>
      </w:r>
    </w:p>
    <w:p w14:paraId="7733DB6D" w14:textId="42DC0829"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This distinction protects fairness.</w:t>
      </w:r>
      <w:r w:rsidR="00CA4128" w:rsidRPr="00B479AE">
        <w:rPr>
          <w:rFonts w:ascii="Baskerville Old Face" w:hAnsi="Baskerville Old Face"/>
          <w:i/>
          <w:iCs/>
        </w:rPr>
        <w:t xml:space="preserve"> </w:t>
      </w:r>
      <w:r w:rsidRPr="00B479AE">
        <w:rPr>
          <w:rFonts w:ascii="Baskerville Old Face" w:hAnsi="Baskerville Old Face"/>
          <w:i/>
          <w:iCs/>
        </w:rPr>
        <w:t>It also protects the system from both naivety and overreaction.</w:t>
      </w:r>
    </w:p>
    <w:p w14:paraId="16614382" w14:textId="77777777" w:rsidR="005949BB" w:rsidRPr="00B479AE" w:rsidRDefault="005949BB" w:rsidP="005949BB">
      <w:pPr>
        <w:spacing w:line="360" w:lineRule="auto"/>
        <w:rPr>
          <w:rFonts w:ascii="Baskerville Old Face" w:hAnsi="Baskerville Old Face"/>
          <w:b/>
          <w:bCs/>
          <w:i/>
          <w:iCs/>
        </w:rPr>
      </w:pPr>
      <w:r w:rsidRPr="00B479AE">
        <w:rPr>
          <w:rFonts w:ascii="Baskerville Old Face" w:hAnsi="Baskerville Old Face"/>
          <w:b/>
          <w:bCs/>
          <w:i/>
          <w:iCs/>
        </w:rPr>
        <w:t>9.2 Violation Review Pathway</w:t>
      </w:r>
    </w:p>
    <w:p w14:paraId="2C678E05"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A potential violation should pass through a review pathway before significant consequences are imposed, except where emergency limitation is required to prevent serious harm.</w:t>
      </w:r>
    </w:p>
    <w:p w14:paraId="1BC02DB6"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The review pathway may include:</w:t>
      </w:r>
    </w:p>
    <w:p w14:paraId="36A65511" w14:textId="77777777" w:rsidR="005949BB" w:rsidRPr="00B479AE" w:rsidRDefault="005949BB">
      <w:pPr>
        <w:numPr>
          <w:ilvl w:val="0"/>
          <w:numId w:val="16"/>
        </w:numPr>
        <w:spacing w:line="360" w:lineRule="auto"/>
        <w:rPr>
          <w:rFonts w:ascii="Baskerville Old Face" w:hAnsi="Baskerville Old Face"/>
          <w:i/>
          <w:iCs/>
        </w:rPr>
      </w:pPr>
      <w:r w:rsidRPr="00B479AE">
        <w:rPr>
          <w:rFonts w:ascii="Baskerville Old Face" w:hAnsi="Baskerville Old Face"/>
          <w:b/>
          <w:bCs/>
          <w:i/>
          <w:iCs/>
        </w:rPr>
        <w:t>Signal or report</w:t>
      </w:r>
      <w:r w:rsidRPr="00B479AE">
        <w:rPr>
          <w:rFonts w:ascii="Baskerville Old Face" w:hAnsi="Baskerville Old Face"/>
          <w:i/>
          <w:iCs/>
        </w:rPr>
        <w:br/>
        <w:t>A concern, anomaly, complaint, evidence gap, technical flag, governance concern, community concern, audit finding, or legal notice is identified.</w:t>
      </w:r>
    </w:p>
    <w:p w14:paraId="261A3EA0" w14:textId="77777777" w:rsidR="005949BB" w:rsidRPr="00B479AE" w:rsidRDefault="005949BB">
      <w:pPr>
        <w:numPr>
          <w:ilvl w:val="0"/>
          <w:numId w:val="16"/>
        </w:numPr>
        <w:spacing w:line="360" w:lineRule="auto"/>
        <w:rPr>
          <w:rFonts w:ascii="Baskerville Old Face" w:hAnsi="Baskerville Old Face"/>
          <w:i/>
          <w:iCs/>
        </w:rPr>
      </w:pPr>
      <w:r w:rsidRPr="00B479AE">
        <w:rPr>
          <w:rFonts w:ascii="Baskerville Old Face" w:hAnsi="Baskerville Old Face"/>
          <w:b/>
          <w:bCs/>
          <w:i/>
          <w:iCs/>
        </w:rPr>
        <w:t>Initial classification</w:t>
      </w:r>
      <w:r w:rsidRPr="00B479AE">
        <w:rPr>
          <w:rFonts w:ascii="Baskerville Old Face" w:hAnsi="Baskerville Old Face"/>
          <w:i/>
          <w:iCs/>
        </w:rPr>
        <w:br/>
        <w:t>The concern is classified by severity, domain, urgency, affected parties, and possible constitutional relevance.</w:t>
      </w:r>
    </w:p>
    <w:p w14:paraId="57E1449C" w14:textId="77777777" w:rsidR="005949BB" w:rsidRPr="00B479AE" w:rsidRDefault="005949BB">
      <w:pPr>
        <w:numPr>
          <w:ilvl w:val="0"/>
          <w:numId w:val="16"/>
        </w:numPr>
        <w:spacing w:line="360" w:lineRule="auto"/>
        <w:rPr>
          <w:rFonts w:ascii="Baskerville Old Face" w:hAnsi="Baskerville Old Face"/>
          <w:i/>
          <w:iCs/>
        </w:rPr>
      </w:pPr>
      <w:r w:rsidRPr="00B479AE">
        <w:rPr>
          <w:rFonts w:ascii="Baskerville Old Face" w:hAnsi="Baskerville Old Face"/>
          <w:b/>
          <w:bCs/>
          <w:i/>
          <w:iCs/>
        </w:rPr>
        <w:t>Evidence collection</w:t>
      </w:r>
      <w:r w:rsidRPr="00B479AE">
        <w:rPr>
          <w:rFonts w:ascii="Baskerville Old Face" w:hAnsi="Baskerville Old Face"/>
          <w:i/>
          <w:iCs/>
        </w:rPr>
        <w:br/>
        <w:t>Relevant documents, records, logs, communications, MRV evidence, technical events, governance records, legal instruments, or witness statements are gathered.</w:t>
      </w:r>
    </w:p>
    <w:p w14:paraId="7811EF42" w14:textId="77777777" w:rsidR="005949BB" w:rsidRPr="00B479AE" w:rsidRDefault="005949BB">
      <w:pPr>
        <w:numPr>
          <w:ilvl w:val="0"/>
          <w:numId w:val="16"/>
        </w:numPr>
        <w:spacing w:line="360" w:lineRule="auto"/>
        <w:rPr>
          <w:rFonts w:ascii="Baskerville Old Face" w:hAnsi="Baskerville Old Face"/>
          <w:i/>
          <w:iCs/>
        </w:rPr>
      </w:pPr>
      <w:r w:rsidRPr="00B479AE">
        <w:rPr>
          <w:rFonts w:ascii="Baskerville Old Face" w:hAnsi="Baskerville Old Face"/>
          <w:b/>
          <w:bCs/>
          <w:i/>
          <w:iCs/>
        </w:rPr>
        <w:t>Participant response</w:t>
      </w:r>
      <w:r w:rsidRPr="00B479AE">
        <w:rPr>
          <w:rFonts w:ascii="Baskerville Old Face" w:hAnsi="Baskerville Old Face"/>
          <w:i/>
          <w:iCs/>
        </w:rPr>
        <w:br/>
        <w:t>Where appropriate, the participant is given an opportunity to respond, clarify, correct, or provide missing information.</w:t>
      </w:r>
    </w:p>
    <w:p w14:paraId="6314A7F7" w14:textId="77777777" w:rsidR="005949BB" w:rsidRPr="00B479AE" w:rsidRDefault="005949BB">
      <w:pPr>
        <w:numPr>
          <w:ilvl w:val="0"/>
          <w:numId w:val="16"/>
        </w:numPr>
        <w:spacing w:line="360" w:lineRule="auto"/>
        <w:rPr>
          <w:rFonts w:ascii="Baskerville Old Face" w:hAnsi="Baskerville Old Face"/>
          <w:i/>
          <w:iCs/>
        </w:rPr>
      </w:pPr>
      <w:r w:rsidRPr="00B479AE">
        <w:rPr>
          <w:rFonts w:ascii="Baskerville Old Face" w:hAnsi="Baskerville Old Face"/>
          <w:b/>
          <w:bCs/>
          <w:i/>
          <w:iCs/>
        </w:rPr>
        <w:t>Review body assessment</w:t>
      </w:r>
      <w:r w:rsidRPr="00B479AE">
        <w:rPr>
          <w:rFonts w:ascii="Baskerville Old Face" w:hAnsi="Baskerville Old Face"/>
          <w:i/>
          <w:iCs/>
        </w:rPr>
        <w:br/>
        <w:t>The appropriate governance, legal, MRV, technical, integrity, or constitutional review body assesses the matter.</w:t>
      </w:r>
    </w:p>
    <w:p w14:paraId="2A7CABA3" w14:textId="77777777" w:rsidR="005949BB" w:rsidRPr="00B479AE" w:rsidRDefault="005949BB">
      <w:pPr>
        <w:numPr>
          <w:ilvl w:val="0"/>
          <w:numId w:val="16"/>
        </w:numPr>
        <w:spacing w:line="360" w:lineRule="auto"/>
        <w:rPr>
          <w:rFonts w:ascii="Baskerville Old Face" w:hAnsi="Baskerville Old Face"/>
          <w:i/>
          <w:iCs/>
        </w:rPr>
      </w:pPr>
      <w:r w:rsidRPr="00B479AE">
        <w:rPr>
          <w:rFonts w:ascii="Baskerville Old Face" w:hAnsi="Baskerville Old Face"/>
          <w:b/>
          <w:bCs/>
          <w:i/>
          <w:iCs/>
        </w:rPr>
        <w:lastRenderedPageBreak/>
        <w:t>Consequence determination</w:t>
      </w:r>
      <w:r w:rsidRPr="00B479AE">
        <w:rPr>
          <w:rFonts w:ascii="Baskerville Old Face" w:hAnsi="Baskerville Old Face"/>
          <w:i/>
          <w:iCs/>
        </w:rPr>
        <w:br/>
        <w:t>A proportionate response is selected based on severity, intent, repetition, harm, evidence, legal context, and willingness to remediate.</w:t>
      </w:r>
    </w:p>
    <w:p w14:paraId="0BD15E31" w14:textId="77777777" w:rsidR="005949BB" w:rsidRPr="00B479AE" w:rsidRDefault="005949BB">
      <w:pPr>
        <w:numPr>
          <w:ilvl w:val="0"/>
          <w:numId w:val="16"/>
        </w:numPr>
        <w:spacing w:line="360" w:lineRule="auto"/>
        <w:rPr>
          <w:rFonts w:ascii="Baskerville Old Face" w:hAnsi="Baskerville Old Face"/>
          <w:i/>
          <w:iCs/>
        </w:rPr>
      </w:pPr>
      <w:r w:rsidRPr="00B479AE">
        <w:rPr>
          <w:rFonts w:ascii="Baskerville Old Face" w:hAnsi="Baskerville Old Face"/>
          <w:b/>
          <w:bCs/>
          <w:i/>
          <w:iCs/>
        </w:rPr>
        <w:t>Documentation</w:t>
      </w:r>
      <w:r w:rsidRPr="00B479AE">
        <w:rPr>
          <w:rFonts w:ascii="Baskerville Old Face" w:hAnsi="Baskerville Old Face"/>
          <w:i/>
          <w:iCs/>
        </w:rPr>
        <w:br/>
        <w:t>The decision and reasoning are recorded.</w:t>
      </w:r>
    </w:p>
    <w:p w14:paraId="7A172655" w14:textId="77777777" w:rsidR="005949BB" w:rsidRPr="00B479AE" w:rsidRDefault="005949BB">
      <w:pPr>
        <w:numPr>
          <w:ilvl w:val="0"/>
          <w:numId w:val="16"/>
        </w:numPr>
        <w:spacing w:line="360" w:lineRule="auto"/>
        <w:rPr>
          <w:rFonts w:ascii="Baskerville Old Face" w:hAnsi="Baskerville Old Face"/>
          <w:i/>
          <w:iCs/>
        </w:rPr>
      </w:pPr>
      <w:r w:rsidRPr="00B479AE">
        <w:rPr>
          <w:rFonts w:ascii="Baskerville Old Face" w:hAnsi="Baskerville Old Face"/>
          <w:b/>
          <w:bCs/>
          <w:i/>
          <w:iCs/>
        </w:rPr>
        <w:t>Remediation or enforcement</w:t>
      </w:r>
      <w:r w:rsidRPr="00B479AE">
        <w:rPr>
          <w:rFonts w:ascii="Baskerville Old Face" w:hAnsi="Baskerville Old Face"/>
          <w:i/>
          <w:iCs/>
        </w:rPr>
        <w:br/>
        <w:t>Corrective, restrictive, restorative, suspension, exclusion, or escalation measures are applied.</w:t>
      </w:r>
    </w:p>
    <w:p w14:paraId="65269558" w14:textId="77777777" w:rsidR="005949BB" w:rsidRPr="00B479AE" w:rsidRDefault="005949BB">
      <w:pPr>
        <w:numPr>
          <w:ilvl w:val="0"/>
          <w:numId w:val="16"/>
        </w:numPr>
        <w:spacing w:line="360" w:lineRule="auto"/>
        <w:rPr>
          <w:rFonts w:ascii="Baskerville Old Face" w:hAnsi="Baskerville Old Face"/>
          <w:i/>
          <w:iCs/>
        </w:rPr>
      </w:pPr>
      <w:r w:rsidRPr="00B479AE">
        <w:rPr>
          <w:rFonts w:ascii="Baskerville Old Face" w:hAnsi="Baskerville Old Face"/>
          <w:b/>
          <w:bCs/>
          <w:i/>
          <w:iCs/>
        </w:rPr>
        <w:t>Appeal or reconsideration</w:t>
      </w:r>
      <w:r w:rsidRPr="00B479AE">
        <w:rPr>
          <w:rFonts w:ascii="Baskerville Old Face" w:hAnsi="Baskerville Old Face"/>
          <w:i/>
          <w:iCs/>
        </w:rPr>
        <w:br/>
        <w:t>Where applicable, the participant may seek review through the defined pathway.</w:t>
      </w:r>
    </w:p>
    <w:p w14:paraId="143C4496" w14:textId="77777777" w:rsidR="005949BB" w:rsidRPr="00B479AE" w:rsidRDefault="005949BB">
      <w:pPr>
        <w:numPr>
          <w:ilvl w:val="0"/>
          <w:numId w:val="16"/>
        </w:numPr>
        <w:spacing w:line="360" w:lineRule="auto"/>
        <w:rPr>
          <w:rFonts w:ascii="Baskerville Old Face" w:hAnsi="Baskerville Old Face"/>
          <w:i/>
          <w:iCs/>
        </w:rPr>
      </w:pPr>
      <w:r w:rsidRPr="00B479AE">
        <w:rPr>
          <w:rFonts w:ascii="Baskerville Old Face" w:hAnsi="Baskerville Old Face"/>
          <w:b/>
          <w:bCs/>
          <w:i/>
          <w:iCs/>
        </w:rPr>
        <w:t>Closure or monitoring</w:t>
      </w:r>
      <w:r w:rsidRPr="00B479AE">
        <w:rPr>
          <w:rFonts w:ascii="Baskerville Old Face" w:hAnsi="Baskerville Old Face"/>
          <w:i/>
          <w:iCs/>
        </w:rPr>
        <w:br/>
        <w:t>The case is closed, monitored, or escalated depending on residual risk.</w:t>
      </w:r>
    </w:p>
    <w:p w14:paraId="671FEC62"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This pathway ensures that Prometheus does not confuse automated detection with judgment.</w:t>
      </w:r>
    </w:p>
    <w:p w14:paraId="27F48F66" w14:textId="36D72B1D"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A signal may trigger review.</w:t>
      </w:r>
      <w:r w:rsidR="00CA4128" w:rsidRPr="00B479AE">
        <w:rPr>
          <w:rFonts w:ascii="Baskerville Old Face" w:hAnsi="Baskerville Old Face"/>
          <w:i/>
          <w:iCs/>
        </w:rPr>
        <w:t xml:space="preserve"> </w:t>
      </w:r>
      <w:r w:rsidRPr="00B479AE">
        <w:rPr>
          <w:rFonts w:ascii="Baskerville Old Face" w:hAnsi="Baskerville Old Face"/>
          <w:i/>
          <w:iCs/>
        </w:rPr>
        <w:t>It does not automatically become guilt.</w:t>
      </w:r>
    </w:p>
    <w:p w14:paraId="399B8275" w14:textId="77777777" w:rsidR="005949BB" w:rsidRPr="00B479AE" w:rsidRDefault="005949BB" w:rsidP="005949BB">
      <w:pPr>
        <w:spacing w:line="360" w:lineRule="auto"/>
        <w:rPr>
          <w:rFonts w:ascii="Baskerville Old Face" w:hAnsi="Baskerville Old Face"/>
          <w:b/>
          <w:bCs/>
          <w:i/>
          <w:iCs/>
        </w:rPr>
      </w:pPr>
      <w:r w:rsidRPr="00B479AE">
        <w:rPr>
          <w:rFonts w:ascii="Baskerville Old Face" w:hAnsi="Baskerville Old Face"/>
          <w:b/>
          <w:bCs/>
          <w:i/>
          <w:iCs/>
        </w:rPr>
        <w:t>9.3 Severity Classification</w:t>
      </w:r>
    </w:p>
    <w:p w14:paraId="1DE89BBF"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Prometheus may classify Covenant violations by severity.</w:t>
      </w:r>
    </w:p>
    <w:p w14:paraId="7FABAEAC"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Severity should be determined by considering:</w:t>
      </w:r>
    </w:p>
    <w:p w14:paraId="7858F6D7"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 intent;</w:t>
      </w:r>
      <w:r w:rsidRPr="00B479AE">
        <w:rPr>
          <w:rFonts w:ascii="Baskerville Old Face" w:hAnsi="Baskerville Old Face"/>
          <w:i/>
          <w:iCs/>
        </w:rPr>
        <w:br/>
        <w:t>• harm;</w:t>
      </w:r>
      <w:r w:rsidRPr="00B479AE">
        <w:rPr>
          <w:rFonts w:ascii="Baskerville Old Face" w:hAnsi="Baskerville Old Face"/>
          <w:i/>
          <w:iCs/>
        </w:rPr>
        <w:br/>
        <w:t>• repetition;</w:t>
      </w:r>
      <w:r w:rsidRPr="00B479AE">
        <w:rPr>
          <w:rFonts w:ascii="Baskerville Old Face" w:hAnsi="Baskerville Old Face"/>
          <w:i/>
          <w:iCs/>
        </w:rPr>
        <w:br/>
        <w:t>• role of the participant;</w:t>
      </w:r>
      <w:r w:rsidRPr="00B479AE">
        <w:rPr>
          <w:rFonts w:ascii="Baskerville Old Face" w:hAnsi="Baskerville Old Face"/>
          <w:i/>
          <w:iCs/>
        </w:rPr>
        <w:br/>
        <w:t>• access scope;</w:t>
      </w:r>
      <w:r w:rsidRPr="00B479AE">
        <w:rPr>
          <w:rFonts w:ascii="Baskerville Old Face" w:hAnsi="Baskerville Old Face"/>
          <w:i/>
          <w:iCs/>
        </w:rPr>
        <w:br/>
        <w:t>• affected parties;</w:t>
      </w:r>
      <w:r w:rsidRPr="00B479AE">
        <w:rPr>
          <w:rFonts w:ascii="Baskerville Old Face" w:hAnsi="Baskerville Old Face"/>
          <w:i/>
          <w:iCs/>
        </w:rPr>
        <w:br/>
        <w:t>• ecological impact;</w:t>
      </w:r>
      <w:r w:rsidRPr="00B479AE">
        <w:rPr>
          <w:rFonts w:ascii="Baskerville Old Face" w:hAnsi="Baskerville Old Face"/>
          <w:i/>
          <w:iCs/>
        </w:rPr>
        <w:br/>
        <w:t>• evidence impact;</w:t>
      </w:r>
      <w:r w:rsidRPr="00B479AE">
        <w:rPr>
          <w:rFonts w:ascii="Baskerville Old Face" w:hAnsi="Baskerville Old Face"/>
          <w:i/>
          <w:iCs/>
        </w:rPr>
        <w:br/>
        <w:t>• governance impact;</w:t>
      </w:r>
      <w:r w:rsidRPr="00B479AE">
        <w:rPr>
          <w:rFonts w:ascii="Baskerville Old Face" w:hAnsi="Baskerville Old Face"/>
          <w:i/>
          <w:iCs/>
        </w:rPr>
        <w:br/>
        <w:t>• legal or regulatory exposure;</w:t>
      </w:r>
      <w:r w:rsidRPr="00B479AE">
        <w:rPr>
          <w:rFonts w:ascii="Baskerville Old Face" w:hAnsi="Baskerville Old Face"/>
          <w:i/>
          <w:iCs/>
        </w:rPr>
        <w:br/>
        <w:t>• investor-facing consequences;</w:t>
      </w:r>
      <w:r w:rsidRPr="00B479AE">
        <w:rPr>
          <w:rFonts w:ascii="Baskerville Old Face" w:hAnsi="Baskerville Old Face"/>
          <w:i/>
          <w:iCs/>
        </w:rPr>
        <w:br/>
        <w:t>• risk to community trust;</w:t>
      </w:r>
      <w:r w:rsidRPr="00B479AE">
        <w:rPr>
          <w:rFonts w:ascii="Baskerville Old Face" w:hAnsi="Baskerville Old Face"/>
          <w:i/>
          <w:iCs/>
        </w:rPr>
        <w:br/>
      </w:r>
      <w:r w:rsidRPr="00B479AE">
        <w:rPr>
          <w:rFonts w:ascii="Baskerville Old Face" w:hAnsi="Baskerville Old Face"/>
          <w:i/>
          <w:iCs/>
        </w:rPr>
        <w:lastRenderedPageBreak/>
        <w:t>• risk to constitutional integrity;</w:t>
      </w:r>
      <w:r w:rsidRPr="00B479AE">
        <w:rPr>
          <w:rFonts w:ascii="Baskerville Old Face" w:hAnsi="Baskerville Old Face"/>
          <w:i/>
          <w:iCs/>
        </w:rPr>
        <w:br/>
        <w:t>• willingness to disclose, repair, and cooperate.</w:t>
      </w:r>
    </w:p>
    <w:p w14:paraId="080287C7"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A severity framework may be expressed as follows: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7"/>
        <w:gridCol w:w="5388"/>
        <w:gridCol w:w="3293"/>
      </w:tblGrid>
      <w:tr w:rsidR="005949BB" w:rsidRPr="00B479AE" w14:paraId="0BB3E8D1" w14:textId="77777777" w:rsidTr="00214562">
        <w:trPr>
          <w:tblHeader/>
          <w:tblCellSpacing w:w="15" w:type="dxa"/>
        </w:trPr>
        <w:tc>
          <w:tcPr>
            <w:tcW w:w="0" w:type="auto"/>
            <w:vAlign w:val="center"/>
            <w:hideMark/>
          </w:tcPr>
          <w:p w14:paraId="641F7F89" w14:textId="77777777" w:rsidR="005949BB" w:rsidRPr="00B479AE" w:rsidRDefault="005949BB" w:rsidP="005949BB">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Severity</w:t>
            </w:r>
          </w:p>
        </w:tc>
        <w:tc>
          <w:tcPr>
            <w:tcW w:w="0" w:type="auto"/>
            <w:vAlign w:val="center"/>
            <w:hideMark/>
          </w:tcPr>
          <w:p w14:paraId="276C84FC" w14:textId="77777777" w:rsidR="005949BB" w:rsidRPr="00B479AE" w:rsidRDefault="005949BB" w:rsidP="005949BB">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Examples</w:t>
            </w:r>
          </w:p>
        </w:tc>
        <w:tc>
          <w:tcPr>
            <w:tcW w:w="0" w:type="auto"/>
            <w:vAlign w:val="center"/>
            <w:hideMark/>
          </w:tcPr>
          <w:p w14:paraId="093685B3" w14:textId="77777777" w:rsidR="005949BB" w:rsidRPr="00B479AE" w:rsidRDefault="005949BB" w:rsidP="005949BB">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Default response orientation</w:t>
            </w:r>
          </w:p>
        </w:tc>
      </w:tr>
      <w:tr w:rsidR="005949BB" w:rsidRPr="00B479AE" w14:paraId="4D9E7C40" w14:textId="77777777" w:rsidTr="00214562">
        <w:trPr>
          <w:tblCellSpacing w:w="15" w:type="dxa"/>
        </w:trPr>
        <w:tc>
          <w:tcPr>
            <w:tcW w:w="0" w:type="auto"/>
            <w:vAlign w:val="center"/>
            <w:hideMark/>
          </w:tcPr>
          <w:p w14:paraId="0FF743AA"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Minor</w:t>
            </w:r>
          </w:p>
        </w:tc>
        <w:tc>
          <w:tcPr>
            <w:tcW w:w="0" w:type="auto"/>
            <w:vAlign w:val="center"/>
            <w:hideMark/>
          </w:tcPr>
          <w:p w14:paraId="1BEB8AE8"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i/>
                <w:iCs/>
                <w:sz w:val="22"/>
                <w:szCs w:val="22"/>
              </w:rPr>
              <w:t>Inadvertent reporting error, incomplete documentation, procedural delay, minor misunderstanding of scope.</w:t>
            </w:r>
          </w:p>
        </w:tc>
        <w:tc>
          <w:tcPr>
            <w:tcW w:w="0" w:type="auto"/>
            <w:vAlign w:val="center"/>
            <w:hideMark/>
          </w:tcPr>
          <w:p w14:paraId="363C97F6"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i/>
                <w:iCs/>
                <w:sz w:val="22"/>
                <w:szCs w:val="22"/>
              </w:rPr>
              <w:t>Clarification, education, correction, warning, or remediation.</w:t>
            </w:r>
          </w:p>
        </w:tc>
      </w:tr>
      <w:tr w:rsidR="005949BB" w:rsidRPr="00B479AE" w14:paraId="0EA67FDB" w14:textId="77777777" w:rsidTr="00214562">
        <w:trPr>
          <w:tblCellSpacing w:w="15" w:type="dxa"/>
        </w:trPr>
        <w:tc>
          <w:tcPr>
            <w:tcW w:w="0" w:type="auto"/>
            <w:vAlign w:val="center"/>
            <w:hideMark/>
          </w:tcPr>
          <w:p w14:paraId="541192D1"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Moderate</w:t>
            </w:r>
          </w:p>
        </w:tc>
        <w:tc>
          <w:tcPr>
            <w:tcW w:w="0" w:type="auto"/>
            <w:vAlign w:val="center"/>
            <w:hideMark/>
          </w:tcPr>
          <w:p w14:paraId="413A4786"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i/>
                <w:iCs/>
                <w:sz w:val="22"/>
                <w:szCs w:val="22"/>
              </w:rPr>
              <w:t>Repeated negligence, failure to correct after notice, role overreach, weak documentation affecting trust, minor misleading claim.</w:t>
            </w:r>
          </w:p>
        </w:tc>
        <w:tc>
          <w:tcPr>
            <w:tcW w:w="0" w:type="auto"/>
            <w:vAlign w:val="center"/>
            <w:hideMark/>
          </w:tcPr>
          <w:p w14:paraId="73D6B339"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i/>
                <w:iCs/>
                <w:sz w:val="22"/>
                <w:szCs w:val="22"/>
              </w:rPr>
              <w:t>Formal remediation plan, restricted access, role review, monitoring, or temporary limitation.</w:t>
            </w:r>
          </w:p>
        </w:tc>
      </w:tr>
      <w:tr w:rsidR="005949BB" w:rsidRPr="00B479AE" w14:paraId="6DD40D65" w14:textId="77777777" w:rsidTr="00214562">
        <w:trPr>
          <w:tblCellSpacing w:w="15" w:type="dxa"/>
        </w:trPr>
        <w:tc>
          <w:tcPr>
            <w:tcW w:w="0" w:type="auto"/>
            <w:vAlign w:val="center"/>
            <w:hideMark/>
          </w:tcPr>
          <w:p w14:paraId="2483A8A3"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Major</w:t>
            </w:r>
          </w:p>
        </w:tc>
        <w:tc>
          <w:tcPr>
            <w:tcW w:w="0" w:type="auto"/>
            <w:vAlign w:val="center"/>
            <w:hideMark/>
          </w:tcPr>
          <w:p w14:paraId="69E931E8"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i/>
                <w:iCs/>
                <w:sz w:val="22"/>
                <w:szCs w:val="22"/>
              </w:rPr>
              <w:t>Deliberate MRV distortion, serious public misrepresentation, governance manipulation, significant breach of access scope, exploitative conduct, material data integrity issue.</w:t>
            </w:r>
          </w:p>
        </w:tc>
        <w:tc>
          <w:tcPr>
            <w:tcW w:w="0" w:type="auto"/>
            <w:vAlign w:val="center"/>
            <w:hideMark/>
          </w:tcPr>
          <w:p w14:paraId="322C7011"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i/>
                <w:iCs/>
                <w:sz w:val="22"/>
                <w:szCs w:val="22"/>
              </w:rPr>
              <w:t>Suspension, quarantine, non-admissible status, governance review, legal review, public correction where required.</w:t>
            </w:r>
          </w:p>
        </w:tc>
      </w:tr>
      <w:tr w:rsidR="005949BB" w:rsidRPr="00B479AE" w14:paraId="35DE6E4B" w14:textId="77777777" w:rsidTr="00214562">
        <w:trPr>
          <w:tblCellSpacing w:w="15" w:type="dxa"/>
        </w:trPr>
        <w:tc>
          <w:tcPr>
            <w:tcW w:w="0" w:type="auto"/>
            <w:vAlign w:val="center"/>
            <w:hideMark/>
          </w:tcPr>
          <w:p w14:paraId="7B12D7FF"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Critical</w:t>
            </w:r>
          </w:p>
        </w:tc>
        <w:tc>
          <w:tcPr>
            <w:tcW w:w="0" w:type="auto"/>
            <w:vAlign w:val="center"/>
            <w:hideMark/>
          </w:tcPr>
          <w:p w14:paraId="1CF538AA"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i/>
                <w:iCs/>
                <w:sz w:val="22"/>
                <w:szCs w:val="22"/>
              </w:rPr>
              <w:t>Intentional falsification of PRU-relevant evidence, serious ecological harm, coercion, investor-facing fraud, constitutional bypass attempt, capture attempt, serious technical compromise, systemic abuse.</w:t>
            </w:r>
          </w:p>
        </w:tc>
        <w:tc>
          <w:tcPr>
            <w:tcW w:w="0" w:type="auto"/>
            <w:vAlign w:val="center"/>
            <w:hideMark/>
          </w:tcPr>
          <w:p w14:paraId="068BA24F"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i/>
                <w:iCs/>
                <w:sz w:val="22"/>
                <w:szCs w:val="22"/>
              </w:rPr>
              <w:t>Emergency limitation, constitutional review, exclusion, external legal or regulatory escalation where appropriate.</w:t>
            </w:r>
          </w:p>
        </w:tc>
      </w:tr>
    </w:tbl>
    <w:p w14:paraId="3139F290"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Severity classification is not mechanical.</w:t>
      </w:r>
    </w:p>
    <w:p w14:paraId="171B4473"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It must be interpreted through evidence and context.</w:t>
      </w:r>
    </w:p>
    <w:p w14:paraId="0C1DA3DB"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A minor error repeated after warnings may become moderate.</w:t>
      </w:r>
    </w:p>
    <w:p w14:paraId="6823C540"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A moderate issue affecting investor-facing claims may become major.</w:t>
      </w:r>
    </w:p>
    <w:p w14:paraId="3F530709"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A single critical action may justify immediate protective limitation before full review.</w:t>
      </w:r>
    </w:p>
    <w:p w14:paraId="6F41B57D"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Prometheus must be able to protect itself without abandoning due process.</w:t>
      </w:r>
    </w:p>
    <w:p w14:paraId="130FEB83" w14:textId="77777777" w:rsidR="005949BB" w:rsidRPr="00B479AE" w:rsidRDefault="005949BB" w:rsidP="005949BB">
      <w:pPr>
        <w:spacing w:line="360" w:lineRule="auto"/>
        <w:rPr>
          <w:rFonts w:ascii="Baskerville Old Face" w:hAnsi="Baskerville Old Face"/>
          <w:b/>
          <w:bCs/>
          <w:i/>
          <w:iCs/>
        </w:rPr>
      </w:pPr>
      <w:r w:rsidRPr="00B479AE">
        <w:rPr>
          <w:rFonts w:ascii="Baskerville Old Face" w:hAnsi="Baskerville Old Face"/>
          <w:b/>
          <w:bCs/>
          <w:i/>
          <w:iCs/>
        </w:rPr>
        <w:t>9.4 Consequence Types</w:t>
      </w:r>
    </w:p>
    <w:p w14:paraId="64CAAAB3"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Prometheus may apply different consequence types depending on severity and context.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2"/>
        <w:gridCol w:w="7816"/>
      </w:tblGrid>
      <w:tr w:rsidR="005949BB" w:rsidRPr="00B479AE" w14:paraId="448FDE96" w14:textId="77777777" w:rsidTr="00214562">
        <w:trPr>
          <w:tblHeader/>
          <w:tblCellSpacing w:w="15" w:type="dxa"/>
        </w:trPr>
        <w:tc>
          <w:tcPr>
            <w:tcW w:w="0" w:type="auto"/>
            <w:vAlign w:val="center"/>
            <w:hideMark/>
          </w:tcPr>
          <w:p w14:paraId="4E037203" w14:textId="77777777" w:rsidR="005949BB" w:rsidRPr="00B479AE" w:rsidRDefault="005949BB" w:rsidP="005949BB">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Consequence type</w:t>
            </w:r>
          </w:p>
        </w:tc>
        <w:tc>
          <w:tcPr>
            <w:tcW w:w="0" w:type="auto"/>
            <w:vAlign w:val="center"/>
            <w:hideMark/>
          </w:tcPr>
          <w:p w14:paraId="7539C6E3" w14:textId="77777777" w:rsidR="005949BB" w:rsidRPr="00B479AE" w:rsidRDefault="005949BB" w:rsidP="005949BB">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Function</w:t>
            </w:r>
          </w:p>
        </w:tc>
      </w:tr>
      <w:tr w:rsidR="005949BB" w:rsidRPr="00B479AE" w14:paraId="23E6047E" w14:textId="77777777" w:rsidTr="00214562">
        <w:trPr>
          <w:tblCellSpacing w:w="15" w:type="dxa"/>
        </w:trPr>
        <w:tc>
          <w:tcPr>
            <w:tcW w:w="0" w:type="auto"/>
            <w:vAlign w:val="center"/>
            <w:hideMark/>
          </w:tcPr>
          <w:p w14:paraId="5E5AFE87"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Clarification</w:t>
            </w:r>
          </w:p>
        </w:tc>
        <w:tc>
          <w:tcPr>
            <w:tcW w:w="0" w:type="auto"/>
            <w:vAlign w:val="center"/>
            <w:hideMark/>
          </w:tcPr>
          <w:p w14:paraId="63E3594E"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i/>
                <w:iCs/>
                <w:sz w:val="22"/>
                <w:szCs w:val="22"/>
              </w:rPr>
              <w:t>Corrects misunderstanding or ambiguous scope.</w:t>
            </w:r>
          </w:p>
        </w:tc>
      </w:tr>
      <w:tr w:rsidR="005949BB" w:rsidRPr="00B479AE" w14:paraId="1890C476" w14:textId="77777777" w:rsidTr="00214562">
        <w:trPr>
          <w:tblCellSpacing w:w="15" w:type="dxa"/>
        </w:trPr>
        <w:tc>
          <w:tcPr>
            <w:tcW w:w="0" w:type="auto"/>
            <w:vAlign w:val="center"/>
            <w:hideMark/>
          </w:tcPr>
          <w:p w14:paraId="4A47129D"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Education / remediation</w:t>
            </w:r>
          </w:p>
        </w:tc>
        <w:tc>
          <w:tcPr>
            <w:tcW w:w="0" w:type="auto"/>
            <w:vAlign w:val="center"/>
            <w:hideMark/>
          </w:tcPr>
          <w:p w14:paraId="23A1FDC2"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i/>
                <w:iCs/>
                <w:sz w:val="22"/>
                <w:szCs w:val="22"/>
              </w:rPr>
              <w:t>Helps participant realign with the Covenant.</w:t>
            </w:r>
          </w:p>
        </w:tc>
      </w:tr>
      <w:tr w:rsidR="005949BB" w:rsidRPr="00B479AE" w14:paraId="2F593090" w14:textId="77777777" w:rsidTr="00214562">
        <w:trPr>
          <w:tblCellSpacing w:w="15" w:type="dxa"/>
        </w:trPr>
        <w:tc>
          <w:tcPr>
            <w:tcW w:w="0" w:type="auto"/>
            <w:vAlign w:val="center"/>
            <w:hideMark/>
          </w:tcPr>
          <w:p w14:paraId="04CD9333"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Formal warning</w:t>
            </w:r>
          </w:p>
        </w:tc>
        <w:tc>
          <w:tcPr>
            <w:tcW w:w="0" w:type="auto"/>
            <w:vAlign w:val="center"/>
            <w:hideMark/>
          </w:tcPr>
          <w:p w14:paraId="5D94C512"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i/>
                <w:iCs/>
                <w:sz w:val="22"/>
                <w:szCs w:val="22"/>
              </w:rPr>
              <w:t>Records a breach and requires correction.</w:t>
            </w:r>
          </w:p>
        </w:tc>
      </w:tr>
      <w:tr w:rsidR="005949BB" w:rsidRPr="00B479AE" w14:paraId="7121CA66" w14:textId="77777777" w:rsidTr="00214562">
        <w:trPr>
          <w:tblCellSpacing w:w="15" w:type="dxa"/>
        </w:trPr>
        <w:tc>
          <w:tcPr>
            <w:tcW w:w="0" w:type="auto"/>
            <w:vAlign w:val="center"/>
            <w:hideMark/>
          </w:tcPr>
          <w:p w14:paraId="0BA8C2CE"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Correction notice</w:t>
            </w:r>
          </w:p>
        </w:tc>
        <w:tc>
          <w:tcPr>
            <w:tcW w:w="0" w:type="auto"/>
            <w:vAlign w:val="center"/>
            <w:hideMark/>
          </w:tcPr>
          <w:p w14:paraId="64461F0B"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i/>
                <w:iCs/>
                <w:sz w:val="22"/>
                <w:szCs w:val="22"/>
              </w:rPr>
              <w:t>Requires correction of inaccurate claim, record, report, or communication.</w:t>
            </w:r>
          </w:p>
        </w:tc>
      </w:tr>
      <w:tr w:rsidR="005949BB" w:rsidRPr="00B479AE" w14:paraId="578DBE21" w14:textId="77777777" w:rsidTr="00214562">
        <w:trPr>
          <w:tblCellSpacing w:w="15" w:type="dxa"/>
        </w:trPr>
        <w:tc>
          <w:tcPr>
            <w:tcW w:w="0" w:type="auto"/>
            <w:vAlign w:val="center"/>
            <w:hideMark/>
          </w:tcPr>
          <w:p w14:paraId="385EB05A"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Remediation plan</w:t>
            </w:r>
          </w:p>
        </w:tc>
        <w:tc>
          <w:tcPr>
            <w:tcW w:w="0" w:type="auto"/>
            <w:vAlign w:val="center"/>
            <w:hideMark/>
          </w:tcPr>
          <w:p w14:paraId="23A04BEE"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i/>
                <w:iCs/>
                <w:sz w:val="22"/>
                <w:szCs w:val="22"/>
              </w:rPr>
              <w:t>Defines actions, deadlines, responsibilities, and review points.</w:t>
            </w:r>
          </w:p>
        </w:tc>
      </w:tr>
      <w:tr w:rsidR="005949BB" w:rsidRPr="00B479AE" w14:paraId="7D6B961C" w14:textId="77777777" w:rsidTr="00214562">
        <w:trPr>
          <w:tblCellSpacing w:w="15" w:type="dxa"/>
        </w:trPr>
        <w:tc>
          <w:tcPr>
            <w:tcW w:w="0" w:type="auto"/>
            <w:vAlign w:val="center"/>
            <w:hideMark/>
          </w:tcPr>
          <w:p w14:paraId="73C3DB91"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Role review</w:t>
            </w:r>
          </w:p>
        </w:tc>
        <w:tc>
          <w:tcPr>
            <w:tcW w:w="0" w:type="auto"/>
            <w:vAlign w:val="center"/>
            <w:hideMark/>
          </w:tcPr>
          <w:p w14:paraId="3BCB32E0"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i/>
                <w:iCs/>
                <w:sz w:val="22"/>
                <w:szCs w:val="22"/>
              </w:rPr>
              <w:t>Reviews whether the participant should continue holding a role.</w:t>
            </w:r>
          </w:p>
        </w:tc>
      </w:tr>
      <w:tr w:rsidR="005949BB" w:rsidRPr="00B479AE" w14:paraId="0DC89FDA" w14:textId="77777777" w:rsidTr="00214562">
        <w:trPr>
          <w:tblCellSpacing w:w="15" w:type="dxa"/>
        </w:trPr>
        <w:tc>
          <w:tcPr>
            <w:tcW w:w="0" w:type="auto"/>
            <w:vAlign w:val="center"/>
            <w:hideMark/>
          </w:tcPr>
          <w:p w14:paraId="236AAF1A"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Restricted status</w:t>
            </w:r>
          </w:p>
        </w:tc>
        <w:tc>
          <w:tcPr>
            <w:tcW w:w="0" w:type="auto"/>
            <w:vAlign w:val="center"/>
            <w:hideMark/>
          </w:tcPr>
          <w:p w14:paraId="4ECC46E5"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i/>
                <w:iCs/>
                <w:sz w:val="22"/>
                <w:szCs w:val="22"/>
              </w:rPr>
              <w:t>Limits specific rights, accesses, functions, or claims.</w:t>
            </w:r>
          </w:p>
        </w:tc>
      </w:tr>
      <w:tr w:rsidR="005949BB" w:rsidRPr="00B479AE" w14:paraId="005EFB36" w14:textId="77777777" w:rsidTr="00214562">
        <w:trPr>
          <w:tblCellSpacing w:w="15" w:type="dxa"/>
        </w:trPr>
        <w:tc>
          <w:tcPr>
            <w:tcW w:w="0" w:type="auto"/>
            <w:vAlign w:val="center"/>
            <w:hideMark/>
          </w:tcPr>
          <w:p w14:paraId="64A92DCF"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Suspended status</w:t>
            </w:r>
          </w:p>
        </w:tc>
        <w:tc>
          <w:tcPr>
            <w:tcW w:w="0" w:type="auto"/>
            <w:vAlign w:val="center"/>
            <w:hideMark/>
          </w:tcPr>
          <w:p w14:paraId="494F4035"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i/>
                <w:iCs/>
                <w:sz w:val="22"/>
                <w:szCs w:val="22"/>
              </w:rPr>
              <w:t>Temporarily pauses sensitive access pending review or remediation.</w:t>
            </w:r>
          </w:p>
        </w:tc>
      </w:tr>
      <w:tr w:rsidR="005949BB" w:rsidRPr="00B479AE" w14:paraId="2248D679" w14:textId="77777777" w:rsidTr="00214562">
        <w:trPr>
          <w:tblCellSpacing w:w="15" w:type="dxa"/>
        </w:trPr>
        <w:tc>
          <w:tcPr>
            <w:tcW w:w="0" w:type="auto"/>
            <w:vAlign w:val="center"/>
            <w:hideMark/>
          </w:tcPr>
          <w:p w14:paraId="56D804CE"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Non-admissible status</w:t>
            </w:r>
          </w:p>
        </w:tc>
        <w:tc>
          <w:tcPr>
            <w:tcW w:w="0" w:type="auto"/>
            <w:vAlign w:val="center"/>
            <w:hideMark/>
          </w:tcPr>
          <w:p w14:paraId="383D49E6"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i/>
                <w:iCs/>
                <w:sz w:val="22"/>
                <w:szCs w:val="22"/>
              </w:rPr>
              <w:t>Prevents a claim, record, output, or pathway from entering PRU, RAP, governance, investor-facing, token, MRV, or public-reporting pathways.</w:t>
            </w:r>
          </w:p>
        </w:tc>
      </w:tr>
      <w:tr w:rsidR="005949BB" w:rsidRPr="00B479AE" w14:paraId="5DA3A3C6" w14:textId="77777777" w:rsidTr="00214562">
        <w:trPr>
          <w:tblCellSpacing w:w="15" w:type="dxa"/>
        </w:trPr>
        <w:tc>
          <w:tcPr>
            <w:tcW w:w="0" w:type="auto"/>
            <w:vAlign w:val="center"/>
            <w:hideMark/>
          </w:tcPr>
          <w:p w14:paraId="5F58923B"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Quarantined status</w:t>
            </w:r>
          </w:p>
        </w:tc>
        <w:tc>
          <w:tcPr>
            <w:tcW w:w="0" w:type="auto"/>
            <w:vAlign w:val="center"/>
            <w:hideMark/>
          </w:tcPr>
          <w:p w14:paraId="63EEDD10"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i/>
                <w:iCs/>
                <w:sz w:val="22"/>
                <w:szCs w:val="22"/>
              </w:rPr>
              <w:t>Isolates a pathway, dataset, participant, project, or claim due to serious risk.</w:t>
            </w:r>
          </w:p>
        </w:tc>
      </w:tr>
      <w:tr w:rsidR="005949BB" w:rsidRPr="00B479AE" w14:paraId="0CAFC844" w14:textId="77777777" w:rsidTr="00214562">
        <w:trPr>
          <w:tblCellSpacing w:w="15" w:type="dxa"/>
        </w:trPr>
        <w:tc>
          <w:tcPr>
            <w:tcW w:w="0" w:type="auto"/>
            <w:vAlign w:val="center"/>
            <w:hideMark/>
          </w:tcPr>
          <w:p w14:paraId="69CED186"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Corrective disclosure</w:t>
            </w:r>
          </w:p>
        </w:tc>
        <w:tc>
          <w:tcPr>
            <w:tcW w:w="0" w:type="auto"/>
            <w:vAlign w:val="center"/>
            <w:hideMark/>
          </w:tcPr>
          <w:p w14:paraId="3E48DF6A"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i/>
                <w:iCs/>
                <w:sz w:val="22"/>
                <w:szCs w:val="22"/>
              </w:rPr>
              <w:t>Requires public or private correction where prior communication created confusion or risk.</w:t>
            </w:r>
          </w:p>
        </w:tc>
      </w:tr>
      <w:tr w:rsidR="005949BB" w:rsidRPr="00B479AE" w14:paraId="4DEDC878" w14:textId="77777777" w:rsidTr="00214562">
        <w:trPr>
          <w:tblCellSpacing w:w="15" w:type="dxa"/>
        </w:trPr>
        <w:tc>
          <w:tcPr>
            <w:tcW w:w="0" w:type="auto"/>
            <w:vAlign w:val="center"/>
            <w:hideMark/>
          </w:tcPr>
          <w:p w14:paraId="4EA29B9D"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Exclusion</w:t>
            </w:r>
          </w:p>
        </w:tc>
        <w:tc>
          <w:tcPr>
            <w:tcW w:w="0" w:type="auto"/>
            <w:vAlign w:val="center"/>
            <w:hideMark/>
          </w:tcPr>
          <w:p w14:paraId="4F38B7BE"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i/>
                <w:iCs/>
                <w:sz w:val="22"/>
                <w:szCs w:val="22"/>
              </w:rPr>
              <w:t>Removes participant from defined forms of participation according to governance and legal procedure.</w:t>
            </w:r>
          </w:p>
        </w:tc>
      </w:tr>
      <w:tr w:rsidR="005949BB" w:rsidRPr="00B479AE" w14:paraId="40575A51" w14:textId="77777777" w:rsidTr="00214562">
        <w:trPr>
          <w:tblCellSpacing w:w="15" w:type="dxa"/>
        </w:trPr>
        <w:tc>
          <w:tcPr>
            <w:tcW w:w="0" w:type="auto"/>
            <w:vAlign w:val="center"/>
            <w:hideMark/>
          </w:tcPr>
          <w:p w14:paraId="36307245"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External escalation</w:t>
            </w:r>
          </w:p>
        </w:tc>
        <w:tc>
          <w:tcPr>
            <w:tcW w:w="0" w:type="auto"/>
            <w:vAlign w:val="center"/>
            <w:hideMark/>
          </w:tcPr>
          <w:p w14:paraId="7B9C9043" w14:textId="77777777" w:rsidR="005949BB" w:rsidRPr="00B479AE" w:rsidRDefault="005949BB" w:rsidP="005949BB">
            <w:pPr>
              <w:spacing w:line="360" w:lineRule="auto"/>
              <w:rPr>
                <w:rFonts w:ascii="Baskerville Old Face" w:hAnsi="Baskerville Old Face"/>
                <w:i/>
                <w:iCs/>
                <w:sz w:val="22"/>
                <w:szCs w:val="22"/>
              </w:rPr>
            </w:pPr>
            <w:r w:rsidRPr="00B479AE">
              <w:rPr>
                <w:rFonts w:ascii="Baskerville Old Face" w:hAnsi="Baskerville Old Face"/>
                <w:i/>
                <w:iCs/>
                <w:sz w:val="22"/>
                <w:szCs w:val="22"/>
              </w:rPr>
              <w:t>Refers serious misconduct to competent legal, regulatory, fiduciary, enforcement, or institutional authorities.</w:t>
            </w:r>
          </w:p>
        </w:tc>
      </w:tr>
    </w:tbl>
    <w:p w14:paraId="52250556" w14:textId="2C9736DD"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Consequence does not always mean exclusion.</w:t>
      </w:r>
      <w:r w:rsidR="0036529B" w:rsidRPr="00B479AE">
        <w:rPr>
          <w:rFonts w:ascii="Baskerville Old Face" w:hAnsi="Baskerville Old Face"/>
          <w:i/>
          <w:iCs/>
        </w:rPr>
        <w:t xml:space="preserve"> </w:t>
      </w:r>
      <w:r w:rsidRPr="00B479AE">
        <w:rPr>
          <w:rFonts w:ascii="Baskerville Old Face" w:hAnsi="Baskerville Old Face"/>
          <w:i/>
          <w:iCs/>
        </w:rPr>
        <w:t>In many cases, the correct response is correction, education, limitation, or remediation.</w:t>
      </w:r>
    </w:p>
    <w:p w14:paraId="714AA7DB"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Where harm is serious, repeated, intentional, or constitutional, stronger measures become necessary.</w:t>
      </w:r>
    </w:p>
    <w:p w14:paraId="581660D0"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Prometheus protects participation by protecting trust.</w:t>
      </w:r>
    </w:p>
    <w:p w14:paraId="5182EF81" w14:textId="77777777" w:rsidR="005949BB" w:rsidRPr="00B479AE" w:rsidRDefault="005949BB" w:rsidP="005949BB">
      <w:pPr>
        <w:spacing w:line="360" w:lineRule="auto"/>
        <w:rPr>
          <w:rFonts w:ascii="Baskerville Old Face" w:hAnsi="Baskerville Old Face"/>
          <w:b/>
          <w:bCs/>
          <w:i/>
          <w:iCs/>
        </w:rPr>
      </w:pPr>
      <w:r w:rsidRPr="00B479AE">
        <w:rPr>
          <w:rFonts w:ascii="Baskerville Old Face" w:hAnsi="Baskerville Old Face"/>
          <w:b/>
          <w:bCs/>
          <w:i/>
          <w:iCs/>
        </w:rPr>
        <w:lastRenderedPageBreak/>
        <w:t>9.5 Remediation First, Where Possible</w:t>
      </w:r>
    </w:p>
    <w:p w14:paraId="272AFBB6"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Prometheus should prefer remediation where the violation is minor, moderate, unintentional, correctable, and not structurally harmful.</w:t>
      </w:r>
    </w:p>
    <w:p w14:paraId="37073269"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A remediation plan may include:</w:t>
      </w:r>
    </w:p>
    <w:p w14:paraId="2A25AFF3"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 corrected documentation;</w:t>
      </w:r>
      <w:r w:rsidRPr="00B479AE">
        <w:rPr>
          <w:rFonts w:ascii="Baskerville Old Face" w:hAnsi="Baskerville Old Face"/>
          <w:i/>
          <w:iCs/>
        </w:rPr>
        <w:br/>
        <w:t>• corrected public communication;</w:t>
      </w:r>
      <w:r w:rsidRPr="00B479AE">
        <w:rPr>
          <w:rFonts w:ascii="Baskerville Old Face" w:hAnsi="Baskerville Old Face"/>
          <w:i/>
          <w:iCs/>
        </w:rPr>
        <w:br/>
        <w:t>• renewed Access Covenant affirmation;</w:t>
      </w:r>
      <w:r w:rsidRPr="00B479AE">
        <w:rPr>
          <w:rFonts w:ascii="Baskerville Old Face" w:hAnsi="Baskerville Old Face"/>
          <w:i/>
          <w:iCs/>
        </w:rPr>
        <w:br/>
        <w:t>• additional training;</w:t>
      </w:r>
      <w:r w:rsidRPr="00B479AE">
        <w:rPr>
          <w:rFonts w:ascii="Baskerville Old Face" w:hAnsi="Baskerville Old Face"/>
          <w:i/>
          <w:iCs/>
        </w:rPr>
        <w:br/>
        <w:t>• role clarification;</w:t>
      </w:r>
      <w:r w:rsidRPr="00B479AE">
        <w:rPr>
          <w:rFonts w:ascii="Baskerville Old Face" w:hAnsi="Baskerville Old Face"/>
          <w:i/>
          <w:iCs/>
        </w:rPr>
        <w:br/>
        <w:t>• role limitation;</w:t>
      </w:r>
      <w:r w:rsidRPr="00B479AE">
        <w:rPr>
          <w:rFonts w:ascii="Baskerville Old Face" w:hAnsi="Baskerville Old Face"/>
          <w:i/>
          <w:iCs/>
        </w:rPr>
        <w:br/>
        <w:t>• supervision;</w:t>
      </w:r>
      <w:r w:rsidRPr="00B479AE">
        <w:rPr>
          <w:rFonts w:ascii="Baskerville Old Face" w:hAnsi="Baskerville Old Face"/>
          <w:i/>
          <w:iCs/>
        </w:rPr>
        <w:br/>
        <w:t>• technical access review;</w:t>
      </w:r>
      <w:r w:rsidRPr="00B479AE">
        <w:rPr>
          <w:rFonts w:ascii="Baskerville Old Face" w:hAnsi="Baskerville Old Face"/>
          <w:i/>
          <w:iCs/>
        </w:rPr>
        <w:br/>
        <w:t>• data correction;</w:t>
      </w:r>
      <w:r w:rsidRPr="00B479AE">
        <w:rPr>
          <w:rFonts w:ascii="Baskerville Old Face" w:hAnsi="Baskerville Old Face"/>
          <w:i/>
          <w:iCs/>
        </w:rPr>
        <w:br/>
        <w:t>• MRV resubmission;</w:t>
      </w:r>
      <w:r w:rsidRPr="00B479AE">
        <w:rPr>
          <w:rFonts w:ascii="Baskerville Old Face" w:hAnsi="Baskerville Old Face"/>
          <w:i/>
          <w:iCs/>
        </w:rPr>
        <w:br/>
        <w:t>• community repair process;</w:t>
      </w:r>
      <w:r w:rsidRPr="00B479AE">
        <w:rPr>
          <w:rFonts w:ascii="Baskerville Old Face" w:hAnsi="Baskerville Old Face"/>
          <w:i/>
          <w:iCs/>
        </w:rPr>
        <w:br/>
        <w:t>• conflict mediation;</w:t>
      </w:r>
      <w:r w:rsidRPr="00B479AE">
        <w:rPr>
          <w:rFonts w:ascii="Baskerville Old Face" w:hAnsi="Baskerville Old Face"/>
          <w:i/>
          <w:iCs/>
        </w:rPr>
        <w:br/>
        <w:t>• legal documentation update;</w:t>
      </w:r>
      <w:r w:rsidRPr="00B479AE">
        <w:rPr>
          <w:rFonts w:ascii="Baskerville Old Face" w:hAnsi="Baskerville Old Face"/>
          <w:i/>
          <w:iCs/>
        </w:rPr>
        <w:br/>
        <w:t>• reporting correction;</w:t>
      </w:r>
      <w:r w:rsidRPr="00B479AE">
        <w:rPr>
          <w:rFonts w:ascii="Baskerville Old Face" w:hAnsi="Baskerville Old Face"/>
          <w:i/>
          <w:iCs/>
        </w:rPr>
        <w:br/>
        <w:t>• review date.</w:t>
      </w:r>
    </w:p>
    <w:p w14:paraId="02DBD3E6"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Remediation is appropriate when the participant demonstrates:</w:t>
      </w:r>
    </w:p>
    <w:p w14:paraId="465CD122"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 good faith;</w:t>
      </w:r>
      <w:r w:rsidRPr="00B479AE">
        <w:rPr>
          <w:rFonts w:ascii="Baskerville Old Face" w:hAnsi="Baskerville Old Face"/>
          <w:i/>
          <w:iCs/>
        </w:rPr>
        <w:br/>
        <w:t>• willingness to correct;</w:t>
      </w:r>
      <w:r w:rsidRPr="00B479AE">
        <w:rPr>
          <w:rFonts w:ascii="Baskerville Old Face" w:hAnsi="Baskerville Old Face"/>
          <w:i/>
          <w:iCs/>
        </w:rPr>
        <w:br/>
        <w:t>• transparency;</w:t>
      </w:r>
      <w:r w:rsidRPr="00B479AE">
        <w:rPr>
          <w:rFonts w:ascii="Baskerville Old Face" w:hAnsi="Baskerville Old Face"/>
          <w:i/>
          <w:iCs/>
        </w:rPr>
        <w:br/>
        <w:t>• cooperation with review;</w:t>
      </w:r>
      <w:r w:rsidRPr="00B479AE">
        <w:rPr>
          <w:rFonts w:ascii="Baskerville Old Face" w:hAnsi="Baskerville Old Face"/>
          <w:i/>
          <w:iCs/>
        </w:rPr>
        <w:br/>
        <w:t>• respect for the Covenant;</w:t>
      </w:r>
      <w:r w:rsidRPr="00B479AE">
        <w:rPr>
          <w:rFonts w:ascii="Baskerville Old Face" w:hAnsi="Baskerville Old Face"/>
          <w:i/>
          <w:iCs/>
        </w:rPr>
        <w:br/>
        <w:t>• no serious intent to manipulate, extract, or bypass.</w:t>
      </w:r>
    </w:p>
    <w:p w14:paraId="71CFD021"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Remediation is not appropriate where it becomes a shield for repeated harm.</w:t>
      </w:r>
    </w:p>
    <w:p w14:paraId="4C707D78"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A regenerative system forgives error.</w:t>
      </w:r>
    </w:p>
    <w:p w14:paraId="128A4BA0"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It does not normalize abuse.</w:t>
      </w:r>
    </w:p>
    <w:p w14:paraId="04B151C9" w14:textId="77777777" w:rsidR="005949BB" w:rsidRPr="00B479AE" w:rsidRDefault="005949BB" w:rsidP="005949BB">
      <w:pPr>
        <w:spacing w:line="360" w:lineRule="auto"/>
        <w:rPr>
          <w:rFonts w:ascii="Baskerville Old Face" w:hAnsi="Baskerville Old Face"/>
          <w:b/>
          <w:bCs/>
          <w:i/>
          <w:iCs/>
        </w:rPr>
      </w:pPr>
      <w:r w:rsidRPr="00B479AE">
        <w:rPr>
          <w:rFonts w:ascii="Baskerville Old Face" w:hAnsi="Baskerville Old Face"/>
          <w:b/>
          <w:bCs/>
          <w:i/>
          <w:iCs/>
        </w:rPr>
        <w:lastRenderedPageBreak/>
        <w:t>9.6 Non-Admissibility of Claims and Outputs</w:t>
      </w:r>
    </w:p>
    <w:p w14:paraId="219B4F75"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One of the most important consequences in Prometheus is non-admissibility.</w:t>
      </w:r>
    </w:p>
    <w:p w14:paraId="5E440143"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Non-admissibility means that a claim, output, record, dataset, communication, action, or pathway may not enter protected Prometheus pathways.</w:t>
      </w:r>
    </w:p>
    <w:p w14:paraId="71F1454C"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These may include:</w:t>
      </w:r>
    </w:p>
    <w:p w14:paraId="4FFC6C45" w14:textId="519F711A"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 MRV validation;</w:t>
      </w:r>
      <w:r w:rsidRPr="00B479AE">
        <w:rPr>
          <w:rFonts w:ascii="Baskerville Old Face" w:hAnsi="Baskerville Old Face"/>
          <w:i/>
          <w:iCs/>
        </w:rPr>
        <w:br/>
        <w:t>• PRU assessment;</w:t>
      </w:r>
      <w:r w:rsidRPr="00B479AE">
        <w:rPr>
          <w:rFonts w:ascii="Baskerville Old Face" w:hAnsi="Baskerville Old Face"/>
          <w:i/>
          <w:iCs/>
        </w:rPr>
        <w:br/>
        <w:t xml:space="preserve">• </w:t>
      </w:r>
      <w:r w:rsidR="00E71F80" w:rsidRPr="00B479AE">
        <w:rPr>
          <w:rFonts w:ascii="Baskerville Old Face" w:hAnsi="Baskerville Old Face"/>
          <w:i/>
          <w:iCs/>
        </w:rPr>
        <w:t>PRU maturity classification</w:t>
      </w:r>
      <w:r w:rsidRPr="00B479AE">
        <w:rPr>
          <w:rFonts w:ascii="Baskerville Old Face" w:hAnsi="Baskerville Old Face"/>
          <w:i/>
          <w:iCs/>
        </w:rPr>
        <w:t>;</w:t>
      </w:r>
      <w:r w:rsidRPr="00B479AE">
        <w:rPr>
          <w:rFonts w:ascii="Baskerville Old Face" w:hAnsi="Baskerville Old Face"/>
          <w:i/>
          <w:iCs/>
        </w:rPr>
        <w:br/>
        <w:t>• RAP inclusion;</w:t>
      </w:r>
      <w:r w:rsidRPr="00B479AE">
        <w:rPr>
          <w:rFonts w:ascii="Baskerville Old Face" w:hAnsi="Baskerville Old Face"/>
          <w:i/>
          <w:iCs/>
        </w:rPr>
        <w:br/>
        <w:t>• investor reporting;</w:t>
      </w:r>
      <w:r w:rsidRPr="00B479AE">
        <w:rPr>
          <w:rFonts w:ascii="Baskerville Old Face" w:hAnsi="Baskerville Old Face"/>
          <w:i/>
          <w:iCs/>
        </w:rPr>
        <w:br/>
        <w:t>• public impact reporting;</w:t>
      </w:r>
      <w:r w:rsidRPr="00B479AE">
        <w:rPr>
          <w:rFonts w:ascii="Baskerville Old Face" w:hAnsi="Baskerville Old Face"/>
          <w:i/>
          <w:iCs/>
        </w:rPr>
        <w:br/>
        <w:t>• token-mediated representation;</w:t>
      </w:r>
      <w:r w:rsidRPr="00B479AE">
        <w:rPr>
          <w:rFonts w:ascii="Baskerville Old Face" w:hAnsi="Baskerville Old Face"/>
          <w:i/>
          <w:iCs/>
        </w:rPr>
        <w:br/>
        <w:t>• governance decision-making;</w:t>
      </w:r>
      <w:r w:rsidRPr="00B479AE">
        <w:rPr>
          <w:rFonts w:ascii="Baskerville Old Face" w:hAnsi="Baskerville Old Face"/>
          <w:i/>
          <w:iCs/>
        </w:rPr>
        <w:br/>
        <w:t>• capital-facing communication;</w:t>
      </w:r>
      <w:r w:rsidRPr="00B479AE">
        <w:rPr>
          <w:rFonts w:ascii="Baskerville Old Face" w:hAnsi="Baskerville Old Face"/>
          <w:i/>
          <w:iCs/>
        </w:rPr>
        <w:br/>
        <w:t>• institutional data rooms;</w:t>
      </w:r>
      <w:r w:rsidRPr="00B479AE">
        <w:rPr>
          <w:rFonts w:ascii="Baskerville Old Face" w:hAnsi="Baskerville Old Face"/>
          <w:i/>
          <w:iCs/>
        </w:rPr>
        <w:br/>
        <w:t>• legal or financial structuring.</w:t>
      </w:r>
    </w:p>
    <w:p w14:paraId="21D2700E"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Non-admissibility protects the system without necessarily excluding the participant entirely.</w:t>
      </w:r>
    </w:p>
    <w:p w14:paraId="21218C86"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For example:</w:t>
      </w:r>
    </w:p>
    <w:p w14:paraId="1F18B671"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 a community narrative may remain meaningful but not MRV-admissible;</w:t>
      </w:r>
      <w:r w:rsidRPr="00B479AE">
        <w:rPr>
          <w:rFonts w:ascii="Baskerville Old Face" w:hAnsi="Baskerville Old Face"/>
          <w:i/>
          <w:iCs/>
        </w:rPr>
        <w:br/>
        <w:t>• a dataset may remain archived but not PRU-admissible;</w:t>
      </w:r>
      <w:r w:rsidRPr="00B479AE">
        <w:rPr>
          <w:rFonts w:ascii="Baskerville Old Face" w:hAnsi="Baskerville Old Face"/>
          <w:i/>
          <w:iCs/>
        </w:rPr>
        <w:br/>
        <w:t>• a pilot claim may remain exploratory but not investor-facing;</w:t>
      </w:r>
      <w:r w:rsidRPr="00B479AE">
        <w:rPr>
          <w:rFonts w:ascii="Baskerville Old Face" w:hAnsi="Baskerville Old Face"/>
          <w:i/>
          <w:iCs/>
        </w:rPr>
        <w:br/>
        <w:t>• a token claim may remain internal to another ecosystem but not Prometheus-valid;</w:t>
      </w:r>
      <w:r w:rsidRPr="00B479AE">
        <w:rPr>
          <w:rFonts w:ascii="Baskerville Old Face" w:hAnsi="Baskerville Old Face"/>
          <w:i/>
          <w:iCs/>
        </w:rPr>
        <w:br/>
        <w:t>• an ecological observation may remain useful but not financially admissible.</w:t>
      </w:r>
    </w:p>
    <w:p w14:paraId="121BC4A7"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This distinction is essential.</w:t>
      </w:r>
    </w:p>
    <w:p w14:paraId="4E53E59A"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Prometheus does not need to punish every ambiguity.</w:t>
      </w:r>
    </w:p>
    <w:p w14:paraId="039C21DC"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It needs to prevent ambiguity from becoming value.</w:t>
      </w:r>
    </w:p>
    <w:p w14:paraId="7C611334" w14:textId="77777777" w:rsidR="005949BB" w:rsidRPr="00B479AE" w:rsidRDefault="005949BB" w:rsidP="005949BB">
      <w:pPr>
        <w:spacing w:line="360" w:lineRule="auto"/>
        <w:rPr>
          <w:rFonts w:ascii="Baskerville Old Face" w:hAnsi="Baskerville Old Face"/>
          <w:b/>
          <w:bCs/>
          <w:i/>
          <w:iCs/>
        </w:rPr>
      </w:pPr>
      <w:r w:rsidRPr="00B479AE">
        <w:rPr>
          <w:rFonts w:ascii="Baskerville Old Face" w:hAnsi="Baskerville Old Face"/>
          <w:b/>
          <w:bCs/>
          <w:i/>
          <w:iCs/>
        </w:rPr>
        <w:t>9.7 Technical Enforcement Boundary</w:t>
      </w:r>
    </w:p>
    <w:p w14:paraId="332AB5D7"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lastRenderedPageBreak/>
        <w:t>Technical systems may support Covenant enforcement.</w:t>
      </w:r>
    </w:p>
    <w:p w14:paraId="088ECE01"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They may:</w:t>
      </w:r>
    </w:p>
    <w:p w14:paraId="6981A81F"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 detect anomalies;</w:t>
      </w:r>
      <w:r w:rsidRPr="00B479AE">
        <w:rPr>
          <w:rFonts w:ascii="Baskerville Old Face" w:hAnsi="Baskerville Old Face"/>
          <w:i/>
          <w:iCs/>
        </w:rPr>
        <w:br/>
        <w:t>• flag invalid entries;</w:t>
      </w:r>
      <w:r w:rsidRPr="00B479AE">
        <w:rPr>
          <w:rFonts w:ascii="Baskerville Old Face" w:hAnsi="Baskerville Old Face"/>
          <w:i/>
          <w:iCs/>
        </w:rPr>
        <w:br/>
        <w:t>• restrict permissions;</w:t>
      </w:r>
      <w:r w:rsidRPr="00B479AE">
        <w:rPr>
          <w:rFonts w:ascii="Baskerville Old Face" w:hAnsi="Baskerville Old Face"/>
          <w:i/>
          <w:iCs/>
        </w:rPr>
        <w:br/>
        <w:t>• pause sensitive functions;</w:t>
      </w:r>
      <w:r w:rsidRPr="00B479AE">
        <w:rPr>
          <w:rFonts w:ascii="Baskerville Old Face" w:hAnsi="Baskerville Old Face"/>
          <w:i/>
          <w:iCs/>
        </w:rPr>
        <w:br/>
        <w:t>• log suspicious behavior;</w:t>
      </w:r>
      <w:r w:rsidRPr="00B479AE">
        <w:rPr>
          <w:rFonts w:ascii="Baskerville Old Face" w:hAnsi="Baskerville Old Face"/>
          <w:i/>
          <w:iCs/>
        </w:rPr>
        <w:br/>
        <w:t>• require manual review;</w:t>
      </w:r>
      <w:r w:rsidRPr="00B479AE">
        <w:rPr>
          <w:rFonts w:ascii="Baskerville Old Face" w:hAnsi="Baskerville Old Face"/>
          <w:i/>
          <w:iCs/>
        </w:rPr>
        <w:br/>
        <w:t>• quarantine records;</w:t>
      </w:r>
      <w:r w:rsidRPr="00B479AE">
        <w:rPr>
          <w:rFonts w:ascii="Baskerville Old Face" w:hAnsi="Baskerville Old Face"/>
          <w:i/>
          <w:iCs/>
        </w:rPr>
        <w:br/>
        <w:t>• revoke credentials;</w:t>
      </w:r>
      <w:r w:rsidRPr="00B479AE">
        <w:rPr>
          <w:rFonts w:ascii="Baskerville Old Face" w:hAnsi="Baskerville Old Face"/>
          <w:i/>
          <w:iCs/>
        </w:rPr>
        <w:br/>
        <w:t>• enforce validation rules where implemented;</w:t>
      </w:r>
      <w:r w:rsidRPr="00B479AE">
        <w:rPr>
          <w:rFonts w:ascii="Baskerville Old Face" w:hAnsi="Baskerville Old Face"/>
          <w:i/>
          <w:iCs/>
        </w:rPr>
        <w:br/>
        <w:t>• prevent unauthorized operations.</w:t>
      </w:r>
    </w:p>
    <w:p w14:paraId="2E1B8A19"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However, Prometheus must not overclaim automatic enforcement.</w:t>
      </w:r>
    </w:p>
    <w:p w14:paraId="718DBCF1"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Technical enforcement is valid only where the relevant mechanism is:</w:t>
      </w:r>
    </w:p>
    <w:p w14:paraId="65965DEA"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 implemented;</w:t>
      </w:r>
      <w:r w:rsidRPr="00B479AE">
        <w:rPr>
          <w:rFonts w:ascii="Baskerville Old Face" w:hAnsi="Baskerville Old Face"/>
          <w:i/>
          <w:iCs/>
        </w:rPr>
        <w:br/>
        <w:t>• tested;</w:t>
      </w:r>
      <w:r w:rsidRPr="00B479AE">
        <w:rPr>
          <w:rFonts w:ascii="Baskerville Old Face" w:hAnsi="Baskerville Old Face"/>
          <w:i/>
          <w:iCs/>
        </w:rPr>
        <w:br/>
        <w:t>• audited where appropriate;</w:t>
      </w:r>
      <w:r w:rsidRPr="00B479AE">
        <w:rPr>
          <w:rFonts w:ascii="Baskerville Old Face" w:hAnsi="Baskerville Old Face"/>
          <w:i/>
          <w:iCs/>
        </w:rPr>
        <w:br/>
        <w:t>• governed;</w:t>
      </w:r>
      <w:r w:rsidRPr="00B479AE">
        <w:rPr>
          <w:rFonts w:ascii="Baskerville Old Face" w:hAnsi="Baskerville Old Face"/>
          <w:i/>
          <w:iCs/>
        </w:rPr>
        <w:br/>
        <w:t>• documented;</w:t>
      </w:r>
      <w:r w:rsidRPr="00B479AE">
        <w:rPr>
          <w:rFonts w:ascii="Baskerville Old Face" w:hAnsi="Baskerville Old Face"/>
          <w:i/>
          <w:iCs/>
        </w:rPr>
        <w:br/>
        <w:t>• legally and procedurally compatible with the consequence imposed.</w:t>
      </w:r>
    </w:p>
    <w:p w14:paraId="549DB74B"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Holochain-compatible validation rules, warrants, source-chain records, DHT references, access-control logic, or policy engines may support integrity.</w:t>
      </w:r>
    </w:p>
    <w:p w14:paraId="418D978E"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They do not replace governance judgment in high-impact matters.</w:t>
      </w:r>
    </w:p>
    <w:p w14:paraId="6FFBFE38"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Software may reject an invalid entry.</w:t>
      </w:r>
    </w:p>
    <w:p w14:paraId="3154B02B"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Software may flag a breach.</w:t>
      </w:r>
    </w:p>
    <w:p w14:paraId="18F724FC"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Software may restrict a permission.</w:t>
      </w:r>
    </w:p>
    <w:p w14:paraId="5C529656"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Software may preserve evidence.</w:t>
      </w:r>
    </w:p>
    <w:p w14:paraId="675E4352"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lastRenderedPageBreak/>
        <w:t>But software should not independently impose high-impact legal, financial, reputational, governance, or human consequences without the applicable review pathway.</w:t>
      </w:r>
    </w:p>
    <w:p w14:paraId="26499814"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Prometheus uses technical enforcement as immune support.</w:t>
      </w:r>
    </w:p>
    <w:p w14:paraId="705BF155"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It does not outsource justice to code.</w:t>
      </w:r>
    </w:p>
    <w:p w14:paraId="2C448895" w14:textId="77777777" w:rsidR="005949BB" w:rsidRPr="00B479AE" w:rsidRDefault="005949BB" w:rsidP="005949BB">
      <w:pPr>
        <w:spacing w:line="360" w:lineRule="auto"/>
        <w:rPr>
          <w:rFonts w:ascii="Baskerville Old Face" w:hAnsi="Baskerville Old Face"/>
          <w:b/>
          <w:bCs/>
          <w:i/>
          <w:iCs/>
        </w:rPr>
      </w:pPr>
      <w:r w:rsidRPr="00B479AE">
        <w:rPr>
          <w:rFonts w:ascii="Baskerville Old Face" w:hAnsi="Baskerville Old Face"/>
          <w:b/>
          <w:bCs/>
          <w:i/>
          <w:iCs/>
        </w:rPr>
        <w:t>9.8 Token-Related Consequences</w:t>
      </w:r>
    </w:p>
    <w:p w14:paraId="5C3892E5"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Token-related consequences require special care.</w:t>
      </w:r>
    </w:p>
    <w:p w14:paraId="01684212"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No token-related penalty, restriction, reduction, lock, forfeiture, burn, slash, suspension, or loss of entitlement should be described as automatic unless it is legally structured, technically implemented, contractually disclosed, governance-approved, and jurisdictionally reviewed.</w:t>
      </w:r>
    </w:p>
    <w:p w14:paraId="17BB6F14"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Where token-mediated participation exists, possible responses may include:</w:t>
      </w:r>
    </w:p>
    <w:p w14:paraId="0CA11123"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 temporary suspension of token-mediated governance participation;</w:t>
      </w:r>
      <w:r w:rsidRPr="00B479AE">
        <w:rPr>
          <w:rFonts w:ascii="Baskerville Old Face" w:hAnsi="Baskerville Old Face"/>
          <w:i/>
          <w:iCs/>
        </w:rPr>
        <w:br/>
        <w:t>• restriction of access functions;</w:t>
      </w:r>
      <w:r w:rsidRPr="00B479AE">
        <w:rPr>
          <w:rFonts w:ascii="Baskerville Old Face" w:hAnsi="Baskerville Old Face"/>
          <w:i/>
          <w:iCs/>
        </w:rPr>
        <w:br/>
        <w:t>• loss of eligibility for specific token-gated privileges;</w:t>
      </w:r>
      <w:r w:rsidRPr="00B479AE">
        <w:rPr>
          <w:rFonts w:ascii="Baskerville Old Face" w:hAnsi="Baskerville Old Face"/>
          <w:i/>
          <w:iCs/>
        </w:rPr>
        <w:br/>
        <w:t>• removal from a whitelisted pathway;</w:t>
      </w:r>
      <w:r w:rsidRPr="00B479AE">
        <w:rPr>
          <w:rFonts w:ascii="Baskerville Old Face" w:hAnsi="Baskerville Old Face"/>
          <w:i/>
          <w:iCs/>
        </w:rPr>
        <w:br/>
        <w:t>• review-required status;</w:t>
      </w:r>
      <w:r w:rsidRPr="00B479AE">
        <w:rPr>
          <w:rFonts w:ascii="Baskerville Old Face" w:hAnsi="Baskerville Old Face"/>
          <w:i/>
          <w:iCs/>
        </w:rPr>
        <w:br/>
        <w:t>• limitation of voting scope;</w:t>
      </w:r>
      <w:r w:rsidRPr="00B479AE">
        <w:rPr>
          <w:rFonts w:ascii="Baskerville Old Face" w:hAnsi="Baskerville Old Face"/>
          <w:i/>
          <w:iCs/>
        </w:rPr>
        <w:br/>
        <w:t>• correction of misleading token-related claims;</w:t>
      </w:r>
      <w:r w:rsidRPr="00B479AE">
        <w:rPr>
          <w:rFonts w:ascii="Baskerville Old Face" w:hAnsi="Baskerville Old Face"/>
          <w:i/>
          <w:iCs/>
        </w:rPr>
        <w:br/>
        <w:t>• legal review before any economic consequence.</w:t>
      </w:r>
    </w:p>
    <w:p w14:paraId="1A1B138B"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Prometheus should avoid casual use of terms such as slashing, forfeiture, or permanent token loss unless those mechanisms are formally part of a compliant legal and technical instrument.</w:t>
      </w:r>
    </w:p>
    <w:p w14:paraId="1BC97096"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The correct principle is:</w:t>
      </w:r>
    </w:p>
    <w:p w14:paraId="19F0E55A"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token-related consequences must follow the rights actually attached to the token.</w:t>
      </w:r>
    </w:p>
    <w:p w14:paraId="499B6807"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A token cannot lose rights it never legally had.</w:t>
      </w:r>
    </w:p>
    <w:p w14:paraId="69F2AAD2"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A participant cannot forfeit value through a mechanism that was never properly disclosed, agreed, and structured.</w:t>
      </w:r>
    </w:p>
    <w:p w14:paraId="1D902D62"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This preserves both constitutional integrity and legal credibility.</w:t>
      </w:r>
    </w:p>
    <w:p w14:paraId="3F211CF0" w14:textId="77777777" w:rsidR="005949BB" w:rsidRPr="00B479AE" w:rsidRDefault="005949BB" w:rsidP="005949BB">
      <w:pPr>
        <w:spacing w:line="360" w:lineRule="auto"/>
        <w:rPr>
          <w:rFonts w:ascii="Baskerville Old Face" w:hAnsi="Baskerville Old Face"/>
          <w:b/>
          <w:bCs/>
          <w:i/>
          <w:iCs/>
        </w:rPr>
      </w:pPr>
      <w:r w:rsidRPr="00B479AE">
        <w:rPr>
          <w:rFonts w:ascii="Baskerville Old Face" w:hAnsi="Baskerville Old Face"/>
          <w:b/>
          <w:bCs/>
          <w:i/>
          <w:iCs/>
        </w:rPr>
        <w:lastRenderedPageBreak/>
        <w:t>9.9 Public Communication and Corrective Disclosure</w:t>
      </w:r>
    </w:p>
    <w:p w14:paraId="745FFC93"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Some violations create confusion outside the system.</w:t>
      </w:r>
    </w:p>
    <w:p w14:paraId="216987FE"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This may occur through public claims about:</w:t>
      </w:r>
    </w:p>
    <w:p w14:paraId="6892E706"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 PRU value;</w:t>
      </w:r>
      <w:r w:rsidRPr="00B479AE">
        <w:rPr>
          <w:rFonts w:ascii="Baskerville Old Face" w:hAnsi="Baskerville Old Face"/>
          <w:i/>
          <w:iCs/>
        </w:rPr>
        <w:br/>
        <w:t>• RAP inclusion;</w:t>
      </w:r>
      <w:r w:rsidRPr="00B479AE">
        <w:rPr>
          <w:rFonts w:ascii="Baskerville Old Face" w:hAnsi="Baskerville Old Face"/>
          <w:i/>
          <w:iCs/>
        </w:rPr>
        <w:br/>
        <w:t>• MRV verification;</w:t>
      </w:r>
      <w:r w:rsidRPr="00B479AE">
        <w:rPr>
          <w:rFonts w:ascii="Baskerville Old Face" w:hAnsi="Baskerville Old Face"/>
          <w:i/>
          <w:iCs/>
        </w:rPr>
        <w:br/>
        <w:t>• ecological performance;</w:t>
      </w:r>
      <w:r w:rsidRPr="00B479AE">
        <w:rPr>
          <w:rFonts w:ascii="Baskerville Old Face" w:hAnsi="Baskerville Old Face"/>
          <w:i/>
          <w:iCs/>
        </w:rPr>
        <w:br/>
        <w:t>• investor rights;</w:t>
      </w:r>
      <w:r w:rsidRPr="00B479AE">
        <w:rPr>
          <w:rFonts w:ascii="Baskerville Old Face" w:hAnsi="Baskerville Old Face"/>
          <w:i/>
          <w:iCs/>
        </w:rPr>
        <w:br/>
        <w:t>• token rights;</w:t>
      </w:r>
      <w:r w:rsidRPr="00B479AE">
        <w:rPr>
          <w:rFonts w:ascii="Baskerville Old Face" w:hAnsi="Baskerville Old Face"/>
          <w:i/>
          <w:iCs/>
        </w:rPr>
        <w:br/>
        <w:t>• land rights;</w:t>
      </w:r>
      <w:r w:rsidRPr="00B479AE">
        <w:rPr>
          <w:rFonts w:ascii="Baskerville Old Face" w:hAnsi="Baskerville Old Face"/>
          <w:i/>
          <w:iCs/>
        </w:rPr>
        <w:br/>
        <w:t>• governance authority;</w:t>
      </w:r>
      <w:r w:rsidRPr="00B479AE">
        <w:rPr>
          <w:rFonts w:ascii="Baskerville Old Face" w:hAnsi="Baskerville Old Face"/>
          <w:i/>
          <w:iCs/>
        </w:rPr>
        <w:br/>
        <w:t>• partnership status;</w:t>
      </w:r>
      <w:r w:rsidRPr="00B479AE">
        <w:rPr>
          <w:rFonts w:ascii="Baskerville Old Face" w:hAnsi="Baskerville Old Face"/>
          <w:i/>
          <w:iCs/>
        </w:rPr>
        <w:br/>
        <w:t>• institutional approval;</w:t>
      </w:r>
      <w:r w:rsidRPr="00B479AE">
        <w:rPr>
          <w:rFonts w:ascii="Baskerville Old Face" w:hAnsi="Baskerville Old Face"/>
          <w:i/>
          <w:iCs/>
        </w:rPr>
        <w:br/>
        <w:t>• health claims;</w:t>
      </w:r>
      <w:r w:rsidRPr="00B479AE">
        <w:rPr>
          <w:rFonts w:ascii="Baskerville Old Face" w:hAnsi="Baskerville Old Face"/>
          <w:i/>
          <w:iCs/>
        </w:rPr>
        <w:br/>
        <w:t>• financial returns;</w:t>
      </w:r>
      <w:r w:rsidRPr="00B479AE">
        <w:rPr>
          <w:rFonts w:ascii="Baskerville Old Face" w:hAnsi="Baskerville Old Face"/>
          <w:i/>
          <w:iCs/>
        </w:rPr>
        <w:br/>
        <w:t>• legal status.</w:t>
      </w:r>
    </w:p>
    <w:p w14:paraId="66B5C385"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Where public confusion occurs, Prometheus may require corrective disclosure.</w:t>
      </w:r>
    </w:p>
    <w:p w14:paraId="661AA632"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Corrective disclosure may include:</w:t>
      </w:r>
    </w:p>
    <w:p w14:paraId="2766C70C"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 private correction to affected parties;</w:t>
      </w:r>
      <w:r w:rsidRPr="00B479AE">
        <w:rPr>
          <w:rFonts w:ascii="Baskerville Old Face" w:hAnsi="Baskerville Old Face"/>
          <w:i/>
          <w:iCs/>
        </w:rPr>
        <w:br/>
        <w:t>• public clarification;</w:t>
      </w:r>
      <w:r w:rsidRPr="00B479AE">
        <w:rPr>
          <w:rFonts w:ascii="Baskerville Old Face" w:hAnsi="Baskerville Old Face"/>
          <w:i/>
          <w:iCs/>
        </w:rPr>
        <w:br/>
        <w:t>• amended report;</w:t>
      </w:r>
      <w:r w:rsidRPr="00B479AE">
        <w:rPr>
          <w:rFonts w:ascii="Baskerville Old Face" w:hAnsi="Baskerville Old Face"/>
          <w:i/>
          <w:iCs/>
        </w:rPr>
        <w:br/>
        <w:t>• revised dashboard language;</w:t>
      </w:r>
      <w:r w:rsidRPr="00B479AE">
        <w:rPr>
          <w:rFonts w:ascii="Baskerville Old Face" w:hAnsi="Baskerville Old Face"/>
          <w:i/>
          <w:iCs/>
        </w:rPr>
        <w:br/>
        <w:t>• investor notice;</w:t>
      </w:r>
      <w:r w:rsidRPr="00B479AE">
        <w:rPr>
          <w:rFonts w:ascii="Baskerville Old Face" w:hAnsi="Baskerville Old Face"/>
          <w:i/>
          <w:iCs/>
        </w:rPr>
        <w:br/>
        <w:t>• removal of misleading material;</w:t>
      </w:r>
      <w:r w:rsidRPr="00B479AE">
        <w:rPr>
          <w:rFonts w:ascii="Baskerville Old Face" w:hAnsi="Baskerville Old Face"/>
          <w:i/>
          <w:iCs/>
        </w:rPr>
        <w:br/>
        <w:t>• corrected token or community communication;</w:t>
      </w:r>
      <w:r w:rsidRPr="00B479AE">
        <w:rPr>
          <w:rFonts w:ascii="Baskerville Old Face" w:hAnsi="Baskerville Old Face"/>
          <w:i/>
          <w:iCs/>
        </w:rPr>
        <w:br/>
        <w:t>• legal disclaimer;</w:t>
      </w:r>
      <w:r w:rsidRPr="00B479AE">
        <w:rPr>
          <w:rFonts w:ascii="Baskerville Old Face" w:hAnsi="Baskerville Old Face"/>
          <w:i/>
          <w:iCs/>
        </w:rPr>
        <w:br/>
        <w:t>• governance statement.</w:t>
      </w:r>
    </w:p>
    <w:p w14:paraId="2CEEED01"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Corrective disclosure should be proportionate.</w:t>
      </w:r>
    </w:p>
    <w:p w14:paraId="65070A71"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It should correct confusion without unnecessary humiliation.</w:t>
      </w:r>
    </w:p>
    <w:p w14:paraId="5A286B0A"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lastRenderedPageBreak/>
        <w:t>The purpose is not reputational theatre.</w:t>
      </w:r>
    </w:p>
    <w:p w14:paraId="5B9F3E3D"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The purpose is semantic hygiene.</w:t>
      </w:r>
    </w:p>
    <w:p w14:paraId="0723A1AD"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Prometheus cannot allow words to become unverified value.</w:t>
      </w:r>
    </w:p>
    <w:p w14:paraId="3A16FD94" w14:textId="77777777" w:rsidR="005949BB" w:rsidRPr="00B479AE" w:rsidRDefault="005949BB" w:rsidP="005949BB">
      <w:pPr>
        <w:spacing w:line="360" w:lineRule="auto"/>
        <w:rPr>
          <w:rFonts w:ascii="Baskerville Old Face" w:hAnsi="Baskerville Old Face"/>
          <w:b/>
          <w:bCs/>
          <w:i/>
          <w:iCs/>
        </w:rPr>
      </w:pPr>
      <w:r w:rsidRPr="00B479AE">
        <w:rPr>
          <w:rFonts w:ascii="Baskerville Old Face" w:hAnsi="Baskerville Old Face"/>
          <w:b/>
          <w:bCs/>
          <w:i/>
          <w:iCs/>
        </w:rPr>
        <w:t>9.10 Ecological and MRV Violations</w:t>
      </w:r>
    </w:p>
    <w:p w14:paraId="1F0ADFF9"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Ecological and MRV violations are especially serious because Prometheus depends on evidence integrity.</w:t>
      </w:r>
    </w:p>
    <w:p w14:paraId="7F3F18B0"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Examples may include:</w:t>
      </w:r>
    </w:p>
    <w:p w14:paraId="32A311D9"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 falsified soil data;</w:t>
      </w:r>
      <w:r w:rsidRPr="00B479AE">
        <w:rPr>
          <w:rFonts w:ascii="Baskerville Old Face" w:hAnsi="Baskerville Old Face"/>
          <w:i/>
          <w:iCs/>
        </w:rPr>
        <w:br/>
        <w:t>• manipulated sensor readings;</w:t>
      </w:r>
      <w:r w:rsidRPr="00B479AE">
        <w:rPr>
          <w:rFonts w:ascii="Baskerville Old Face" w:hAnsi="Baskerville Old Face"/>
          <w:i/>
          <w:iCs/>
        </w:rPr>
        <w:br/>
        <w:t>• altered laboratory reports;</w:t>
      </w:r>
      <w:r w:rsidRPr="00B479AE">
        <w:rPr>
          <w:rFonts w:ascii="Baskerville Old Face" w:hAnsi="Baskerville Old Face"/>
          <w:i/>
          <w:iCs/>
        </w:rPr>
        <w:br/>
        <w:t>• fabricated field observations;</w:t>
      </w:r>
      <w:r w:rsidRPr="00B479AE">
        <w:rPr>
          <w:rFonts w:ascii="Baskerville Old Face" w:hAnsi="Baskerville Old Face"/>
          <w:i/>
          <w:iCs/>
        </w:rPr>
        <w:br/>
        <w:t>• misleading satellite or drone interpretation;</w:t>
      </w:r>
      <w:r w:rsidRPr="00B479AE">
        <w:rPr>
          <w:rFonts w:ascii="Baskerville Old Face" w:hAnsi="Baskerville Old Face"/>
          <w:i/>
          <w:iCs/>
        </w:rPr>
        <w:br/>
        <w:t>• hidden adverse events;</w:t>
      </w:r>
      <w:r w:rsidRPr="00B479AE">
        <w:rPr>
          <w:rFonts w:ascii="Baskerville Old Face" w:hAnsi="Baskerville Old Face"/>
          <w:i/>
          <w:iCs/>
        </w:rPr>
        <w:br/>
        <w:t>• inflated biodiversity claims;</w:t>
      </w:r>
      <w:r w:rsidRPr="00B479AE">
        <w:rPr>
          <w:rFonts w:ascii="Baskerville Old Face" w:hAnsi="Baskerville Old Face"/>
          <w:i/>
          <w:iCs/>
        </w:rPr>
        <w:br/>
        <w:t>• unreported ecological damage;</w:t>
      </w:r>
      <w:r w:rsidRPr="00B479AE">
        <w:rPr>
          <w:rFonts w:ascii="Baskerville Old Face" w:hAnsi="Baskerville Old Face"/>
          <w:i/>
          <w:iCs/>
        </w:rPr>
        <w:br/>
        <w:t>• double counting;</w:t>
      </w:r>
      <w:r w:rsidRPr="00B479AE">
        <w:rPr>
          <w:rFonts w:ascii="Baskerville Old Face" w:hAnsi="Baskerville Old Face"/>
          <w:i/>
          <w:iCs/>
        </w:rPr>
        <w:br/>
        <w:t>• unsupported PRU claims;</w:t>
      </w:r>
      <w:r w:rsidRPr="00B479AE">
        <w:rPr>
          <w:rFonts w:ascii="Baskerville Old Face" w:hAnsi="Baskerville Old Face"/>
          <w:i/>
          <w:iCs/>
        </w:rPr>
        <w:br/>
        <w:t>• failure to disclose methodology limitations;</w:t>
      </w:r>
      <w:r w:rsidRPr="00B479AE">
        <w:rPr>
          <w:rFonts w:ascii="Baskerville Old Face" w:hAnsi="Baskerville Old Face"/>
          <w:i/>
          <w:iCs/>
        </w:rPr>
        <w:br/>
        <w:t>• intentional misclassification of evidence tier;</w:t>
      </w:r>
      <w:r w:rsidRPr="00B479AE">
        <w:rPr>
          <w:rFonts w:ascii="Baskerville Old Face" w:hAnsi="Baskerville Old Face"/>
          <w:i/>
          <w:iCs/>
        </w:rPr>
        <w:br/>
        <w:t>• conversion of exploratory hypotheses into financial claims.</w:t>
      </w:r>
    </w:p>
    <w:p w14:paraId="34F079B0"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Responses may include:</w:t>
      </w:r>
    </w:p>
    <w:p w14:paraId="08793633" w14:textId="240DB07F"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 MRV review;</w:t>
      </w:r>
      <w:r w:rsidRPr="00B479AE">
        <w:rPr>
          <w:rFonts w:ascii="Baskerville Old Face" w:hAnsi="Baskerville Old Face"/>
          <w:i/>
          <w:iCs/>
        </w:rPr>
        <w:br/>
        <w:t>• data quarantine;</w:t>
      </w:r>
      <w:r w:rsidRPr="00B479AE">
        <w:rPr>
          <w:rFonts w:ascii="Baskerville Old Face" w:hAnsi="Baskerville Old Face"/>
          <w:i/>
          <w:iCs/>
        </w:rPr>
        <w:br/>
        <w:t>• non-admissible status;</w:t>
      </w:r>
      <w:r w:rsidRPr="00B479AE">
        <w:rPr>
          <w:rFonts w:ascii="Baskerville Old Face" w:hAnsi="Baskerville Old Face"/>
          <w:i/>
          <w:iCs/>
        </w:rPr>
        <w:br/>
        <w:t>• resampling;</w:t>
      </w:r>
      <w:r w:rsidRPr="00B479AE">
        <w:rPr>
          <w:rFonts w:ascii="Baskerville Old Face" w:hAnsi="Baskerville Old Face"/>
          <w:i/>
          <w:iCs/>
        </w:rPr>
        <w:br/>
        <w:t>• third-party audit;</w:t>
      </w:r>
      <w:r w:rsidRPr="00B479AE">
        <w:rPr>
          <w:rFonts w:ascii="Baskerville Old Face" w:hAnsi="Baskerville Old Face"/>
          <w:i/>
          <w:iCs/>
        </w:rPr>
        <w:br/>
        <w:t>• methodology review;</w:t>
      </w:r>
      <w:r w:rsidRPr="00B479AE">
        <w:rPr>
          <w:rFonts w:ascii="Baskerville Old Face" w:hAnsi="Baskerville Old Face"/>
          <w:i/>
          <w:iCs/>
        </w:rPr>
        <w:br/>
        <w:t>• PRU recalculation;</w:t>
      </w:r>
      <w:r w:rsidRPr="00B479AE">
        <w:rPr>
          <w:rFonts w:ascii="Baskerville Old Face" w:hAnsi="Baskerville Old Face"/>
          <w:i/>
          <w:iCs/>
        </w:rPr>
        <w:br/>
        <w:t xml:space="preserve">• </w:t>
      </w:r>
      <w:r w:rsidR="00E71F80" w:rsidRPr="00B479AE">
        <w:rPr>
          <w:rFonts w:ascii="Baskerville Old Face" w:hAnsi="Baskerville Old Face"/>
          <w:i/>
          <w:iCs/>
        </w:rPr>
        <w:t>PRU maturity classification</w:t>
      </w:r>
      <w:r w:rsidRPr="00B479AE">
        <w:rPr>
          <w:rFonts w:ascii="Baskerville Old Face" w:hAnsi="Baskerville Old Face"/>
          <w:i/>
          <w:iCs/>
        </w:rPr>
        <w:t xml:space="preserve"> downgrade where applicable;</w:t>
      </w:r>
      <w:r w:rsidRPr="00B479AE">
        <w:rPr>
          <w:rFonts w:ascii="Baskerville Old Face" w:hAnsi="Baskerville Old Face"/>
          <w:i/>
          <w:iCs/>
        </w:rPr>
        <w:br/>
      </w:r>
      <w:r w:rsidRPr="00B479AE">
        <w:rPr>
          <w:rFonts w:ascii="Baskerville Old Face" w:hAnsi="Baskerville Old Face"/>
          <w:i/>
          <w:iCs/>
        </w:rPr>
        <w:lastRenderedPageBreak/>
        <w:t>• RAP exclusion where applicable;</w:t>
      </w:r>
      <w:r w:rsidRPr="00B479AE">
        <w:rPr>
          <w:rFonts w:ascii="Baskerville Old Face" w:hAnsi="Baskerville Old Face"/>
          <w:i/>
          <w:iCs/>
        </w:rPr>
        <w:br/>
        <w:t>• investor reporting correction;</w:t>
      </w:r>
      <w:r w:rsidRPr="00B479AE">
        <w:rPr>
          <w:rFonts w:ascii="Baskerville Old Face" w:hAnsi="Baskerville Old Face"/>
          <w:i/>
          <w:iCs/>
        </w:rPr>
        <w:br/>
        <w:t>• suspension of MRV privileges;</w:t>
      </w:r>
      <w:r w:rsidRPr="00B479AE">
        <w:rPr>
          <w:rFonts w:ascii="Baskerville Old Face" w:hAnsi="Baskerville Old Face"/>
          <w:i/>
          <w:iCs/>
        </w:rPr>
        <w:br/>
        <w:t>• legal or regulatory escalation where warranted.</w:t>
      </w:r>
    </w:p>
    <w:p w14:paraId="2D20ED2A"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The principle is clear:</w:t>
      </w:r>
    </w:p>
    <w:p w14:paraId="6337254B"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weak evidence may guide learning;</w:t>
      </w:r>
    </w:p>
    <w:p w14:paraId="559EA18F"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verified evidence may support reporting;</w:t>
      </w:r>
    </w:p>
    <w:p w14:paraId="41A8D9B2"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admissible evidence may support value;</w:t>
      </w:r>
    </w:p>
    <w:p w14:paraId="05B446FA"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falsified evidence threatens the system.</w:t>
      </w:r>
    </w:p>
    <w:p w14:paraId="3AE04C1E" w14:textId="77777777" w:rsidR="005949BB" w:rsidRPr="00B479AE" w:rsidRDefault="005949BB" w:rsidP="005949BB">
      <w:pPr>
        <w:spacing w:line="360" w:lineRule="auto"/>
        <w:rPr>
          <w:rFonts w:ascii="Baskerville Old Face" w:hAnsi="Baskerville Old Face"/>
          <w:b/>
          <w:bCs/>
          <w:i/>
          <w:iCs/>
        </w:rPr>
      </w:pPr>
      <w:r w:rsidRPr="00B479AE">
        <w:rPr>
          <w:rFonts w:ascii="Baskerville Old Face" w:hAnsi="Baskerville Old Face"/>
          <w:b/>
          <w:bCs/>
          <w:i/>
          <w:iCs/>
        </w:rPr>
        <w:t>9.11 Governance Violations</w:t>
      </w:r>
    </w:p>
    <w:p w14:paraId="49D4F5A3"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Governance violations occur when decision-making processes are manipulated, bypassed, captured, misrepresented, or used to weaken constitutional integrity.</w:t>
      </w:r>
    </w:p>
    <w:p w14:paraId="09E046C9"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Examples may include:</w:t>
      </w:r>
    </w:p>
    <w:p w14:paraId="7C0834F4"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 role overreach;</w:t>
      </w:r>
      <w:r w:rsidRPr="00B479AE">
        <w:rPr>
          <w:rFonts w:ascii="Baskerville Old Face" w:hAnsi="Baskerville Old Face"/>
          <w:i/>
          <w:iCs/>
        </w:rPr>
        <w:br/>
        <w:t>• hidden conflicts of interest;</w:t>
      </w:r>
      <w:r w:rsidRPr="00B479AE">
        <w:rPr>
          <w:rFonts w:ascii="Baskerville Old Face" w:hAnsi="Baskerville Old Face"/>
          <w:i/>
          <w:iCs/>
        </w:rPr>
        <w:br/>
        <w:t>• coercive voting pressure;</w:t>
      </w:r>
      <w:r w:rsidRPr="00B479AE">
        <w:rPr>
          <w:rFonts w:ascii="Baskerville Old Face" w:hAnsi="Baskerville Old Face"/>
          <w:i/>
          <w:iCs/>
        </w:rPr>
        <w:br/>
        <w:t>• token-weight manipulation;</w:t>
      </w:r>
      <w:r w:rsidRPr="00B479AE">
        <w:rPr>
          <w:rFonts w:ascii="Baskerville Old Face" w:hAnsi="Baskerville Old Face"/>
          <w:i/>
          <w:iCs/>
        </w:rPr>
        <w:br/>
        <w:t>• community intimidation;</w:t>
      </w:r>
      <w:r w:rsidRPr="00B479AE">
        <w:rPr>
          <w:rFonts w:ascii="Baskerville Old Face" w:hAnsi="Baskerville Old Face"/>
          <w:i/>
          <w:iCs/>
        </w:rPr>
        <w:br/>
        <w:t>• suppression of dissent;</w:t>
      </w:r>
      <w:r w:rsidRPr="00B479AE">
        <w:rPr>
          <w:rFonts w:ascii="Baskerville Old Face" w:hAnsi="Baskerville Old Face"/>
          <w:i/>
          <w:iCs/>
        </w:rPr>
        <w:br/>
        <w:t>• abuse of facilitation role;</w:t>
      </w:r>
      <w:r w:rsidRPr="00B479AE">
        <w:rPr>
          <w:rFonts w:ascii="Baskerville Old Face" w:hAnsi="Baskerville Old Face"/>
          <w:i/>
          <w:iCs/>
        </w:rPr>
        <w:br/>
        <w:t>• unauthorized representation;</w:t>
      </w:r>
      <w:r w:rsidRPr="00B479AE">
        <w:rPr>
          <w:rFonts w:ascii="Baskerville Old Face" w:hAnsi="Baskerville Old Face"/>
          <w:i/>
          <w:iCs/>
        </w:rPr>
        <w:br/>
        <w:t>• unrecorded material decisions;</w:t>
      </w:r>
      <w:r w:rsidRPr="00B479AE">
        <w:rPr>
          <w:rFonts w:ascii="Baskerville Old Face" w:hAnsi="Baskerville Old Face"/>
          <w:i/>
          <w:iCs/>
        </w:rPr>
        <w:br/>
        <w:t>• false claim of approval;</w:t>
      </w:r>
      <w:r w:rsidRPr="00B479AE">
        <w:rPr>
          <w:rFonts w:ascii="Baskerville Old Face" w:hAnsi="Baskerville Old Face"/>
          <w:i/>
          <w:iCs/>
        </w:rPr>
        <w:br/>
        <w:t>• bypass of Access Covenant conditions;</w:t>
      </w:r>
      <w:r w:rsidRPr="00B479AE">
        <w:rPr>
          <w:rFonts w:ascii="Baskerville Old Face" w:hAnsi="Baskerville Old Face"/>
          <w:i/>
          <w:iCs/>
        </w:rPr>
        <w:br/>
        <w:t>• misuse of emergency procedure;</w:t>
      </w:r>
      <w:r w:rsidRPr="00B479AE">
        <w:rPr>
          <w:rFonts w:ascii="Baskerville Old Face" w:hAnsi="Baskerville Old Face"/>
          <w:i/>
          <w:iCs/>
        </w:rPr>
        <w:br/>
        <w:t>• attempt to alter protected constitutional principles through ordinary governance.</w:t>
      </w:r>
    </w:p>
    <w:p w14:paraId="61E46DB9"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Responses may include:</w:t>
      </w:r>
    </w:p>
    <w:p w14:paraId="1352406E"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lastRenderedPageBreak/>
        <w:t>• governance review;</w:t>
      </w:r>
      <w:r w:rsidRPr="00B479AE">
        <w:rPr>
          <w:rFonts w:ascii="Baskerville Old Face" w:hAnsi="Baskerville Old Face"/>
          <w:i/>
          <w:iCs/>
        </w:rPr>
        <w:br/>
        <w:t>• role suspension;</w:t>
      </w:r>
      <w:r w:rsidRPr="00B479AE">
        <w:rPr>
          <w:rFonts w:ascii="Baskerville Old Face" w:hAnsi="Baskerville Old Face"/>
          <w:i/>
          <w:iCs/>
        </w:rPr>
        <w:br/>
        <w:t>• role replacement;</w:t>
      </w:r>
      <w:r w:rsidRPr="00B479AE">
        <w:rPr>
          <w:rFonts w:ascii="Baskerville Old Face" w:hAnsi="Baskerville Old Face"/>
          <w:i/>
          <w:iCs/>
        </w:rPr>
        <w:br/>
        <w:t>• conflict-resolution process;</w:t>
      </w:r>
      <w:r w:rsidRPr="00B479AE">
        <w:rPr>
          <w:rFonts w:ascii="Baskerville Old Face" w:hAnsi="Baskerville Old Face"/>
          <w:i/>
          <w:iCs/>
        </w:rPr>
        <w:br/>
        <w:t>• decision invalidation;</w:t>
      </w:r>
      <w:r w:rsidRPr="00B479AE">
        <w:rPr>
          <w:rFonts w:ascii="Baskerville Old Face" w:hAnsi="Baskerville Old Face"/>
          <w:i/>
          <w:iCs/>
        </w:rPr>
        <w:br/>
        <w:t>• re-vote or consent process;</w:t>
      </w:r>
      <w:r w:rsidRPr="00B479AE">
        <w:rPr>
          <w:rFonts w:ascii="Baskerville Old Face" w:hAnsi="Baskerville Old Face"/>
          <w:i/>
          <w:iCs/>
        </w:rPr>
        <w:br/>
        <w:t>• integrity circle review;</w:t>
      </w:r>
      <w:r w:rsidRPr="00B479AE">
        <w:rPr>
          <w:rFonts w:ascii="Baskerville Old Face" w:hAnsi="Baskerville Old Face"/>
          <w:i/>
          <w:iCs/>
        </w:rPr>
        <w:br/>
        <w:t>• constitutional review;</w:t>
      </w:r>
      <w:r w:rsidRPr="00B479AE">
        <w:rPr>
          <w:rFonts w:ascii="Baskerville Old Face" w:hAnsi="Baskerville Old Face"/>
          <w:i/>
          <w:iCs/>
        </w:rPr>
        <w:br/>
        <w:t>• restriction of governance participation;</w:t>
      </w:r>
      <w:r w:rsidRPr="00B479AE">
        <w:rPr>
          <w:rFonts w:ascii="Baskerville Old Face" w:hAnsi="Baskerville Old Face"/>
          <w:i/>
          <w:iCs/>
        </w:rPr>
        <w:br/>
        <w:t>• external legal review where relevant.</w:t>
      </w:r>
    </w:p>
    <w:p w14:paraId="557E76DB"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Governance is not valid merely because a meeting occurred.</w:t>
      </w:r>
    </w:p>
    <w:p w14:paraId="6FA2808E"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Governance is valid when authority, process, record, consent, and constitutional boundaries are intact.</w:t>
      </w:r>
    </w:p>
    <w:p w14:paraId="2887ECDD" w14:textId="77777777" w:rsidR="005949BB" w:rsidRPr="00B479AE" w:rsidRDefault="005949BB" w:rsidP="005949BB">
      <w:pPr>
        <w:spacing w:line="360" w:lineRule="auto"/>
        <w:rPr>
          <w:rFonts w:ascii="Baskerville Old Face" w:hAnsi="Baskerville Old Face"/>
          <w:b/>
          <w:bCs/>
          <w:i/>
          <w:iCs/>
        </w:rPr>
      </w:pPr>
      <w:r w:rsidRPr="00B479AE">
        <w:rPr>
          <w:rFonts w:ascii="Baskerville Old Face" w:hAnsi="Baskerville Old Face"/>
          <w:b/>
          <w:bCs/>
          <w:i/>
          <w:iCs/>
        </w:rPr>
        <w:t>9.12 Constitutional Violations</w:t>
      </w:r>
    </w:p>
    <w:p w14:paraId="0196A2AC"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A constitutional violation is a serious breach involving foundational articles, Eternity Clauses, source-layer constraints, Access Covenant substance, non-bypassability rules, human dignity, ecological integrity, or evidence-before-value discipline.</w:t>
      </w:r>
    </w:p>
    <w:p w14:paraId="0AEB3F6F"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Examples may include:</w:t>
      </w:r>
    </w:p>
    <w:p w14:paraId="7DED3979" w14:textId="636810C0"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 attempt to amend or weaken Eternity Clauses;</w:t>
      </w:r>
      <w:r w:rsidRPr="00B479AE">
        <w:rPr>
          <w:rFonts w:ascii="Baskerville Old Face" w:hAnsi="Baskerville Old Face"/>
          <w:i/>
          <w:iCs/>
        </w:rPr>
        <w:br/>
        <w:t>• attempt to bypass the Access Covenant;</w:t>
      </w:r>
      <w:r w:rsidRPr="00B479AE">
        <w:rPr>
          <w:rFonts w:ascii="Baskerville Old Face" w:hAnsi="Baskerville Old Face"/>
          <w:i/>
          <w:iCs/>
        </w:rPr>
        <w:br/>
        <w:t>• attempt to authorize extraction under regenerative language;</w:t>
      </w:r>
      <w:r w:rsidRPr="00B479AE">
        <w:rPr>
          <w:rFonts w:ascii="Baskerville Old Face" w:hAnsi="Baskerville Old Face"/>
          <w:i/>
          <w:iCs/>
        </w:rPr>
        <w:br/>
        <w:t>• attempt to convert unverified claims into PRU value;</w:t>
      </w:r>
      <w:r w:rsidRPr="00B479AE">
        <w:rPr>
          <w:rFonts w:ascii="Baskerville Old Face" w:hAnsi="Baskerville Old Face"/>
          <w:i/>
          <w:iCs/>
        </w:rPr>
        <w:br/>
        <w:t>• attempt to use AI output as constitutional authority;</w:t>
      </w:r>
      <w:r w:rsidRPr="00B479AE">
        <w:rPr>
          <w:rFonts w:ascii="Baskerville Old Face" w:hAnsi="Baskerville Old Face"/>
          <w:i/>
          <w:iCs/>
        </w:rPr>
        <w:br/>
        <w:t xml:space="preserve">• attempt to use token governance to override </w:t>
      </w:r>
      <w:r w:rsidR="00803DF2" w:rsidRPr="00803DF2">
        <w:rPr>
          <w:rFonts w:ascii="Baskerville Old Face" w:hAnsi="Baskerville Old Face"/>
          <w:i/>
          <w:iCs/>
        </w:rPr>
        <w:t>living-system reality constraints</w:t>
      </w:r>
      <w:r w:rsidRPr="00B479AE">
        <w:rPr>
          <w:rFonts w:ascii="Baskerville Old Face" w:hAnsi="Baskerville Old Face"/>
          <w:i/>
          <w:iCs/>
        </w:rPr>
        <w:t>;</w:t>
      </w:r>
      <w:r w:rsidRPr="00B479AE">
        <w:rPr>
          <w:rFonts w:ascii="Baskerville Old Face" w:hAnsi="Baskerville Old Face"/>
          <w:i/>
          <w:iCs/>
        </w:rPr>
        <w:br/>
        <w:t>• attempt to use capital pressure to weaken source-layer protections;</w:t>
      </w:r>
      <w:r w:rsidRPr="00B479AE">
        <w:rPr>
          <w:rFonts w:ascii="Baskerville Old Face" w:hAnsi="Baskerville Old Face"/>
          <w:i/>
          <w:iCs/>
        </w:rPr>
        <w:br/>
        <w:t>• attempt to redefine human dignity, ecological integrity, MRV, PRU, RAP, or governance boundaries outside the constitutional pathway.</w:t>
      </w:r>
    </w:p>
    <w:p w14:paraId="10C2CC7C"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Constitutional violations may trigger:</w:t>
      </w:r>
    </w:p>
    <w:p w14:paraId="1C2B741C"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lastRenderedPageBreak/>
        <w:t>• immediate review;</w:t>
      </w:r>
      <w:r w:rsidRPr="00B479AE">
        <w:rPr>
          <w:rFonts w:ascii="Baskerville Old Face" w:hAnsi="Baskerville Old Face"/>
          <w:i/>
          <w:iCs/>
        </w:rPr>
        <w:br/>
        <w:t>• emergency limitation;</w:t>
      </w:r>
      <w:r w:rsidRPr="00B479AE">
        <w:rPr>
          <w:rFonts w:ascii="Baskerville Old Face" w:hAnsi="Baskerville Old Face"/>
          <w:i/>
          <w:iCs/>
        </w:rPr>
        <w:br/>
        <w:t>• non-admissibility;</w:t>
      </w:r>
      <w:r w:rsidRPr="00B479AE">
        <w:rPr>
          <w:rFonts w:ascii="Baskerville Old Face" w:hAnsi="Baskerville Old Face"/>
          <w:i/>
          <w:iCs/>
        </w:rPr>
        <w:br/>
        <w:t>• quarantine;</w:t>
      </w:r>
      <w:r w:rsidRPr="00B479AE">
        <w:rPr>
          <w:rFonts w:ascii="Baskerville Old Face" w:hAnsi="Baskerville Old Face"/>
          <w:i/>
          <w:iCs/>
        </w:rPr>
        <w:br/>
        <w:t>• suspension;</w:t>
      </w:r>
      <w:r w:rsidRPr="00B479AE">
        <w:rPr>
          <w:rFonts w:ascii="Baskerville Old Face" w:hAnsi="Baskerville Old Face"/>
          <w:i/>
          <w:iCs/>
        </w:rPr>
        <w:br/>
        <w:t>• constitutional interpretation;</w:t>
      </w:r>
      <w:r w:rsidRPr="00B479AE">
        <w:rPr>
          <w:rFonts w:ascii="Baskerville Old Face" w:hAnsi="Baskerville Old Face"/>
          <w:i/>
          <w:iCs/>
        </w:rPr>
        <w:br/>
        <w:t>• exclusion;</w:t>
      </w:r>
      <w:r w:rsidRPr="00B479AE">
        <w:rPr>
          <w:rFonts w:ascii="Baskerville Old Face" w:hAnsi="Baskerville Old Face"/>
          <w:i/>
          <w:iCs/>
        </w:rPr>
        <w:br/>
        <w:t>• public correction;</w:t>
      </w:r>
      <w:r w:rsidRPr="00B479AE">
        <w:rPr>
          <w:rFonts w:ascii="Baskerville Old Face" w:hAnsi="Baskerville Old Face"/>
          <w:i/>
          <w:iCs/>
        </w:rPr>
        <w:br/>
        <w:t>• external escalation where appropriate.</w:t>
      </w:r>
    </w:p>
    <w:p w14:paraId="4A121F74"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The standard is strict.</w:t>
      </w:r>
    </w:p>
    <w:p w14:paraId="344D7158"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No ordinary governance process can legitimate a constitutional violation.</w:t>
      </w:r>
    </w:p>
    <w:p w14:paraId="1A020C65"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No token vote can legitimate it.</w:t>
      </w:r>
    </w:p>
    <w:p w14:paraId="5BA246D9"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No investor demand can legitimate it.</w:t>
      </w:r>
    </w:p>
    <w:p w14:paraId="7B84C998"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No model output can legitimate it.</w:t>
      </w:r>
    </w:p>
    <w:p w14:paraId="3036D976"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No emergency can legitimate it.</w:t>
      </w:r>
    </w:p>
    <w:p w14:paraId="4341467B"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A constitutional violation is not merely unauthorized.</w:t>
      </w:r>
    </w:p>
    <w:p w14:paraId="3A39A284"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It is outside the valid Prometheus pathway.</w:t>
      </w:r>
    </w:p>
    <w:p w14:paraId="716F5946" w14:textId="77777777" w:rsidR="005949BB" w:rsidRPr="00B479AE" w:rsidRDefault="005949BB" w:rsidP="005949BB">
      <w:pPr>
        <w:spacing w:line="360" w:lineRule="auto"/>
        <w:rPr>
          <w:rFonts w:ascii="Baskerville Old Face" w:hAnsi="Baskerville Old Face"/>
          <w:b/>
          <w:bCs/>
          <w:i/>
          <w:iCs/>
        </w:rPr>
      </w:pPr>
      <w:r w:rsidRPr="00B479AE">
        <w:rPr>
          <w:rFonts w:ascii="Baskerville Old Face" w:hAnsi="Baskerville Old Face"/>
          <w:b/>
          <w:bCs/>
          <w:i/>
          <w:iCs/>
        </w:rPr>
        <w:t>9.13 Appeal and Reconsideration</w:t>
      </w:r>
    </w:p>
    <w:p w14:paraId="57C0D614"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Participants affected by material consequences may request appeal or reconsideration where appropriate.</w:t>
      </w:r>
    </w:p>
    <w:p w14:paraId="1BE19CA7"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The appeal pathway may include:</w:t>
      </w:r>
    </w:p>
    <w:p w14:paraId="39436EE9"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 correction of factual error;</w:t>
      </w:r>
      <w:r w:rsidRPr="00B479AE">
        <w:rPr>
          <w:rFonts w:ascii="Baskerville Old Face" w:hAnsi="Baskerville Old Face"/>
          <w:i/>
          <w:iCs/>
        </w:rPr>
        <w:br/>
        <w:t>• submission of missing evidence;</w:t>
      </w:r>
      <w:r w:rsidRPr="00B479AE">
        <w:rPr>
          <w:rFonts w:ascii="Baskerville Old Face" w:hAnsi="Baskerville Old Face"/>
          <w:i/>
          <w:iCs/>
        </w:rPr>
        <w:br/>
        <w:t>• clarification of scope;</w:t>
      </w:r>
      <w:r w:rsidRPr="00B479AE">
        <w:rPr>
          <w:rFonts w:ascii="Baskerville Old Face" w:hAnsi="Baskerville Old Face"/>
          <w:i/>
          <w:iCs/>
        </w:rPr>
        <w:br/>
        <w:t>• proof of remediation;</w:t>
      </w:r>
      <w:r w:rsidRPr="00B479AE">
        <w:rPr>
          <w:rFonts w:ascii="Baskerville Old Face" w:hAnsi="Baskerville Old Face"/>
          <w:i/>
          <w:iCs/>
        </w:rPr>
        <w:br/>
        <w:t>• review by another circle;</w:t>
      </w:r>
      <w:r w:rsidRPr="00B479AE">
        <w:rPr>
          <w:rFonts w:ascii="Baskerville Old Face" w:hAnsi="Baskerville Old Face"/>
          <w:i/>
          <w:iCs/>
        </w:rPr>
        <w:br/>
        <w:t>• legal review;</w:t>
      </w:r>
      <w:r w:rsidRPr="00B479AE">
        <w:rPr>
          <w:rFonts w:ascii="Baskerville Old Face" w:hAnsi="Baskerville Old Face"/>
          <w:i/>
          <w:iCs/>
        </w:rPr>
        <w:br/>
      </w:r>
      <w:r w:rsidRPr="00B479AE">
        <w:rPr>
          <w:rFonts w:ascii="Baskerville Old Face" w:hAnsi="Baskerville Old Face"/>
          <w:i/>
          <w:iCs/>
        </w:rPr>
        <w:lastRenderedPageBreak/>
        <w:t>• technical review;</w:t>
      </w:r>
      <w:r w:rsidRPr="00B479AE">
        <w:rPr>
          <w:rFonts w:ascii="Baskerville Old Face" w:hAnsi="Baskerville Old Face"/>
          <w:i/>
          <w:iCs/>
        </w:rPr>
        <w:br/>
        <w:t>• MRV review;</w:t>
      </w:r>
      <w:r w:rsidRPr="00B479AE">
        <w:rPr>
          <w:rFonts w:ascii="Baskerville Old Face" w:hAnsi="Baskerville Old Face"/>
          <w:i/>
          <w:iCs/>
        </w:rPr>
        <w:br/>
        <w:t>• constitutional review.</w:t>
      </w:r>
    </w:p>
    <w:p w14:paraId="6B02BBFB"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Appeal is not a mechanism to relitigate the Covenant itself.</w:t>
      </w:r>
    </w:p>
    <w:p w14:paraId="62F27621"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It is a mechanism to ensure that facts, evidence, proportionality, and process were handled correctly.</w:t>
      </w:r>
    </w:p>
    <w:p w14:paraId="0AAACA33"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An appeal may result in:</w:t>
      </w:r>
    </w:p>
    <w:p w14:paraId="551BC3D1"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 confirmation of decision;</w:t>
      </w:r>
      <w:r w:rsidRPr="00B479AE">
        <w:rPr>
          <w:rFonts w:ascii="Baskerville Old Face" w:hAnsi="Baskerville Old Face"/>
          <w:i/>
          <w:iCs/>
        </w:rPr>
        <w:br/>
        <w:t>• modification of consequence;</w:t>
      </w:r>
      <w:r w:rsidRPr="00B479AE">
        <w:rPr>
          <w:rFonts w:ascii="Baskerville Old Face" w:hAnsi="Baskerville Old Face"/>
          <w:i/>
          <w:iCs/>
        </w:rPr>
        <w:br/>
        <w:t>• restoration of access;</w:t>
      </w:r>
      <w:r w:rsidRPr="00B479AE">
        <w:rPr>
          <w:rFonts w:ascii="Baskerville Old Face" w:hAnsi="Baskerville Old Face"/>
          <w:i/>
          <w:iCs/>
        </w:rPr>
        <w:br/>
        <w:t>• revised remediation plan;</w:t>
      </w:r>
      <w:r w:rsidRPr="00B479AE">
        <w:rPr>
          <w:rFonts w:ascii="Baskerville Old Face" w:hAnsi="Baskerville Old Face"/>
          <w:i/>
          <w:iCs/>
        </w:rPr>
        <w:br/>
        <w:t>• narrower restriction;</w:t>
      </w:r>
      <w:r w:rsidRPr="00B479AE">
        <w:rPr>
          <w:rFonts w:ascii="Baskerville Old Face" w:hAnsi="Baskerville Old Face"/>
          <w:i/>
          <w:iCs/>
        </w:rPr>
        <w:br/>
        <w:t>• stronger restriction;</w:t>
      </w:r>
      <w:r w:rsidRPr="00B479AE">
        <w:rPr>
          <w:rFonts w:ascii="Baskerville Old Face" w:hAnsi="Baskerville Old Face"/>
          <w:i/>
          <w:iCs/>
        </w:rPr>
        <w:br/>
        <w:t>• escalation;</w:t>
      </w:r>
      <w:r w:rsidRPr="00B479AE">
        <w:rPr>
          <w:rFonts w:ascii="Baskerville Old Face" w:hAnsi="Baskerville Old Face"/>
          <w:i/>
          <w:iCs/>
        </w:rPr>
        <w:br/>
        <w:t>• closure.</w:t>
      </w:r>
    </w:p>
    <w:p w14:paraId="25341918"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Appeal preserves justice.</w:t>
      </w:r>
    </w:p>
    <w:p w14:paraId="5AB38456"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It does not suspend the constitutional source layer.</w:t>
      </w:r>
    </w:p>
    <w:p w14:paraId="00BBC5DB" w14:textId="77777777" w:rsidR="005949BB" w:rsidRPr="00B479AE" w:rsidRDefault="005949BB" w:rsidP="005949BB">
      <w:pPr>
        <w:spacing w:line="360" w:lineRule="auto"/>
        <w:rPr>
          <w:rFonts w:ascii="Baskerville Old Face" w:hAnsi="Baskerville Old Face"/>
          <w:b/>
          <w:bCs/>
          <w:i/>
          <w:iCs/>
        </w:rPr>
      </w:pPr>
      <w:r w:rsidRPr="00B479AE">
        <w:rPr>
          <w:rFonts w:ascii="Baskerville Old Face" w:hAnsi="Baskerville Old Face"/>
          <w:b/>
          <w:bCs/>
          <w:i/>
          <w:iCs/>
        </w:rPr>
        <w:t>9.14 Restoration of Status</w:t>
      </w:r>
    </w:p>
    <w:p w14:paraId="3EA220AD"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Where a participant has corrected a violation, completed remediation, or reduced risk, status may be restored.</w:t>
      </w:r>
    </w:p>
    <w:p w14:paraId="6CCC5693"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Restoration may require:</w:t>
      </w:r>
    </w:p>
    <w:p w14:paraId="762246E0"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 renewed Covenant affirmation;</w:t>
      </w:r>
      <w:r w:rsidRPr="00B479AE">
        <w:rPr>
          <w:rFonts w:ascii="Baskerville Old Face" w:hAnsi="Baskerville Old Face"/>
          <w:i/>
          <w:iCs/>
        </w:rPr>
        <w:br/>
        <w:t>• completion of remediation plan;</w:t>
      </w:r>
      <w:r w:rsidRPr="00B479AE">
        <w:rPr>
          <w:rFonts w:ascii="Baskerville Old Face" w:hAnsi="Baskerville Old Face"/>
          <w:i/>
          <w:iCs/>
        </w:rPr>
        <w:br/>
        <w:t>• corrected documentation;</w:t>
      </w:r>
      <w:r w:rsidRPr="00B479AE">
        <w:rPr>
          <w:rFonts w:ascii="Baskerville Old Face" w:hAnsi="Baskerville Old Face"/>
          <w:i/>
          <w:iCs/>
        </w:rPr>
        <w:br/>
        <w:t>• corrected public communication;</w:t>
      </w:r>
      <w:r w:rsidRPr="00B479AE">
        <w:rPr>
          <w:rFonts w:ascii="Baskerville Old Face" w:hAnsi="Baskerville Old Face"/>
          <w:i/>
          <w:iCs/>
        </w:rPr>
        <w:br/>
        <w:t>• governance review;</w:t>
      </w:r>
      <w:r w:rsidRPr="00B479AE">
        <w:rPr>
          <w:rFonts w:ascii="Baskerville Old Face" w:hAnsi="Baskerville Old Face"/>
          <w:i/>
          <w:iCs/>
        </w:rPr>
        <w:br/>
        <w:t>• technical access review;</w:t>
      </w:r>
      <w:r w:rsidRPr="00B479AE">
        <w:rPr>
          <w:rFonts w:ascii="Baskerville Old Face" w:hAnsi="Baskerville Old Face"/>
          <w:i/>
          <w:iCs/>
        </w:rPr>
        <w:br/>
        <w:t>• legal clearance;</w:t>
      </w:r>
      <w:r w:rsidRPr="00B479AE">
        <w:rPr>
          <w:rFonts w:ascii="Baskerville Old Face" w:hAnsi="Baskerville Old Face"/>
          <w:i/>
          <w:iCs/>
        </w:rPr>
        <w:br/>
        <w:t>• MRV resubmission;</w:t>
      </w:r>
      <w:r w:rsidRPr="00B479AE">
        <w:rPr>
          <w:rFonts w:ascii="Baskerville Old Face" w:hAnsi="Baskerville Old Face"/>
          <w:i/>
          <w:iCs/>
        </w:rPr>
        <w:br/>
      </w:r>
      <w:r w:rsidRPr="00B479AE">
        <w:rPr>
          <w:rFonts w:ascii="Baskerville Old Face" w:hAnsi="Baskerville Old Face"/>
          <w:i/>
          <w:iCs/>
        </w:rPr>
        <w:lastRenderedPageBreak/>
        <w:t>• community repair;</w:t>
      </w:r>
      <w:r w:rsidRPr="00B479AE">
        <w:rPr>
          <w:rFonts w:ascii="Baskerville Old Face" w:hAnsi="Baskerville Old Face"/>
          <w:i/>
          <w:iCs/>
        </w:rPr>
        <w:br/>
        <w:t>• monitoring period;</w:t>
      </w:r>
      <w:r w:rsidRPr="00B479AE">
        <w:rPr>
          <w:rFonts w:ascii="Baskerville Old Face" w:hAnsi="Baskerville Old Face"/>
          <w:i/>
          <w:iCs/>
        </w:rPr>
        <w:br/>
        <w:t>• updated risk classification.</w:t>
      </w:r>
    </w:p>
    <w:p w14:paraId="1C05FAC9"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Restoration should be possible where trust can be rebuilt.</w:t>
      </w:r>
    </w:p>
    <w:p w14:paraId="2C72AACA"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Prometheus is a regenerative system.</w:t>
      </w:r>
    </w:p>
    <w:p w14:paraId="460EE2F2"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It should allow responsible return when repair is real.</w:t>
      </w:r>
    </w:p>
    <w:p w14:paraId="44253668"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However, restoration is not automatic.</w:t>
      </w:r>
    </w:p>
    <w:p w14:paraId="62A4FB1C"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Some breaches may permanently affect eligibility for specific roles, claims, or access scopes.</w:t>
      </w:r>
    </w:p>
    <w:p w14:paraId="6E425E60"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A participant may be restored for ordinary participation but remain restricted from MRV validation, governance authority, investor-facing communication, technical administration, or capital-facing access.</w:t>
      </w:r>
    </w:p>
    <w:p w14:paraId="032B76B9"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Restoration should be precise.</w:t>
      </w:r>
    </w:p>
    <w:p w14:paraId="357655C6"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Trust is rebuilt by clarity.</w:t>
      </w:r>
    </w:p>
    <w:p w14:paraId="091EB21A" w14:textId="77777777" w:rsidR="005949BB" w:rsidRPr="00B479AE" w:rsidRDefault="005949BB" w:rsidP="005949BB">
      <w:pPr>
        <w:spacing w:line="360" w:lineRule="auto"/>
        <w:rPr>
          <w:rFonts w:ascii="Baskerville Old Face" w:hAnsi="Baskerville Old Face"/>
          <w:b/>
          <w:bCs/>
          <w:i/>
          <w:iCs/>
        </w:rPr>
      </w:pPr>
      <w:r w:rsidRPr="00B479AE">
        <w:rPr>
          <w:rFonts w:ascii="Baskerville Old Face" w:hAnsi="Baskerville Old Face"/>
          <w:b/>
          <w:bCs/>
          <w:i/>
          <w:iCs/>
        </w:rPr>
        <w:t>9.15 External Legal, Regulatory, or Institutional Escalation</w:t>
      </w:r>
    </w:p>
    <w:p w14:paraId="79A33F52"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Certain conduct may require escalation beyond Prometheus governance.</w:t>
      </w:r>
    </w:p>
    <w:p w14:paraId="06C12F9E"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External escalation may be appropriate where there is credible evidence of:</w:t>
      </w:r>
    </w:p>
    <w:p w14:paraId="3C4C7992"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 fraud;</w:t>
      </w:r>
      <w:r w:rsidRPr="00B479AE">
        <w:rPr>
          <w:rFonts w:ascii="Baskerville Old Face" w:hAnsi="Baskerville Old Face"/>
          <w:i/>
          <w:iCs/>
        </w:rPr>
        <w:br/>
        <w:t>• investor deception;</w:t>
      </w:r>
      <w:r w:rsidRPr="00B479AE">
        <w:rPr>
          <w:rFonts w:ascii="Baskerville Old Face" w:hAnsi="Baskerville Old Face"/>
          <w:i/>
          <w:iCs/>
        </w:rPr>
        <w:br/>
        <w:t>• securities violation;</w:t>
      </w:r>
      <w:r w:rsidRPr="00B479AE">
        <w:rPr>
          <w:rFonts w:ascii="Baskerville Old Face" w:hAnsi="Baskerville Old Face"/>
          <w:i/>
          <w:iCs/>
        </w:rPr>
        <w:br/>
        <w:t>• data breach;</w:t>
      </w:r>
      <w:r w:rsidRPr="00B479AE">
        <w:rPr>
          <w:rFonts w:ascii="Baskerville Old Face" w:hAnsi="Baskerville Old Face"/>
          <w:i/>
          <w:iCs/>
        </w:rPr>
        <w:br/>
        <w:t>• ecological damage requiring legal response;</w:t>
      </w:r>
      <w:r w:rsidRPr="00B479AE">
        <w:rPr>
          <w:rFonts w:ascii="Baskerville Old Face" w:hAnsi="Baskerville Old Face"/>
          <w:i/>
          <w:iCs/>
        </w:rPr>
        <w:br/>
        <w:t>• misuse of funds;</w:t>
      </w:r>
      <w:r w:rsidRPr="00B479AE">
        <w:rPr>
          <w:rFonts w:ascii="Baskerville Old Face" w:hAnsi="Baskerville Old Face"/>
          <w:i/>
          <w:iCs/>
        </w:rPr>
        <w:br/>
        <w:t>• coercion or exploitation;</w:t>
      </w:r>
      <w:r w:rsidRPr="00B479AE">
        <w:rPr>
          <w:rFonts w:ascii="Baskerville Old Face" w:hAnsi="Baskerville Old Face"/>
          <w:i/>
          <w:iCs/>
        </w:rPr>
        <w:br/>
        <w:t>• fiduciary breach;</w:t>
      </w:r>
      <w:r w:rsidRPr="00B479AE">
        <w:rPr>
          <w:rFonts w:ascii="Baskerville Old Face" w:hAnsi="Baskerville Old Face"/>
          <w:i/>
          <w:iCs/>
        </w:rPr>
        <w:br/>
        <w:t>• regulatory non-compliance;</w:t>
      </w:r>
      <w:r w:rsidRPr="00B479AE">
        <w:rPr>
          <w:rFonts w:ascii="Baskerville Old Face" w:hAnsi="Baskerville Old Face"/>
          <w:i/>
          <w:iCs/>
        </w:rPr>
        <w:br/>
        <w:t>• public-sector misconduct;</w:t>
      </w:r>
      <w:r w:rsidRPr="00B479AE">
        <w:rPr>
          <w:rFonts w:ascii="Baskerville Old Face" w:hAnsi="Baskerville Old Face"/>
          <w:i/>
          <w:iCs/>
        </w:rPr>
        <w:br/>
      </w:r>
      <w:r w:rsidRPr="00B479AE">
        <w:rPr>
          <w:rFonts w:ascii="Baskerville Old Face" w:hAnsi="Baskerville Old Face"/>
          <w:i/>
          <w:iCs/>
        </w:rPr>
        <w:lastRenderedPageBreak/>
        <w:t>• criminal conduct;</w:t>
      </w:r>
      <w:r w:rsidRPr="00B479AE">
        <w:rPr>
          <w:rFonts w:ascii="Baskerville Old Face" w:hAnsi="Baskerville Old Face"/>
          <w:i/>
          <w:iCs/>
        </w:rPr>
        <w:br/>
        <w:t>• serious harm to vulnerable persons.</w:t>
      </w:r>
    </w:p>
    <w:p w14:paraId="5CE0A037"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External escalation may involve:</w:t>
      </w:r>
    </w:p>
    <w:p w14:paraId="306F5771"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 legal counsel;</w:t>
      </w:r>
      <w:r w:rsidRPr="00B479AE">
        <w:rPr>
          <w:rFonts w:ascii="Baskerville Old Face" w:hAnsi="Baskerville Old Face"/>
          <w:i/>
          <w:iCs/>
        </w:rPr>
        <w:br/>
        <w:t>• regulators;</w:t>
      </w:r>
      <w:r w:rsidRPr="00B479AE">
        <w:rPr>
          <w:rFonts w:ascii="Baskerville Old Face" w:hAnsi="Baskerville Old Face"/>
          <w:i/>
          <w:iCs/>
        </w:rPr>
        <w:br/>
        <w:t>• auditors;</w:t>
      </w:r>
      <w:r w:rsidRPr="00B479AE">
        <w:rPr>
          <w:rFonts w:ascii="Baskerville Old Face" w:hAnsi="Baskerville Old Face"/>
          <w:i/>
          <w:iCs/>
        </w:rPr>
        <w:br/>
        <w:t>• fiduciaries;</w:t>
      </w:r>
      <w:r w:rsidRPr="00B479AE">
        <w:rPr>
          <w:rFonts w:ascii="Baskerville Old Face" w:hAnsi="Baskerville Old Face"/>
          <w:i/>
          <w:iCs/>
        </w:rPr>
        <w:br/>
        <w:t>• public authorities;</w:t>
      </w:r>
      <w:r w:rsidRPr="00B479AE">
        <w:rPr>
          <w:rFonts w:ascii="Baskerville Old Face" w:hAnsi="Baskerville Old Face"/>
          <w:i/>
          <w:iCs/>
        </w:rPr>
        <w:br/>
        <w:t>• law enforcement where legally required;</w:t>
      </w:r>
      <w:r w:rsidRPr="00B479AE">
        <w:rPr>
          <w:rFonts w:ascii="Baskerville Old Face" w:hAnsi="Baskerville Old Face"/>
          <w:i/>
          <w:iCs/>
        </w:rPr>
        <w:br/>
        <w:t>• institutional partners;</w:t>
      </w:r>
      <w:r w:rsidRPr="00B479AE">
        <w:rPr>
          <w:rFonts w:ascii="Baskerville Old Face" w:hAnsi="Baskerville Old Face"/>
          <w:i/>
          <w:iCs/>
        </w:rPr>
        <w:br/>
        <w:t>• insurers or guarantors where relevant.</w:t>
      </w:r>
    </w:p>
    <w:p w14:paraId="3A7A4E63"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Prometheus governance does not replace law.</w:t>
      </w:r>
    </w:p>
    <w:p w14:paraId="011DF89F"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It complements law within the ecosystem.</w:t>
      </w:r>
    </w:p>
    <w:p w14:paraId="75D79844"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Where legal duties exist, they must be respected.</w:t>
      </w:r>
    </w:p>
    <w:p w14:paraId="7C9F308C" w14:textId="77777777" w:rsidR="005949BB" w:rsidRPr="00B479AE" w:rsidRDefault="005949BB" w:rsidP="005949BB">
      <w:pPr>
        <w:spacing w:line="360" w:lineRule="auto"/>
        <w:rPr>
          <w:rFonts w:ascii="Baskerville Old Face" w:hAnsi="Baskerville Old Face"/>
          <w:b/>
          <w:bCs/>
          <w:i/>
          <w:iCs/>
        </w:rPr>
      </w:pPr>
      <w:r w:rsidRPr="00B479AE">
        <w:rPr>
          <w:rFonts w:ascii="Baskerville Old Face" w:hAnsi="Baskerville Old Face"/>
          <w:b/>
          <w:bCs/>
          <w:i/>
          <w:iCs/>
        </w:rPr>
        <w:t>9.16 Final Consequence Principle</w:t>
      </w:r>
    </w:p>
    <w:p w14:paraId="021668F8"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The final principle is:</w:t>
      </w:r>
    </w:p>
    <w:p w14:paraId="30C59A2F"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protect life;</w:t>
      </w:r>
      <w:r w:rsidRPr="00B479AE">
        <w:rPr>
          <w:rFonts w:ascii="Baskerville Old Face" w:hAnsi="Baskerville Old Face"/>
          <w:i/>
          <w:iCs/>
        </w:rPr>
        <w:br/>
        <w:t>protect dignity;</w:t>
      </w:r>
      <w:r w:rsidRPr="00B479AE">
        <w:rPr>
          <w:rFonts w:ascii="Baskerville Old Face" w:hAnsi="Baskerville Old Face"/>
          <w:i/>
          <w:iCs/>
        </w:rPr>
        <w:br/>
        <w:t>protect evidence;</w:t>
      </w:r>
      <w:r w:rsidRPr="00B479AE">
        <w:rPr>
          <w:rFonts w:ascii="Baskerville Old Face" w:hAnsi="Baskerville Old Face"/>
          <w:i/>
          <w:iCs/>
        </w:rPr>
        <w:br/>
        <w:t>protect trust;</w:t>
      </w:r>
      <w:r w:rsidRPr="00B479AE">
        <w:rPr>
          <w:rFonts w:ascii="Baskerville Old Face" w:hAnsi="Baskerville Old Face"/>
          <w:i/>
          <w:iCs/>
        </w:rPr>
        <w:br/>
        <w:t>protect the source layer;</w:t>
      </w:r>
      <w:r w:rsidRPr="00B479AE">
        <w:rPr>
          <w:rFonts w:ascii="Baskerville Old Face" w:hAnsi="Baskerville Old Face"/>
          <w:i/>
          <w:iCs/>
        </w:rPr>
        <w:br/>
        <w:t>repair where possible;</w:t>
      </w:r>
      <w:r w:rsidRPr="00B479AE">
        <w:rPr>
          <w:rFonts w:ascii="Baskerville Old Face" w:hAnsi="Baskerville Old Face"/>
          <w:i/>
          <w:iCs/>
        </w:rPr>
        <w:br/>
        <w:t>restrict where necessary;</w:t>
      </w:r>
      <w:r w:rsidRPr="00B479AE">
        <w:rPr>
          <w:rFonts w:ascii="Baskerville Old Face" w:hAnsi="Baskerville Old Face"/>
          <w:i/>
          <w:iCs/>
        </w:rPr>
        <w:br/>
        <w:t>exclude where unavoidable;</w:t>
      </w:r>
      <w:r w:rsidRPr="00B479AE">
        <w:rPr>
          <w:rFonts w:ascii="Baskerville Old Face" w:hAnsi="Baskerville Old Face"/>
          <w:i/>
          <w:iCs/>
        </w:rPr>
        <w:br/>
        <w:t>escalate where legally required.</w:t>
      </w:r>
    </w:p>
    <w:p w14:paraId="27B8B75F"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Prometheus does not treat consequence as vengeance.</w:t>
      </w:r>
    </w:p>
    <w:p w14:paraId="745F8E20"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It treats consequence as immune intelligence.</w:t>
      </w:r>
    </w:p>
    <w:p w14:paraId="10DC60EE"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lastRenderedPageBreak/>
        <w:t>A living system protects itself by recognizing disturbance, isolating harm, repairing tissue, learning from injury, and restoring circulation.</w:t>
      </w:r>
    </w:p>
    <w:p w14:paraId="717F5550"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Prometheus must do the same.</w:t>
      </w:r>
    </w:p>
    <w:p w14:paraId="3CF8C983"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A Covenant violation is therefore not only a breach of rule.</w:t>
      </w:r>
    </w:p>
    <w:p w14:paraId="2F576C59"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It is a signal about system coherence.</w:t>
      </w:r>
    </w:p>
    <w:p w14:paraId="47E4704B"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The correct response is not automatic punishment.</w:t>
      </w:r>
    </w:p>
    <w:p w14:paraId="21B4BE8C"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The correct response is proportionate restoration of integrity.</w:t>
      </w:r>
    </w:p>
    <w:p w14:paraId="2DFEB769"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Where repair is possible, repair.</w:t>
      </w:r>
    </w:p>
    <w:p w14:paraId="1FCEF39D"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Where limitation is necessary, limit.</w:t>
      </w:r>
    </w:p>
    <w:p w14:paraId="616497EA"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Where exclusion is required, exclude.</w:t>
      </w:r>
    </w:p>
    <w:p w14:paraId="6B24C997"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Where law must act, escalate.</w:t>
      </w:r>
    </w:p>
    <w:p w14:paraId="7D56A109"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Where the constitution is threatened, protect the source.</w:t>
      </w:r>
    </w:p>
    <w:p w14:paraId="7F6CC7C8"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The Access Covenant opens the door.</w:t>
      </w:r>
    </w:p>
    <w:p w14:paraId="0B394B0E" w14:textId="77777777" w:rsidR="005949BB" w:rsidRPr="00B479AE" w:rsidRDefault="005949BB" w:rsidP="005949BB">
      <w:pPr>
        <w:spacing w:line="360" w:lineRule="auto"/>
        <w:rPr>
          <w:rFonts w:ascii="Baskerville Old Face" w:hAnsi="Baskerville Old Face"/>
          <w:i/>
          <w:iCs/>
        </w:rPr>
      </w:pPr>
      <w:r w:rsidRPr="00B479AE">
        <w:rPr>
          <w:rFonts w:ascii="Baskerville Old Face" w:hAnsi="Baskerville Old Face"/>
          <w:i/>
          <w:iCs/>
        </w:rPr>
        <w:t>The consequence architecture keeps the house from burning down after the party starts.</w:t>
      </w:r>
    </w:p>
    <w:p w14:paraId="0F0EA8E6" w14:textId="77777777" w:rsidR="00B9396D" w:rsidRPr="00B479AE" w:rsidRDefault="00B9396D" w:rsidP="00B9396D">
      <w:pPr>
        <w:spacing w:line="360" w:lineRule="auto"/>
        <w:rPr>
          <w:rFonts w:ascii="Baskerville Old Face" w:hAnsi="Baskerville Old Face"/>
          <w:b/>
          <w:bCs/>
          <w:i/>
          <w:iCs/>
        </w:rPr>
      </w:pPr>
      <w:r w:rsidRPr="00B479AE">
        <w:rPr>
          <w:rFonts w:ascii="Baskerville Old Face" w:hAnsi="Baskerville Old Face"/>
          <w:b/>
          <w:bCs/>
          <w:i/>
          <w:iCs/>
        </w:rPr>
        <w:t>10. Constitutional Interpretation and Source-Layer Review</w:t>
      </w:r>
    </w:p>
    <w:p w14:paraId="40724B62"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Prometheus requires a constitutional interpretation process capable of resolving ambiguity without centralizing sovereignty.</w:t>
      </w:r>
    </w:p>
    <w:p w14:paraId="7BC2C18B"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 living constitutional system must be able to interpret its own principles, apply them to new cases, respond to conflict, and clarify boundaries over time.</w:t>
      </w:r>
    </w:p>
    <w:p w14:paraId="7987F49E"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However, interpretation must not become domination.</w:t>
      </w:r>
    </w:p>
    <w:p w14:paraId="6FC04CCE"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No circle, founder, token majority, investor, AI model, protocol steward, technical operator, oracle, or institutional actor may become the final sovereign over the Prometheus constitution.</w:t>
      </w:r>
    </w:p>
    <w:p w14:paraId="3F4F5AF8"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The constitution remains the authority.</w:t>
      </w:r>
    </w:p>
    <w:p w14:paraId="6261B7BB"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lastRenderedPageBreak/>
        <w:t>Evidence remains the discipline.</w:t>
      </w:r>
    </w:p>
    <w:p w14:paraId="59D26064"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Governance remains the pathway.</w:t>
      </w:r>
    </w:p>
    <w:p w14:paraId="76C8C5E6"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Living-system reality remains the ground.</w:t>
      </w:r>
    </w:p>
    <w:p w14:paraId="0F5D0623"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Constitutional interpretation therefore exists to clarify meaning, not to create arbitrary power.</w:t>
      </w:r>
    </w:p>
    <w:p w14:paraId="7EC130AC"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exists to preserve fidelity, not to manufacture exceptions.</w:t>
      </w:r>
    </w:p>
    <w:p w14:paraId="54752D05"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exists to protect the source layer, not to convert governance into supremacy.</w:t>
      </w:r>
    </w:p>
    <w:p w14:paraId="5B16D0E8" w14:textId="77777777" w:rsidR="00B9396D" w:rsidRPr="00B479AE" w:rsidRDefault="00B9396D" w:rsidP="00B9396D">
      <w:pPr>
        <w:spacing w:line="360" w:lineRule="auto"/>
        <w:rPr>
          <w:rFonts w:ascii="Baskerville Old Face" w:hAnsi="Baskerville Old Face"/>
          <w:b/>
          <w:bCs/>
          <w:i/>
          <w:iCs/>
        </w:rPr>
      </w:pPr>
      <w:r w:rsidRPr="00B479AE">
        <w:rPr>
          <w:rFonts w:ascii="Baskerville Old Face" w:hAnsi="Baskerville Old Face"/>
          <w:b/>
          <w:bCs/>
          <w:i/>
          <w:iCs/>
        </w:rPr>
        <w:t>10.1 Purpose of Constitutional Interpretation</w:t>
      </w:r>
    </w:p>
    <w:p w14:paraId="155936AA"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Constitutional interpretation is required when a proposal, action, claim, governance process, technical implementation, financial structure, token mechanism, AI output, MRV pathway, community process, or institutional relationship raises a question about constitutional meaning.</w:t>
      </w:r>
    </w:p>
    <w:p w14:paraId="1A92DE31"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Such questions may include:</w:t>
      </w:r>
    </w:p>
    <w:p w14:paraId="0F62CDC1"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 whether an action is compatible with the foundational articles;</w:t>
      </w:r>
      <w:r w:rsidRPr="00B479AE">
        <w:rPr>
          <w:rFonts w:ascii="Baskerville Old Face" w:hAnsi="Baskerville Old Face"/>
          <w:i/>
          <w:iCs/>
        </w:rPr>
        <w:br/>
        <w:t>• whether an action violates the Eternity Clauses;</w:t>
      </w:r>
      <w:r w:rsidRPr="00B479AE">
        <w:rPr>
          <w:rFonts w:ascii="Baskerville Old Face" w:hAnsi="Baskerville Old Face"/>
          <w:i/>
          <w:iCs/>
        </w:rPr>
        <w:br/>
        <w:t>• whether a proposal belongs to ordinary governance or constitutional amendment;</w:t>
      </w:r>
      <w:r w:rsidRPr="00B479AE">
        <w:rPr>
          <w:rFonts w:ascii="Baskerville Old Face" w:hAnsi="Baskerville Old Face"/>
          <w:i/>
          <w:iCs/>
        </w:rPr>
        <w:br/>
        <w:t>• whether a claim is evidence-backed or merely narrative;</w:t>
      </w:r>
      <w:r w:rsidRPr="00B479AE">
        <w:rPr>
          <w:rFonts w:ascii="Baskerville Old Face" w:hAnsi="Baskerville Old Face"/>
          <w:i/>
          <w:iCs/>
        </w:rPr>
        <w:br/>
        <w:t>• whether a token mechanism creates category confusion;</w:t>
      </w:r>
      <w:r w:rsidRPr="00B479AE">
        <w:rPr>
          <w:rFonts w:ascii="Baskerville Old Face" w:hAnsi="Baskerville Old Face"/>
          <w:i/>
          <w:iCs/>
        </w:rPr>
        <w:br/>
        <w:t>• whether a PRU, RAP, MRV, HSI, TRBK, or governance term is being used consistently with canonical definitions;</w:t>
      </w:r>
      <w:r w:rsidRPr="00B479AE">
        <w:rPr>
          <w:rFonts w:ascii="Baskerville Old Face" w:hAnsi="Baskerville Old Face"/>
          <w:i/>
          <w:iCs/>
        </w:rPr>
        <w:br/>
        <w:t>• whether a technical system bypasses source-layer constraints;</w:t>
      </w:r>
      <w:r w:rsidRPr="00B479AE">
        <w:rPr>
          <w:rFonts w:ascii="Baskerville Old Face" w:hAnsi="Baskerville Old Face"/>
          <w:i/>
          <w:iCs/>
        </w:rPr>
        <w:br/>
        <w:t>• whether an AI-generated recommendation exceeds its valid authority;</w:t>
      </w:r>
      <w:r w:rsidRPr="00B479AE">
        <w:rPr>
          <w:rFonts w:ascii="Baskerville Old Face" w:hAnsi="Baskerville Old Face"/>
          <w:i/>
          <w:iCs/>
        </w:rPr>
        <w:br/>
        <w:t>• whether a community collaboration remains within sovereign alignment;</w:t>
      </w:r>
      <w:r w:rsidRPr="00B479AE">
        <w:rPr>
          <w:rFonts w:ascii="Baskerville Old Face" w:hAnsi="Baskerville Old Face"/>
          <w:i/>
          <w:iCs/>
        </w:rPr>
        <w:br/>
        <w:t>• whether a financial structure creates extraction under regenerative language;</w:t>
      </w:r>
      <w:r w:rsidRPr="00B479AE">
        <w:rPr>
          <w:rFonts w:ascii="Baskerville Old Face" w:hAnsi="Baskerville Old Face"/>
          <w:i/>
          <w:iCs/>
        </w:rPr>
        <w:br/>
        <w:t>• whether emergency action is justified and proportionate;</w:t>
      </w:r>
      <w:r w:rsidRPr="00B479AE">
        <w:rPr>
          <w:rFonts w:ascii="Baskerville Old Face" w:hAnsi="Baskerville Old Face"/>
          <w:i/>
          <w:iCs/>
        </w:rPr>
        <w:br/>
        <w:t>• whether a participant’s conduct requires consequence, remediation, or constitutional review.</w:t>
      </w:r>
    </w:p>
    <w:p w14:paraId="5C7C1152"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Interpretation should therefore be understood as a review function.</w:t>
      </w:r>
    </w:p>
    <w:p w14:paraId="1EB15713"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does not replace ordinary governance.</w:t>
      </w:r>
    </w:p>
    <w:p w14:paraId="1466370B"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does not replace legal review.</w:t>
      </w:r>
    </w:p>
    <w:p w14:paraId="305A4AE2"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lastRenderedPageBreak/>
        <w:t>It does not replace MRV.</w:t>
      </w:r>
    </w:p>
    <w:p w14:paraId="12F78830"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does not replace scientific evidence.</w:t>
      </w:r>
    </w:p>
    <w:p w14:paraId="3D3042E0"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does not replace community consent where consent is required.</w:t>
      </w:r>
    </w:p>
    <w:p w14:paraId="7F825001"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determines whether a pathway remains constitutionally admissible.</w:t>
      </w:r>
    </w:p>
    <w:p w14:paraId="67219113" w14:textId="77777777" w:rsidR="00B9396D" w:rsidRPr="00B479AE" w:rsidRDefault="00B9396D" w:rsidP="00B9396D">
      <w:pPr>
        <w:spacing w:line="360" w:lineRule="auto"/>
        <w:rPr>
          <w:rFonts w:ascii="Baskerville Old Face" w:hAnsi="Baskerville Old Face"/>
          <w:b/>
          <w:bCs/>
          <w:i/>
          <w:iCs/>
        </w:rPr>
      </w:pPr>
      <w:r w:rsidRPr="00B479AE">
        <w:rPr>
          <w:rFonts w:ascii="Baskerville Old Face" w:hAnsi="Baskerville Old Face"/>
          <w:b/>
          <w:bCs/>
          <w:i/>
          <w:iCs/>
        </w:rPr>
        <w:t>10.2 Interpretive Authority as Distributed Review</w:t>
      </w:r>
    </w:p>
    <w:p w14:paraId="0DC7642A"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Prometheus should not vest ultimate interpretive authority in a single circle.</w:t>
      </w:r>
    </w:p>
    <w:p w14:paraId="355A6611"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 constitutional question may require input from different bodies depending on the matter.</w:t>
      </w:r>
    </w:p>
    <w:p w14:paraId="680A669A"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Relevant review bodies may include:</w:t>
      </w:r>
    </w:p>
    <w:p w14:paraId="720F0646"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 Stewardship Circles;</w:t>
      </w:r>
      <w:r w:rsidRPr="00B479AE">
        <w:rPr>
          <w:rFonts w:ascii="Baskerville Old Face" w:hAnsi="Baskerville Old Face"/>
          <w:i/>
          <w:iCs/>
        </w:rPr>
        <w:br/>
        <w:t>• protocol stewards;</w:t>
      </w:r>
      <w:r w:rsidRPr="00B479AE">
        <w:rPr>
          <w:rFonts w:ascii="Baskerville Old Face" w:hAnsi="Baskerville Old Face"/>
          <w:i/>
          <w:iCs/>
        </w:rPr>
        <w:br/>
        <w:t>• constitutional review circles;</w:t>
      </w:r>
      <w:r w:rsidRPr="00B479AE">
        <w:rPr>
          <w:rFonts w:ascii="Baskerville Old Face" w:hAnsi="Baskerville Old Face"/>
          <w:i/>
          <w:iCs/>
        </w:rPr>
        <w:br/>
        <w:t>• MRV reviewers;</w:t>
      </w:r>
      <w:r w:rsidRPr="00B479AE">
        <w:rPr>
          <w:rFonts w:ascii="Baskerville Old Face" w:hAnsi="Baskerville Old Face"/>
          <w:i/>
          <w:iCs/>
        </w:rPr>
        <w:br/>
        <w:t>• legal reviewers;</w:t>
      </w:r>
      <w:r w:rsidRPr="00B479AE">
        <w:rPr>
          <w:rFonts w:ascii="Baskerville Old Face" w:hAnsi="Baskerville Old Face"/>
          <w:i/>
          <w:iCs/>
        </w:rPr>
        <w:br/>
        <w:t>• technical reviewers;</w:t>
      </w:r>
      <w:r w:rsidRPr="00B479AE">
        <w:rPr>
          <w:rFonts w:ascii="Baskerville Old Face" w:hAnsi="Baskerville Old Face"/>
          <w:i/>
          <w:iCs/>
        </w:rPr>
        <w:br/>
        <w:t>• governance facilitators;</w:t>
      </w:r>
      <w:r w:rsidRPr="00B479AE">
        <w:rPr>
          <w:rFonts w:ascii="Baskerville Old Face" w:hAnsi="Baskerville Old Face"/>
          <w:i/>
          <w:iCs/>
        </w:rPr>
        <w:br/>
        <w:t>• community-interface representatives;</w:t>
      </w:r>
      <w:r w:rsidRPr="00B479AE">
        <w:rPr>
          <w:rFonts w:ascii="Baskerville Old Face" w:hAnsi="Baskerville Old Face"/>
          <w:i/>
          <w:iCs/>
        </w:rPr>
        <w:br/>
        <w:t>• affected-party reviewers;</w:t>
      </w:r>
      <w:r w:rsidRPr="00B479AE">
        <w:rPr>
          <w:rFonts w:ascii="Baskerville Old Face" w:hAnsi="Baskerville Old Face"/>
          <w:i/>
          <w:iCs/>
        </w:rPr>
        <w:br/>
        <w:t>• scientific or ecological advisors;</w:t>
      </w:r>
      <w:r w:rsidRPr="00B479AE">
        <w:rPr>
          <w:rFonts w:ascii="Baskerville Old Face" w:hAnsi="Baskerville Old Face"/>
          <w:i/>
          <w:iCs/>
        </w:rPr>
        <w:br/>
        <w:t>• capital-market or compliance reviewers where relevant.</w:t>
      </w:r>
    </w:p>
    <w:p w14:paraId="45708D96"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This is distributed review, not fragmented authority.</w:t>
      </w:r>
    </w:p>
    <w:p w14:paraId="09F48B89"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Each body contributes from its domain of competence.</w:t>
      </w:r>
    </w:p>
    <w:p w14:paraId="0599CAA9"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The role of the constitutional review pathway is to integrate these perspectives under the source-layer hierarchy.</w:t>
      </w:r>
    </w:p>
    <w:p w14:paraId="4045E165" w14:textId="0D8C00D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No single reviewer owns the constitution.</w:t>
      </w:r>
      <w:r w:rsidR="001759CF" w:rsidRPr="00B479AE">
        <w:rPr>
          <w:rFonts w:ascii="Baskerville Old Face" w:hAnsi="Baskerville Old Face"/>
          <w:i/>
          <w:iCs/>
        </w:rPr>
        <w:t xml:space="preserve"> </w:t>
      </w:r>
      <w:r w:rsidRPr="00B479AE">
        <w:rPr>
          <w:rFonts w:ascii="Baskerville Old Face" w:hAnsi="Baskerville Old Face"/>
          <w:i/>
          <w:iCs/>
        </w:rPr>
        <w:t>No single circle becomes the constitution.</w:t>
      </w:r>
    </w:p>
    <w:p w14:paraId="53E4B33C"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No technical system becomes the constitution.</w:t>
      </w:r>
    </w:p>
    <w:p w14:paraId="07BCF2F2"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No founder intent becomes the constitution.</w:t>
      </w:r>
    </w:p>
    <w:p w14:paraId="76C0E1D6"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lastRenderedPageBreak/>
        <w:t>The constitution is interpreted through documented, reviewable, multi-domain reasoning constrained by the foundational articles, Eternity Clauses, Access Covenant, evidence-before-value discipline, and living-system reality.</w:t>
      </w:r>
    </w:p>
    <w:p w14:paraId="2CEED3BC" w14:textId="77777777" w:rsidR="00B9396D" w:rsidRPr="00B479AE" w:rsidRDefault="00B9396D" w:rsidP="00B9396D">
      <w:pPr>
        <w:spacing w:line="360" w:lineRule="auto"/>
        <w:rPr>
          <w:rFonts w:ascii="Baskerville Old Face" w:hAnsi="Baskerville Old Face"/>
          <w:b/>
          <w:bCs/>
          <w:i/>
          <w:iCs/>
        </w:rPr>
      </w:pPr>
      <w:r w:rsidRPr="00B479AE">
        <w:rPr>
          <w:rFonts w:ascii="Baskerville Old Face" w:hAnsi="Baskerville Old Face"/>
          <w:b/>
          <w:bCs/>
          <w:i/>
          <w:iCs/>
        </w:rPr>
        <w:t>10.3 Source-Layer Hierarchy</w:t>
      </w:r>
    </w:p>
    <w:p w14:paraId="613DA3C5"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When constitutional interpretation is required, the hierarchy of authority 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3"/>
        <w:gridCol w:w="6655"/>
      </w:tblGrid>
      <w:tr w:rsidR="00B9396D" w:rsidRPr="00B479AE" w14:paraId="273ACBF1" w14:textId="77777777" w:rsidTr="00B9396D">
        <w:trPr>
          <w:tblHeader/>
          <w:tblCellSpacing w:w="15" w:type="dxa"/>
        </w:trPr>
        <w:tc>
          <w:tcPr>
            <w:tcW w:w="0" w:type="auto"/>
            <w:vAlign w:val="center"/>
            <w:hideMark/>
          </w:tcPr>
          <w:p w14:paraId="14C0998E" w14:textId="77777777" w:rsidR="00B9396D" w:rsidRPr="00B479AE" w:rsidRDefault="00B9396D" w:rsidP="00B9396D">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Layer</w:t>
            </w:r>
          </w:p>
        </w:tc>
        <w:tc>
          <w:tcPr>
            <w:tcW w:w="0" w:type="auto"/>
            <w:vAlign w:val="center"/>
            <w:hideMark/>
          </w:tcPr>
          <w:p w14:paraId="3BCFA006" w14:textId="77777777" w:rsidR="00B9396D" w:rsidRPr="00B479AE" w:rsidRDefault="00B9396D" w:rsidP="00B9396D">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Interpretive function</w:t>
            </w:r>
          </w:p>
        </w:tc>
      </w:tr>
      <w:tr w:rsidR="00B9396D" w:rsidRPr="00B479AE" w14:paraId="05928D5C" w14:textId="77777777" w:rsidTr="00B9396D">
        <w:trPr>
          <w:tblCellSpacing w:w="15" w:type="dxa"/>
        </w:trPr>
        <w:tc>
          <w:tcPr>
            <w:tcW w:w="0" w:type="auto"/>
            <w:vAlign w:val="center"/>
            <w:hideMark/>
          </w:tcPr>
          <w:p w14:paraId="15AE9427"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Living-system reality</w:t>
            </w:r>
          </w:p>
        </w:tc>
        <w:tc>
          <w:tcPr>
            <w:tcW w:w="0" w:type="auto"/>
            <w:vAlign w:val="center"/>
            <w:hideMark/>
          </w:tcPr>
          <w:p w14:paraId="6576471A"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i/>
                <w:iCs/>
                <w:sz w:val="22"/>
                <w:szCs w:val="22"/>
              </w:rPr>
              <w:t>The ecological, biological, relational, and physical substrate that governance must respect.</w:t>
            </w:r>
          </w:p>
        </w:tc>
      </w:tr>
      <w:tr w:rsidR="00B9396D" w:rsidRPr="00B479AE" w14:paraId="5B76CF57" w14:textId="77777777" w:rsidTr="00B9396D">
        <w:trPr>
          <w:tblCellSpacing w:w="15" w:type="dxa"/>
        </w:trPr>
        <w:tc>
          <w:tcPr>
            <w:tcW w:w="0" w:type="auto"/>
            <w:vAlign w:val="center"/>
            <w:hideMark/>
          </w:tcPr>
          <w:p w14:paraId="6245BEE3"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Eternity Clauses</w:t>
            </w:r>
          </w:p>
        </w:tc>
        <w:tc>
          <w:tcPr>
            <w:tcW w:w="0" w:type="auto"/>
            <w:vAlign w:val="center"/>
            <w:hideMark/>
          </w:tcPr>
          <w:p w14:paraId="28B8FAB6"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i/>
                <w:iCs/>
                <w:sz w:val="22"/>
                <w:szCs w:val="22"/>
              </w:rPr>
              <w:t>Unamendable constraints protecting life, dignity, evidence, ecological integrity, and regenerative fidelity.</w:t>
            </w:r>
          </w:p>
        </w:tc>
      </w:tr>
      <w:tr w:rsidR="00B9396D" w:rsidRPr="00B479AE" w14:paraId="01BD9FC9" w14:textId="77777777" w:rsidTr="00B9396D">
        <w:trPr>
          <w:tblCellSpacing w:w="15" w:type="dxa"/>
        </w:trPr>
        <w:tc>
          <w:tcPr>
            <w:tcW w:w="0" w:type="auto"/>
            <w:vAlign w:val="center"/>
            <w:hideMark/>
          </w:tcPr>
          <w:p w14:paraId="77FD116C"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Foundational articles</w:t>
            </w:r>
          </w:p>
        </w:tc>
        <w:tc>
          <w:tcPr>
            <w:tcW w:w="0" w:type="auto"/>
            <w:vAlign w:val="center"/>
            <w:hideMark/>
          </w:tcPr>
          <w:p w14:paraId="42924DC0"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i/>
                <w:iCs/>
                <w:sz w:val="22"/>
                <w:szCs w:val="22"/>
              </w:rPr>
              <w:t>Constitutional structure defining Prometheus identity and governance boundaries.</w:t>
            </w:r>
          </w:p>
        </w:tc>
      </w:tr>
      <w:tr w:rsidR="00B9396D" w:rsidRPr="00B479AE" w14:paraId="132A5905" w14:textId="77777777" w:rsidTr="00B9396D">
        <w:trPr>
          <w:tblCellSpacing w:w="15" w:type="dxa"/>
        </w:trPr>
        <w:tc>
          <w:tcPr>
            <w:tcW w:w="0" w:type="auto"/>
            <w:vAlign w:val="center"/>
            <w:hideMark/>
          </w:tcPr>
          <w:p w14:paraId="62A79E1C"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Access Covenant</w:t>
            </w:r>
          </w:p>
        </w:tc>
        <w:tc>
          <w:tcPr>
            <w:tcW w:w="0" w:type="auto"/>
            <w:vAlign w:val="center"/>
            <w:hideMark/>
          </w:tcPr>
          <w:p w14:paraId="53698BF0"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i/>
                <w:iCs/>
                <w:sz w:val="22"/>
                <w:szCs w:val="22"/>
              </w:rPr>
              <w:t>Entry and participation condition for all Prometheus-facing actors.</w:t>
            </w:r>
          </w:p>
        </w:tc>
      </w:tr>
      <w:tr w:rsidR="00B9396D" w:rsidRPr="00B479AE" w14:paraId="1A10DC12" w14:textId="77777777" w:rsidTr="00B9396D">
        <w:trPr>
          <w:tblCellSpacing w:w="15" w:type="dxa"/>
        </w:trPr>
        <w:tc>
          <w:tcPr>
            <w:tcW w:w="0" w:type="auto"/>
            <w:vAlign w:val="center"/>
            <w:hideMark/>
          </w:tcPr>
          <w:p w14:paraId="5AA5DEB2"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Canonical definitions</w:t>
            </w:r>
          </w:p>
        </w:tc>
        <w:tc>
          <w:tcPr>
            <w:tcW w:w="0" w:type="auto"/>
            <w:vAlign w:val="center"/>
            <w:hideMark/>
          </w:tcPr>
          <w:p w14:paraId="285D3040"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i/>
                <w:iCs/>
                <w:sz w:val="22"/>
                <w:szCs w:val="22"/>
              </w:rPr>
              <w:t>Meaning of PRU, RAP, MRV, HSI, TRBK, OHE, tokenization, governance, and related terms.</w:t>
            </w:r>
          </w:p>
        </w:tc>
      </w:tr>
      <w:tr w:rsidR="00B9396D" w:rsidRPr="00B479AE" w14:paraId="45579B77" w14:textId="77777777" w:rsidTr="00B9396D">
        <w:trPr>
          <w:tblCellSpacing w:w="15" w:type="dxa"/>
        </w:trPr>
        <w:tc>
          <w:tcPr>
            <w:tcW w:w="0" w:type="auto"/>
            <w:vAlign w:val="center"/>
            <w:hideMark/>
          </w:tcPr>
          <w:p w14:paraId="13D769B2"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Approved methodologies</w:t>
            </w:r>
          </w:p>
        </w:tc>
        <w:tc>
          <w:tcPr>
            <w:tcW w:w="0" w:type="auto"/>
            <w:vAlign w:val="center"/>
            <w:hideMark/>
          </w:tcPr>
          <w:p w14:paraId="49FE8C42"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i/>
                <w:iCs/>
                <w:sz w:val="22"/>
                <w:szCs w:val="22"/>
              </w:rPr>
              <w:t>Versioned technical, MRV, financial, governance, and operational methods.</w:t>
            </w:r>
          </w:p>
        </w:tc>
      </w:tr>
      <w:tr w:rsidR="00B9396D" w:rsidRPr="00B479AE" w14:paraId="7CE06924" w14:textId="77777777" w:rsidTr="00B9396D">
        <w:trPr>
          <w:tblCellSpacing w:w="15" w:type="dxa"/>
        </w:trPr>
        <w:tc>
          <w:tcPr>
            <w:tcW w:w="0" w:type="auto"/>
            <w:vAlign w:val="center"/>
            <w:hideMark/>
          </w:tcPr>
          <w:p w14:paraId="4CF3F5C1"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Ordinary governance decisions</w:t>
            </w:r>
          </w:p>
        </w:tc>
        <w:tc>
          <w:tcPr>
            <w:tcW w:w="0" w:type="auto"/>
            <w:vAlign w:val="center"/>
            <w:hideMark/>
          </w:tcPr>
          <w:p w14:paraId="4627B891"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i/>
                <w:iCs/>
                <w:sz w:val="22"/>
                <w:szCs w:val="22"/>
              </w:rPr>
              <w:t>Valid only within the above boundaries.</w:t>
            </w:r>
          </w:p>
        </w:tc>
      </w:tr>
      <w:tr w:rsidR="00B9396D" w:rsidRPr="00B479AE" w14:paraId="27BB40ED" w14:textId="77777777" w:rsidTr="00B9396D">
        <w:trPr>
          <w:tblCellSpacing w:w="15" w:type="dxa"/>
        </w:trPr>
        <w:tc>
          <w:tcPr>
            <w:tcW w:w="0" w:type="auto"/>
            <w:vAlign w:val="center"/>
            <w:hideMark/>
          </w:tcPr>
          <w:p w14:paraId="482E7B72"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Technical implementation</w:t>
            </w:r>
          </w:p>
        </w:tc>
        <w:tc>
          <w:tcPr>
            <w:tcW w:w="0" w:type="auto"/>
            <w:vAlign w:val="center"/>
            <w:hideMark/>
          </w:tcPr>
          <w:p w14:paraId="3A429783"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i/>
                <w:iCs/>
                <w:sz w:val="22"/>
                <w:szCs w:val="22"/>
              </w:rPr>
              <w:t>Valid only when aligned with constitutional meaning and approved methodology.</w:t>
            </w:r>
          </w:p>
        </w:tc>
      </w:tr>
      <w:tr w:rsidR="00B9396D" w:rsidRPr="00B479AE" w14:paraId="2A77F18E" w14:textId="77777777" w:rsidTr="00B9396D">
        <w:trPr>
          <w:tblCellSpacing w:w="15" w:type="dxa"/>
        </w:trPr>
        <w:tc>
          <w:tcPr>
            <w:tcW w:w="0" w:type="auto"/>
            <w:vAlign w:val="center"/>
            <w:hideMark/>
          </w:tcPr>
          <w:p w14:paraId="55B690C0"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AI outputs</w:t>
            </w:r>
          </w:p>
        </w:tc>
        <w:tc>
          <w:tcPr>
            <w:tcW w:w="0" w:type="auto"/>
            <w:vAlign w:val="center"/>
            <w:hideMark/>
          </w:tcPr>
          <w:p w14:paraId="57DBE89F"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i/>
                <w:iCs/>
                <w:sz w:val="22"/>
                <w:szCs w:val="22"/>
              </w:rPr>
              <w:t>Assistive only; never independently authoritative.</w:t>
            </w:r>
          </w:p>
        </w:tc>
      </w:tr>
      <w:tr w:rsidR="00B9396D" w:rsidRPr="00B479AE" w14:paraId="563A6CA8" w14:textId="77777777" w:rsidTr="00B9396D">
        <w:trPr>
          <w:tblCellSpacing w:w="15" w:type="dxa"/>
        </w:trPr>
        <w:tc>
          <w:tcPr>
            <w:tcW w:w="0" w:type="auto"/>
            <w:vAlign w:val="center"/>
            <w:hideMark/>
          </w:tcPr>
          <w:p w14:paraId="567AAD9A"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Market, investor, or operational pressure</w:t>
            </w:r>
          </w:p>
        </w:tc>
        <w:tc>
          <w:tcPr>
            <w:tcW w:w="0" w:type="auto"/>
            <w:vAlign w:val="center"/>
            <w:hideMark/>
          </w:tcPr>
          <w:p w14:paraId="3B62BEB1"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i/>
                <w:iCs/>
                <w:sz w:val="22"/>
                <w:szCs w:val="22"/>
              </w:rPr>
              <w:t>Relevant context, never constitutional authority.</w:t>
            </w:r>
          </w:p>
        </w:tc>
      </w:tr>
    </w:tbl>
    <w:p w14:paraId="1A675980"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This hierarchy prevents category inversion.</w:t>
      </w:r>
    </w:p>
    <w:p w14:paraId="09E14FA1"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lastRenderedPageBreak/>
        <w:t>A token vote cannot override the Access Covenant.</w:t>
      </w:r>
    </w:p>
    <w:p w14:paraId="23B89BF2"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An investor term sheet cannot override MRV.</w:t>
      </w:r>
    </w:p>
    <w:p w14:paraId="7C435F30"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 model output cannot override governance.</w:t>
      </w:r>
    </w:p>
    <w:p w14:paraId="3FA7B132"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 dashboard cannot override methodology.</w:t>
      </w:r>
    </w:p>
    <w:p w14:paraId="1F458F47"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 methodology cannot override the Eternity Clauses.</w:t>
      </w:r>
    </w:p>
    <w:p w14:paraId="4A964E8A"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 founder preference cannot override living-system reality.</w:t>
      </w:r>
    </w:p>
    <w:p w14:paraId="034FE35F"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Prometheus remains coherent only while this hierarchy remains intact.</w:t>
      </w:r>
    </w:p>
    <w:p w14:paraId="63FF7282" w14:textId="77777777" w:rsidR="00B9396D" w:rsidRPr="00B479AE" w:rsidRDefault="00B9396D" w:rsidP="00B9396D">
      <w:pPr>
        <w:spacing w:line="360" w:lineRule="auto"/>
        <w:rPr>
          <w:rFonts w:ascii="Baskerville Old Face" w:hAnsi="Baskerville Old Face"/>
          <w:b/>
          <w:bCs/>
          <w:i/>
          <w:iCs/>
        </w:rPr>
      </w:pPr>
      <w:r w:rsidRPr="00B479AE">
        <w:rPr>
          <w:rFonts w:ascii="Baskerville Old Face" w:hAnsi="Baskerville Old Face"/>
          <w:b/>
          <w:bCs/>
          <w:i/>
          <w:iCs/>
        </w:rPr>
        <w:t>10.4 Interpretive Principles</w:t>
      </w:r>
    </w:p>
    <w:p w14:paraId="59D8BF10"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Constitutional interpretation should follow defined principles.</w:t>
      </w:r>
    </w:p>
    <w:p w14:paraId="6B26C0D8"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b/>
          <w:bCs/>
          <w:i/>
          <w:iCs/>
        </w:rPr>
        <w:t>Life-preserving interpretation</w:t>
      </w:r>
    </w:p>
    <w:p w14:paraId="48C11E39" w14:textId="4A4E605B"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 xml:space="preserve">Where multiple interpretations are possible, the interpretation that best preserves life, dignity, ecological integrity, and regenerative capacity should be preferred. </w:t>
      </w:r>
    </w:p>
    <w:p w14:paraId="33B13F02"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b/>
          <w:bCs/>
          <w:i/>
          <w:iCs/>
        </w:rPr>
        <w:t>Evidence-before-value interpretation</w:t>
      </w:r>
    </w:p>
    <w:p w14:paraId="31CB0273"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No interpretation may allow unverified narrative, projected impact, cultural meaning, spiritual testimony, AI inference, or financial expectation to become PRU value, RAP inclusion, investor-facing claim, or ecological performance without evidence and admissibility.</w:t>
      </w:r>
    </w:p>
    <w:p w14:paraId="5429BDA2"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b/>
          <w:bCs/>
          <w:i/>
          <w:iCs/>
        </w:rPr>
        <w:t>Function-separation interpretation</w:t>
      </w:r>
    </w:p>
    <w:p w14:paraId="605CD11B"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PRU, RAP, MRV, TRBK, HSI, HoloFuel, stablecoin rails, governance rights, land rights, cash-flow rights, investor exposure, and future tokenized representations must remain functionally distinct unless a formal legal and governance framework explicitly connects them.</w:t>
      </w:r>
    </w:p>
    <w:p w14:paraId="26564CE1" w14:textId="77777777" w:rsidR="001759CF" w:rsidRPr="00B479AE" w:rsidRDefault="001759CF" w:rsidP="00B9396D">
      <w:pPr>
        <w:spacing w:line="360" w:lineRule="auto"/>
        <w:rPr>
          <w:rFonts w:ascii="Baskerville Old Face" w:hAnsi="Baskerville Old Face"/>
          <w:b/>
          <w:bCs/>
          <w:i/>
          <w:iCs/>
        </w:rPr>
      </w:pPr>
    </w:p>
    <w:p w14:paraId="635B3305" w14:textId="77777777" w:rsidR="001759CF" w:rsidRPr="00B479AE" w:rsidRDefault="001759CF" w:rsidP="00B9396D">
      <w:pPr>
        <w:spacing w:line="360" w:lineRule="auto"/>
        <w:rPr>
          <w:rFonts w:ascii="Baskerville Old Face" w:hAnsi="Baskerville Old Face"/>
          <w:b/>
          <w:bCs/>
          <w:i/>
          <w:iCs/>
        </w:rPr>
      </w:pPr>
    </w:p>
    <w:p w14:paraId="63CEF02B" w14:textId="57D00BA2"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b/>
          <w:bCs/>
          <w:i/>
          <w:iCs/>
        </w:rPr>
        <w:t>Least-capture interpretation</w:t>
      </w:r>
    </w:p>
    <w:p w14:paraId="14E08906"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lastRenderedPageBreak/>
        <w:t>Where a decision could create capture by founders, capital, tokens, technical operators, AI systems, institutions, or community elites, the interpretation that preserves distributed accountability and reviewability should be preferred.</w:t>
      </w:r>
    </w:p>
    <w:p w14:paraId="04F57823"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b/>
          <w:bCs/>
          <w:i/>
          <w:iCs/>
        </w:rPr>
        <w:t>Pilot-first interpretation</w:t>
      </w:r>
    </w:p>
    <w:p w14:paraId="580E78BB"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Where evidence is immature, the system should prefer bounded pilots, sandbox status, manual review, disclosure, and staged progression rather than immediate institutional claims.</w:t>
      </w:r>
    </w:p>
    <w:p w14:paraId="3E3A899B" w14:textId="62DFB686"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b/>
          <w:bCs/>
          <w:i/>
          <w:iCs/>
        </w:rPr>
        <w:t>Local-context interpretation</w:t>
      </w:r>
    </w:p>
    <w:p w14:paraId="66BDD9D2"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Regenerative systems are contextual. Interpretation should respect place, community, ecology, culture, and operational reality while preserving constitutional boundaries.</w:t>
      </w:r>
    </w:p>
    <w:p w14:paraId="1C5A3751"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b/>
          <w:bCs/>
          <w:i/>
          <w:iCs/>
        </w:rPr>
        <w:t>Future-generation interpretation</w:t>
      </w:r>
    </w:p>
    <w:p w14:paraId="4C08D2BA"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Where long-term consequences are material, future generations should be treated as present stakeholders in the interpretive process.</w:t>
      </w:r>
    </w:p>
    <w:p w14:paraId="0988FB2C"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b/>
          <w:bCs/>
          <w:i/>
          <w:iCs/>
        </w:rPr>
        <w:t>No-bypass interpretation</w:t>
      </w:r>
    </w:p>
    <w:p w14:paraId="6718730A"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No interpretation may authorize a pathway that makes constitutional bypass easier, hidden, irreversible, or non-reviewable.</w:t>
      </w:r>
    </w:p>
    <w:p w14:paraId="6144DE58" w14:textId="71437B65" w:rsidR="00B9396D" w:rsidRPr="00B479AE" w:rsidRDefault="00B9396D" w:rsidP="00B9396D">
      <w:pPr>
        <w:spacing w:line="360" w:lineRule="auto"/>
        <w:rPr>
          <w:rFonts w:ascii="Baskerville Old Face" w:hAnsi="Baskerville Old Face"/>
          <w:b/>
          <w:bCs/>
          <w:i/>
          <w:iCs/>
        </w:rPr>
      </w:pPr>
      <w:r w:rsidRPr="00B479AE">
        <w:rPr>
          <w:rFonts w:ascii="Baskerville Old Face" w:hAnsi="Baskerville Old Face"/>
          <w:b/>
          <w:bCs/>
          <w:i/>
          <w:iCs/>
        </w:rPr>
        <w:t>10.5 Founder Intent and Founding Memory</w:t>
      </w:r>
    </w:p>
    <w:p w14:paraId="2A12CBD5"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Founding intent may help illuminate the origin of Prometheus.</w:t>
      </w:r>
    </w:p>
    <w:p w14:paraId="2E227981"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may provide context.</w:t>
      </w:r>
    </w:p>
    <w:p w14:paraId="7B9C1C82"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may preserve memory.</w:t>
      </w:r>
    </w:p>
    <w:p w14:paraId="2EFE8E7B"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may explain why certain principles were articulated.</w:t>
      </w:r>
    </w:p>
    <w:p w14:paraId="76ACC3D8"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may help future builders understand the danger that the architecture was designed to prevent.</w:t>
      </w:r>
    </w:p>
    <w:p w14:paraId="5CE23A64"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However, founding intent is not supreme authority.</w:t>
      </w:r>
    </w:p>
    <w:p w14:paraId="6DE6F128"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Founders do not own the constitution.</w:t>
      </w:r>
    </w:p>
    <w:p w14:paraId="4FBE7BC6"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Founding communities do not own the constitution.</w:t>
      </w:r>
    </w:p>
    <w:p w14:paraId="599F38AA"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lastRenderedPageBreak/>
        <w:t>Historical memory does not create veto power.</w:t>
      </w:r>
    </w:p>
    <w:p w14:paraId="4C4DB483"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Original vision does not justify constitutional bypass.</w:t>
      </w:r>
    </w:p>
    <w:p w14:paraId="5C12EEDD"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The proper role of founding memory is custodial.</w:t>
      </w:r>
    </w:p>
    <w:p w14:paraId="5D6275FD"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may inform interpretation where the text is ambiguous.</w:t>
      </w:r>
    </w:p>
    <w:p w14:paraId="255565B8"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may help preserve fidelity.</w:t>
      </w:r>
    </w:p>
    <w:p w14:paraId="582C1284"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may warn against semantic drift.</w:t>
      </w:r>
    </w:p>
    <w:p w14:paraId="2DCF4784"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may support education and continuity.</w:t>
      </w:r>
    </w:p>
    <w:p w14:paraId="03F76C92"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But where founding memory conflicts with the foundational articles, Eternity Clauses, Access Covenant, evidence-before-value discipline, or living-system reality, the constitutional source layer prevails.</w:t>
      </w:r>
    </w:p>
    <w:p w14:paraId="460CD9CE"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Prometheus honors its origin by refusing to become captive to origin.</w:t>
      </w:r>
    </w:p>
    <w:p w14:paraId="5C6D02F5" w14:textId="77777777" w:rsidR="00B9396D" w:rsidRPr="00B479AE" w:rsidRDefault="00B9396D" w:rsidP="00B9396D">
      <w:pPr>
        <w:spacing w:line="360" w:lineRule="auto"/>
        <w:rPr>
          <w:rFonts w:ascii="Baskerville Old Face" w:hAnsi="Baskerville Old Face"/>
          <w:b/>
          <w:bCs/>
          <w:i/>
          <w:iCs/>
        </w:rPr>
      </w:pPr>
      <w:r w:rsidRPr="00B479AE">
        <w:rPr>
          <w:rFonts w:ascii="Baskerville Old Face" w:hAnsi="Baskerville Old Face"/>
          <w:b/>
          <w:bCs/>
          <w:i/>
          <w:iCs/>
        </w:rPr>
        <w:t>10.6 Ecological and Scientific Advice</w:t>
      </w:r>
    </w:p>
    <w:p w14:paraId="5D174765"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Scientific, ecological, and bioregional advice may be essential in constitutional interpretation.</w:t>
      </w:r>
    </w:p>
    <w:p w14:paraId="611AD816"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Questions involving soil, water, biodiversity, planetary boundaries, human health, MRV, ecological risk, land stewardship, or regenerative claims should involve appropriate expertise.</w:t>
      </w:r>
    </w:p>
    <w:p w14:paraId="5DE0C17F"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This may include:</w:t>
      </w:r>
    </w:p>
    <w:p w14:paraId="126C087F"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 soil scientists;</w:t>
      </w:r>
      <w:r w:rsidRPr="00B479AE">
        <w:rPr>
          <w:rFonts w:ascii="Baskerville Old Face" w:hAnsi="Baskerville Old Face"/>
          <w:i/>
          <w:iCs/>
        </w:rPr>
        <w:br/>
        <w:t>• ecologists;</w:t>
      </w:r>
      <w:r w:rsidRPr="00B479AE">
        <w:rPr>
          <w:rFonts w:ascii="Baskerville Old Face" w:hAnsi="Baskerville Old Face"/>
          <w:i/>
          <w:iCs/>
        </w:rPr>
        <w:br/>
        <w:t>• hydrologists;</w:t>
      </w:r>
      <w:r w:rsidRPr="00B479AE">
        <w:rPr>
          <w:rFonts w:ascii="Baskerville Old Face" w:hAnsi="Baskerville Old Face"/>
          <w:i/>
          <w:iCs/>
        </w:rPr>
        <w:br/>
        <w:t>• agroecologists;</w:t>
      </w:r>
      <w:r w:rsidRPr="00B479AE">
        <w:rPr>
          <w:rFonts w:ascii="Baskerville Old Face" w:hAnsi="Baskerville Old Face"/>
          <w:i/>
          <w:iCs/>
        </w:rPr>
        <w:br/>
        <w:t>• biodiversity specialists;</w:t>
      </w:r>
      <w:r w:rsidRPr="00B479AE">
        <w:rPr>
          <w:rFonts w:ascii="Baskerville Old Face" w:hAnsi="Baskerville Old Face"/>
          <w:i/>
          <w:iCs/>
        </w:rPr>
        <w:br/>
        <w:t>• MRV experts;</w:t>
      </w:r>
      <w:r w:rsidRPr="00B479AE">
        <w:rPr>
          <w:rFonts w:ascii="Baskerville Old Face" w:hAnsi="Baskerville Old Face"/>
          <w:i/>
          <w:iCs/>
        </w:rPr>
        <w:br/>
        <w:t>• public-health researchers;</w:t>
      </w:r>
      <w:r w:rsidRPr="00B479AE">
        <w:rPr>
          <w:rFonts w:ascii="Baskerville Old Face" w:hAnsi="Baskerville Old Face"/>
          <w:i/>
          <w:iCs/>
        </w:rPr>
        <w:br/>
        <w:t>• local stewards;</w:t>
      </w:r>
      <w:r w:rsidRPr="00B479AE">
        <w:rPr>
          <w:rFonts w:ascii="Baskerville Old Face" w:hAnsi="Baskerville Old Face"/>
          <w:i/>
          <w:iCs/>
        </w:rPr>
        <w:br/>
        <w:t>• indigenous or traditional ecological knowledge holders where appropriate;</w:t>
      </w:r>
      <w:r w:rsidRPr="00B479AE">
        <w:rPr>
          <w:rFonts w:ascii="Baskerville Old Face" w:hAnsi="Baskerville Old Face"/>
          <w:i/>
          <w:iCs/>
        </w:rPr>
        <w:br/>
        <w:t>• bioregional observers;</w:t>
      </w:r>
      <w:r w:rsidRPr="00B479AE">
        <w:rPr>
          <w:rFonts w:ascii="Baskerville Old Face" w:hAnsi="Baskerville Old Face"/>
          <w:i/>
          <w:iCs/>
        </w:rPr>
        <w:br/>
      </w:r>
      <w:r w:rsidRPr="00B479AE">
        <w:rPr>
          <w:rFonts w:ascii="Baskerville Old Face" w:hAnsi="Baskerville Old Face"/>
          <w:i/>
          <w:iCs/>
        </w:rPr>
        <w:lastRenderedPageBreak/>
        <w:t>• auditors and verifiers;</w:t>
      </w:r>
      <w:r w:rsidRPr="00B479AE">
        <w:rPr>
          <w:rFonts w:ascii="Baskerville Old Face" w:hAnsi="Baskerville Old Face"/>
          <w:i/>
          <w:iCs/>
        </w:rPr>
        <w:br/>
        <w:t>• institutional reviewers.</w:t>
      </w:r>
    </w:p>
    <w:p w14:paraId="558E9E11"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However, ecological advice is not oracle supremacy.</w:t>
      </w:r>
    </w:p>
    <w:p w14:paraId="5B52D947"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No advisor becomes an oracle.</w:t>
      </w:r>
    </w:p>
    <w:p w14:paraId="1466503D"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No dataset becomes absolute authority.</w:t>
      </w:r>
    </w:p>
    <w:p w14:paraId="3420E6AA"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No model becomes final truth.</w:t>
      </w:r>
    </w:p>
    <w:p w14:paraId="6D3DCB91"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No scientific committee can authorize violation of the Eternity Clauses.</w:t>
      </w:r>
    </w:p>
    <w:p w14:paraId="76B76246"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Ecological and scientific advice informs interpretation.</w:t>
      </w:r>
    </w:p>
    <w:p w14:paraId="74420725"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does not replace the constitution.</w:t>
      </w:r>
    </w:p>
    <w:p w14:paraId="2419100D"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The correct principle is:</w:t>
      </w:r>
    </w:p>
    <w:p w14:paraId="70899511"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science informs the pathway;</w:t>
      </w:r>
    </w:p>
    <w:p w14:paraId="69289EEA"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evidence constrains the claim;</w:t>
      </w:r>
    </w:p>
    <w:p w14:paraId="56656D05"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the constitution governs admissibility;</w:t>
      </w:r>
    </w:p>
    <w:p w14:paraId="0C1435E1"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living-system reality remains the ground.</w:t>
      </w:r>
    </w:p>
    <w:p w14:paraId="54422414" w14:textId="77777777" w:rsidR="00B9396D" w:rsidRPr="00B479AE" w:rsidRDefault="00B9396D" w:rsidP="00B9396D">
      <w:pPr>
        <w:spacing w:line="360" w:lineRule="auto"/>
        <w:rPr>
          <w:rFonts w:ascii="Baskerville Old Face" w:hAnsi="Baskerville Old Face"/>
          <w:b/>
          <w:bCs/>
          <w:i/>
          <w:iCs/>
        </w:rPr>
      </w:pPr>
      <w:r w:rsidRPr="00B479AE">
        <w:rPr>
          <w:rFonts w:ascii="Baskerville Old Face" w:hAnsi="Baskerville Old Face"/>
          <w:b/>
          <w:bCs/>
          <w:i/>
          <w:iCs/>
        </w:rPr>
        <w:t>10.7 Precedent and Learning</w:t>
      </w:r>
    </w:p>
    <w:p w14:paraId="086EF19B"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Past decisions may guide future interpretation.</w:t>
      </w:r>
    </w:p>
    <w:p w14:paraId="23376EB9"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Prometheus should maintain a constitutional interpretation record where material decisions are documented.</w:t>
      </w:r>
    </w:p>
    <w:p w14:paraId="209F7784"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This record may include:</w:t>
      </w:r>
    </w:p>
    <w:p w14:paraId="20B8C14C"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 the question presented;</w:t>
      </w:r>
      <w:r w:rsidRPr="00B479AE">
        <w:rPr>
          <w:rFonts w:ascii="Baskerville Old Face" w:hAnsi="Baskerville Old Face"/>
          <w:i/>
          <w:iCs/>
        </w:rPr>
        <w:br/>
        <w:t>• affected provisions;</w:t>
      </w:r>
      <w:r w:rsidRPr="00B479AE">
        <w:rPr>
          <w:rFonts w:ascii="Baskerville Old Face" w:hAnsi="Baskerville Old Face"/>
          <w:i/>
          <w:iCs/>
        </w:rPr>
        <w:br/>
        <w:t>• evidence considered;</w:t>
      </w:r>
      <w:r w:rsidRPr="00B479AE">
        <w:rPr>
          <w:rFonts w:ascii="Baskerville Old Face" w:hAnsi="Baskerville Old Face"/>
          <w:i/>
          <w:iCs/>
        </w:rPr>
        <w:br/>
        <w:t>• governance bodies involved;</w:t>
      </w:r>
      <w:r w:rsidRPr="00B479AE">
        <w:rPr>
          <w:rFonts w:ascii="Baskerville Old Face" w:hAnsi="Baskerville Old Face"/>
          <w:i/>
          <w:iCs/>
        </w:rPr>
        <w:br/>
        <w:t>• ecological or scientific advice received;</w:t>
      </w:r>
      <w:r w:rsidRPr="00B479AE">
        <w:rPr>
          <w:rFonts w:ascii="Baskerville Old Face" w:hAnsi="Baskerville Old Face"/>
          <w:i/>
          <w:iCs/>
        </w:rPr>
        <w:br/>
      </w:r>
      <w:r w:rsidRPr="00B479AE">
        <w:rPr>
          <w:rFonts w:ascii="Baskerville Old Face" w:hAnsi="Baskerville Old Face"/>
          <w:i/>
          <w:iCs/>
        </w:rPr>
        <w:lastRenderedPageBreak/>
        <w:t>• legal or technical review;</w:t>
      </w:r>
      <w:r w:rsidRPr="00B479AE">
        <w:rPr>
          <w:rFonts w:ascii="Baskerville Old Face" w:hAnsi="Baskerville Old Face"/>
          <w:i/>
          <w:iCs/>
        </w:rPr>
        <w:br/>
        <w:t>• reasoning;</w:t>
      </w:r>
      <w:r w:rsidRPr="00B479AE">
        <w:rPr>
          <w:rFonts w:ascii="Baskerville Old Face" w:hAnsi="Baskerville Old Face"/>
          <w:i/>
          <w:iCs/>
        </w:rPr>
        <w:br/>
        <w:t>• decision;</w:t>
      </w:r>
      <w:r w:rsidRPr="00B479AE">
        <w:rPr>
          <w:rFonts w:ascii="Baskerville Old Face" w:hAnsi="Baskerville Old Face"/>
          <w:i/>
          <w:iCs/>
        </w:rPr>
        <w:br/>
        <w:t>• limitations;</w:t>
      </w:r>
      <w:r w:rsidRPr="00B479AE">
        <w:rPr>
          <w:rFonts w:ascii="Baskerville Old Face" w:hAnsi="Baskerville Old Face"/>
          <w:i/>
          <w:iCs/>
        </w:rPr>
        <w:br/>
        <w:t>• dissenting or minority reasoning where useful;</w:t>
      </w:r>
      <w:r w:rsidRPr="00B479AE">
        <w:rPr>
          <w:rFonts w:ascii="Baskerville Old Face" w:hAnsi="Baskerville Old Face"/>
          <w:i/>
          <w:iCs/>
        </w:rPr>
        <w:br/>
        <w:t>• review date;</w:t>
      </w:r>
      <w:r w:rsidRPr="00B479AE">
        <w:rPr>
          <w:rFonts w:ascii="Baskerville Old Face" w:hAnsi="Baskerville Old Face"/>
          <w:i/>
          <w:iCs/>
        </w:rPr>
        <w:br/>
        <w:t>• later correction or reversal if required.</w:t>
      </w:r>
    </w:p>
    <w:p w14:paraId="6ADC38E1"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Precedent supports consistency.</w:t>
      </w:r>
    </w:p>
    <w:p w14:paraId="1D7EF964"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However, precedent is not a cage.</w:t>
      </w:r>
    </w:p>
    <w:p w14:paraId="2B32294D"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 past decision may be refined, distinguished, corrected, or overruled when later evidence, legal analysis, governance maturity, ecological reality, or constitutional reasoning shows that correction is necessary.</w:t>
      </w:r>
    </w:p>
    <w:p w14:paraId="3E673CC0"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The common-law method is useful only when it remains accountable to life.</w:t>
      </w:r>
    </w:p>
    <w:p w14:paraId="19925A0F"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Prometheus should therefore treat precedent as learning memory, not fossilized authority.</w:t>
      </w:r>
    </w:p>
    <w:p w14:paraId="6F85B704" w14:textId="77777777" w:rsidR="00B9396D" w:rsidRPr="00B479AE" w:rsidRDefault="00B9396D" w:rsidP="00B9396D">
      <w:pPr>
        <w:spacing w:line="360" w:lineRule="auto"/>
        <w:rPr>
          <w:rFonts w:ascii="Baskerville Old Face" w:hAnsi="Baskerville Old Face"/>
          <w:b/>
          <w:bCs/>
          <w:i/>
          <w:iCs/>
        </w:rPr>
      </w:pPr>
      <w:r w:rsidRPr="00B479AE">
        <w:rPr>
          <w:rFonts w:ascii="Baskerville Old Face" w:hAnsi="Baskerville Old Face"/>
          <w:b/>
          <w:bCs/>
          <w:i/>
          <w:iCs/>
        </w:rPr>
        <w:t>10.8 Interpretive Procedure</w:t>
      </w:r>
    </w:p>
    <w:p w14:paraId="77CAFE19"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 constitutional interpretation process may follow this sequence:</w:t>
      </w:r>
    </w:p>
    <w:p w14:paraId="418309C8" w14:textId="77777777" w:rsidR="00B9396D" w:rsidRPr="00B479AE" w:rsidRDefault="00B9396D">
      <w:pPr>
        <w:numPr>
          <w:ilvl w:val="0"/>
          <w:numId w:val="17"/>
        </w:numPr>
        <w:spacing w:line="360" w:lineRule="auto"/>
        <w:rPr>
          <w:rFonts w:ascii="Baskerville Old Face" w:hAnsi="Baskerville Old Face"/>
          <w:i/>
          <w:iCs/>
        </w:rPr>
      </w:pPr>
      <w:r w:rsidRPr="00B479AE">
        <w:rPr>
          <w:rFonts w:ascii="Baskerville Old Face" w:hAnsi="Baskerville Old Face"/>
          <w:b/>
          <w:bCs/>
          <w:i/>
          <w:iCs/>
        </w:rPr>
        <w:t>Trigger</w:t>
      </w:r>
      <w:r w:rsidRPr="00B479AE">
        <w:rPr>
          <w:rFonts w:ascii="Baskerville Old Face" w:hAnsi="Baskerville Old Face"/>
          <w:i/>
          <w:iCs/>
        </w:rPr>
        <w:br/>
        <w:t>A question, conflict, proposal, risk, ambiguity, violation, or novel case is identified.</w:t>
      </w:r>
    </w:p>
    <w:p w14:paraId="5B1B0B81" w14:textId="77777777" w:rsidR="00B9396D" w:rsidRPr="00B479AE" w:rsidRDefault="00B9396D">
      <w:pPr>
        <w:numPr>
          <w:ilvl w:val="0"/>
          <w:numId w:val="17"/>
        </w:numPr>
        <w:spacing w:line="360" w:lineRule="auto"/>
        <w:rPr>
          <w:rFonts w:ascii="Baskerville Old Face" w:hAnsi="Baskerville Old Face"/>
          <w:i/>
          <w:iCs/>
        </w:rPr>
      </w:pPr>
      <w:r w:rsidRPr="00B479AE">
        <w:rPr>
          <w:rFonts w:ascii="Baskerville Old Face" w:hAnsi="Baskerville Old Face"/>
          <w:b/>
          <w:bCs/>
          <w:i/>
          <w:iCs/>
        </w:rPr>
        <w:t>Issue framing</w:t>
      </w:r>
      <w:r w:rsidRPr="00B479AE">
        <w:rPr>
          <w:rFonts w:ascii="Baskerville Old Face" w:hAnsi="Baskerville Old Face"/>
          <w:i/>
          <w:iCs/>
        </w:rPr>
        <w:br/>
        <w:t>The interpretive question is stated clearly.</w:t>
      </w:r>
    </w:p>
    <w:p w14:paraId="37954980" w14:textId="77777777" w:rsidR="00B9396D" w:rsidRPr="00B479AE" w:rsidRDefault="00B9396D">
      <w:pPr>
        <w:numPr>
          <w:ilvl w:val="0"/>
          <w:numId w:val="17"/>
        </w:numPr>
        <w:spacing w:line="360" w:lineRule="auto"/>
        <w:rPr>
          <w:rFonts w:ascii="Baskerville Old Face" w:hAnsi="Baskerville Old Face"/>
          <w:i/>
          <w:iCs/>
        </w:rPr>
      </w:pPr>
      <w:r w:rsidRPr="00B479AE">
        <w:rPr>
          <w:rFonts w:ascii="Baskerville Old Face" w:hAnsi="Baskerville Old Face"/>
          <w:b/>
          <w:bCs/>
          <w:i/>
          <w:iCs/>
        </w:rPr>
        <w:t>Source-layer mapping</w:t>
      </w:r>
      <w:r w:rsidRPr="00B479AE">
        <w:rPr>
          <w:rFonts w:ascii="Baskerville Old Face" w:hAnsi="Baskerville Old Face"/>
          <w:i/>
          <w:iCs/>
        </w:rPr>
        <w:br/>
        <w:t>Relevant foundational articles, Eternity Clauses, Access Covenant provisions, canonical definitions, methodologies, and governance rules are identified.</w:t>
      </w:r>
    </w:p>
    <w:p w14:paraId="75319414" w14:textId="77777777" w:rsidR="00B9396D" w:rsidRPr="00B479AE" w:rsidRDefault="00B9396D">
      <w:pPr>
        <w:numPr>
          <w:ilvl w:val="0"/>
          <w:numId w:val="17"/>
        </w:numPr>
        <w:spacing w:line="360" w:lineRule="auto"/>
        <w:rPr>
          <w:rFonts w:ascii="Baskerville Old Face" w:hAnsi="Baskerville Old Face"/>
          <w:i/>
          <w:iCs/>
        </w:rPr>
      </w:pPr>
      <w:r w:rsidRPr="00B479AE">
        <w:rPr>
          <w:rFonts w:ascii="Baskerville Old Face" w:hAnsi="Baskerville Old Face"/>
          <w:b/>
          <w:bCs/>
          <w:i/>
          <w:iCs/>
        </w:rPr>
        <w:t>Domain review</w:t>
      </w:r>
      <w:r w:rsidRPr="00B479AE">
        <w:rPr>
          <w:rFonts w:ascii="Baskerville Old Face" w:hAnsi="Baskerville Old Face"/>
          <w:i/>
          <w:iCs/>
        </w:rPr>
        <w:br/>
        <w:t>Appropriate ecological, MRV, legal, technical, governance, community, financial, or scientific reviewers are consulted.</w:t>
      </w:r>
    </w:p>
    <w:p w14:paraId="0A0AC8A4" w14:textId="77777777" w:rsidR="00B9396D" w:rsidRPr="00B479AE" w:rsidRDefault="00B9396D">
      <w:pPr>
        <w:numPr>
          <w:ilvl w:val="0"/>
          <w:numId w:val="17"/>
        </w:numPr>
        <w:spacing w:line="360" w:lineRule="auto"/>
        <w:rPr>
          <w:rFonts w:ascii="Baskerville Old Face" w:hAnsi="Baskerville Old Face"/>
          <w:i/>
          <w:iCs/>
        </w:rPr>
      </w:pPr>
      <w:r w:rsidRPr="00B479AE">
        <w:rPr>
          <w:rFonts w:ascii="Baskerville Old Face" w:hAnsi="Baskerville Old Face"/>
          <w:b/>
          <w:bCs/>
          <w:i/>
          <w:iCs/>
        </w:rPr>
        <w:lastRenderedPageBreak/>
        <w:t>Risk classification</w:t>
      </w:r>
      <w:r w:rsidRPr="00B479AE">
        <w:rPr>
          <w:rFonts w:ascii="Baskerville Old Face" w:hAnsi="Baskerville Old Face"/>
          <w:i/>
          <w:iCs/>
        </w:rPr>
        <w:br/>
        <w:t>The risk of capture, bypass, overclaiming, legal exposure, ecological harm, financial misrepresentation, technical fragility, or governance drift is classified.</w:t>
      </w:r>
    </w:p>
    <w:p w14:paraId="5ABFFB57" w14:textId="77777777" w:rsidR="00B9396D" w:rsidRPr="00B479AE" w:rsidRDefault="00B9396D">
      <w:pPr>
        <w:numPr>
          <w:ilvl w:val="0"/>
          <w:numId w:val="17"/>
        </w:numPr>
        <w:spacing w:line="360" w:lineRule="auto"/>
        <w:rPr>
          <w:rFonts w:ascii="Baskerville Old Face" w:hAnsi="Baskerville Old Face"/>
          <w:i/>
          <w:iCs/>
        </w:rPr>
      </w:pPr>
      <w:r w:rsidRPr="00B479AE">
        <w:rPr>
          <w:rFonts w:ascii="Baskerville Old Face" w:hAnsi="Baskerville Old Face"/>
          <w:b/>
          <w:bCs/>
          <w:i/>
          <w:iCs/>
        </w:rPr>
        <w:t>Reasoned interpretation</w:t>
      </w:r>
      <w:r w:rsidRPr="00B479AE">
        <w:rPr>
          <w:rFonts w:ascii="Baskerville Old Face" w:hAnsi="Baskerville Old Face"/>
          <w:i/>
          <w:iCs/>
        </w:rPr>
        <w:br/>
        <w:t>A written interpretation is produced, explaining the reasoning and boundaries.</w:t>
      </w:r>
    </w:p>
    <w:p w14:paraId="121A288D" w14:textId="77777777" w:rsidR="00B9396D" w:rsidRPr="00B479AE" w:rsidRDefault="00B9396D">
      <w:pPr>
        <w:numPr>
          <w:ilvl w:val="0"/>
          <w:numId w:val="17"/>
        </w:numPr>
        <w:spacing w:line="360" w:lineRule="auto"/>
        <w:rPr>
          <w:rFonts w:ascii="Baskerville Old Face" w:hAnsi="Baskerville Old Face"/>
          <w:i/>
          <w:iCs/>
        </w:rPr>
      </w:pPr>
      <w:r w:rsidRPr="00B479AE">
        <w:rPr>
          <w:rFonts w:ascii="Baskerville Old Face" w:hAnsi="Baskerville Old Face"/>
          <w:b/>
          <w:bCs/>
          <w:i/>
          <w:iCs/>
        </w:rPr>
        <w:t>Decision status</w:t>
      </w:r>
      <w:r w:rsidRPr="00B479AE">
        <w:rPr>
          <w:rFonts w:ascii="Baskerville Old Face" w:hAnsi="Baskerville Old Face"/>
          <w:i/>
          <w:iCs/>
        </w:rPr>
        <w:br/>
        <w:t>The decision is classified as advisory, binding within a defined scope, temporary, pilot-specific, methodology-specific, constitutional, or requiring amendment.</w:t>
      </w:r>
    </w:p>
    <w:p w14:paraId="10926AF0" w14:textId="77777777" w:rsidR="00B9396D" w:rsidRPr="00B479AE" w:rsidRDefault="00B9396D">
      <w:pPr>
        <w:numPr>
          <w:ilvl w:val="0"/>
          <w:numId w:val="17"/>
        </w:numPr>
        <w:spacing w:line="360" w:lineRule="auto"/>
        <w:rPr>
          <w:rFonts w:ascii="Baskerville Old Face" w:hAnsi="Baskerville Old Face"/>
          <w:i/>
          <w:iCs/>
        </w:rPr>
      </w:pPr>
      <w:r w:rsidRPr="00B479AE">
        <w:rPr>
          <w:rFonts w:ascii="Baskerville Old Face" w:hAnsi="Baskerville Old Face"/>
          <w:b/>
          <w:bCs/>
          <w:i/>
          <w:iCs/>
        </w:rPr>
        <w:t>Publication or restricted record</w:t>
      </w:r>
      <w:r w:rsidRPr="00B479AE">
        <w:rPr>
          <w:rFonts w:ascii="Baskerville Old Face" w:hAnsi="Baskerville Old Face"/>
          <w:i/>
          <w:iCs/>
        </w:rPr>
        <w:br/>
        <w:t>The decision is recorded publicly or internally depending on confidentiality, legal, privacy, and governance constraints.</w:t>
      </w:r>
    </w:p>
    <w:p w14:paraId="5C1D3820" w14:textId="77777777" w:rsidR="00B9396D" w:rsidRPr="00B479AE" w:rsidRDefault="00B9396D">
      <w:pPr>
        <w:numPr>
          <w:ilvl w:val="0"/>
          <w:numId w:val="17"/>
        </w:numPr>
        <w:spacing w:line="360" w:lineRule="auto"/>
        <w:rPr>
          <w:rFonts w:ascii="Baskerville Old Face" w:hAnsi="Baskerville Old Face"/>
          <w:i/>
          <w:iCs/>
        </w:rPr>
      </w:pPr>
      <w:r w:rsidRPr="00B479AE">
        <w:rPr>
          <w:rFonts w:ascii="Baskerville Old Face" w:hAnsi="Baskerville Old Face"/>
          <w:b/>
          <w:bCs/>
          <w:i/>
          <w:iCs/>
        </w:rPr>
        <w:t>Review pathway</w:t>
      </w:r>
      <w:r w:rsidRPr="00B479AE">
        <w:rPr>
          <w:rFonts w:ascii="Baskerville Old Face" w:hAnsi="Baskerville Old Face"/>
          <w:i/>
          <w:iCs/>
        </w:rPr>
        <w:br/>
        <w:t>The decision includes a review point, appeal pathway, or correction mechanism where appropriate.</w:t>
      </w:r>
    </w:p>
    <w:p w14:paraId="67FF13A4" w14:textId="77777777" w:rsidR="00B9396D" w:rsidRPr="00B479AE" w:rsidRDefault="00B9396D">
      <w:pPr>
        <w:numPr>
          <w:ilvl w:val="0"/>
          <w:numId w:val="17"/>
        </w:numPr>
        <w:spacing w:line="360" w:lineRule="auto"/>
        <w:rPr>
          <w:rFonts w:ascii="Baskerville Old Face" w:hAnsi="Baskerville Old Face"/>
          <w:i/>
          <w:iCs/>
        </w:rPr>
      </w:pPr>
      <w:r w:rsidRPr="00B479AE">
        <w:rPr>
          <w:rFonts w:ascii="Baskerville Old Face" w:hAnsi="Baskerville Old Face"/>
          <w:b/>
          <w:bCs/>
          <w:i/>
          <w:iCs/>
        </w:rPr>
        <w:t>Implementation and auditability</w:t>
      </w:r>
      <w:r w:rsidRPr="00B479AE">
        <w:rPr>
          <w:rFonts w:ascii="Baskerville Old Face" w:hAnsi="Baskerville Old Face"/>
          <w:i/>
          <w:iCs/>
        </w:rPr>
        <w:br/>
        <w:t>Any operational implementation is linked to records, execution gates, controls, and audit trails.</w:t>
      </w:r>
    </w:p>
    <w:p w14:paraId="3FA1699F"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This process prevents interpretive power from becoming informal.</w:t>
      </w:r>
    </w:p>
    <w:p w14:paraId="2E5DD9F2"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If the constitution must be interpreted, the interpretation must itself be reviewable.</w:t>
      </w:r>
    </w:p>
    <w:p w14:paraId="5BD52312" w14:textId="77777777" w:rsidR="00B9396D" w:rsidRPr="00B479AE" w:rsidRDefault="00B9396D" w:rsidP="00B9396D">
      <w:pPr>
        <w:spacing w:line="360" w:lineRule="auto"/>
        <w:rPr>
          <w:rFonts w:ascii="Baskerville Old Face" w:hAnsi="Baskerville Old Face"/>
          <w:b/>
          <w:bCs/>
          <w:i/>
          <w:iCs/>
        </w:rPr>
      </w:pPr>
      <w:r w:rsidRPr="00B479AE">
        <w:rPr>
          <w:rFonts w:ascii="Baskerville Old Face" w:hAnsi="Baskerville Old Face"/>
          <w:b/>
          <w:bCs/>
          <w:i/>
          <w:iCs/>
        </w:rPr>
        <w:t>10.9 Interpretation Outcomes</w:t>
      </w:r>
    </w:p>
    <w:p w14:paraId="1AAF5C7B" w14:textId="25C5555F"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 constitutional interpretation may produce several outcomes.</w:t>
      </w:r>
      <w:r w:rsidR="006E6B19" w:rsidRPr="00B479AE">
        <w:rPr>
          <w:rFonts w:ascii="Baskerville Old Face" w:hAnsi="Baskerville Old Face"/>
          <w:i/>
          <w:iCs/>
        </w:rPr>
        <w:t xml:space="preserve"> </w:t>
      </w:r>
    </w:p>
    <w:p w14:paraId="3A117E73" w14:textId="77777777" w:rsidR="006E6B19" w:rsidRPr="00B479AE" w:rsidRDefault="006E6B19" w:rsidP="00B9396D">
      <w:pPr>
        <w:spacing w:line="360" w:lineRule="auto"/>
        <w:rPr>
          <w:rFonts w:ascii="Baskerville Old Face" w:hAnsi="Baskerville Old Face"/>
          <w:i/>
          <w:iCs/>
        </w:rPr>
      </w:pPr>
    </w:p>
    <w:p w14:paraId="6D0F4F4E" w14:textId="77777777" w:rsidR="006E6B19" w:rsidRPr="00B479AE" w:rsidRDefault="006E6B19" w:rsidP="00B9396D">
      <w:pPr>
        <w:spacing w:line="360" w:lineRule="auto"/>
        <w:rPr>
          <w:rFonts w:ascii="Baskerville Old Face" w:hAnsi="Baskerville Old Face"/>
          <w:i/>
          <w:iCs/>
        </w:rPr>
      </w:pPr>
    </w:p>
    <w:p w14:paraId="7A3E7192" w14:textId="77777777" w:rsidR="006E6B19" w:rsidRPr="00B479AE" w:rsidRDefault="006E6B19" w:rsidP="00B9396D">
      <w:pPr>
        <w:spacing w:line="360" w:lineRule="auto"/>
        <w:rPr>
          <w:rFonts w:ascii="Baskerville Old Face" w:hAnsi="Baskerville Old Face"/>
          <w:i/>
          <w:iCs/>
        </w:rPr>
      </w:pPr>
    </w:p>
    <w:p w14:paraId="08E90346" w14:textId="77777777" w:rsidR="006E6B19" w:rsidRPr="00B479AE" w:rsidRDefault="006E6B19" w:rsidP="00B9396D">
      <w:pPr>
        <w:spacing w:line="360" w:lineRule="auto"/>
        <w:rPr>
          <w:rFonts w:ascii="Baskerville Old Face" w:hAnsi="Baskerville Old Face"/>
          <w:i/>
          <w:iCs/>
        </w:rPr>
      </w:pPr>
    </w:p>
    <w:p w14:paraId="253A143A" w14:textId="77777777" w:rsidR="006E6B19" w:rsidRPr="00B479AE" w:rsidRDefault="006E6B19" w:rsidP="00B9396D">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0"/>
        <w:gridCol w:w="6948"/>
      </w:tblGrid>
      <w:tr w:rsidR="00B9396D" w:rsidRPr="00B479AE" w14:paraId="2E0D486C" w14:textId="77777777" w:rsidTr="00B9396D">
        <w:trPr>
          <w:tblHeader/>
          <w:tblCellSpacing w:w="15" w:type="dxa"/>
        </w:trPr>
        <w:tc>
          <w:tcPr>
            <w:tcW w:w="0" w:type="auto"/>
            <w:vAlign w:val="center"/>
            <w:hideMark/>
          </w:tcPr>
          <w:p w14:paraId="547BA696" w14:textId="77777777" w:rsidR="00B9396D" w:rsidRPr="00B479AE" w:rsidRDefault="00B9396D" w:rsidP="00B9396D">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Outcome</w:t>
            </w:r>
          </w:p>
        </w:tc>
        <w:tc>
          <w:tcPr>
            <w:tcW w:w="0" w:type="auto"/>
            <w:vAlign w:val="center"/>
            <w:hideMark/>
          </w:tcPr>
          <w:p w14:paraId="26B2A268" w14:textId="77777777" w:rsidR="00B9396D" w:rsidRPr="00B479AE" w:rsidRDefault="00B9396D" w:rsidP="00B9396D">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r>
      <w:tr w:rsidR="00B9396D" w:rsidRPr="00B479AE" w14:paraId="0B3BE077" w14:textId="77777777" w:rsidTr="00B9396D">
        <w:trPr>
          <w:tblCellSpacing w:w="15" w:type="dxa"/>
        </w:trPr>
        <w:tc>
          <w:tcPr>
            <w:tcW w:w="0" w:type="auto"/>
            <w:vAlign w:val="center"/>
            <w:hideMark/>
          </w:tcPr>
          <w:p w14:paraId="4EA02C81"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Admissible</w:t>
            </w:r>
          </w:p>
        </w:tc>
        <w:tc>
          <w:tcPr>
            <w:tcW w:w="0" w:type="auto"/>
            <w:vAlign w:val="center"/>
            <w:hideMark/>
          </w:tcPr>
          <w:p w14:paraId="71D81F76"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i/>
                <w:iCs/>
                <w:sz w:val="22"/>
                <w:szCs w:val="22"/>
              </w:rPr>
              <w:t>The pathway is compatible with constitutional constraints.</w:t>
            </w:r>
          </w:p>
        </w:tc>
      </w:tr>
      <w:tr w:rsidR="00B9396D" w:rsidRPr="00B479AE" w14:paraId="393F664D" w14:textId="77777777" w:rsidTr="00B9396D">
        <w:trPr>
          <w:tblCellSpacing w:w="15" w:type="dxa"/>
        </w:trPr>
        <w:tc>
          <w:tcPr>
            <w:tcW w:w="0" w:type="auto"/>
            <w:vAlign w:val="center"/>
            <w:hideMark/>
          </w:tcPr>
          <w:p w14:paraId="131EEC9B"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Admissible with conditions</w:t>
            </w:r>
          </w:p>
        </w:tc>
        <w:tc>
          <w:tcPr>
            <w:tcW w:w="0" w:type="auto"/>
            <w:vAlign w:val="center"/>
            <w:hideMark/>
          </w:tcPr>
          <w:p w14:paraId="2467B2B4"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i/>
                <w:iCs/>
                <w:sz w:val="22"/>
                <w:szCs w:val="22"/>
              </w:rPr>
              <w:t>The pathway may proceed only under defined limitations, disclosures, controls, or review.</w:t>
            </w:r>
          </w:p>
        </w:tc>
      </w:tr>
      <w:tr w:rsidR="00B9396D" w:rsidRPr="00B479AE" w14:paraId="18A9E7B5" w14:textId="77777777" w:rsidTr="00B9396D">
        <w:trPr>
          <w:tblCellSpacing w:w="15" w:type="dxa"/>
        </w:trPr>
        <w:tc>
          <w:tcPr>
            <w:tcW w:w="0" w:type="auto"/>
            <w:vAlign w:val="center"/>
            <w:hideMark/>
          </w:tcPr>
          <w:p w14:paraId="504479AE"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Pilot / sandbox only</w:t>
            </w:r>
          </w:p>
        </w:tc>
        <w:tc>
          <w:tcPr>
            <w:tcW w:w="0" w:type="auto"/>
            <w:vAlign w:val="center"/>
            <w:hideMark/>
          </w:tcPr>
          <w:p w14:paraId="6DFCDCA7"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i/>
                <w:iCs/>
                <w:sz w:val="22"/>
                <w:szCs w:val="22"/>
              </w:rPr>
              <w:t>The pathway may be explored but not represented as mature, verified, or institutionally admissible.</w:t>
            </w:r>
          </w:p>
        </w:tc>
      </w:tr>
      <w:tr w:rsidR="00B9396D" w:rsidRPr="00B479AE" w14:paraId="2A2C5787" w14:textId="77777777" w:rsidTr="00B9396D">
        <w:trPr>
          <w:tblCellSpacing w:w="15" w:type="dxa"/>
        </w:trPr>
        <w:tc>
          <w:tcPr>
            <w:tcW w:w="0" w:type="auto"/>
            <w:vAlign w:val="center"/>
            <w:hideMark/>
          </w:tcPr>
          <w:p w14:paraId="492ADA1A"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Non-admissible</w:t>
            </w:r>
          </w:p>
        </w:tc>
        <w:tc>
          <w:tcPr>
            <w:tcW w:w="0" w:type="auto"/>
            <w:vAlign w:val="center"/>
            <w:hideMark/>
          </w:tcPr>
          <w:p w14:paraId="0BFDFF00"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i/>
                <w:iCs/>
                <w:sz w:val="22"/>
                <w:szCs w:val="22"/>
              </w:rPr>
              <w:t>The claim, output, method, participant, or pathway may not enter protected Prometheus pathways.</w:t>
            </w:r>
          </w:p>
        </w:tc>
      </w:tr>
      <w:tr w:rsidR="00B9396D" w:rsidRPr="00B479AE" w14:paraId="79549ED2" w14:textId="77777777" w:rsidTr="00B9396D">
        <w:trPr>
          <w:tblCellSpacing w:w="15" w:type="dxa"/>
        </w:trPr>
        <w:tc>
          <w:tcPr>
            <w:tcW w:w="0" w:type="auto"/>
            <w:vAlign w:val="center"/>
            <w:hideMark/>
          </w:tcPr>
          <w:p w14:paraId="02269630"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Requires ordinary governance</w:t>
            </w:r>
          </w:p>
        </w:tc>
        <w:tc>
          <w:tcPr>
            <w:tcW w:w="0" w:type="auto"/>
            <w:vAlign w:val="center"/>
            <w:hideMark/>
          </w:tcPr>
          <w:p w14:paraId="1D5C4F22"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i/>
                <w:iCs/>
                <w:sz w:val="22"/>
                <w:szCs w:val="22"/>
              </w:rPr>
              <w:t>The issue belongs to operational governance rather than constitutional interpretation.</w:t>
            </w:r>
          </w:p>
        </w:tc>
      </w:tr>
      <w:tr w:rsidR="00B9396D" w:rsidRPr="00B479AE" w14:paraId="6F6018C1" w14:textId="77777777" w:rsidTr="00B9396D">
        <w:trPr>
          <w:tblCellSpacing w:w="15" w:type="dxa"/>
        </w:trPr>
        <w:tc>
          <w:tcPr>
            <w:tcW w:w="0" w:type="auto"/>
            <w:vAlign w:val="center"/>
            <w:hideMark/>
          </w:tcPr>
          <w:p w14:paraId="3E5DDC78"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Requires constitutional amendment</w:t>
            </w:r>
          </w:p>
        </w:tc>
        <w:tc>
          <w:tcPr>
            <w:tcW w:w="0" w:type="auto"/>
            <w:vAlign w:val="center"/>
            <w:hideMark/>
          </w:tcPr>
          <w:p w14:paraId="31DFBCF0"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i/>
                <w:iCs/>
                <w:sz w:val="22"/>
                <w:szCs w:val="22"/>
              </w:rPr>
              <w:t>The issue materially affects constitutional architecture and must follow the amendment pathway.</w:t>
            </w:r>
          </w:p>
        </w:tc>
      </w:tr>
      <w:tr w:rsidR="00B9396D" w:rsidRPr="00B479AE" w14:paraId="1E85490D" w14:textId="77777777" w:rsidTr="00B9396D">
        <w:trPr>
          <w:tblCellSpacing w:w="15" w:type="dxa"/>
        </w:trPr>
        <w:tc>
          <w:tcPr>
            <w:tcW w:w="0" w:type="auto"/>
            <w:vAlign w:val="center"/>
            <w:hideMark/>
          </w:tcPr>
          <w:p w14:paraId="54A28E96"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Barred by Eternity Clauses</w:t>
            </w:r>
          </w:p>
        </w:tc>
        <w:tc>
          <w:tcPr>
            <w:tcW w:w="0" w:type="auto"/>
            <w:vAlign w:val="center"/>
            <w:hideMark/>
          </w:tcPr>
          <w:p w14:paraId="7B44EEAC"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i/>
                <w:iCs/>
                <w:sz w:val="22"/>
                <w:szCs w:val="22"/>
              </w:rPr>
              <w:t>The pathway is outside Prometheus and cannot be authorized.</w:t>
            </w:r>
          </w:p>
        </w:tc>
      </w:tr>
      <w:tr w:rsidR="00B9396D" w:rsidRPr="00B479AE" w14:paraId="6B709CA4" w14:textId="77777777" w:rsidTr="00B9396D">
        <w:trPr>
          <w:tblCellSpacing w:w="15" w:type="dxa"/>
        </w:trPr>
        <w:tc>
          <w:tcPr>
            <w:tcW w:w="0" w:type="auto"/>
            <w:vAlign w:val="center"/>
            <w:hideMark/>
          </w:tcPr>
          <w:p w14:paraId="7A504844"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Requires legal review</w:t>
            </w:r>
          </w:p>
        </w:tc>
        <w:tc>
          <w:tcPr>
            <w:tcW w:w="0" w:type="auto"/>
            <w:vAlign w:val="center"/>
            <w:hideMark/>
          </w:tcPr>
          <w:p w14:paraId="74F16305"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i/>
                <w:iCs/>
                <w:sz w:val="22"/>
                <w:szCs w:val="22"/>
              </w:rPr>
              <w:t>The pathway may not proceed until jurisdictional or contractual analysis is complete.</w:t>
            </w:r>
          </w:p>
        </w:tc>
      </w:tr>
      <w:tr w:rsidR="00B9396D" w:rsidRPr="00B479AE" w14:paraId="78D6B915" w14:textId="77777777" w:rsidTr="00B9396D">
        <w:trPr>
          <w:tblCellSpacing w:w="15" w:type="dxa"/>
        </w:trPr>
        <w:tc>
          <w:tcPr>
            <w:tcW w:w="0" w:type="auto"/>
            <w:vAlign w:val="center"/>
            <w:hideMark/>
          </w:tcPr>
          <w:p w14:paraId="5A363A16"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Requires MRV review</w:t>
            </w:r>
          </w:p>
        </w:tc>
        <w:tc>
          <w:tcPr>
            <w:tcW w:w="0" w:type="auto"/>
            <w:vAlign w:val="center"/>
            <w:hideMark/>
          </w:tcPr>
          <w:p w14:paraId="6D5F373B"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i/>
                <w:iCs/>
                <w:sz w:val="22"/>
                <w:szCs w:val="22"/>
              </w:rPr>
              <w:t>Evidence or methodology is insufficient for the claim being made.</w:t>
            </w:r>
          </w:p>
        </w:tc>
      </w:tr>
      <w:tr w:rsidR="00B9396D" w:rsidRPr="00B479AE" w14:paraId="3F308F4B" w14:textId="77777777" w:rsidTr="00B9396D">
        <w:trPr>
          <w:tblCellSpacing w:w="15" w:type="dxa"/>
        </w:trPr>
        <w:tc>
          <w:tcPr>
            <w:tcW w:w="0" w:type="auto"/>
            <w:vAlign w:val="center"/>
            <w:hideMark/>
          </w:tcPr>
          <w:p w14:paraId="60875523"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Requires technical review</w:t>
            </w:r>
          </w:p>
        </w:tc>
        <w:tc>
          <w:tcPr>
            <w:tcW w:w="0" w:type="auto"/>
            <w:vAlign w:val="center"/>
            <w:hideMark/>
          </w:tcPr>
          <w:p w14:paraId="42D9F8F4"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i/>
                <w:iCs/>
                <w:sz w:val="22"/>
                <w:szCs w:val="22"/>
              </w:rPr>
              <w:t>Implementation may affect security, source-chain integrity, permissions, or execution gates.</w:t>
            </w:r>
          </w:p>
        </w:tc>
      </w:tr>
      <w:tr w:rsidR="00B9396D" w:rsidRPr="00B479AE" w14:paraId="7B6A72AC" w14:textId="77777777" w:rsidTr="00B9396D">
        <w:trPr>
          <w:tblCellSpacing w:w="15" w:type="dxa"/>
        </w:trPr>
        <w:tc>
          <w:tcPr>
            <w:tcW w:w="0" w:type="auto"/>
            <w:vAlign w:val="center"/>
            <w:hideMark/>
          </w:tcPr>
          <w:p w14:paraId="44F6043E"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Requires public correction</w:t>
            </w:r>
          </w:p>
        </w:tc>
        <w:tc>
          <w:tcPr>
            <w:tcW w:w="0" w:type="auto"/>
            <w:vAlign w:val="center"/>
            <w:hideMark/>
          </w:tcPr>
          <w:p w14:paraId="2D0D89C1" w14:textId="77777777" w:rsidR="00B9396D" w:rsidRPr="00B479AE" w:rsidRDefault="00B9396D" w:rsidP="00B9396D">
            <w:pPr>
              <w:spacing w:line="360" w:lineRule="auto"/>
              <w:rPr>
                <w:rFonts w:ascii="Baskerville Old Face" w:hAnsi="Baskerville Old Face"/>
                <w:i/>
                <w:iCs/>
                <w:sz w:val="22"/>
                <w:szCs w:val="22"/>
              </w:rPr>
            </w:pPr>
            <w:r w:rsidRPr="00B479AE">
              <w:rPr>
                <w:rFonts w:ascii="Baskerville Old Face" w:hAnsi="Baskerville Old Face"/>
                <w:i/>
                <w:iCs/>
                <w:sz w:val="22"/>
                <w:szCs w:val="22"/>
              </w:rPr>
              <w:t>Communication created semantic, financial, ecological, or governance confusion requiring correction.</w:t>
            </w:r>
          </w:p>
        </w:tc>
      </w:tr>
    </w:tbl>
    <w:p w14:paraId="3DBE2E37"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The outcome must define scope.</w:t>
      </w:r>
    </w:p>
    <w:p w14:paraId="43FFC607"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An action may be admissible for research and non-admissible for investment.</w:t>
      </w:r>
    </w:p>
    <w:p w14:paraId="465CD069"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 claim may be admissible as narrative and non-admissible as MRV evidence.</w:t>
      </w:r>
    </w:p>
    <w:p w14:paraId="71B42C20"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 token may be admissible for community access and non-admissible as PRU exposure.</w:t>
      </w:r>
    </w:p>
    <w:p w14:paraId="280DBB9E"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lastRenderedPageBreak/>
        <w:t>A dataset may be admissible for learning and non-admissible for valuation.</w:t>
      </w:r>
    </w:p>
    <w:p w14:paraId="31E356C5"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This precision is essential.</w:t>
      </w:r>
    </w:p>
    <w:p w14:paraId="79848A25"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Prometheus does not need fewer categories.</w:t>
      </w:r>
    </w:p>
    <w:p w14:paraId="6CB4B1B0"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needs cleaner categories.</w:t>
      </w:r>
    </w:p>
    <w:p w14:paraId="1DDBEA78" w14:textId="77777777" w:rsidR="00B9396D" w:rsidRPr="00B479AE" w:rsidRDefault="00B9396D" w:rsidP="00B9396D">
      <w:pPr>
        <w:spacing w:line="360" w:lineRule="auto"/>
        <w:rPr>
          <w:rFonts w:ascii="Baskerville Old Face" w:hAnsi="Baskerville Old Face"/>
          <w:b/>
          <w:bCs/>
          <w:i/>
          <w:iCs/>
        </w:rPr>
      </w:pPr>
      <w:r w:rsidRPr="00B479AE">
        <w:rPr>
          <w:rFonts w:ascii="Baskerville Old Face" w:hAnsi="Baskerville Old Face"/>
          <w:b/>
          <w:bCs/>
          <w:i/>
          <w:iCs/>
        </w:rPr>
        <w:t>10.10 AI and Constitutional Interpretation</w:t>
      </w:r>
    </w:p>
    <w:p w14:paraId="18BEBC9C"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AI may assist constitutional interpretation.</w:t>
      </w:r>
    </w:p>
    <w:p w14:paraId="68567D4B"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may:</w:t>
      </w:r>
    </w:p>
    <w:p w14:paraId="5911912B"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 summarize relevant provisions;</w:t>
      </w:r>
      <w:r w:rsidRPr="00B479AE">
        <w:rPr>
          <w:rFonts w:ascii="Baskerville Old Face" w:hAnsi="Baskerville Old Face"/>
          <w:i/>
          <w:iCs/>
        </w:rPr>
        <w:br/>
        <w:t>• identify conflicts;</w:t>
      </w:r>
      <w:r w:rsidRPr="00B479AE">
        <w:rPr>
          <w:rFonts w:ascii="Baskerville Old Face" w:hAnsi="Baskerville Old Face"/>
          <w:i/>
          <w:iCs/>
        </w:rPr>
        <w:br/>
        <w:t>• compare precedents;</w:t>
      </w:r>
      <w:r w:rsidRPr="00B479AE">
        <w:rPr>
          <w:rFonts w:ascii="Baskerville Old Face" w:hAnsi="Baskerville Old Face"/>
          <w:i/>
          <w:iCs/>
        </w:rPr>
        <w:br/>
        <w:t>• map risks;</w:t>
      </w:r>
      <w:r w:rsidRPr="00B479AE">
        <w:rPr>
          <w:rFonts w:ascii="Baskerville Old Face" w:hAnsi="Baskerville Old Face"/>
          <w:i/>
          <w:iCs/>
        </w:rPr>
        <w:br/>
        <w:t>• draft interpretive options;</w:t>
      </w:r>
      <w:r w:rsidRPr="00B479AE">
        <w:rPr>
          <w:rFonts w:ascii="Baskerville Old Face" w:hAnsi="Baskerville Old Face"/>
          <w:i/>
          <w:iCs/>
        </w:rPr>
        <w:br/>
        <w:t>• classify issues;</w:t>
      </w:r>
      <w:r w:rsidRPr="00B479AE">
        <w:rPr>
          <w:rFonts w:ascii="Baskerville Old Face" w:hAnsi="Baskerville Old Face"/>
          <w:i/>
          <w:iCs/>
        </w:rPr>
        <w:br/>
        <w:t>• flag category collapse;</w:t>
      </w:r>
      <w:r w:rsidRPr="00B479AE">
        <w:rPr>
          <w:rFonts w:ascii="Baskerville Old Face" w:hAnsi="Baskerville Old Face"/>
          <w:i/>
          <w:iCs/>
        </w:rPr>
        <w:br/>
        <w:t>• support legal or MRV review;</w:t>
      </w:r>
      <w:r w:rsidRPr="00B479AE">
        <w:rPr>
          <w:rFonts w:ascii="Baskerville Old Face" w:hAnsi="Baskerville Old Face"/>
          <w:i/>
          <w:iCs/>
        </w:rPr>
        <w:br/>
        <w:t>• generate decision memos for human review.</w:t>
      </w:r>
    </w:p>
    <w:p w14:paraId="11FB002E"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AI may not become constitutional authority.</w:t>
      </w:r>
    </w:p>
    <w:p w14:paraId="6542AB37"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AI may not issue final binding interpretations.</w:t>
      </w:r>
    </w:p>
    <w:p w14:paraId="49AF5A43"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AI may not override the Access Covenant.</w:t>
      </w:r>
    </w:p>
    <w:p w14:paraId="67268ACA"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AI may not authorize PRU value.</w:t>
      </w:r>
    </w:p>
    <w:p w14:paraId="4CA7480A"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AI may not transform narrative into evidence.</w:t>
      </w:r>
    </w:p>
    <w:p w14:paraId="48838D9C"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AI may not waive legal review.</w:t>
      </w:r>
    </w:p>
    <w:p w14:paraId="79DC7BAD"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AI may not bypass human dignity, ecological integrity, governance process, or source-layer constraints.</w:t>
      </w:r>
    </w:p>
    <w:p w14:paraId="1A818C2B"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AI-assisted interpretation must remain:</w:t>
      </w:r>
    </w:p>
    <w:p w14:paraId="76EB0BE2"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lastRenderedPageBreak/>
        <w:t>• evidence-linked;</w:t>
      </w:r>
      <w:r w:rsidRPr="00B479AE">
        <w:rPr>
          <w:rFonts w:ascii="Baskerville Old Face" w:hAnsi="Baskerville Old Face"/>
          <w:i/>
          <w:iCs/>
        </w:rPr>
        <w:br/>
        <w:t>• versioned;</w:t>
      </w:r>
      <w:r w:rsidRPr="00B479AE">
        <w:rPr>
          <w:rFonts w:ascii="Baskerville Old Face" w:hAnsi="Baskerville Old Face"/>
          <w:i/>
          <w:iCs/>
        </w:rPr>
        <w:br/>
        <w:t>• reviewable;</w:t>
      </w:r>
      <w:r w:rsidRPr="00B479AE">
        <w:rPr>
          <w:rFonts w:ascii="Baskerville Old Face" w:hAnsi="Baskerville Old Face"/>
          <w:i/>
          <w:iCs/>
        </w:rPr>
        <w:br/>
        <w:t>• auditable where appropriate;</w:t>
      </w:r>
      <w:r w:rsidRPr="00B479AE">
        <w:rPr>
          <w:rFonts w:ascii="Baskerville Old Face" w:hAnsi="Baskerville Old Face"/>
          <w:i/>
          <w:iCs/>
        </w:rPr>
        <w:br/>
        <w:t>• bounded by role;</w:t>
      </w:r>
      <w:r w:rsidRPr="00B479AE">
        <w:rPr>
          <w:rFonts w:ascii="Baskerville Old Face" w:hAnsi="Baskerville Old Face"/>
          <w:i/>
          <w:iCs/>
        </w:rPr>
        <w:br/>
        <w:t>• subject to human or governance authorization.</w:t>
      </w:r>
    </w:p>
    <w:p w14:paraId="3233DB22"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The rule is simple:</w:t>
      </w:r>
    </w:p>
    <w:p w14:paraId="0A6A6EE9"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AI may help the constitution speak more clearly.</w:t>
      </w:r>
    </w:p>
    <w:p w14:paraId="302DA608"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AI may not speak above the constitution.</w:t>
      </w:r>
    </w:p>
    <w:p w14:paraId="61D69815" w14:textId="77777777" w:rsidR="00B9396D" w:rsidRPr="00B479AE" w:rsidRDefault="00B9396D" w:rsidP="00B9396D">
      <w:pPr>
        <w:spacing w:line="360" w:lineRule="auto"/>
        <w:rPr>
          <w:rFonts w:ascii="Baskerville Old Face" w:hAnsi="Baskerville Old Face"/>
          <w:b/>
          <w:bCs/>
          <w:i/>
          <w:iCs/>
        </w:rPr>
      </w:pPr>
      <w:r w:rsidRPr="00B479AE">
        <w:rPr>
          <w:rFonts w:ascii="Baskerville Old Face" w:hAnsi="Baskerville Old Face"/>
          <w:b/>
          <w:bCs/>
          <w:i/>
          <w:iCs/>
        </w:rPr>
        <w:t>10.11 Emergency Constitutional Interpretation</w:t>
      </w:r>
    </w:p>
    <w:p w14:paraId="009538AC"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In urgent situations, a temporary constitutional interpretation may be necessary before full review is complete.</w:t>
      </w:r>
    </w:p>
    <w:p w14:paraId="77ABC631"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This may occur where delay could create:</w:t>
      </w:r>
    </w:p>
    <w:p w14:paraId="13DF5059"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 ecological harm;</w:t>
      </w:r>
      <w:r w:rsidRPr="00B479AE">
        <w:rPr>
          <w:rFonts w:ascii="Baskerville Old Face" w:hAnsi="Baskerville Old Face"/>
          <w:i/>
          <w:iCs/>
        </w:rPr>
        <w:br/>
        <w:t>• investor-facing misrepresentation;</w:t>
      </w:r>
      <w:r w:rsidRPr="00B479AE">
        <w:rPr>
          <w:rFonts w:ascii="Baskerville Old Face" w:hAnsi="Baskerville Old Face"/>
          <w:i/>
          <w:iCs/>
        </w:rPr>
        <w:br/>
        <w:t>• data manipulation;</w:t>
      </w:r>
      <w:r w:rsidRPr="00B479AE">
        <w:rPr>
          <w:rFonts w:ascii="Baskerville Old Face" w:hAnsi="Baskerville Old Face"/>
          <w:i/>
          <w:iCs/>
        </w:rPr>
        <w:br/>
        <w:t>• technical compromise;</w:t>
      </w:r>
      <w:r w:rsidRPr="00B479AE">
        <w:rPr>
          <w:rFonts w:ascii="Baskerville Old Face" w:hAnsi="Baskerville Old Face"/>
          <w:i/>
          <w:iCs/>
        </w:rPr>
        <w:br/>
        <w:t>• governance capture;</w:t>
      </w:r>
      <w:r w:rsidRPr="00B479AE">
        <w:rPr>
          <w:rFonts w:ascii="Baskerville Old Face" w:hAnsi="Baskerville Old Face"/>
          <w:i/>
          <w:iCs/>
        </w:rPr>
        <w:br/>
        <w:t>• tokenomic confusion;</w:t>
      </w:r>
      <w:r w:rsidRPr="00B479AE">
        <w:rPr>
          <w:rFonts w:ascii="Baskerville Old Face" w:hAnsi="Baskerville Old Face"/>
          <w:i/>
          <w:iCs/>
        </w:rPr>
        <w:br/>
        <w:t>• legal exposure;</w:t>
      </w:r>
      <w:r w:rsidRPr="00B479AE">
        <w:rPr>
          <w:rFonts w:ascii="Baskerville Old Face" w:hAnsi="Baskerville Old Face"/>
          <w:i/>
          <w:iCs/>
        </w:rPr>
        <w:br/>
        <w:t>• public communication risk;</w:t>
      </w:r>
      <w:r w:rsidRPr="00B479AE">
        <w:rPr>
          <w:rFonts w:ascii="Baskerville Old Face" w:hAnsi="Baskerville Old Face"/>
          <w:i/>
          <w:iCs/>
        </w:rPr>
        <w:br/>
        <w:t>• source-layer bypass.</w:t>
      </w:r>
    </w:p>
    <w:p w14:paraId="791A1FCD"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Emergency interpretation should be:</w:t>
      </w:r>
    </w:p>
    <w:p w14:paraId="7A42E186"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 temporary;</w:t>
      </w:r>
      <w:r w:rsidRPr="00B479AE">
        <w:rPr>
          <w:rFonts w:ascii="Baskerville Old Face" w:hAnsi="Baskerville Old Face"/>
          <w:i/>
          <w:iCs/>
        </w:rPr>
        <w:br/>
        <w:t>• narrow;</w:t>
      </w:r>
      <w:r w:rsidRPr="00B479AE">
        <w:rPr>
          <w:rFonts w:ascii="Baskerville Old Face" w:hAnsi="Baskerville Old Face"/>
          <w:i/>
          <w:iCs/>
        </w:rPr>
        <w:br/>
        <w:t>• documented;</w:t>
      </w:r>
      <w:r w:rsidRPr="00B479AE">
        <w:rPr>
          <w:rFonts w:ascii="Baskerville Old Face" w:hAnsi="Baskerville Old Face"/>
          <w:i/>
          <w:iCs/>
        </w:rPr>
        <w:br/>
        <w:t>• proportionate;</w:t>
      </w:r>
      <w:r w:rsidRPr="00B479AE">
        <w:rPr>
          <w:rFonts w:ascii="Baskerville Old Face" w:hAnsi="Baskerville Old Face"/>
          <w:i/>
          <w:iCs/>
        </w:rPr>
        <w:br/>
        <w:t>• reviewable;</w:t>
      </w:r>
      <w:r w:rsidRPr="00B479AE">
        <w:rPr>
          <w:rFonts w:ascii="Baskerville Old Face" w:hAnsi="Baskerville Old Face"/>
          <w:i/>
          <w:iCs/>
        </w:rPr>
        <w:br/>
        <w:t>• escalated to full review as soon as feasible.</w:t>
      </w:r>
    </w:p>
    <w:p w14:paraId="72D2BACD"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lastRenderedPageBreak/>
        <w:t>Emergency interpretation may pause or restrict action.</w:t>
      </w:r>
    </w:p>
    <w:p w14:paraId="195544AF"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may not weaken Eternity Clauses.</w:t>
      </w:r>
    </w:p>
    <w:p w14:paraId="7738AAF0"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may not create permanent constitutional change.</w:t>
      </w:r>
    </w:p>
    <w:p w14:paraId="5402B053"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may not authorize what the source layer prohibits.</w:t>
      </w:r>
    </w:p>
    <w:p w14:paraId="063332CD"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Emergency interpretation exists to protect the constitution, not to suspend it.</w:t>
      </w:r>
    </w:p>
    <w:p w14:paraId="65F7E5CC" w14:textId="77777777" w:rsidR="00B9396D" w:rsidRPr="00B479AE" w:rsidRDefault="00B9396D" w:rsidP="00B9396D">
      <w:pPr>
        <w:spacing w:line="360" w:lineRule="auto"/>
        <w:rPr>
          <w:rFonts w:ascii="Baskerville Old Face" w:hAnsi="Baskerville Old Face"/>
          <w:b/>
          <w:bCs/>
          <w:i/>
          <w:iCs/>
        </w:rPr>
      </w:pPr>
      <w:r w:rsidRPr="00B479AE">
        <w:rPr>
          <w:rFonts w:ascii="Baskerville Old Face" w:hAnsi="Baskerville Old Face"/>
          <w:b/>
          <w:bCs/>
          <w:i/>
          <w:iCs/>
        </w:rPr>
        <w:t>10.12 Final Interpretive Rule</w:t>
      </w:r>
    </w:p>
    <w:p w14:paraId="7237BA2B"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The final interpretive rule is this:</w:t>
      </w:r>
    </w:p>
    <w:p w14:paraId="5EEDF583"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interpretation clarifies;</w:t>
      </w:r>
    </w:p>
    <w:p w14:paraId="69F08006"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does not dominate.</w:t>
      </w:r>
    </w:p>
    <w:p w14:paraId="4A6C536D"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review integrates;</w:t>
      </w:r>
    </w:p>
    <w:p w14:paraId="38C94FFE"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does not centralize sovereignty.</w:t>
      </w:r>
    </w:p>
    <w:p w14:paraId="1E0EA37C"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founding memory guides;</w:t>
      </w:r>
    </w:p>
    <w:p w14:paraId="32A28837"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does not rule.</w:t>
      </w:r>
    </w:p>
    <w:p w14:paraId="20507A5A"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science informs;</w:t>
      </w:r>
    </w:p>
    <w:p w14:paraId="4A729667"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does not replace constitutional admissibility.</w:t>
      </w:r>
    </w:p>
    <w:p w14:paraId="2900C0BD"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AI assists;</w:t>
      </w:r>
    </w:p>
    <w:p w14:paraId="1CEEEBE7"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does not govern.</w:t>
      </w:r>
    </w:p>
    <w:p w14:paraId="14DCBD36"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capital participates;</w:t>
      </w:r>
    </w:p>
    <w:p w14:paraId="73536E3F"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does not command.</w:t>
      </w:r>
    </w:p>
    <w:p w14:paraId="62B9587A"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community matters;</w:t>
      </w:r>
    </w:p>
    <w:p w14:paraId="7B84283E"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does not bypass dignity.</w:t>
      </w:r>
    </w:p>
    <w:p w14:paraId="1808D042"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governance evolves;</w:t>
      </w:r>
    </w:p>
    <w:p w14:paraId="252A1FA9"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lastRenderedPageBreak/>
        <w:t>it does not override life.</w:t>
      </w:r>
    </w:p>
    <w:p w14:paraId="5C0D6C43"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Prometheus remains valid only while constitutional interpretation preserves the relationship between life, dignity, evidence, governance, and regenerative fidelity.</w:t>
      </w:r>
    </w:p>
    <w:p w14:paraId="09FF2654"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Where ambiguity exists, interpret toward life.</w:t>
      </w:r>
    </w:p>
    <w:p w14:paraId="1C6E0BC8"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Where power concentrates, interpret toward accountability.</w:t>
      </w:r>
    </w:p>
    <w:p w14:paraId="44C6B207"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Where claims inflate, interpret toward evidence.</w:t>
      </w:r>
    </w:p>
    <w:p w14:paraId="15A87D21"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Where speed accelerates, interpret toward reviewability.</w:t>
      </w:r>
    </w:p>
    <w:p w14:paraId="7BD51282"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Where systems diverge, interpret toward clear boundaries.</w:t>
      </w:r>
    </w:p>
    <w:p w14:paraId="3833F5EB"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Where the future is affected, interpret as if future generations were already in the room.</w:t>
      </w:r>
    </w:p>
    <w:p w14:paraId="3C6E1967"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The constitution is not a weapon held by one circle.</w:t>
      </w:r>
    </w:p>
    <w:p w14:paraId="66D166DF"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It is the root system of the whole architecture.</w:t>
      </w:r>
    </w:p>
    <w:p w14:paraId="0A646CC8"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The interpreter is not sovereign.</w:t>
      </w:r>
    </w:p>
    <w:p w14:paraId="49ADDA1F" w14:textId="77777777" w:rsidR="00B9396D" w:rsidRPr="00B479AE" w:rsidRDefault="00B9396D" w:rsidP="00B9396D">
      <w:pPr>
        <w:spacing w:line="360" w:lineRule="auto"/>
        <w:rPr>
          <w:rFonts w:ascii="Baskerville Old Face" w:hAnsi="Baskerville Old Face"/>
          <w:i/>
          <w:iCs/>
        </w:rPr>
      </w:pPr>
      <w:r w:rsidRPr="00B479AE">
        <w:rPr>
          <w:rFonts w:ascii="Baskerville Old Face" w:hAnsi="Baskerville Old Face"/>
          <w:i/>
          <w:iCs/>
        </w:rPr>
        <w:t>The source is sovereign.</w:t>
      </w:r>
    </w:p>
    <w:p w14:paraId="37137A12" w14:textId="77777777" w:rsidR="00674E24" w:rsidRPr="00B479AE" w:rsidRDefault="00674E24" w:rsidP="00674E24">
      <w:pPr>
        <w:spacing w:line="360" w:lineRule="auto"/>
        <w:rPr>
          <w:rFonts w:ascii="Baskerville Old Face" w:hAnsi="Baskerville Old Face"/>
          <w:b/>
          <w:bCs/>
          <w:i/>
          <w:iCs/>
        </w:rPr>
      </w:pPr>
      <w:r w:rsidRPr="00B479AE">
        <w:rPr>
          <w:rFonts w:ascii="Baskerville Old Face" w:hAnsi="Baskerville Old Face"/>
          <w:b/>
          <w:bCs/>
          <w:i/>
          <w:iCs/>
        </w:rPr>
        <w:t>11. The Unamendable Declaration</w:t>
      </w:r>
    </w:p>
    <w:p w14:paraId="013EE49A"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Let this be clearly understood by all who seek to access, participate in, govern, finance, extend, automate, represent, or benefit from the h•eart•h Prometheus ecosystem.</w:t>
      </w:r>
    </w:p>
    <w:p w14:paraId="64D4962D"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The Eternity Clauses are not ordinary governance rules.</w:t>
      </w:r>
    </w:p>
    <w:p w14:paraId="4A9218F6"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They are not policy preferences.</w:t>
      </w:r>
    </w:p>
    <w:p w14:paraId="61D467C9"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They are not strategic guidelines.</w:t>
      </w:r>
    </w:p>
    <w:p w14:paraId="2C9E82BB"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They are not symbolic statements.</w:t>
      </w:r>
    </w:p>
    <w:p w14:paraId="580A0B4F"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They are not temporary commitments.</w:t>
      </w:r>
    </w:p>
    <w:p w14:paraId="1460CB90"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They are the constitutional recognition of living-system realities that precede and exceed any human institution.</w:t>
      </w:r>
    </w:p>
    <w:p w14:paraId="606E226F"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lastRenderedPageBreak/>
        <w:t>They recognize that life, dignity, soil, water, biodiversity, ecological integrity, evidence, voluntary participation, regenerative responsibility, and the continuity of future generations are not created by governance.</w:t>
      </w:r>
    </w:p>
    <w:p w14:paraId="7C2BF554"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They are the ground upon which governance becomes meaningful.</w:t>
      </w:r>
    </w:p>
    <w:p w14:paraId="3D6FA521"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Prometheus does not make these principles true.</w:t>
      </w:r>
    </w:p>
    <w:p w14:paraId="7F1EC883"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Prometheus chooses to become accountable to them.</w:t>
      </w:r>
    </w:p>
    <w:p w14:paraId="5AFF4E83"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This is the unamendable declaration.</w:t>
      </w:r>
    </w:p>
    <w:p w14:paraId="0F73DA6C"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The foundational articles may be clarified.</w:t>
      </w:r>
    </w:p>
    <w:p w14:paraId="6A8F2B1D"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Governance procedures may evolve.</w:t>
      </w:r>
    </w:p>
    <w:p w14:paraId="1175D520"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Implementation layers may mature.</w:t>
      </w:r>
    </w:p>
    <w:p w14:paraId="707DDB14"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Legal instruments may adapt to jurisdiction.</w:t>
      </w:r>
    </w:p>
    <w:p w14:paraId="274A7FC9"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Technical systems may be upgraded.</w:t>
      </w:r>
    </w:p>
    <w:p w14:paraId="7014FCB0"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Interfaces may improve.</w:t>
      </w:r>
    </w:p>
    <w:p w14:paraId="702ECE64"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Methodologies may be refined.</w:t>
      </w:r>
    </w:p>
    <w:p w14:paraId="4EB0C63E"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Translations may become clearer.</w:t>
      </w:r>
    </w:p>
    <w:p w14:paraId="6EB2125C"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Operational procedures may change.</w:t>
      </w:r>
    </w:p>
    <w:p w14:paraId="40774B75"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But the source-layer commitments protected by the Eternity Clauses may not be inverted, diluted, bypassed, repealed, suspended, tokenized away, voted away, automated away, financed away, or reinterpreted into their opposite.</w:t>
      </w:r>
    </w:p>
    <w:p w14:paraId="3B96A10B"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No ordinary governance process may override them.</w:t>
      </w:r>
    </w:p>
    <w:p w14:paraId="1CACFF29"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No constitutional amendment may weaken them.</w:t>
      </w:r>
    </w:p>
    <w:p w14:paraId="33C58B68"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No token vote may bypass them.</w:t>
      </w:r>
    </w:p>
    <w:p w14:paraId="3C81E182"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No investor requirement may subordinate them.</w:t>
      </w:r>
    </w:p>
    <w:p w14:paraId="5DB51210"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lastRenderedPageBreak/>
        <w:t>No legal wrapper may neutralize them.</w:t>
      </w:r>
    </w:p>
    <w:p w14:paraId="0682E7DA"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No AI model may reinterpret them beyond the constitutional source layer.</w:t>
      </w:r>
    </w:p>
    <w:p w14:paraId="67054938"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No market opportunity may justify their erosion.</w:t>
      </w:r>
    </w:p>
    <w:p w14:paraId="50D6DDEE"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No emergency may suspend them.</w:t>
      </w:r>
    </w:p>
    <w:p w14:paraId="5E0CE593"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No founder memory may own them.</w:t>
      </w:r>
    </w:p>
    <w:p w14:paraId="2FD02ABF"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No community identity may stand above them.</w:t>
      </w:r>
    </w:p>
    <w:p w14:paraId="60049BE7"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No institution may convert them into optional language.</w:t>
      </w:r>
    </w:p>
    <w:p w14:paraId="2BDDE7CD"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The reason is simple.</w:t>
      </w:r>
    </w:p>
    <w:p w14:paraId="7B12791D"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The Eternity Clauses do not impose an ideology upon life.</w:t>
      </w:r>
    </w:p>
    <w:p w14:paraId="0EBD3EFB"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They recognize the conditions through which life remains possible.</w:t>
      </w:r>
    </w:p>
    <w:p w14:paraId="0D25D6F6"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Soil does not become optional because a vote prefers liquidity.</w:t>
      </w:r>
    </w:p>
    <w:p w14:paraId="7FB4628C"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Water does not become secondary because a model optimizes throughput.</w:t>
      </w:r>
    </w:p>
    <w:p w14:paraId="46358421"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Biodiversity does not become decorative because a financial structure simplifies risk.</w:t>
      </w:r>
    </w:p>
    <w:p w14:paraId="0E1AB5CA"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Human dignity does not become negotiable because a community claims urgency.</w:t>
      </w:r>
    </w:p>
    <w:p w14:paraId="31BCCB05"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Evidence does not become unnecessary because a narrative is beautiful.</w:t>
      </w:r>
    </w:p>
    <w:p w14:paraId="32C540FB"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Regeneration does not become valid because a token represents it.</w:t>
      </w:r>
    </w:p>
    <w:p w14:paraId="545A9F92"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A living system is not required to obey institutional convenience.</w:t>
      </w:r>
    </w:p>
    <w:p w14:paraId="33A87B55"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Institutions must learn to obey living-system reality.</w:t>
      </w:r>
    </w:p>
    <w:p w14:paraId="619036CE"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To enter Prometheus is therefore to accept a threshold of responsibility.</w:t>
      </w:r>
    </w:p>
    <w:p w14:paraId="74936F40"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Participation means accepting that access is conditioned by the Access Covenant.</w:t>
      </w:r>
    </w:p>
    <w:p w14:paraId="571FD219"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Governance means accepting that authority is bounded by the foundational articles.</w:t>
      </w:r>
    </w:p>
    <w:p w14:paraId="7ACBFFFD"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Capital means accepting that finance is downstream from evidence and life.</w:t>
      </w:r>
    </w:p>
    <w:p w14:paraId="7F289739"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lastRenderedPageBreak/>
        <w:t>Technology means accepting that execution is bounded by constitutional constraints.</w:t>
      </w:r>
    </w:p>
    <w:p w14:paraId="533E71E6"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Community means accepting that belonging cannot be used to coerce, exclude, manipulate, or bypass dignity.</w:t>
      </w:r>
    </w:p>
    <w:p w14:paraId="1DA458B4"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Intelligence means accepting that no model is sovereign over the living field.</w:t>
      </w:r>
    </w:p>
    <w:p w14:paraId="44EBA431"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Leadership means accepting custodianship, not domination.</w:t>
      </w:r>
    </w:p>
    <w:p w14:paraId="1F06CB7D"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Stewardship means accepting that the future is already present in every decision.</w:t>
      </w:r>
    </w:p>
    <w:p w14:paraId="62B92C29"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This declaration is universal in scope and humble in posture.</w:t>
      </w:r>
    </w:p>
    <w:p w14:paraId="74E0121C"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Prometheus does not demand one religion.</w:t>
      </w:r>
    </w:p>
    <w:p w14:paraId="5323A79E"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It does not demand one culture.</w:t>
      </w:r>
    </w:p>
    <w:p w14:paraId="19E24486"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It does not demand one language of meaning.</w:t>
      </w:r>
    </w:p>
    <w:p w14:paraId="186B8047"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It does not demand one metaphysical vocabulary.</w:t>
      </w:r>
    </w:p>
    <w:p w14:paraId="6F24F516"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Communities may speak of Creation, Nature, Earth, God, Spirit, ancestry, ecology, science, consciousness, biosphere, systems, or interdependence.</w:t>
      </w:r>
    </w:p>
    <w:p w14:paraId="77DB5043"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Prometheus does not police the name.</w:t>
      </w:r>
    </w:p>
    <w:p w14:paraId="33A32389"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It protects the living foundation behind the names.</w:t>
      </w:r>
    </w:p>
    <w:p w14:paraId="149708BA"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Every human being stands equal before that foundation.</w:t>
      </w:r>
    </w:p>
    <w:p w14:paraId="013685C4"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No person enters Prometheus as more worthy because of capital, token holdings, title, nationality, religion, technical capacity, institutional power, social status, proximity to founders, or community rank.</w:t>
      </w:r>
    </w:p>
    <w:p w14:paraId="23B65A8A"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No person enters as less worthy because their lawful and dignity-respecting language of meaning differs from another’s.</w:t>
      </w:r>
    </w:p>
    <w:p w14:paraId="25BC2BAA"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Human dignity is recognized before it is measured.</w:t>
      </w:r>
    </w:p>
    <w:p w14:paraId="3EE3DB55"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The gate of Prometheus is therefore open through responsibility.</w:t>
      </w:r>
    </w:p>
    <w:p w14:paraId="46622169"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lastRenderedPageBreak/>
        <w:t>It is open to individuals, communities, stewards, researchers, builders, investors, public institutions, digital agents, technical operators, cultural traditions, spiritual communities, scientific communities, bioregional networks, DAOs, token ecosystems, and future forms of human coordination that can enter through the Covenant without weakening the source layer.</w:t>
      </w:r>
    </w:p>
    <w:p w14:paraId="3DA88CEA"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The threshold is not sameness.</w:t>
      </w:r>
    </w:p>
    <w:p w14:paraId="0632C9B3"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The threshold is fidelity.</w:t>
      </w:r>
    </w:p>
    <w:p w14:paraId="65707F96"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The question is not whether every participant speaks the same language.</w:t>
      </w:r>
    </w:p>
    <w:p w14:paraId="27DB9A1A"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The question is whether participation strengthens life, dignity, evidence, ecological integrity, governance coherence, and regenerative responsibility.</w:t>
      </w:r>
    </w:p>
    <w:p w14:paraId="2EB38D8C"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Where alignment exists, Prometheus may collaborate.</w:t>
      </w:r>
    </w:p>
    <w:p w14:paraId="3949ECE1"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Where ambiguity exists, Prometheus may review, clarify, limit, or pilot.</w:t>
      </w:r>
    </w:p>
    <w:p w14:paraId="64115658"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Where risk exists, Prometheus may pause, condition, or require evidence.</w:t>
      </w:r>
    </w:p>
    <w:p w14:paraId="082A494F"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Where harm exists, Prometheus may restrict, remediate, or separate.</w:t>
      </w:r>
    </w:p>
    <w:p w14:paraId="594B1F49"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Where the source layer is threatened, Prometheus must protect the constitution.</w:t>
      </w:r>
    </w:p>
    <w:p w14:paraId="31FC0737"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This is not exclusion for its own sake.</w:t>
      </w:r>
    </w:p>
    <w:p w14:paraId="2CAD9EB3"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It is boundary as care.</w:t>
      </w:r>
    </w:p>
    <w:p w14:paraId="1BAE0B14"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It is coherence as protection.</w:t>
      </w:r>
    </w:p>
    <w:p w14:paraId="7EEBADC4"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It is governance as stewardship.</w:t>
      </w:r>
    </w:p>
    <w:p w14:paraId="32763E8D"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It is the living field defending its own continuity.</w:t>
      </w:r>
    </w:p>
    <w:p w14:paraId="7D4A74EB"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The unamendable character of the Eternity Clauses should therefore be understood not as rigidity, but as fidelity.</w:t>
      </w:r>
    </w:p>
    <w:p w14:paraId="2C746970"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A river may change its course, but water remains life-bearing.</w:t>
      </w:r>
    </w:p>
    <w:p w14:paraId="08FDB027"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A forest may change its composition, but relationship remains its intelligence.</w:t>
      </w:r>
    </w:p>
    <w:p w14:paraId="075B8011"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lastRenderedPageBreak/>
        <w:t>A community may change its forms, but dignity remains its ground.</w:t>
      </w:r>
    </w:p>
    <w:p w14:paraId="5C4CD2FB"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A governance system may evolve, but it cannot validly authorize the destruction of the living foundation it exists to serve.</w:t>
      </w:r>
    </w:p>
    <w:p w14:paraId="0A46D9FA"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Prometheus is designed to evolve.</w:t>
      </w:r>
    </w:p>
    <w:p w14:paraId="5B2509C9"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It is designed to learn.</w:t>
      </w:r>
    </w:p>
    <w:p w14:paraId="36F5462D"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It is designed to adapt across territories, cultures, technologies, institutions, and generations.</w:t>
      </w:r>
    </w:p>
    <w:p w14:paraId="7A92043C"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But it is not designed to forget why it exists.</w:t>
      </w:r>
    </w:p>
    <w:p w14:paraId="4EB97479"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The source layer is the memory that prevents forgetting.</w:t>
      </w:r>
    </w:p>
    <w:p w14:paraId="3BB61768"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It is the root beneath the architecture.</w:t>
      </w:r>
    </w:p>
    <w:p w14:paraId="53ACB544"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It is the fire beneath the protocol.</w:t>
      </w:r>
    </w:p>
    <w:p w14:paraId="23B2CC4B"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It is the breath beneath the institution.</w:t>
      </w:r>
    </w:p>
    <w:p w14:paraId="1D5423E1"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It is the living oath that binds capital, technology, governance, and intelligence back to life.</w:t>
      </w:r>
    </w:p>
    <w:p w14:paraId="3FF11EEB"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This truth requires no amendment.</w:t>
      </w:r>
    </w:p>
    <w:p w14:paraId="203BEF58"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It was true before Prometheus.</w:t>
      </w:r>
    </w:p>
    <w:p w14:paraId="3659D1DF"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It will remain true after every document, dashboard, token, institution, and market cycle has passed away.</w:t>
      </w:r>
    </w:p>
    <w:p w14:paraId="2ED515C1"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Prometheus becomes worthy only to the extent that it remains faithful to it.</w:t>
      </w:r>
    </w:p>
    <w:p w14:paraId="3FB05A5D"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The final declaration is therefore this:</w:t>
      </w:r>
    </w:p>
    <w:p w14:paraId="6B878609"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life is not downstream from governance;</w:t>
      </w:r>
    </w:p>
    <w:p w14:paraId="492E08D2"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governance is downstream from life.</w:t>
      </w:r>
    </w:p>
    <w:p w14:paraId="06153C61"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value is not upstream from evidence;</w:t>
      </w:r>
    </w:p>
    <w:p w14:paraId="77BA11C7"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value is downstream from verified reality.</w:t>
      </w:r>
    </w:p>
    <w:p w14:paraId="3848F681"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lastRenderedPageBreak/>
        <w:t>capital is not sovereign over regeneration;</w:t>
      </w:r>
    </w:p>
    <w:p w14:paraId="62258C67"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capital is useful only when disciplined by regeneration.</w:t>
      </w:r>
    </w:p>
    <w:p w14:paraId="55882794"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intelligence is not sovereign over dignity;</w:t>
      </w:r>
    </w:p>
    <w:p w14:paraId="636342A3"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intelligence is valid only when it serves dignity.</w:t>
      </w:r>
    </w:p>
    <w:p w14:paraId="72005A4D"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community is not sovereign over the source layer;</w:t>
      </w:r>
    </w:p>
    <w:p w14:paraId="12953C2E"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community becomes legitimate when it protects the source layer.</w:t>
      </w:r>
    </w:p>
    <w:p w14:paraId="02325C19"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Prometheus may scale only if it remains accountable to the living systems it exists to serve.</w:t>
      </w:r>
    </w:p>
    <w:p w14:paraId="6103E513"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It may innovate only if innovation preserves fidelity.</w:t>
      </w:r>
    </w:p>
    <w:p w14:paraId="6D77FA5F"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It may finance only what evidence can support.</w:t>
      </w:r>
    </w:p>
    <w:p w14:paraId="2ECCF1A5"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It may automate only what governance can review.</w:t>
      </w:r>
    </w:p>
    <w:p w14:paraId="075F0669"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It may represent only what living systems have made real.</w:t>
      </w:r>
    </w:p>
    <w:p w14:paraId="638597D9"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It may endure only if its growth remains rooted.</w:t>
      </w:r>
    </w:p>
    <w:p w14:paraId="171F5865"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This is the unamendable declaration of Prometheus.</w:t>
      </w:r>
    </w:p>
    <w:p w14:paraId="288ED822"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Not control.</w:t>
      </w:r>
    </w:p>
    <w:p w14:paraId="0B066819"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Not ideology.</w:t>
      </w:r>
    </w:p>
    <w:p w14:paraId="0FD42F19"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Not institutional vanity.</w:t>
      </w:r>
    </w:p>
    <w:p w14:paraId="5A1F8568"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A promise to life.</w:t>
      </w:r>
    </w:p>
    <w:p w14:paraId="064DD0E2"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A covenant with the living field.</w:t>
      </w:r>
    </w:p>
    <w:p w14:paraId="7253295E" w14:textId="77777777" w:rsidR="00674E24" w:rsidRPr="00B479AE" w:rsidRDefault="00674E24" w:rsidP="00674E24">
      <w:pPr>
        <w:spacing w:line="360" w:lineRule="auto"/>
        <w:rPr>
          <w:rFonts w:ascii="Baskerville Old Face" w:hAnsi="Baskerville Old Face"/>
          <w:i/>
          <w:iCs/>
        </w:rPr>
      </w:pPr>
      <w:r w:rsidRPr="00B479AE">
        <w:rPr>
          <w:rFonts w:ascii="Baskerville Old Face" w:hAnsi="Baskerville Old Face"/>
          <w:i/>
          <w:iCs/>
        </w:rPr>
        <w:t>A constitutional memory for future builders.</w:t>
      </w:r>
    </w:p>
    <w:p w14:paraId="6304FCDC" w14:textId="77777777" w:rsidR="00495E1A" w:rsidRPr="00B479AE" w:rsidRDefault="00495E1A" w:rsidP="00495E1A">
      <w:pPr>
        <w:spacing w:line="360" w:lineRule="auto"/>
        <w:rPr>
          <w:rFonts w:ascii="Baskerville Old Face" w:hAnsi="Baskerville Old Face"/>
          <w:b/>
          <w:bCs/>
          <w:i/>
          <w:iCs/>
        </w:rPr>
      </w:pPr>
      <w:r w:rsidRPr="00B479AE">
        <w:rPr>
          <w:rFonts w:ascii="Baskerville Old Face" w:hAnsi="Baskerville Old Face"/>
          <w:b/>
          <w:bCs/>
          <w:i/>
          <w:iCs/>
        </w:rPr>
        <w:t>12. Technical Implementation: Constitutional Enforcement in Code, Data, and Permissions</w:t>
      </w:r>
    </w:p>
    <w:p w14:paraId="5165792F"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Prometheus must translate constitutional meaning into technical architecture without confusing technical architecture with constitutional sovereignty.</w:t>
      </w:r>
    </w:p>
    <w:p w14:paraId="3CE6E42E"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lastRenderedPageBreak/>
        <w:t>The constitution defines the source layer.</w:t>
      </w:r>
    </w:p>
    <w:p w14:paraId="00CC85F7"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Access Covenant defines the entry condition.</w:t>
      </w:r>
    </w:p>
    <w:p w14:paraId="413C129F"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Governance defines review and authorization.</w:t>
      </w:r>
    </w:p>
    <w:p w14:paraId="38A338F4"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MRV defines evidentiary admissibility.</w:t>
      </w:r>
    </w:p>
    <w:p w14:paraId="68CCA9C0"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Legal instruments define enforceable rights and obligations.</w:t>
      </w:r>
    </w:p>
    <w:p w14:paraId="0E992509"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Code, data structures, permissions, schemas, validation rules, logs, and execution gates help make these layers operational.</w:t>
      </w:r>
    </w:p>
    <w:p w14:paraId="242E8E88"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purpose of technical implementation is therefore not to create an automatic machine-state that replaces governance.</w:t>
      </w:r>
    </w:p>
    <w:p w14:paraId="291EBD17"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Its purpose is to make constitutional bypass structurally difficult, detectable, reviewable, non-admissible, non-executable where appropriate, reversible where feasible, and institutionally invalid.</w:t>
      </w:r>
    </w:p>
    <w:p w14:paraId="1B48F25A"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Prometheus should be implemented so that no participant, model, agent, dashboard, token mechanism, API, workflow, or technical operator can legitimately execute actions that violate the constitutional source layer.</w:t>
      </w:r>
    </w:p>
    <w:p w14:paraId="588615C0"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This does not mean claiming absolute invulnerability.</w:t>
      </w:r>
    </w:p>
    <w:p w14:paraId="2AFD434A"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No serious technical architecture should claim that.</w:t>
      </w:r>
    </w:p>
    <w:p w14:paraId="510B2DDF"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means designing the system so that constitutional violations become visible, constrained, logged, flagged, paused, rejected, quarantined, or routed to the appropriate review pathway.</w:t>
      </w:r>
    </w:p>
    <w:p w14:paraId="34EBA27F"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implementation principle is:</w:t>
      </w:r>
    </w:p>
    <w:p w14:paraId="4EC5BDD9"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constitutional meaning defines the boundary;</w:t>
      </w:r>
      <w:r w:rsidRPr="00B479AE">
        <w:rPr>
          <w:rFonts w:ascii="Baskerville Old Face" w:hAnsi="Baskerville Old Face"/>
          <w:i/>
          <w:iCs/>
        </w:rPr>
        <w:br/>
        <w:t>technical systems enforce the boundary where implemented;</w:t>
      </w:r>
      <w:r w:rsidRPr="00B479AE">
        <w:rPr>
          <w:rFonts w:ascii="Baskerville Old Face" w:hAnsi="Baskerville Old Face"/>
          <w:i/>
          <w:iCs/>
        </w:rPr>
        <w:br/>
        <w:t>audit trails prove what occurred;</w:t>
      </w:r>
      <w:r w:rsidRPr="00B479AE">
        <w:rPr>
          <w:rFonts w:ascii="Baskerville Old Face" w:hAnsi="Baskerville Old Face"/>
          <w:i/>
          <w:iCs/>
        </w:rPr>
        <w:br/>
        <w:t>governance decides contested cases;</w:t>
      </w:r>
      <w:r w:rsidRPr="00B479AE">
        <w:rPr>
          <w:rFonts w:ascii="Baskerville Old Face" w:hAnsi="Baskerville Old Face"/>
          <w:i/>
          <w:iCs/>
        </w:rPr>
        <w:br/>
        <w:t>legal instruments bind institutional relationships;</w:t>
      </w:r>
      <w:r w:rsidRPr="00B479AE">
        <w:rPr>
          <w:rFonts w:ascii="Baskerville Old Face" w:hAnsi="Baskerville Old Face"/>
          <w:i/>
          <w:iCs/>
        </w:rPr>
        <w:br/>
        <w:t>living-system reality remains the ground.</w:t>
      </w:r>
    </w:p>
    <w:p w14:paraId="13111443"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lastRenderedPageBreak/>
        <w:t>Prometheus therefore embeds constitutional discipline into code, data, permissions, records, interfaces, and institutional process.</w:t>
      </w:r>
    </w:p>
    <w:p w14:paraId="54670C8D" w14:textId="77777777" w:rsidR="00495E1A" w:rsidRPr="00B479AE" w:rsidRDefault="00495E1A" w:rsidP="00495E1A">
      <w:pPr>
        <w:spacing w:line="360" w:lineRule="auto"/>
        <w:rPr>
          <w:rFonts w:ascii="Baskerville Old Face" w:hAnsi="Baskerville Old Face"/>
          <w:b/>
          <w:bCs/>
          <w:i/>
          <w:iCs/>
        </w:rPr>
      </w:pPr>
      <w:r w:rsidRPr="00B479AE">
        <w:rPr>
          <w:rFonts w:ascii="Baskerville Old Face" w:hAnsi="Baskerville Old Face"/>
          <w:b/>
          <w:bCs/>
          <w:i/>
          <w:iCs/>
        </w:rPr>
        <w:t>12.1 Implementation Discipline</w:t>
      </w:r>
    </w:p>
    <w:p w14:paraId="10596407"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Prometheus must distinguish between:</w:t>
      </w:r>
    </w:p>
    <w:p w14:paraId="505F1C1C"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 what is constitutionally required;</w:t>
      </w:r>
      <w:r w:rsidRPr="00B479AE">
        <w:rPr>
          <w:rFonts w:ascii="Baskerville Old Face" w:hAnsi="Baskerville Old Face"/>
          <w:i/>
          <w:iCs/>
        </w:rPr>
        <w:br/>
        <w:t>• what is legally enforceable;</w:t>
      </w:r>
      <w:r w:rsidRPr="00B479AE">
        <w:rPr>
          <w:rFonts w:ascii="Baskerville Old Face" w:hAnsi="Baskerville Old Face"/>
          <w:i/>
          <w:iCs/>
        </w:rPr>
        <w:br/>
        <w:t>• what is technically implemented;</w:t>
      </w:r>
      <w:r w:rsidRPr="00B479AE">
        <w:rPr>
          <w:rFonts w:ascii="Baskerville Old Face" w:hAnsi="Baskerville Old Face"/>
          <w:i/>
          <w:iCs/>
        </w:rPr>
        <w:br/>
        <w:t>• what is operationally governed;</w:t>
      </w:r>
      <w:r w:rsidRPr="00B479AE">
        <w:rPr>
          <w:rFonts w:ascii="Baskerville Old Face" w:hAnsi="Baskerville Old Face"/>
          <w:i/>
          <w:iCs/>
        </w:rPr>
        <w:br/>
        <w:t>• what is planned for future implementation;</w:t>
      </w:r>
      <w:r w:rsidRPr="00B479AE">
        <w:rPr>
          <w:rFonts w:ascii="Baskerville Old Face" w:hAnsi="Baskerville Old Face"/>
          <w:i/>
          <w:iCs/>
        </w:rPr>
        <w:br/>
        <w:t>• what remains research, hypothesis, or roadmap.</w:t>
      </w:r>
    </w:p>
    <w:p w14:paraId="6BC64785"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This distinction is essential.</w:t>
      </w:r>
    </w:p>
    <w:p w14:paraId="30B2A1FE"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White Paper may define an architectural requirement.</w:t>
      </w:r>
    </w:p>
    <w:p w14:paraId="4FFD5DAC"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legal agreement may create enforceable obligations.</w:t>
      </w:r>
    </w:p>
    <w:p w14:paraId="45FF6581"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hApp may implement technical controls.</w:t>
      </w:r>
    </w:p>
    <w:p w14:paraId="71E5CD6B"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governance process may authorize action.</w:t>
      </w:r>
    </w:p>
    <w:p w14:paraId="18066D9F"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dashboard may display status.</w:t>
      </w:r>
    </w:p>
    <w:p w14:paraId="49A82808"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model may recommend.</w:t>
      </w:r>
    </w:p>
    <w:p w14:paraId="53148862"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These are not the same thing.</w:t>
      </w:r>
    </w:p>
    <w:p w14:paraId="55C0EA65"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Prometheus must not claim that a control exists in code until it exists in code.</w:t>
      </w:r>
    </w:p>
    <w:p w14:paraId="64ED19E1"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must not claim automatic enforcement where enforcement depends on governance, legal review, or human judgment.</w:t>
      </w:r>
    </w:p>
    <w:p w14:paraId="7706A9DF"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must not claim token, financial, investor, legal, land, or ecological consequences unless those consequences are actually structured, disclosed, implemented, and jurisdictionally reviewed.</w:t>
      </w:r>
    </w:p>
    <w:p w14:paraId="55AFC7BF"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Technical credibility begins with implementation honesty.</w:t>
      </w:r>
    </w:p>
    <w:p w14:paraId="538ECE6A" w14:textId="3A67B389" w:rsidR="00495E1A" w:rsidRPr="00B479AE" w:rsidRDefault="00495E1A" w:rsidP="00495E1A">
      <w:pPr>
        <w:spacing w:line="360" w:lineRule="auto"/>
        <w:rPr>
          <w:rFonts w:ascii="Baskerville Old Face" w:hAnsi="Baskerville Old Face"/>
          <w:i/>
          <w:iCs/>
        </w:rPr>
      </w:pPr>
    </w:p>
    <w:p w14:paraId="2891A528" w14:textId="77777777" w:rsidR="00495E1A" w:rsidRPr="00B479AE" w:rsidRDefault="00495E1A" w:rsidP="00495E1A">
      <w:pPr>
        <w:spacing w:line="360" w:lineRule="auto"/>
        <w:rPr>
          <w:rFonts w:ascii="Baskerville Old Face" w:hAnsi="Baskerville Old Face"/>
          <w:b/>
          <w:bCs/>
          <w:i/>
          <w:iCs/>
        </w:rPr>
      </w:pPr>
      <w:r w:rsidRPr="00B479AE">
        <w:rPr>
          <w:rFonts w:ascii="Baskerville Old Face" w:hAnsi="Baskerville Old Face"/>
          <w:b/>
          <w:bCs/>
          <w:i/>
          <w:iCs/>
        </w:rPr>
        <w:lastRenderedPageBreak/>
        <w:t>12.2 Agent-Centric Infrastructure</w:t>
      </w:r>
    </w:p>
    <w:p w14:paraId="7679B18A"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Prometheus may use Holochain-compatible, agent-centric infrastructure because regenerative systems are contextual, distributed, relational, and locally grounded.</w:t>
      </w:r>
    </w:p>
    <w:p w14:paraId="359CFC4F"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In an agent-centric architecture, each participant may maintain a signed source chain representing its own actions, records, credentials, commitments, observations, and governance events.</w:t>
      </w:r>
    </w:p>
    <w:p w14:paraId="6288423B"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Shared data may be published, validated, retrieved, or referenced through distributed rules and application-specific validation logic.</w:t>
      </w:r>
    </w:p>
    <w:p w14:paraId="2061C1FA"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This architecture is compatible with Prometheus because ecological truth is not a single global abstraction.</w:t>
      </w:r>
    </w:p>
    <w:p w14:paraId="615B66EA"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is generated through place, time, stewardship, method, evidence, and context.</w:t>
      </w:r>
    </w:p>
    <w:p w14:paraId="0A8809B6"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Agent-centric infrastructure may support:</w:t>
      </w:r>
    </w:p>
    <w:p w14:paraId="1FE93168"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 participant source-chain records;</w:t>
      </w:r>
      <w:r w:rsidRPr="00B479AE">
        <w:rPr>
          <w:rFonts w:ascii="Baskerville Old Face" w:hAnsi="Baskerville Old Face"/>
          <w:i/>
          <w:iCs/>
        </w:rPr>
        <w:br/>
        <w:t>• Access Covenant acceptance events;</w:t>
      </w:r>
      <w:r w:rsidRPr="00B479AE">
        <w:rPr>
          <w:rFonts w:ascii="Baskerville Old Face" w:hAnsi="Baskerville Old Face"/>
          <w:i/>
          <w:iCs/>
        </w:rPr>
        <w:br/>
        <w:t>• governance participation records;</w:t>
      </w:r>
      <w:r w:rsidRPr="00B479AE">
        <w:rPr>
          <w:rFonts w:ascii="Baskerville Old Face" w:hAnsi="Baskerville Old Face"/>
          <w:i/>
          <w:iCs/>
        </w:rPr>
        <w:br/>
        <w:t>• MRV submissions;</w:t>
      </w:r>
      <w:r w:rsidRPr="00B479AE">
        <w:rPr>
          <w:rFonts w:ascii="Baskerville Old Face" w:hAnsi="Baskerville Old Face"/>
          <w:i/>
          <w:iCs/>
        </w:rPr>
        <w:br/>
        <w:t>• operational events;</w:t>
      </w:r>
      <w:r w:rsidRPr="00B479AE">
        <w:rPr>
          <w:rFonts w:ascii="Baskerville Old Face" w:hAnsi="Baskerville Old Face"/>
          <w:i/>
          <w:iCs/>
        </w:rPr>
        <w:br/>
        <w:t>• Valueflows / REA-compatible records;</w:t>
      </w:r>
      <w:r w:rsidRPr="00B479AE">
        <w:rPr>
          <w:rFonts w:ascii="Baskerville Old Face" w:hAnsi="Baskerville Old Face"/>
          <w:i/>
          <w:iCs/>
        </w:rPr>
        <w:br/>
        <w:t>• role and permission status;</w:t>
      </w:r>
      <w:r w:rsidRPr="00B479AE">
        <w:rPr>
          <w:rFonts w:ascii="Baskerville Old Face" w:hAnsi="Baskerville Old Face"/>
          <w:i/>
          <w:iCs/>
        </w:rPr>
        <w:br/>
        <w:t>• methodology version references;</w:t>
      </w:r>
      <w:r w:rsidRPr="00B479AE">
        <w:rPr>
          <w:rFonts w:ascii="Baskerville Old Face" w:hAnsi="Baskerville Old Face"/>
          <w:i/>
          <w:iCs/>
        </w:rPr>
        <w:br/>
        <w:t>• data provenance;</w:t>
      </w:r>
      <w:r w:rsidRPr="00B479AE">
        <w:rPr>
          <w:rFonts w:ascii="Baskerville Old Face" w:hAnsi="Baskerville Old Face"/>
          <w:i/>
          <w:iCs/>
        </w:rPr>
        <w:br/>
        <w:t>• validation outcomes;</w:t>
      </w:r>
      <w:r w:rsidRPr="00B479AE">
        <w:rPr>
          <w:rFonts w:ascii="Baskerville Old Face" w:hAnsi="Baskerville Old Face"/>
          <w:i/>
          <w:iCs/>
        </w:rPr>
        <w:br/>
        <w:t>• warrant or integrity signals where implemented;</w:t>
      </w:r>
      <w:r w:rsidRPr="00B479AE">
        <w:rPr>
          <w:rFonts w:ascii="Baskerville Old Face" w:hAnsi="Baskerville Old Face"/>
          <w:i/>
          <w:iCs/>
        </w:rPr>
        <w:br/>
        <w:t>• audit trails;</w:t>
      </w:r>
      <w:r w:rsidRPr="00B479AE">
        <w:rPr>
          <w:rFonts w:ascii="Baskerville Old Face" w:hAnsi="Baskerville Old Face"/>
          <w:i/>
          <w:iCs/>
        </w:rPr>
        <w:br/>
        <w:t>• revocation or suspension status where governed.</w:t>
      </w:r>
    </w:p>
    <w:p w14:paraId="501935A7"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However, agent-centric infrastructure does not by itself create financial rights, ecological value, investor entitlement, land rights, PRU value, or governance authority.</w:t>
      </w:r>
    </w:p>
    <w:p w14:paraId="722C1D75"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creates a technical substrate for traceable, contextual, permissioned, and reviewable participation.</w:t>
      </w:r>
    </w:p>
    <w:p w14:paraId="217310E2"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source chain records what an agent did.</w:t>
      </w:r>
    </w:p>
    <w:p w14:paraId="565B7FD9"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lastRenderedPageBreak/>
        <w:t>The constitution defines whether the action is valid.</w:t>
      </w:r>
    </w:p>
    <w:p w14:paraId="0F448831"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MRV determines whether evidence is admissible.</w:t>
      </w:r>
    </w:p>
    <w:p w14:paraId="532989E7"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Governance determines whether action is authorized.</w:t>
      </w:r>
    </w:p>
    <w:p w14:paraId="7B9C5568"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Legal instruments determine whether rights exist.</w:t>
      </w:r>
    </w:p>
    <w:p w14:paraId="1397914D" w14:textId="77777777" w:rsidR="00495E1A" w:rsidRPr="00B479AE" w:rsidRDefault="00495E1A" w:rsidP="00495E1A">
      <w:pPr>
        <w:spacing w:line="360" w:lineRule="auto"/>
        <w:rPr>
          <w:rFonts w:ascii="Baskerville Old Face" w:hAnsi="Baskerville Old Face"/>
          <w:b/>
          <w:bCs/>
          <w:i/>
          <w:iCs/>
        </w:rPr>
      </w:pPr>
      <w:r w:rsidRPr="00B479AE">
        <w:rPr>
          <w:rFonts w:ascii="Baskerville Old Face" w:hAnsi="Baskerville Old Face"/>
          <w:b/>
          <w:bCs/>
          <w:i/>
          <w:iCs/>
        </w:rPr>
        <w:t>12.3 Source-Chain Records and Constitutional Traceability</w:t>
      </w:r>
    </w:p>
    <w:p w14:paraId="38ADEDF9"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Prometheus should use signed records wherever traceability matters.</w:t>
      </w:r>
    </w:p>
    <w:p w14:paraId="038F2960"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signed record may include:</w:t>
      </w:r>
    </w:p>
    <w:p w14:paraId="2632F908"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 actor or agent identity;</w:t>
      </w:r>
      <w:r w:rsidRPr="00B479AE">
        <w:rPr>
          <w:rFonts w:ascii="Baskerville Old Face" w:hAnsi="Baskerville Old Face"/>
          <w:i/>
          <w:iCs/>
        </w:rPr>
        <w:br/>
        <w:t>• role or authority context;</w:t>
      </w:r>
      <w:r w:rsidRPr="00B479AE">
        <w:rPr>
          <w:rFonts w:ascii="Baskerville Old Face" w:hAnsi="Baskerville Old Face"/>
          <w:i/>
          <w:iCs/>
        </w:rPr>
        <w:br/>
        <w:t>• timestamp;</w:t>
      </w:r>
      <w:r w:rsidRPr="00B479AE">
        <w:rPr>
          <w:rFonts w:ascii="Baskerville Old Face" w:hAnsi="Baskerville Old Face"/>
          <w:i/>
          <w:iCs/>
        </w:rPr>
        <w:br/>
        <w:t>• action type;</w:t>
      </w:r>
      <w:r w:rsidRPr="00B479AE">
        <w:rPr>
          <w:rFonts w:ascii="Baskerville Old Face" w:hAnsi="Baskerville Old Face"/>
          <w:i/>
          <w:iCs/>
        </w:rPr>
        <w:br/>
        <w:t>• referenced methodology version;</w:t>
      </w:r>
      <w:r w:rsidRPr="00B479AE">
        <w:rPr>
          <w:rFonts w:ascii="Baskerville Old Face" w:hAnsi="Baskerville Old Face"/>
          <w:i/>
          <w:iCs/>
        </w:rPr>
        <w:br/>
        <w:t>• referenced constitutional or Covenant version;</w:t>
      </w:r>
      <w:r w:rsidRPr="00B479AE">
        <w:rPr>
          <w:rFonts w:ascii="Baskerville Old Face" w:hAnsi="Baskerville Old Face"/>
          <w:i/>
          <w:iCs/>
        </w:rPr>
        <w:br/>
        <w:t>• evidence reference;</w:t>
      </w:r>
      <w:r w:rsidRPr="00B479AE">
        <w:rPr>
          <w:rFonts w:ascii="Baskerville Old Face" w:hAnsi="Baskerville Old Face"/>
          <w:i/>
          <w:iCs/>
        </w:rPr>
        <w:br/>
        <w:t>• hash of associated document or dataset;</w:t>
      </w:r>
      <w:r w:rsidRPr="00B479AE">
        <w:rPr>
          <w:rFonts w:ascii="Baskerville Old Face" w:hAnsi="Baskerville Old Face"/>
          <w:i/>
          <w:iCs/>
        </w:rPr>
        <w:br/>
        <w:t>• location or site reference where relevant;</w:t>
      </w:r>
      <w:r w:rsidRPr="00B479AE">
        <w:rPr>
          <w:rFonts w:ascii="Baskerville Old Face" w:hAnsi="Baskerville Old Face"/>
          <w:i/>
          <w:iCs/>
        </w:rPr>
        <w:br/>
        <w:t>• access scope;</w:t>
      </w:r>
      <w:r w:rsidRPr="00B479AE">
        <w:rPr>
          <w:rFonts w:ascii="Baskerville Old Face" w:hAnsi="Baskerville Old Face"/>
          <w:i/>
          <w:iCs/>
        </w:rPr>
        <w:br/>
        <w:t>• permissions used;</w:t>
      </w:r>
      <w:r w:rsidRPr="00B479AE">
        <w:rPr>
          <w:rFonts w:ascii="Baskerville Old Face" w:hAnsi="Baskerville Old Face"/>
          <w:i/>
          <w:iCs/>
        </w:rPr>
        <w:br/>
        <w:t>• reviewer or validator reference where applicable;</w:t>
      </w:r>
      <w:r w:rsidRPr="00B479AE">
        <w:rPr>
          <w:rFonts w:ascii="Baskerville Old Face" w:hAnsi="Baskerville Old Face"/>
          <w:i/>
          <w:iCs/>
        </w:rPr>
        <w:br/>
        <w:t>• confidence or status field where relevant.</w:t>
      </w:r>
    </w:p>
    <w:p w14:paraId="0C886161"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Such records may support:</w:t>
      </w:r>
    </w:p>
    <w:p w14:paraId="670C85ED"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 Access Covenant traceability;</w:t>
      </w:r>
      <w:r w:rsidRPr="00B479AE">
        <w:rPr>
          <w:rFonts w:ascii="Baskerville Old Face" w:hAnsi="Baskerville Old Face"/>
          <w:i/>
          <w:iCs/>
        </w:rPr>
        <w:br/>
        <w:t>• eligibility status;</w:t>
      </w:r>
      <w:r w:rsidRPr="00B479AE">
        <w:rPr>
          <w:rFonts w:ascii="Baskerville Old Face" w:hAnsi="Baskerville Old Face"/>
          <w:i/>
          <w:iCs/>
        </w:rPr>
        <w:br/>
        <w:t>• governance decisions;</w:t>
      </w:r>
      <w:r w:rsidRPr="00B479AE">
        <w:rPr>
          <w:rFonts w:ascii="Baskerville Old Face" w:hAnsi="Baskerville Old Face"/>
          <w:i/>
          <w:iCs/>
        </w:rPr>
        <w:br/>
        <w:t>• operational events;</w:t>
      </w:r>
      <w:r w:rsidRPr="00B479AE">
        <w:rPr>
          <w:rFonts w:ascii="Baskerville Old Face" w:hAnsi="Baskerville Old Face"/>
          <w:i/>
          <w:iCs/>
        </w:rPr>
        <w:br/>
        <w:t>• MRV submissions;</w:t>
      </w:r>
      <w:r w:rsidRPr="00B479AE">
        <w:rPr>
          <w:rFonts w:ascii="Baskerville Old Face" w:hAnsi="Baskerville Old Face"/>
          <w:i/>
          <w:iCs/>
        </w:rPr>
        <w:br/>
        <w:t>• evidence provenance;</w:t>
      </w:r>
      <w:r w:rsidRPr="00B479AE">
        <w:rPr>
          <w:rFonts w:ascii="Baskerville Old Face" w:hAnsi="Baskerville Old Face"/>
          <w:i/>
          <w:iCs/>
        </w:rPr>
        <w:br/>
        <w:t>• PRU methodology references;</w:t>
      </w:r>
      <w:r w:rsidRPr="00B479AE">
        <w:rPr>
          <w:rFonts w:ascii="Baskerville Old Face" w:hAnsi="Baskerville Old Face"/>
          <w:i/>
          <w:iCs/>
        </w:rPr>
        <w:br/>
        <w:t>• auditability;</w:t>
      </w:r>
      <w:r w:rsidRPr="00B479AE">
        <w:rPr>
          <w:rFonts w:ascii="Baskerville Old Face" w:hAnsi="Baskerville Old Face"/>
          <w:i/>
          <w:iCs/>
        </w:rPr>
        <w:br/>
      </w:r>
      <w:r w:rsidRPr="00B479AE">
        <w:rPr>
          <w:rFonts w:ascii="Baskerville Old Face" w:hAnsi="Baskerville Old Face"/>
          <w:i/>
          <w:iCs/>
        </w:rPr>
        <w:lastRenderedPageBreak/>
        <w:t>• data-room formation;</w:t>
      </w:r>
      <w:r w:rsidRPr="00B479AE">
        <w:rPr>
          <w:rFonts w:ascii="Baskerville Old Face" w:hAnsi="Baskerville Old Face"/>
          <w:i/>
          <w:iCs/>
        </w:rPr>
        <w:br/>
        <w:t>• dispute reconstruction;</w:t>
      </w:r>
      <w:r w:rsidRPr="00B479AE">
        <w:rPr>
          <w:rFonts w:ascii="Baskerville Old Face" w:hAnsi="Baskerville Old Face"/>
          <w:i/>
          <w:iCs/>
        </w:rPr>
        <w:br/>
        <w:t>• institutional due diligence.</w:t>
      </w:r>
    </w:p>
    <w:p w14:paraId="667ABE12"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objective is not theatrical immutability.</w:t>
      </w:r>
    </w:p>
    <w:p w14:paraId="0DDAA4BD"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objective is constitutional traceability.</w:t>
      </w:r>
    </w:p>
    <w:p w14:paraId="17EEA53A"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mature Prometheus system should be able to answer:</w:t>
      </w:r>
    </w:p>
    <w:p w14:paraId="39456F3F"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who acted;</w:t>
      </w:r>
      <w:r w:rsidRPr="00B479AE">
        <w:rPr>
          <w:rFonts w:ascii="Baskerville Old Face" w:hAnsi="Baskerville Old Face"/>
          <w:i/>
          <w:iCs/>
        </w:rPr>
        <w:br/>
        <w:t>under what authority;</w:t>
      </w:r>
      <w:r w:rsidRPr="00B479AE">
        <w:rPr>
          <w:rFonts w:ascii="Baskerville Old Face" w:hAnsi="Baskerville Old Face"/>
          <w:i/>
          <w:iCs/>
        </w:rPr>
        <w:br/>
        <w:t>according to which version;</w:t>
      </w:r>
      <w:r w:rsidRPr="00B479AE">
        <w:rPr>
          <w:rFonts w:ascii="Baskerville Old Face" w:hAnsi="Baskerville Old Face"/>
          <w:i/>
          <w:iCs/>
        </w:rPr>
        <w:br/>
        <w:t>with what evidence;</w:t>
      </w:r>
      <w:r w:rsidRPr="00B479AE">
        <w:rPr>
          <w:rFonts w:ascii="Baskerville Old Face" w:hAnsi="Baskerville Old Face"/>
          <w:i/>
          <w:iCs/>
        </w:rPr>
        <w:br/>
        <w:t>under what method;</w:t>
      </w:r>
      <w:r w:rsidRPr="00B479AE">
        <w:rPr>
          <w:rFonts w:ascii="Baskerville Old Face" w:hAnsi="Baskerville Old Face"/>
          <w:i/>
          <w:iCs/>
        </w:rPr>
        <w:br/>
        <w:t>with what confidence;</w:t>
      </w:r>
      <w:r w:rsidRPr="00B479AE">
        <w:rPr>
          <w:rFonts w:ascii="Baskerville Old Face" w:hAnsi="Baskerville Old Face"/>
          <w:i/>
          <w:iCs/>
        </w:rPr>
        <w:br/>
        <w:t>with what review status;</w:t>
      </w:r>
      <w:r w:rsidRPr="00B479AE">
        <w:rPr>
          <w:rFonts w:ascii="Baskerville Old Face" w:hAnsi="Baskerville Old Face"/>
          <w:i/>
          <w:iCs/>
        </w:rPr>
        <w:br/>
        <w:t>with what consequence.</w:t>
      </w:r>
    </w:p>
    <w:p w14:paraId="37C9A12C"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That is the technical spine of institutional trust.</w:t>
      </w:r>
    </w:p>
    <w:p w14:paraId="1D00BCE3" w14:textId="77777777" w:rsidR="00495E1A" w:rsidRPr="00B479AE" w:rsidRDefault="00495E1A" w:rsidP="00495E1A">
      <w:pPr>
        <w:spacing w:line="360" w:lineRule="auto"/>
        <w:rPr>
          <w:rFonts w:ascii="Baskerville Old Face" w:hAnsi="Baskerville Old Face"/>
          <w:b/>
          <w:bCs/>
          <w:i/>
          <w:iCs/>
        </w:rPr>
      </w:pPr>
      <w:r w:rsidRPr="00B479AE">
        <w:rPr>
          <w:rFonts w:ascii="Baskerville Old Face" w:hAnsi="Baskerville Old Face"/>
          <w:b/>
          <w:bCs/>
          <w:i/>
          <w:iCs/>
        </w:rPr>
        <w:t>12.4 Permission Architecture</w:t>
      </w:r>
    </w:p>
    <w:p w14:paraId="405B098F"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Prometheus should implement permissions as role-scoped, risk-sensitive, and Covenant-dependent.</w:t>
      </w:r>
    </w:p>
    <w:p w14:paraId="7F8A9C85"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No participant should receive undefined access.</w:t>
      </w:r>
    </w:p>
    <w:p w14:paraId="03A397E6"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Permissions should distinguish among:</w:t>
      </w:r>
    </w:p>
    <w:p w14:paraId="36071684"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 learning access;</w:t>
      </w:r>
      <w:r w:rsidRPr="00B479AE">
        <w:rPr>
          <w:rFonts w:ascii="Baskerville Old Face" w:hAnsi="Baskerville Old Face"/>
          <w:i/>
          <w:iCs/>
        </w:rPr>
        <w:br/>
        <w:t>• community access;</w:t>
      </w:r>
      <w:r w:rsidRPr="00B479AE">
        <w:rPr>
          <w:rFonts w:ascii="Baskerville Old Face" w:hAnsi="Baskerville Old Face"/>
          <w:i/>
          <w:iCs/>
        </w:rPr>
        <w:br/>
        <w:t>• governance access;</w:t>
      </w:r>
      <w:r w:rsidRPr="00B479AE">
        <w:rPr>
          <w:rFonts w:ascii="Baskerville Old Face" w:hAnsi="Baskerville Old Face"/>
          <w:i/>
          <w:iCs/>
        </w:rPr>
        <w:br/>
        <w:t>• operational access;</w:t>
      </w:r>
      <w:r w:rsidRPr="00B479AE">
        <w:rPr>
          <w:rFonts w:ascii="Baskerville Old Face" w:hAnsi="Baskerville Old Face"/>
          <w:i/>
          <w:iCs/>
        </w:rPr>
        <w:br/>
        <w:t>• MRV submission access;</w:t>
      </w:r>
      <w:r w:rsidRPr="00B479AE">
        <w:rPr>
          <w:rFonts w:ascii="Baskerville Old Face" w:hAnsi="Baskerville Old Face"/>
          <w:i/>
          <w:iCs/>
        </w:rPr>
        <w:br/>
        <w:t>• MRV validation access;</w:t>
      </w:r>
      <w:r w:rsidRPr="00B479AE">
        <w:rPr>
          <w:rFonts w:ascii="Baskerville Old Face" w:hAnsi="Baskerville Old Face"/>
          <w:i/>
          <w:iCs/>
        </w:rPr>
        <w:br/>
        <w:t>• data-room access;</w:t>
      </w:r>
      <w:r w:rsidRPr="00B479AE">
        <w:rPr>
          <w:rFonts w:ascii="Baskerville Old Face" w:hAnsi="Baskerville Old Face"/>
          <w:i/>
          <w:iCs/>
        </w:rPr>
        <w:br/>
        <w:t>• technical administration;</w:t>
      </w:r>
      <w:r w:rsidRPr="00B479AE">
        <w:rPr>
          <w:rFonts w:ascii="Baskerville Old Face" w:hAnsi="Baskerville Old Face"/>
          <w:i/>
          <w:iCs/>
        </w:rPr>
        <w:br/>
        <w:t>• API access;</w:t>
      </w:r>
      <w:r w:rsidRPr="00B479AE">
        <w:rPr>
          <w:rFonts w:ascii="Baskerville Old Face" w:hAnsi="Baskerville Old Face"/>
          <w:i/>
          <w:iCs/>
        </w:rPr>
        <w:br/>
      </w:r>
      <w:r w:rsidRPr="00B479AE">
        <w:rPr>
          <w:rFonts w:ascii="Baskerville Old Face" w:hAnsi="Baskerville Old Face"/>
          <w:i/>
          <w:iCs/>
        </w:rPr>
        <w:lastRenderedPageBreak/>
        <w:t>• capital-facing access;</w:t>
      </w:r>
      <w:r w:rsidRPr="00B479AE">
        <w:rPr>
          <w:rFonts w:ascii="Baskerville Old Face" w:hAnsi="Baskerville Old Face"/>
          <w:i/>
          <w:iCs/>
        </w:rPr>
        <w:br/>
        <w:t>• institutional reporting access;</w:t>
      </w:r>
      <w:r w:rsidRPr="00B479AE">
        <w:rPr>
          <w:rFonts w:ascii="Baskerville Old Face" w:hAnsi="Baskerville Old Face"/>
          <w:i/>
          <w:iCs/>
        </w:rPr>
        <w:br/>
        <w:t>• token-mediated participation where legally and technically available;</w:t>
      </w:r>
      <w:r w:rsidRPr="00B479AE">
        <w:rPr>
          <w:rFonts w:ascii="Baskerville Old Face" w:hAnsi="Baskerville Old Face"/>
          <w:i/>
          <w:iCs/>
        </w:rPr>
        <w:br/>
        <w:t>• constitutional review access.</w:t>
      </w:r>
    </w:p>
    <w:p w14:paraId="48F79620"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Each permission should be linked to:</w:t>
      </w:r>
    </w:p>
    <w:p w14:paraId="5D473119"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 Access Covenant status;</w:t>
      </w:r>
      <w:r w:rsidRPr="00B479AE">
        <w:rPr>
          <w:rFonts w:ascii="Baskerville Old Face" w:hAnsi="Baskerville Old Face"/>
          <w:i/>
          <w:iCs/>
        </w:rPr>
        <w:br/>
        <w:t>• eligibility category;</w:t>
      </w:r>
      <w:r w:rsidRPr="00B479AE">
        <w:rPr>
          <w:rFonts w:ascii="Baskerville Old Face" w:hAnsi="Baskerville Old Face"/>
          <w:i/>
          <w:iCs/>
        </w:rPr>
        <w:br/>
        <w:t>• role;</w:t>
      </w:r>
      <w:r w:rsidRPr="00B479AE">
        <w:rPr>
          <w:rFonts w:ascii="Baskerville Old Face" w:hAnsi="Baskerville Old Face"/>
          <w:i/>
          <w:iCs/>
        </w:rPr>
        <w:br/>
        <w:t>• scope;</w:t>
      </w:r>
      <w:r w:rsidRPr="00B479AE">
        <w:rPr>
          <w:rFonts w:ascii="Baskerville Old Face" w:hAnsi="Baskerville Old Face"/>
          <w:i/>
          <w:iCs/>
        </w:rPr>
        <w:br/>
        <w:t>• expiration or review date where relevant;</w:t>
      </w:r>
      <w:r w:rsidRPr="00B479AE">
        <w:rPr>
          <w:rFonts w:ascii="Baskerville Old Face" w:hAnsi="Baskerville Old Face"/>
          <w:i/>
          <w:iCs/>
        </w:rPr>
        <w:br/>
        <w:t>• restrictions;</w:t>
      </w:r>
      <w:r w:rsidRPr="00B479AE">
        <w:rPr>
          <w:rFonts w:ascii="Baskerville Old Face" w:hAnsi="Baskerville Old Face"/>
          <w:i/>
          <w:iCs/>
        </w:rPr>
        <w:br/>
        <w:t>• escalation pathway;</w:t>
      </w:r>
      <w:r w:rsidRPr="00B479AE">
        <w:rPr>
          <w:rFonts w:ascii="Baskerville Old Face" w:hAnsi="Baskerville Old Face"/>
          <w:i/>
          <w:iCs/>
        </w:rPr>
        <w:br/>
        <w:t>• revocation pathway;</w:t>
      </w:r>
      <w:r w:rsidRPr="00B479AE">
        <w:rPr>
          <w:rFonts w:ascii="Baskerville Old Face" w:hAnsi="Baskerville Old Face"/>
          <w:i/>
          <w:iCs/>
        </w:rPr>
        <w:br/>
        <w:t>• audit log.</w:t>
      </w:r>
    </w:p>
    <w:p w14:paraId="0F33865E"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Prometheus should follow least-privilege design.</w:t>
      </w:r>
    </w:p>
    <w:p w14:paraId="46B68868"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participant should hold only the permissions required for the role actually granted.</w:t>
      </w:r>
    </w:p>
    <w:p w14:paraId="639BE9D3"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community role does not automatically create Prometheus authority.</w:t>
      </w:r>
    </w:p>
    <w:p w14:paraId="6F664101"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token status does not automatically create governance authority.</w:t>
      </w:r>
    </w:p>
    <w:p w14:paraId="40D8BF25"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technical administrator does not automatically create constitutional authority.</w:t>
      </w:r>
    </w:p>
    <w:p w14:paraId="5629CAFA"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capital allocator does not automatically create data-room or investor-facing authority.</w:t>
      </w:r>
    </w:p>
    <w:p w14:paraId="1C5CBF2D"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permission system exists to prevent category collapse from becoming execution.</w:t>
      </w:r>
    </w:p>
    <w:p w14:paraId="1389AC4F" w14:textId="77777777" w:rsidR="00495E1A" w:rsidRPr="00B479AE" w:rsidRDefault="00495E1A" w:rsidP="00495E1A">
      <w:pPr>
        <w:spacing w:line="360" w:lineRule="auto"/>
        <w:rPr>
          <w:rFonts w:ascii="Baskerville Old Face" w:hAnsi="Baskerville Old Face"/>
          <w:b/>
          <w:bCs/>
          <w:i/>
          <w:iCs/>
        </w:rPr>
      </w:pPr>
      <w:r w:rsidRPr="00B479AE">
        <w:rPr>
          <w:rFonts w:ascii="Baskerville Old Face" w:hAnsi="Baskerville Old Face"/>
          <w:b/>
          <w:bCs/>
          <w:i/>
          <w:iCs/>
        </w:rPr>
        <w:t>12.5 Constitutional Policy Engine</w:t>
      </w:r>
    </w:p>
    <w:p w14:paraId="23A412C4"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mature Prometheus implementation may include a constitutional policy engine.</w:t>
      </w:r>
    </w:p>
    <w:p w14:paraId="6870A84A"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policy engine does not replace the constitution.</w:t>
      </w:r>
    </w:p>
    <w:p w14:paraId="44F51CD6"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operationalizes selected constraints.</w:t>
      </w:r>
    </w:p>
    <w:p w14:paraId="0A60248C"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may evaluate whether a requested action is compatible with:</w:t>
      </w:r>
    </w:p>
    <w:p w14:paraId="2566CA6E"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lastRenderedPageBreak/>
        <w:t>• Access Covenant status;</w:t>
      </w:r>
      <w:r w:rsidRPr="00B479AE">
        <w:rPr>
          <w:rFonts w:ascii="Baskerville Old Face" w:hAnsi="Baskerville Old Face"/>
          <w:i/>
          <w:iCs/>
        </w:rPr>
        <w:br/>
        <w:t>• eligibility status;</w:t>
      </w:r>
      <w:r w:rsidRPr="00B479AE">
        <w:rPr>
          <w:rFonts w:ascii="Baskerville Old Face" w:hAnsi="Baskerville Old Face"/>
          <w:i/>
          <w:iCs/>
        </w:rPr>
        <w:br/>
        <w:t>• role authority;</w:t>
      </w:r>
      <w:r w:rsidRPr="00B479AE">
        <w:rPr>
          <w:rFonts w:ascii="Baskerville Old Face" w:hAnsi="Baskerville Old Face"/>
          <w:i/>
          <w:iCs/>
        </w:rPr>
        <w:br/>
        <w:t>• permission scope;</w:t>
      </w:r>
      <w:r w:rsidRPr="00B479AE">
        <w:rPr>
          <w:rFonts w:ascii="Baskerville Old Face" w:hAnsi="Baskerville Old Face"/>
          <w:i/>
          <w:iCs/>
        </w:rPr>
        <w:br/>
        <w:t>• methodology version;</w:t>
      </w:r>
      <w:r w:rsidRPr="00B479AE">
        <w:rPr>
          <w:rFonts w:ascii="Baskerville Old Face" w:hAnsi="Baskerville Old Face"/>
          <w:i/>
          <w:iCs/>
        </w:rPr>
        <w:br/>
        <w:t>• MRV admissibility status;</w:t>
      </w:r>
      <w:r w:rsidRPr="00B479AE">
        <w:rPr>
          <w:rFonts w:ascii="Baskerville Old Face" w:hAnsi="Baskerville Old Face"/>
          <w:i/>
          <w:iCs/>
        </w:rPr>
        <w:br/>
        <w:t>• PRU / RAP boundary;</w:t>
      </w:r>
      <w:r w:rsidRPr="00B479AE">
        <w:rPr>
          <w:rFonts w:ascii="Baskerville Old Face" w:hAnsi="Baskerville Old Face"/>
          <w:i/>
          <w:iCs/>
        </w:rPr>
        <w:br/>
        <w:t>• token boundary;</w:t>
      </w:r>
      <w:r w:rsidRPr="00B479AE">
        <w:rPr>
          <w:rFonts w:ascii="Baskerville Old Face" w:hAnsi="Baskerville Old Face"/>
          <w:i/>
          <w:iCs/>
        </w:rPr>
        <w:br/>
        <w:t>• data-access rules;</w:t>
      </w:r>
      <w:r w:rsidRPr="00B479AE">
        <w:rPr>
          <w:rFonts w:ascii="Baskerville Old Face" w:hAnsi="Baskerville Old Face"/>
          <w:i/>
          <w:iCs/>
        </w:rPr>
        <w:br/>
        <w:t>• legal-review requirements;</w:t>
      </w:r>
      <w:r w:rsidRPr="00B479AE">
        <w:rPr>
          <w:rFonts w:ascii="Baskerville Old Face" w:hAnsi="Baskerville Old Face"/>
          <w:i/>
          <w:iCs/>
        </w:rPr>
        <w:br/>
        <w:t>• governance-review requirements;</w:t>
      </w:r>
      <w:r w:rsidRPr="00B479AE">
        <w:rPr>
          <w:rFonts w:ascii="Baskerville Old Face" w:hAnsi="Baskerville Old Face"/>
          <w:i/>
          <w:iCs/>
        </w:rPr>
        <w:br/>
        <w:t>• emergency limitations;</w:t>
      </w:r>
      <w:r w:rsidRPr="00B479AE">
        <w:rPr>
          <w:rFonts w:ascii="Baskerville Old Face" w:hAnsi="Baskerville Old Face"/>
          <w:i/>
          <w:iCs/>
        </w:rPr>
        <w:br/>
        <w:t>• non-admissibility flags;</w:t>
      </w:r>
      <w:r w:rsidRPr="00B479AE">
        <w:rPr>
          <w:rFonts w:ascii="Baskerville Old Face" w:hAnsi="Baskerville Old Face"/>
          <w:i/>
          <w:iCs/>
        </w:rPr>
        <w:br/>
        <w:t>• quarantine status.</w:t>
      </w:r>
    </w:p>
    <w:p w14:paraId="7370A0F2"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Possible policy outcomes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0"/>
        <w:gridCol w:w="6908"/>
      </w:tblGrid>
      <w:tr w:rsidR="00495E1A" w:rsidRPr="00B479AE" w14:paraId="53074CA1" w14:textId="77777777" w:rsidTr="00495E1A">
        <w:trPr>
          <w:tblHeader/>
          <w:tblCellSpacing w:w="15" w:type="dxa"/>
        </w:trPr>
        <w:tc>
          <w:tcPr>
            <w:tcW w:w="0" w:type="auto"/>
            <w:vAlign w:val="center"/>
            <w:hideMark/>
          </w:tcPr>
          <w:p w14:paraId="42DB4C97" w14:textId="77777777" w:rsidR="00495E1A" w:rsidRPr="00B479AE" w:rsidRDefault="00495E1A" w:rsidP="00495E1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Policy outcome</w:t>
            </w:r>
          </w:p>
        </w:tc>
        <w:tc>
          <w:tcPr>
            <w:tcW w:w="0" w:type="auto"/>
            <w:vAlign w:val="center"/>
            <w:hideMark/>
          </w:tcPr>
          <w:p w14:paraId="72160D40" w14:textId="77777777" w:rsidR="00495E1A" w:rsidRPr="00B479AE" w:rsidRDefault="00495E1A" w:rsidP="00495E1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r>
      <w:tr w:rsidR="00495E1A" w:rsidRPr="00B479AE" w14:paraId="43947386" w14:textId="77777777" w:rsidTr="00495E1A">
        <w:trPr>
          <w:tblCellSpacing w:w="15" w:type="dxa"/>
        </w:trPr>
        <w:tc>
          <w:tcPr>
            <w:tcW w:w="0" w:type="auto"/>
            <w:vAlign w:val="center"/>
            <w:hideMark/>
          </w:tcPr>
          <w:p w14:paraId="5A13AA68"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Allow</w:t>
            </w:r>
          </w:p>
        </w:tc>
        <w:tc>
          <w:tcPr>
            <w:tcW w:w="0" w:type="auto"/>
            <w:vAlign w:val="center"/>
            <w:hideMark/>
          </w:tcPr>
          <w:p w14:paraId="3F7D4387"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Action is within current permissions and constraints.</w:t>
            </w:r>
          </w:p>
        </w:tc>
      </w:tr>
      <w:tr w:rsidR="00495E1A" w:rsidRPr="00B479AE" w14:paraId="7009DBB2" w14:textId="77777777" w:rsidTr="00495E1A">
        <w:trPr>
          <w:tblCellSpacing w:w="15" w:type="dxa"/>
        </w:trPr>
        <w:tc>
          <w:tcPr>
            <w:tcW w:w="0" w:type="auto"/>
            <w:vAlign w:val="center"/>
            <w:hideMark/>
          </w:tcPr>
          <w:p w14:paraId="3120C195"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Allow with logging</w:t>
            </w:r>
          </w:p>
        </w:tc>
        <w:tc>
          <w:tcPr>
            <w:tcW w:w="0" w:type="auto"/>
            <w:vAlign w:val="center"/>
            <w:hideMark/>
          </w:tcPr>
          <w:p w14:paraId="50AF4C2B"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Action may proceed but must be recorded.</w:t>
            </w:r>
          </w:p>
        </w:tc>
      </w:tr>
      <w:tr w:rsidR="00495E1A" w:rsidRPr="00B479AE" w14:paraId="0BAAA0F2" w14:textId="77777777" w:rsidTr="00495E1A">
        <w:trPr>
          <w:tblCellSpacing w:w="15" w:type="dxa"/>
        </w:trPr>
        <w:tc>
          <w:tcPr>
            <w:tcW w:w="0" w:type="auto"/>
            <w:vAlign w:val="center"/>
            <w:hideMark/>
          </w:tcPr>
          <w:p w14:paraId="453E1FD8"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Allow with review flag</w:t>
            </w:r>
          </w:p>
        </w:tc>
        <w:tc>
          <w:tcPr>
            <w:tcW w:w="0" w:type="auto"/>
            <w:vAlign w:val="center"/>
            <w:hideMark/>
          </w:tcPr>
          <w:p w14:paraId="7B5875C3"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Action may proceed but requires subsequent review.</w:t>
            </w:r>
          </w:p>
        </w:tc>
      </w:tr>
      <w:tr w:rsidR="00495E1A" w:rsidRPr="00B479AE" w14:paraId="7C0F81E3" w14:textId="77777777" w:rsidTr="00495E1A">
        <w:trPr>
          <w:tblCellSpacing w:w="15" w:type="dxa"/>
        </w:trPr>
        <w:tc>
          <w:tcPr>
            <w:tcW w:w="0" w:type="auto"/>
            <w:vAlign w:val="center"/>
            <w:hideMark/>
          </w:tcPr>
          <w:p w14:paraId="2BED14FE"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Manual review required</w:t>
            </w:r>
          </w:p>
        </w:tc>
        <w:tc>
          <w:tcPr>
            <w:tcW w:w="0" w:type="auto"/>
            <w:vAlign w:val="center"/>
            <w:hideMark/>
          </w:tcPr>
          <w:p w14:paraId="414B2D23"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Action cannot proceed until reviewed.</w:t>
            </w:r>
          </w:p>
        </w:tc>
      </w:tr>
      <w:tr w:rsidR="00495E1A" w:rsidRPr="00B479AE" w14:paraId="6237AFA6" w14:textId="77777777" w:rsidTr="00495E1A">
        <w:trPr>
          <w:tblCellSpacing w:w="15" w:type="dxa"/>
        </w:trPr>
        <w:tc>
          <w:tcPr>
            <w:tcW w:w="0" w:type="auto"/>
            <w:vAlign w:val="center"/>
            <w:hideMark/>
          </w:tcPr>
          <w:p w14:paraId="79F6CA10"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Restricted</w:t>
            </w:r>
          </w:p>
        </w:tc>
        <w:tc>
          <w:tcPr>
            <w:tcW w:w="0" w:type="auto"/>
            <w:vAlign w:val="center"/>
            <w:hideMark/>
          </w:tcPr>
          <w:p w14:paraId="0BB2B789"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Action is outside current scope.</w:t>
            </w:r>
          </w:p>
        </w:tc>
      </w:tr>
      <w:tr w:rsidR="00495E1A" w:rsidRPr="00B479AE" w14:paraId="4F5670FD" w14:textId="77777777" w:rsidTr="00495E1A">
        <w:trPr>
          <w:tblCellSpacing w:w="15" w:type="dxa"/>
        </w:trPr>
        <w:tc>
          <w:tcPr>
            <w:tcW w:w="0" w:type="auto"/>
            <w:vAlign w:val="center"/>
            <w:hideMark/>
          </w:tcPr>
          <w:p w14:paraId="0D5A6BF1"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Rejected</w:t>
            </w:r>
          </w:p>
        </w:tc>
        <w:tc>
          <w:tcPr>
            <w:tcW w:w="0" w:type="auto"/>
            <w:vAlign w:val="center"/>
            <w:hideMark/>
          </w:tcPr>
          <w:p w14:paraId="60EBC0F5"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Action violates a rule or permission boundary.</w:t>
            </w:r>
          </w:p>
        </w:tc>
      </w:tr>
      <w:tr w:rsidR="00495E1A" w:rsidRPr="00B479AE" w14:paraId="1AEFF6CF" w14:textId="77777777" w:rsidTr="00495E1A">
        <w:trPr>
          <w:tblCellSpacing w:w="15" w:type="dxa"/>
        </w:trPr>
        <w:tc>
          <w:tcPr>
            <w:tcW w:w="0" w:type="auto"/>
            <w:vAlign w:val="center"/>
            <w:hideMark/>
          </w:tcPr>
          <w:p w14:paraId="423968A9"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Quarantined</w:t>
            </w:r>
          </w:p>
        </w:tc>
        <w:tc>
          <w:tcPr>
            <w:tcW w:w="0" w:type="auto"/>
            <w:vAlign w:val="center"/>
            <w:hideMark/>
          </w:tcPr>
          <w:p w14:paraId="2F70F190"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Action or record is isolated due to serious risk.</w:t>
            </w:r>
          </w:p>
        </w:tc>
      </w:tr>
      <w:tr w:rsidR="00495E1A" w:rsidRPr="00B479AE" w14:paraId="6EEE6F9A" w14:textId="77777777" w:rsidTr="00495E1A">
        <w:trPr>
          <w:tblCellSpacing w:w="15" w:type="dxa"/>
        </w:trPr>
        <w:tc>
          <w:tcPr>
            <w:tcW w:w="0" w:type="auto"/>
            <w:vAlign w:val="center"/>
            <w:hideMark/>
          </w:tcPr>
          <w:p w14:paraId="02DC2058"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Escalated</w:t>
            </w:r>
          </w:p>
        </w:tc>
        <w:tc>
          <w:tcPr>
            <w:tcW w:w="0" w:type="auto"/>
            <w:vAlign w:val="center"/>
            <w:hideMark/>
          </w:tcPr>
          <w:p w14:paraId="51D18BD6"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Action is routed to governance, legal, MRV, technical, or constitutional review.</w:t>
            </w:r>
          </w:p>
        </w:tc>
      </w:tr>
    </w:tbl>
    <w:p w14:paraId="4C3C5623"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policy engine may support non-bypassability.</w:t>
      </w:r>
    </w:p>
    <w:p w14:paraId="41C16BD5"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may not become sovereign.</w:t>
      </w:r>
    </w:p>
    <w:p w14:paraId="3452B288"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lastRenderedPageBreak/>
        <w:t>Where interpretation is required, the matter must route to the correct review pathway.</w:t>
      </w:r>
    </w:p>
    <w:p w14:paraId="5245D5F5" w14:textId="77777777" w:rsidR="00495E1A" w:rsidRPr="00B479AE" w:rsidRDefault="00495E1A" w:rsidP="00495E1A">
      <w:pPr>
        <w:spacing w:line="360" w:lineRule="auto"/>
        <w:rPr>
          <w:rFonts w:ascii="Baskerville Old Face" w:hAnsi="Baskerville Old Face"/>
          <w:b/>
          <w:bCs/>
          <w:i/>
          <w:iCs/>
        </w:rPr>
      </w:pPr>
      <w:r w:rsidRPr="00B479AE">
        <w:rPr>
          <w:rFonts w:ascii="Baskerville Old Face" w:hAnsi="Baskerville Old Face"/>
          <w:b/>
          <w:bCs/>
          <w:i/>
          <w:iCs/>
        </w:rPr>
        <w:t>12.6 Constitutional Header and Release Anchoring</w:t>
      </w:r>
    </w:p>
    <w:p w14:paraId="6CDF97E4" w14:textId="5DBEB480"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Prometheus may use a constitutional header or equivalent metadata structure to anchor software modules, data packages, methodologies, workflows, connectors, and governed components to canonical constitutional versions.</w:t>
      </w:r>
      <w:r w:rsidR="0016340F" w:rsidRPr="00B479AE">
        <w:rPr>
          <w:rFonts w:ascii="Baskerville Old Face" w:hAnsi="Baskerville Old Face"/>
          <w:i/>
          <w:iCs/>
        </w:rPr>
        <w:t xml:space="preserve"> </w:t>
      </w:r>
      <w:r w:rsidRPr="00B479AE">
        <w:rPr>
          <w:rFonts w:ascii="Baskerville Old Face" w:hAnsi="Baskerville Old Face"/>
          <w:i/>
          <w:iCs/>
        </w:rPr>
        <w:t>This header may include:</w:t>
      </w:r>
    </w:p>
    <w:p w14:paraId="58D307FA"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 component name;</w:t>
      </w:r>
      <w:r w:rsidRPr="00B479AE">
        <w:rPr>
          <w:rFonts w:ascii="Baskerville Old Face" w:hAnsi="Baskerville Old Face"/>
          <w:i/>
          <w:iCs/>
        </w:rPr>
        <w:br/>
        <w:t>• component type;</w:t>
      </w:r>
      <w:r w:rsidRPr="00B479AE">
        <w:rPr>
          <w:rFonts w:ascii="Baskerville Old Face" w:hAnsi="Baskerville Old Face"/>
          <w:i/>
          <w:iCs/>
        </w:rPr>
        <w:br/>
        <w:t>• version;</w:t>
      </w:r>
      <w:r w:rsidRPr="00B479AE">
        <w:rPr>
          <w:rFonts w:ascii="Baskerville Old Face" w:hAnsi="Baskerville Old Face"/>
          <w:i/>
          <w:iCs/>
        </w:rPr>
        <w:br/>
        <w:t>• hash of relevant constitutional text or release manifest;</w:t>
      </w:r>
      <w:r w:rsidRPr="00B479AE">
        <w:rPr>
          <w:rFonts w:ascii="Baskerville Old Face" w:hAnsi="Baskerville Old Face"/>
          <w:i/>
          <w:iCs/>
        </w:rPr>
        <w:br/>
        <w:t>• Access Covenant version reference;</w:t>
      </w:r>
      <w:r w:rsidRPr="00B479AE">
        <w:rPr>
          <w:rFonts w:ascii="Baskerville Old Face" w:hAnsi="Baskerville Old Face"/>
          <w:i/>
          <w:iCs/>
        </w:rPr>
        <w:br/>
        <w:t>• methodology version reference;</w:t>
      </w:r>
      <w:r w:rsidRPr="00B479AE">
        <w:rPr>
          <w:rFonts w:ascii="Baskerville Old Face" w:hAnsi="Baskerville Old Face"/>
          <w:i/>
          <w:iCs/>
        </w:rPr>
        <w:br/>
        <w:t>• developer or maintainer identity;</w:t>
      </w:r>
      <w:r w:rsidRPr="00B479AE">
        <w:rPr>
          <w:rFonts w:ascii="Baskerville Old Face" w:hAnsi="Baskerville Old Face"/>
          <w:i/>
          <w:iCs/>
        </w:rPr>
        <w:br/>
        <w:t>• signature;</w:t>
      </w:r>
      <w:r w:rsidRPr="00B479AE">
        <w:rPr>
          <w:rFonts w:ascii="Baskerville Old Face" w:hAnsi="Baskerville Old Face"/>
          <w:i/>
          <w:iCs/>
        </w:rPr>
        <w:br/>
        <w:t>• dependency list;</w:t>
      </w:r>
      <w:r w:rsidRPr="00B479AE">
        <w:rPr>
          <w:rFonts w:ascii="Baskerville Old Face" w:hAnsi="Baskerville Old Face"/>
          <w:i/>
          <w:iCs/>
        </w:rPr>
        <w:br/>
        <w:t>• permission class;</w:t>
      </w:r>
      <w:r w:rsidRPr="00B479AE">
        <w:rPr>
          <w:rFonts w:ascii="Baskerville Old Face" w:hAnsi="Baskerville Old Face"/>
          <w:i/>
          <w:iCs/>
        </w:rPr>
        <w:br/>
        <w:t>• risk class;</w:t>
      </w:r>
      <w:r w:rsidRPr="00B479AE">
        <w:rPr>
          <w:rFonts w:ascii="Baskerville Old Face" w:hAnsi="Baskerville Old Face"/>
          <w:i/>
          <w:iCs/>
        </w:rPr>
        <w:br/>
        <w:t>• audit status;</w:t>
      </w:r>
      <w:r w:rsidRPr="00B479AE">
        <w:rPr>
          <w:rFonts w:ascii="Baskerville Old Face" w:hAnsi="Baskerville Old Face"/>
          <w:i/>
          <w:iCs/>
        </w:rPr>
        <w:br/>
        <w:t>• deployment status;</w:t>
      </w:r>
      <w:r w:rsidRPr="00B479AE">
        <w:rPr>
          <w:rFonts w:ascii="Baskerville Old Face" w:hAnsi="Baskerville Old Face"/>
          <w:i/>
          <w:iCs/>
        </w:rPr>
        <w:br/>
        <w:t>• allowed execution scope;</w:t>
      </w:r>
      <w:r w:rsidRPr="00B479AE">
        <w:rPr>
          <w:rFonts w:ascii="Baskerville Old Face" w:hAnsi="Baskerville Old Face"/>
          <w:i/>
          <w:iCs/>
        </w:rPr>
        <w:br/>
        <w:t>• rollback reference;</w:t>
      </w:r>
      <w:r w:rsidRPr="00B479AE">
        <w:rPr>
          <w:rFonts w:ascii="Baskerville Old Face" w:hAnsi="Baskerville Old Face"/>
          <w:i/>
          <w:iCs/>
        </w:rPr>
        <w:br/>
        <w:t>• canonical release identifier.</w:t>
      </w:r>
    </w:p>
    <w:p w14:paraId="32E5EF4B"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header’s purpose is to support:</w:t>
      </w:r>
    </w:p>
    <w:p w14:paraId="3A19D22F"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 version discipline;</w:t>
      </w:r>
      <w:r w:rsidRPr="00B479AE">
        <w:rPr>
          <w:rFonts w:ascii="Baskerville Old Face" w:hAnsi="Baskerville Old Face"/>
          <w:i/>
          <w:iCs/>
        </w:rPr>
        <w:br/>
        <w:t>• tamper detection;</w:t>
      </w:r>
      <w:r w:rsidRPr="00B479AE">
        <w:rPr>
          <w:rFonts w:ascii="Baskerville Old Face" w:hAnsi="Baskerville Old Face"/>
          <w:i/>
          <w:iCs/>
        </w:rPr>
        <w:br/>
        <w:t>• release integrity;</w:t>
      </w:r>
      <w:r w:rsidRPr="00B479AE">
        <w:rPr>
          <w:rFonts w:ascii="Baskerville Old Face" w:hAnsi="Baskerville Old Face"/>
          <w:i/>
          <w:iCs/>
        </w:rPr>
        <w:br/>
        <w:t>• methodology traceability;</w:t>
      </w:r>
      <w:r w:rsidRPr="00B479AE">
        <w:rPr>
          <w:rFonts w:ascii="Baskerville Old Face" w:hAnsi="Baskerville Old Face"/>
          <w:i/>
          <w:iCs/>
        </w:rPr>
        <w:br/>
        <w:t>• dependency review;</w:t>
      </w:r>
      <w:r w:rsidRPr="00B479AE">
        <w:rPr>
          <w:rFonts w:ascii="Baskerville Old Face" w:hAnsi="Baskerville Old Face"/>
          <w:i/>
          <w:iCs/>
        </w:rPr>
        <w:br/>
        <w:t>• permission gating;</w:t>
      </w:r>
      <w:r w:rsidRPr="00B479AE">
        <w:rPr>
          <w:rFonts w:ascii="Baskerville Old Face" w:hAnsi="Baskerville Old Face"/>
          <w:i/>
          <w:iCs/>
        </w:rPr>
        <w:br/>
        <w:t>• auditability;</w:t>
      </w:r>
      <w:r w:rsidRPr="00B479AE">
        <w:rPr>
          <w:rFonts w:ascii="Baskerville Old Face" w:hAnsi="Baskerville Old Face"/>
          <w:i/>
          <w:iCs/>
        </w:rPr>
        <w:br/>
        <w:t>• controlled deployment.</w:t>
      </w:r>
    </w:p>
    <w:p w14:paraId="0BA128EC"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lastRenderedPageBreak/>
        <w:t>If a header is missing, invalid, outdated, inconsistent, or unauthorized, the system may:</w:t>
      </w:r>
    </w:p>
    <w:p w14:paraId="40ABA307"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 refuse execution where technically implemented;</w:t>
      </w:r>
      <w:r w:rsidRPr="00B479AE">
        <w:rPr>
          <w:rFonts w:ascii="Baskerville Old Face" w:hAnsi="Baskerville Old Face"/>
          <w:i/>
          <w:iCs/>
        </w:rPr>
        <w:br/>
        <w:t>• require manual review;</w:t>
      </w:r>
      <w:r w:rsidRPr="00B479AE">
        <w:rPr>
          <w:rFonts w:ascii="Baskerville Old Face" w:hAnsi="Baskerville Old Face"/>
          <w:i/>
          <w:iCs/>
        </w:rPr>
        <w:br/>
        <w:t>• restrict deployment;</w:t>
      </w:r>
      <w:r w:rsidRPr="00B479AE">
        <w:rPr>
          <w:rFonts w:ascii="Baskerville Old Face" w:hAnsi="Baskerville Old Face"/>
          <w:i/>
          <w:iCs/>
        </w:rPr>
        <w:br/>
        <w:t>• flag the component;</w:t>
      </w:r>
      <w:r w:rsidRPr="00B479AE">
        <w:rPr>
          <w:rFonts w:ascii="Baskerville Old Face" w:hAnsi="Baskerville Old Face"/>
          <w:i/>
          <w:iCs/>
        </w:rPr>
        <w:br/>
        <w:t>• quarantine the component;</w:t>
      </w:r>
      <w:r w:rsidRPr="00B479AE">
        <w:rPr>
          <w:rFonts w:ascii="Baskerville Old Face" w:hAnsi="Baskerville Old Face"/>
          <w:i/>
          <w:iCs/>
        </w:rPr>
        <w:br/>
        <w:t>• route to technical or governance review;</w:t>
      </w:r>
      <w:r w:rsidRPr="00B479AE">
        <w:rPr>
          <w:rFonts w:ascii="Baskerville Old Face" w:hAnsi="Baskerville Old Face"/>
          <w:i/>
          <w:iCs/>
        </w:rPr>
        <w:br/>
        <w:t>• trigger rollback where appropriate.</w:t>
      </w:r>
    </w:p>
    <w:p w14:paraId="139A0D5A"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Prometheus should avoid unsupported claims that every node automatically validates every module in every context unless such behavior is actually implemented.</w:t>
      </w:r>
    </w:p>
    <w:p w14:paraId="17FEE5F4"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correct claim is narrower and stronger:</w:t>
      </w:r>
    </w:p>
    <w:p w14:paraId="28C87438"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constitutional metadata should make unauthorized execution detectable, restrictable, reviewable, and invalid within the Prometheus pathway.</w:t>
      </w:r>
    </w:p>
    <w:p w14:paraId="25C4B0BE" w14:textId="77777777" w:rsidR="00495E1A" w:rsidRPr="00B479AE" w:rsidRDefault="00495E1A" w:rsidP="00495E1A">
      <w:pPr>
        <w:spacing w:line="360" w:lineRule="auto"/>
        <w:rPr>
          <w:rFonts w:ascii="Baskerville Old Face" w:hAnsi="Baskerville Old Face"/>
          <w:b/>
          <w:bCs/>
          <w:i/>
          <w:iCs/>
        </w:rPr>
      </w:pPr>
      <w:r w:rsidRPr="00B479AE">
        <w:rPr>
          <w:rFonts w:ascii="Baskerville Old Face" w:hAnsi="Baskerville Old Face"/>
          <w:b/>
          <w:bCs/>
          <w:i/>
          <w:iCs/>
        </w:rPr>
        <w:t>12.7 Technical Enforcement Boundary</w:t>
      </w:r>
    </w:p>
    <w:p w14:paraId="05BD32C2"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Technical enforcement may operate at several levels:</w:t>
      </w:r>
    </w:p>
    <w:p w14:paraId="4650E5C3"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 validation rules;</w:t>
      </w:r>
      <w:r w:rsidRPr="00B479AE">
        <w:rPr>
          <w:rFonts w:ascii="Baskerville Old Face" w:hAnsi="Baskerville Old Face"/>
          <w:i/>
          <w:iCs/>
        </w:rPr>
        <w:br/>
        <w:t>• schema validation;</w:t>
      </w:r>
      <w:r w:rsidRPr="00B479AE">
        <w:rPr>
          <w:rFonts w:ascii="Baskerville Old Face" w:hAnsi="Baskerville Old Face"/>
          <w:i/>
          <w:iCs/>
        </w:rPr>
        <w:br/>
        <w:t>• permission gates;</w:t>
      </w:r>
      <w:r w:rsidRPr="00B479AE">
        <w:rPr>
          <w:rFonts w:ascii="Baskerville Old Face" w:hAnsi="Baskerville Old Face"/>
          <w:i/>
          <w:iCs/>
        </w:rPr>
        <w:br/>
        <w:t>• authentication checks;</w:t>
      </w:r>
      <w:r w:rsidRPr="00B479AE">
        <w:rPr>
          <w:rFonts w:ascii="Baskerville Old Face" w:hAnsi="Baskerville Old Face"/>
          <w:i/>
          <w:iCs/>
        </w:rPr>
        <w:br/>
        <w:t>• access-control lists;</w:t>
      </w:r>
      <w:r w:rsidRPr="00B479AE">
        <w:rPr>
          <w:rFonts w:ascii="Baskerville Old Face" w:hAnsi="Baskerville Old Face"/>
          <w:i/>
          <w:iCs/>
        </w:rPr>
        <w:br/>
        <w:t>• role-based authorization;</w:t>
      </w:r>
      <w:r w:rsidRPr="00B479AE">
        <w:rPr>
          <w:rFonts w:ascii="Baskerville Old Face" w:hAnsi="Baskerville Old Face"/>
          <w:i/>
          <w:iCs/>
        </w:rPr>
        <w:br/>
        <w:t>• source-chain entry rules;</w:t>
      </w:r>
      <w:r w:rsidRPr="00B479AE">
        <w:rPr>
          <w:rFonts w:ascii="Baskerville Old Face" w:hAnsi="Baskerville Old Face"/>
          <w:i/>
          <w:iCs/>
        </w:rPr>
        <w:br/>
        <w:t>• DHT publication rules where applicable;</w:t>
      </w:r>
      <w:r w:rsidRPr="00B479AE">
        <w:rPr>
          <w:rFonts w:ascii="Baskerville Old Face" w:hAnsi="Baskerville Old Face"/>
          <w:i/>
          <w:iCs/>
        </w:rPr>
        <w:br/>
        <w:t>• API gateway rules;</w:t>
      </w:r>
      <w:r w:rsidRPr="00B479AE">
        <w:rPr>
          <w:rFonts w:ascii="Baskerville Old Face" w:hAnsi="Baskerville Old Face"/>
          <w:i/>
          <w:iCs/>
        </w:rPr>
        <w:br/>
        <w:t>• dashboard visibility rules;</w:t>
      </w:r>
      <w:r w:rsidRPr="00B479AE">
        <w:rPr>
          <w:rFonts w:ascii="Baskerville Old Face" w:hAnsi="Baskerville Old Face"/>
          <w:i/>
          <w:iCs/>
        </w:rPr>
        <w:br/>
        <w:t>• data-room access rules;</w:t>
      </w:r>
      <w:r w:rsidRPr="00B479AE">
        <w:rPr>
          <w:rFonts w:ascii="Baskerville Old Face" w:hAnsi="Baskerville Old Face"/>
          <w:i/>
          <w:iCs/>
        </w:rPr>
        <w:br/>
        <w:t>• policy-engine constraints;</w:t>
      </w:r>
      <w:r w:rsidRPr="00B479AE">
        <w:rPr>
          <w:rFonts w:ascii="Baskerville Old Face" w:hAnsi="Baskerville Old Face"/>
          <w:i/>
          <w:iCs/>
        </w:rPr>
        <w:br/>
        <w:t>• audit logging;</w:t>
      </w:r>
      <w:r w:rsidRPr="00B479AE">
        <w:rPr>
          <w:rFonts w:ascii="Baskerville Old Face" w:hAnsi="Baskerville Old Face"/>
          <w:i/>
          <w:iCs/>
        </w:rPr>
        <w:br/>
        <w:t>• anomaly detection;</w:t>
      </w:r>
      <w:r w:rsidRPr="00B479AE">
        <w:rPr>
          <w:rFonts w:ascii="Baskerville Old Face" w:hAnsi="Baskerville Old Face"/>
          <w:i/>
          <w:iCs/>
        </w:rPr>
        <w:br/>
        <w:t>• emergency pause controls.</w:t>
      </w:r>
    </w:p>
    <w:p w14:paraId="288B46E7"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lastRenderedPageBreak/>
        <w:t>Technical enforcement may prevent unauthorized action.</w:t>
      </w:r>
    </w:p>
    <w:p w14:paraId="022BD653"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may reject malformed entries.</w:t>
      </w:r>
    </w:p>
    <w:p w14:paraId="66C9EFCA"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may flag suspicious behavior.</w:t>
      </w:r>
    </w:p>
    <w:p w14:paraId="6C00F6B8"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may pause sensitive workflows.</w:t>
      </w:r>
    </w:p>
    <w:p w14:paraId="7C05D59E"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may route cases to review.</w:t>
      </w:r>
    </w:p>
    <w:p w14:paraId="06E11A71"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may preserve evidence.</w:t>
      </w:r>
    </w:p>
    <w:p w14:paraId="04C02743"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may support non-admissibility.</w:t>
      </w:r>
    </w:p>
    <w:p w14:paraId="5AAEF062"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However, technical enforcement should not independently impose high-impact human, legal, financial, governance, or reputational consequences unless the relevant mechanism is:</w:t>
      </w:r>
    </w:p>
    <w:p w14:paraId="0448BE8A"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 implemented;</w:t>
      </w:r>
      <w:r w:rsidRPr="00B479AE">
        <w:rPr>
          <w:rFonts w:ascii="Baskerville Old Face" w:hAnsi="Baskerville Old Face"/>
          <w:i/>
          <w:iCs/>
        </w:rPr>
        <w:br/>
        <w:t>• tested;</w:t>
      </w:r>
      <w:r w:rsidRPr="00B479AE">
        <w:rPr>
          <w:rFonts w:ascii="Baskerville Old Face" w:hAnsi="Baskerville Old Face"/>
          <w:i/>
          <w:iCs/>
        </w:rPr>
        <w:br/>
        <w:t>• disclosed;</w:t>
      </w:r>
      <w:r w:rsidRPr="00B479AE">
        <w:rPr>
          <w:rFonts w:ascii="Baskerville Old Face" w:hAnsi="Baskerville Old Face"/>
          <w:i/>
          <w:iCs/>
        </w:rPr>
        <w:br/>
        <w:t>• governed;</w:t>
      </w:r>
      <w:r w:rsidRPr="00B479AE">
        <w:rPr>
          <w:rFonts w:ascii="Baskerville Old Face" w:hAnsi="Baskerville Old Face"/>
          <w:i/>
          <w:iCs/>
        </w:rPr>
        <w:br/>
        <w:t>• legally reviewed where necessary;</w:t>
      </w:r>
      <w:r w:rsidRPr="00B479AE">
        <w:rPr>
          <w:rFonts w:ascii="Baskerville Old Face" w:hAnsi="Baskerville Old Face"/>
          <w:i/>
          <w:iCs/>
        </w:rPr>
        <w:br/>
        <w:t>• proportionate;</w:t>
      </w:r>
      <w:r w:rsidRPr="00B479AE">
        <w:rPr>
          <w:rFonts w:ascii="Baskerville Old Face" w:hAnsi="Baskerville Old Face"/>
          <w:i/>
          <w:iCs/>
        </w:rPr>
        <w:br/>
        <w:t>• reviewable.</w:t>
      </w:r>
    </w:p>
    <w:p w14:paraId="75C26CED"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Software may protect the gate.</w:t>
      </w:r>
    </w:p>
    <w:p w14:paraId="3ED9B429"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may not become the judge of the person.</w:t>
      </w:r>
    </w:p>
    <w:p w14:paraId="40E170AC"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Prometheus uses code as constitutional infrastructure.</w:t>
      </w:r>
    </w:p>
    <w:p w14:paraId="23AC3FEB"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does not outsource justice to code.</w:t>
      </w:r>
    </w:p>
    <w:p w14:paraId="461D4EFD" w14:textId="77777777" w:rsidR="00495E1A" w:rsidRPr="00B479AE" w:rsidRDefault="00495E1A" w:rsidP="00495E1A">
      <w:pPr>
        <w:spacing w:line="360" w:lineRule="auto"/>
        <w:rPr>
          <w:rFonts w:ascii="Baskerville Old Face" w:hAnsi="Baskerville Old Face"/>
          <w:b/>
          <w:bCs/>
          <w:i/>
          <w:iCs/>
        </w:rPr>
      </w:pPr>
      <w:r w:rsidRPr="00B479AE">
        <w:rPr>
          <w:rFonts w:ascii="Baskerville Old Face" w:hAnsi="Baskerville Old Face"/>
          <w:b/>
          <w:bCs/>
          <w:i/>
          <w:iCs/>
        </w:rPr>
        <w:t>12.8 Human State Interface Implementation Boundary</w:t>
      </w:r>
    </w:p>
    <w:p w14:paraId="6D6C08D0"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Human State Interface, or HSI, may be implemented as a voluntary, privacy-first, contract-based interface for limited human-state outputs.</w:t>
      </w:r>
    </w:p>
    <w:p w14:paraId="649B09A6"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HSI may support:</w:t>
      </w:r>
    </w:p>
    <w:p w14:paraId="2ACE0956"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lastRenderedPageBreak/>
        <w:t>• self-awareness;</w:t>
      </w:r>
      <w:r w:rsidRPr="00B479AE">
        <w:rPr>
          <w:rFonts w:ascii="Baskerville Old Face" w:hAnsi="Baskerville Old Face"/>
          <w:i/>
          <w:iCs/>
        </w:rPr>
        <w:br/>
        <w:t>• stewardship training;</w:t>
      </w:r>
      <w:r w:rsidRPr="00B479AE">
        <w:rPr>
          <w:rFonts w:ascii="Baskerville Old Face" w:hAnsi="Baskerville Old Face"/>
          <w:i/>
          <w:iCs/>
        </w:rPr>
        <w:br/>
        <w:t>• reflective governance;</w:t>
      </w:r>
      <w:r w:rsidRPr="00B479AE">
        <w:rPr>
          <w:rFonts w:ascii="Baskerville Old Face" w:hAnsi="Baskerville Old Face"/>
          <w:i/>
          <w:iCs/>
        </w:rPr>
        <w:br/>
        <w:t>• voluntary coherence practices;</w:t>
      </w:r>
      <w:r w:rsidRPr="00B479AE">
        <w:rPr>
          <w:rFonts w:ascii="Baskerville Old Face" w:hAnsi="Baskerville Old Face"/>
          <w:i/>
          <w:iCs/>
        </w:rPr>
        <w:br/>
        <w:t>• research into decision quality;</w:t>
      </w:r>
      <w:r w:rsidRPr="00B479AE">
        <w:rPr>
          <w:rFonts w:ascii="Baskerville Old Face" w:hAnsi="Baskerville Old Face"/>
          <w:i/>
          <w:iCs/>
        </w:rPr>
        <w:br/>
        <w:t>• aggregated and consented community-learning insights;</w:t>
      </w:r>
      <w:r w:rsidRPr="00B479AE">
        <w:rPr>
          <w:rFonts w:ascii="Baskerville Old Face" w:hAnsi="Baskerville Old Face"/>
          <w:i/>
          <w:iCs/>
        </w:rPr>
        <w:br/>
        <w:t>• optional human-infrastructure development.</w:t>
      </w:r>
    </w:p>
    <w:p w14:paraId="3D48EE87"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HSI data may include, where voluntarily provided and properly consented:</w:t>
      </w:r>
    </w:p>
    <w:p w14:paraId="31F3730E"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 HRV-related coherence indicators;</w:t>
      </w:r>
      <w:r w:rsidRPr="00B479AE">
        <w:rPr>
          <w:rFonts w:ascii="Baskerville Old Face" w:hAnsi="Baskerville Old Face"/>
          <w:i/>
          <w:iCs/>
        </w:rPr>
        <w:br/>
        <w:t>• stress or recovery indicators;</w:t>
      </w:r>
      <w:r w:rsidRPr="00B479AE">
        <w:rPr>
          <w:rFonts w:ascii="Baskerville Old Face" w:hAnsi="Baskerville Old Face"/>
          <w:i/>
          <w:iCs/>
        </w:rPr>
        <w:br/>
        <w:t>• attentional-state indicators;</w:t>
      </w:r>
      <w:r w:rsidRPr="00B479AE">
        <w:rPr>
          <w:rFonts w:ascii="Baskerville Old Face" w:hAnsi="Baskerville Old Face"/>
          <w:i/>
          <w:iCs/>
        </w:rPr>
        <w:br/>
        <w:t>• circadian or fatigue context;</w:t>
      </w:r>
      <w:r w:rsidRPr="00B479AE">
        <w:rPr>
          <w:rFonts w:ascii="Baskerville Old Face" w:hAnsi="Baskerville Old Face"/>
          <w:i/>
          <w:iCs/>
        </w:rPr>
        <w:br/>
        <w:t>• reflective self-reporting;</w:t>
      </w:r>
      <w:r w:rsidRPr="00B479AE">
        <w:rPr>
          <w:rFonts w:ascii="Baskerville Old Face" w:hAnsi="Baskerville Old Face"/>
          <w:i/>
          <w:iCs/>
        </w:rPr>
        <w:br/>
        <w:t>• stewardship-readiness signals;</w:t>
      </w:r>
      <w:r w:rsidRPr="00B479AE">
        <w:rPr>
          <w:rFonts w:ascii="Baskerville Old Face" w:hAnsi="Baskerville Old Face"/>
          <w:i/>
          <w:iCs/>
        </w:rPr>
        <w:br/>
        <w:t>• aggregated group indicators for research.</w:t>
      </w:r>
    </w:p>
    <w:p w14:paraId="6391BAE6"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HSI must remain bounded.</w:t>
      </w:r>
    </w:p>
    <w:p w14:paraId="68BBE916"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must not:</w:t>
      </w:r>
    </w:p>
    <w:p w14:paraId="0BE9E18A"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 determine human worth;</w:t>
      </w:r>
      <w:r w:rsidRPr="00B479AE">
        <w:rPr>
          <w:rFonts w:ascii="Baskerville Old Face" w:hAnsi="Baskerville Old Face"/>
          <w:i/>
          <w:iCs/>
        </w:rPr>
        <w:br/>
        <w:t>• rank participants as people;</w:t>
      </w:r>
      <w:r w:rsidRPr="00B479AE">
        <w:rPr>
          <w:rFonts w:ascii="Baskerville Old Face" w:hAnsi="Baskerville Old Face"/>
          <w:i/>
          <w:iCs/>
        </w:rPr>
        <w:br/>
        <w:t>• create social-credit scoring;</w:t>
      </w:r>
      <w:r w:rsidRPr="00B479AE">
        <w:rPr>
          <w:rFonts w:ascii="Baskerville Old Face" w:hAnsi="Baskerville Old Face"/>
          <w:i/>
          <w:iCs/>
        </w:rPr>
        <w:br/>
        <w:t>• authorize PRU value;</w:t>
      </w:r>
      <w:r w:rsidRPr="00B479AE">
        <w:rPr>
          <w:rFonts w:ascii="Baskerville Old Face" w:hAnsi="Baskerville Old Face"/>
          <w:i/>
          <w:iCs/>
        </w:rPr>
        <w:br/>
        <w:t>• determine ecological validity;</w:t>
      </w:r>
      <w:r w:rsidRPr="00B479AE">
        <w:rPr>
          <w:rFonts w:ascii="Baskerville Old Face" w:hAnsi="Baskerville Old Face"/>
          <w:i/>
          <w:iCs/>
        </w:rPr>
        <w:br/>
        <w:t>• replace MRV;</w:t>
      </w:r>
      <w:r w:rsidRPr="00B479AE">
        <w:rPr>
          <w:rFonts w:ascii="Baskerville Old Face" w:hAnsi="Baskerville Old Face"/>
          <w:i/>
          <w:iCs/>
        </w:rPr>
        <w:br/>
        <w:t>• create investor entitlement;</w:t>
      </w:r>
      <w:r w:rsidRPr="00B479AE">
        <w:rPr>
          <w:rFonts w:ascii="Baskerville Old Face" w:hAnsi="Baskerville Old Face"/>
          <w:i/>
          <w:iCs/>
        </w:rPr>
        <w:br/>
        <w:t>• determine land rights;</w:t>
      </w:r>
      <w:r w:rsidRPr="00B479AE">
        <w:rPr>
          <w:rFonts w:ascii="Baskerville Old Face" w:hAnsi="Baskerville Old Face"/>
          <w:i/>
          <w:iCs/>
        </w:rPr>
        <w:br/>
        <w:t>• determine token rights;</w:t>
      </w:r>
      <w:r w:rsidRPr="00B479AE">
        <w:rPr>
          <w:rFonts w:ascii="Baskerville Old Face" w:hAnsi="Baskerville Old Face"/>
          <w:i/>
          <w:iCs/>
        </w:rPr>
        <w:br/>
        <w:t>• determine governance authority by itself;</w:t>
      </w:r>
      <w:r w:rsidRPr="00B479AE">
        <w:rPr>
          <w:rFonts w:ascii="Baskerville Old Face" w:hAnsi="Baskerville Old Face"/>
          <w:i/>
          <w:iCs/>
        </w:rPr>
        <w:br/>
        <w:t>• become a condition of basic dignity or ordinary belonging.</w:t>
      </w:r>
    </w:p>
    <w:p w14:paraId="267E17DE"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HSI may inform participation context.</w:t>
      </w:r>
    </w:p>
    <w:p w14:paraId="4E6663FC"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Participation context may inform governance reflection.</w:t>
      </w:r>
    </w:p>
    <w:p w14:paraId="49168733"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lastRenderedPageBreak/>
        <w:t>Governance reflection may support system maturity.</w:t>
      </w:r>
    </w:p>
    <w:p w14:paraId="004D8267"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Only verified ecological evidence may support regenerative asset value.</w:t>
      </w:r>
    </w:p>
    <w:p w14:paraId="389058D9"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That boundary is non-negotiable.</w:t>
      </w:r>
    </w:p>
    <w:p w14:paraId="58C345F7" w14:textId="77777777" w:rsidR="00495E1A" w:rsidRPr="00B479AE" w:rsidRDefault="00495E1A" w:rsidP="00495E1A">
      <w:pPr>
        <w:spacing w:line="360" w:lineRule="auto"/>
        <w:rPr>
          <w:rFonts w:ascii="Baskerville Old Face" w:hAnsi="Baskerville Old Face"/>
          <w:b/>
          <w:bCs/>
          <w:i/>
          <w:iCs/>
        </w:rPr>
      </w:pPr>
      <w:r w:rsidRPr="00B479AE">
        <w:rPr>
          <w:rFonts w:ascii="Baskerville Old Face" w:hAnsi="Baskerville Old Face"/>
          <w:b/>
          <w:bCs/>
          <w:i/>
          <w:iCs/>
        </w:rPr>
        <w:t>12.9 Privacy, Consent, and Data Minimization</w:t>
      </w:r>
    </w:p>
    <w:p w14:paraId="565FF04B"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Prometheus should treat human-state, community, governance, ecological, financial, and technical data according to privacy, consent, and minimization principles.</w:t>
      </w:r>
    </w:p>
    <w:p w14:paraId="399245BD"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Data collection should be limited to what is necessary for the relevant purpose.</w:t>
      </w:r>
    </w:p>
    <w:p w14:paraId="3B8A2AFE"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Sensitive data should be protected by default.</w:t>
      </w:r>
    </w:p>
    <w:p w14:paraId="3EA0291E"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Where possible, systems should use:</w:t>
      </w:r>
    </w:p>
    <w:p w14:paraId="21562B62"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 explicit consent;</w:t>
      </w:r>
      <w:r w:rsidRPr="00B479AE">
        <w:rPr>
          <w:rFonts w:ascii="Baskerville Old Face" w:hAnsi="Baskerville Old Face"/>
          <w:i/>
          <w:iCs/>
        </w:rPr>
        <w:br/>
        <w:t>• purpose limitation;</w:t>
      </w:r>
      <w:r w:rsidRPr="00B479AE">
        <w:rPr>
          <w:rFonts w:ascii="Baskerville Old Face" w:hAnsi="Baskerville Old Face"/>
          <w:i/>
          <w:iCs/>
        </w:rPr>
        <w:br/>
        <w:t>• data minimization;</w:t>
      </w:r>
      <w:r w:rsidRPr="00B479AE">
        <w:rPr>
          <w:rFonts w:ascii="Baskerville Old Face" w:hAnsi="Baskerville Old Face"/>
          <w:i/>
          <w:iCs/>
        </w:rPr>
        <w:br/>
        <w:t>• retention limits;</w:t>
      </w:r>
      <w:r w:rsidRPr="00B479AE">
        <w:rPr>
          <w:rFonts w:ascii="Baskerville Old Face" w:hAnsi="Baskerville Old Face"/>
          <w:i/>
          <w:iCs/>
        </w:rPr>
        <w:br/>
        <w:t>• pseudonymization or anonymization where appropriate;</w:t>
      </w:r>
      <w:r w:rsidRPr="00B479AE">
        <w:rPr>
          <w:rFonts w:ascii="Baskerville Old Face" w:hAnsi="Baskerville Old Face"/>
          <w:i/>
          <w:iCs/>
        </w:rPr>
        <w:br/>
        <w:t>• aggregation;</w:t>
      </w:r>
      <w:r w:rsidRPr="00B479AE">
        <w:rPr>
          <w:rFonts w:ascii="Baskerville Old Face" w:hAnsi="Baskerville Old Face"/>
          <w:i/>
          <w:iCs/>
        </w:rPr>
        <w:br/>
        <w:t>• role-based access;</w:t>
      </w:r>
      <w:r w:rsidRPr="00B479AE">
        <w:rPr>
          <w:rFonts w:ascii="Baskerville Old Face" w:hAnsi="Baskerville Old Face"/>
          <w:i/>
          <w:iCs/>
        </w:rPr>
        <w:br/>
        <w:t>• encryption;</w:t>
      </w:r>
      <w:r w:rsidRPr="00B479AE">
        <w:rPr>
          <w:rFonts w:ascii="Baskerville Old Face" w:hAnsi="Baskerville Old Face"/>
          <w:i/>
          <w:iCs/>
        </w:rPr>
        <w:br/>
        <w:t>• audit logs;</w:t>
      </w:r>
      <w:r w:rsidRPr="00B479AE">
        <w:rPr>
          <w:rFonts w:ascii="Baskerville Old Face" w:hAnsi="Baskerville Old Face"/>
          <w:i/>
          <w:iCs/>
        </w:rPr>
        <w:br/>
        <w:t>• revocation or withdrawal pathways where legally and technically feasible;</w:t>
      </w:r>
      <w:r w:rsidRPr="00B479AE">
        <w:rPr>
          <w:rFonts w:ascii="Baskerville Old Face" w:hAnsi="Baskerville Old Face"/>
          <w:i/>
          <w:iCs/>
        </w:rPr>
        <w:br/>
        <w:t>• clear data-use notices.</w:t>
      </w:r>
    </w:p>
    <w:p w14:paraId="01CB0D05"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Human-state data is especially sensitive.</w:t>
      </w:r>
    </w:p>
    <w:p w14:paraId="65BF380E"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should not be exposed as raw identifiable streams unless there is a lawful, explicit, specific, and justified basis.</w:t>
      </w:r>
    </w:p>
    <w:p w14:paraId="73D6569D"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default orientation should be:</w:t>
      </w:r>
    </w:p>
    <w:p w14:paraId="00C5BA9A"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local first;</w:t>
      </w:r>
      <w:r w:rsidRPr="00B479AE">
        <w:rPr>
          <w:rFonts w:ascii="Baskerville Old Face" w:hAnsi="Baskerville Old Face"/>
          <w:i/>
          <w:iCs/>
        </w:rPr>
        <w:br/>
        <w:t>minimal by design;</w:t>
      </w:r>
      <w:r w:rsidRPr="00B479AE">
        <w:rPr>
          <w:rFonts w:ascii="Baskerville Old Face" w:hAnsi="Baskerville Old Face"/>
          <w:i/>
          <w:iCs/>
        </w:rPr>
        <w:br/>
        <w:t>consented by default;</w:t>
      </w:r>
      <w:r w:rsidRPr="00B479AE">
        <w:rPr>
          <w:rFonts w:ascii="Baskerville Old Face" w:hAnsi="Baskerville Old Face"/>
          <w:i/>
          <w:iCs/>
        </w:rPr>
        <w:br/>
      </w:r>
      <w:r w:rsidRPr="00B479AE">
        <w:rPr>
          <w:rFonts w:ascii="Baskerville Old Face" w:hAnsi="Baskerville Old Face"/>
          <w:i/>
          <w:iCs/>
        </w:rPr>
        <w:lastRenderedPageBreak/>
        <w:t>aggregated where possible;</w:t>
      </w:r>
      <w:r w:rsidRPr="00B479AE">
        <w:rPr>
          <w:rFonts w:ascii="Baskerville Old Face" w:hAnsi="Baskerville Old Face"/>
          <w:i/>
          <w:iCs/>
        </w:rPr>
        <w:br/>
        <w:t>reviewable where sensitive;</w:t>
      </w:r>
      <w:r w:rsidRPr="00B479AE">
        <w:rPr>
          <w:rFonts w:ascii="Baskerville Old Face" w:hAnsi="Baskerville Old Face"/>
          <w:i/>
          <w:iCs/>
        </w:rPr>
        <w:br/>
        <w:t>never used to reduce human dignity.</w:t>
      </w:r>
    </w:p>
    <w:p w14:paraId="3C945946"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system that protects life must also protect interiority.</w:t>
      </w:r>
    </w:p>
    <w:p w14:paraId="635AB65A" w14:textId="77777777" w:rsidR="00495E1A" w:rsidRPr="00B479AE" w:rsidRDefault="00495E1A" w:rsidP="00495E1A">
      <w:pPr>
        <w:spacing w:line="360" w:lineRule="auto"/>
        <w:rPr>
          <w:rFonts w:ascii="Baskerville Old Face" w:hAnsi="Baskerville Old Face"/>
          <w:b/>
          <w:bCs/>
          <w:i/>
          <w:iCs/>
        </w:rPr>
      </w:pPr>
      <w:r w:rsidRPr="00B479AE">
        <w:rPr>
          <w:rFonts w:ascii="Baskerville Old Face" w:hAnsi="Baskerville Old Face"/>
          <w:b/>
          <w:bCs/>
          <w:i/>
          <w:iCs/>
        </w:rPr>
        <w:t>12.10 Sovereign Device and Edge Infrastructure Pathway</w:t>
      </w:r>
    </w:p>
    <w:p w14:paraId="2A128685"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Prometheus may support sovereign-device and edge-computing pathways where they improve privacy, resilience, local agency, offline capability, and distributed participation.</w:t>
      </w:r>
    </w:p>
    <w:p w14:paraId="23BF5E68"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Such devices may support:</w:t>
      </w:r>
    </w:p>
    <w:p w14:paraId="7F957732"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 local key management;</w:t>
      </w:r>
      <w:r w:rsidRPr="00B479AE">
        <w:rPr>
          <w:rFonts w:ascii="Baskerville Old Face" w:hAnsi="Baskerville Old Face"/>
          <w:i/>
          <w:iCs/>
        </w:rPr>
        <w:br/>
        <w:t>• source-chain access;</w:t>
      </w:r>
      <w:r w:rsidRPr="00B479AE">
        <w:rPr>
          <w:rFonts w:ascii="Baskerville Old Face" w:hAnsi="Baskerville Old Face"/>
          <w:i/>
          <w:iCs/>
        </w:rPr>
        <w:br/>
        <w:t>• local-first data storage;</w:t>
      </w:r>
      <w:r w:rsidRPr="00B479AE">
        <w:rPr>
          <w:rFonts w:ascii="Baskerville Old Face" w:hAnsi="Baskerville Old Face"/>
          <w:i/>
          <w:iCs/>
        </w:rPr>
        <w:br/>
        <w:t>• offline operation;</w:t>
      </w:r>
      <w:r w:rsidRPr="00B479AE">
        <w:rPr>
          <w:rFonts w:ascii="Baskerville Old Face" w:hAnsi="Baskerville Old Face"/>
          <w:i/>
          <w:iCs/>
        </w:rPr>
        <w:br/>
        <w:t>• edge AI inference;</w:t>
      </w:r>
      <w:r w:rsidRPr="00B479AE">
        <w:rPr>
          <w:rFonts w:ascii="Baskerville Old Face" w:hAnsi="Baskerville Old Face"/>
          <w:i/>
          <w:iCs/>
        </w:rPr>
        <w:br/>
        <w:t>• encrypted synchronization;</w:t>
      </w:r>
      <w:r w:rsidRPr="00B479AE">
        <w:rPr>
          <w:rFonts w:ascii="Baskerville Old Face" w:hAnsi="Baskerville Old Face"/>
          <w:i/>
          <w:iCs/>
        </w:rPr>
        <w:br/>
        <w:t>• sensor integration;</w:t>
      </w:r>
      <w:r w:rsidRPr="00B479AE">
        <w:rPr>
          <w:rFonts w:ascii="Baskerville Old Face" w:hAnsi="Baskerville Old Face"/>
          <w:i/>
          <w:iCs/>
        </w:rPr>
        <w:br/>
        <w:t>• MRV capture;</w:t>
      </w:r>
      <w:r w:rsidRPr="00B479AE">
        <w:rPr>
          <w:rFonts w:ascii="Baskerville Old Face" w:hAnsi="Baskerville Old Face"/>
          <w:i/>
          <w:iCs/>
        </w:rPr>
        <w:br/>
        <w:t>• self-sovereign identity or credential flows;</w:t>
      </w:r>
      <w:r w:rsidRPr="00B479AE">
        <w:rPr>
          <w:rFonts w:ascii="Baskerville Old Face" w:hAnsi="Baskerville Old Face"/>
          <w:i/>
          <w:iCs/>
        </w:rPr>
        <w:br/>
        <w:t>• optional HSI applications;</w:t>
      </w:r>
      <w:r w:rsidRPr="00B479AE">
        <w:rPr>
          <w:rFonts w:ascii="Baskerville Old Face" w:hAnsi="Baskerville Old Face"/>
          <w:i/>
          <w:iCs/>
        </w:rPr>
        <w:br/>
        <w:t>• community and field workflows.</w:t>
      </w:r>
    </w:p>
    <w:p w14:paraId="240ABAF1"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However, Prometheus should avoid absolute claims such as “total autonomy,” “data exfiltration impossible,” or “absolute sovereignty at the silicon level” unless technically proven, audited, and bounded.</w:t>
      </w:r>
    </w:p>
    <w:p w14:paraId="4AB27A1B"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correct formulation is:</w:t>
      </w:r>
    </w:p>
    <w:p w14:paraId="3C032D62"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sovereign-device pathways can improve data agency, resilience, and privacy, but they remain subject to hardware limits, software security, user behavior, supply-chain risk, jurisdiction, operational discipline, and auditability.</w:t>
      </w:r>
    </w:p>
    <w:p w14:paraId="60F0DEB1"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Device partnerships, mobile integrations, edge runtimes, and pre-loaded applications may become powerful deployment channels.</w:t>
      </w:r>
    </w:p>
    <w:p w14:paraId="139C2131"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lastRenderedPageBreak/>
        <w:t>They should be described as implementation pathways, not as constitutional guarantees.</w:t>
      </w:r>
    </w:p>
    <w:p w14:paraId="67B21610"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device can support sovereignty.</w:t>
      </w:r>
    </w:p>
    <w:p w14:paraId="360545AB"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cannot replace governance.</w:t>
      </w:r>
    </w:p>
    <w:p w14:paraId="787D824B" w14:textId="77777777" w:rsidR="00495E1A" w:rsidRPr="00B479AE" w:rsidRDefault="00495E1A" w:rsidP="00495E1A">
      <w:pPr>
        <w:spacing w:line="360" w:lineRule="auto"/>
        <w:rPr>
          <w:rFonts w:ascii="Baskerville Old Face" w:hAnsi="Baskerville Old Face"/>
          <w:b/>
          <w:bCs/>
          <w:i/>
          <w:iCs/>
        </w:rPr>
      </w:pPr>
      <w:r w:rsidRPr="00B479AE">
        <w:rPr>
          <w:rFonts w:ascii="Baskerville Old Face" w:hAnsi="Baskerville Old Face"/>
          <w:b/>
          <w:bCs/>
          <w:i/>
          <w:iCs/>
        </w:rPr>
        <w:t>12.11 Token, Financial Instrument, and Value Representation Boundary</w:t>
      </w:r>
    </w:p>
    <w:p w14:paraId="01FC6D90"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Prometheus must not state that all tokens, financial instruments, or value representations are automatically native Holochain objects.</w:t>
      </w:r>
    </w:p>
    <w:p w14:paraId="4C03F086"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That formulation is too broad and legally unsafe.</w:t>
      </w:r>
    </w:p>
    <w:p w14:paraId="4E2F1BE6"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correct architecture is layered.</w:t>
      </w:r>
    </w:p>
    <w:p w14:paraId="004E2186"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Prometheus may use different technical substrates for different functions.</w:t>
      </w:r>
    </w:p>
    <w:p w14:paraId="5068B26C"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Possible layers include:</w:t>
      </w:r>
    </w:p>
    <w:p w14:paraId="5B91C189" w14:textId="658AED10"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 Holochain-compatible records for agent-centric events and governance flows;</w:t>
      </w:r>
      <w:r w:rsidRPr="00B479AE">
        <w:rPr>
          <w:rFonts w:ascii="Baskerville Old Face" w:hAnsi="Baskerville Old Face"/>
          <w:i/>
          <w:iCs/>
        </w:rPr>
        <w:br/>
        <w:t>• Valueflows / REA-compatible structures for resources, events, and agents;</w:t>
      </w:r>
      <w:r w:rsidRPr="00B479AE">
        <w:rPr>
          <w:rFonts w:ascii="Baskerville Old Face" w:hAnsi="Baskerville Old Face"/>
          <w:i/>
          <w:iCs/>
        </w:rPr>
        <w:br/>
        <w:t>• conventional databases where appropriate for dashboards or institutional reporting;</w:t>
      </w:r>
      <w:r w:rsidRPr="00B479AE">
        <w:rPr>
          <w:rFonts w:ascii="Baskerville Old Face" w:hAnsi="Baskerville Old Face"/>
          <w:i/>
          <w:iCs/>
        </w:rPr>
        <w:br/>
        <w:t>• legal documents for enforceable rights;</w:t>
      </w:r>
      <w:r w:rsidRPr="00B479AE">
        <w:rPr>
          <w:rFonts w:ascii="Baskerville Old Face" w:hAnsi="Baskerville Old Face"/>
          <w:i/>
          <w:iCs/>
        </w:rPr>
        <w:br/>
        <w:t>• data rooms for investor diligence;</w:t>
      </w:r>
      <w:r w:rsidRPr="00B479AE">
        <w:rPr>
          <w:rFonts w:ascii="Baskerville Old Face" w:hAnsi="Baskerville Old Face"/>
          <w:i/>
          <w:iCs/>
        </w:rPr>
        <w:br/>
        <w:t>• fiat or stablecoin rails for settlement where compliant;</w:t>
      </w:r>
      <w:r w:rsidRPr="00B479AE">
        <w:rPr>
          <w:rFonts w:ascii="Baskerville Old Face" w:hAnsi="Baskerville Old Face"/>
          <w:i/>
          <w:iCs/>
        </w:rPr>
        <w:br/>
        <w:t xml:space="preserve">• </w:t>
      </w:r>
      <w:r w:rsidR="00F2035C" w:rsidRPr="00B479AE">
        <w:rPr>
          <w:rFonts w:ascii="Baskerville Old Face" w:hAnsi="Baskerville Old Face"/>
          <w:i/>
          <w:iCs/>
        </w:rPr>
        <w:t>compliant digital instruments only where legally structured</w:t>
      </w:r>
      <w:r w:rsidRPr="00B479AE">
        <w:rPr>
          <w:rFonts w:ascii="Baskerville Old Face" w:hAnsi="Baskerville Old Face"/>
          <w:i/>
          <w:iCs/>
        </w:rPr>
        <w:t>;</w:t>
      </w:r>
      <w:r w:rsidRPr="00B479AE">
        <w:rPr>
          <w:rFonts w:ascii="Baskerville Old Face" w:hAnsi="Baskerville Old Face"/>
          <w:i/>
          <w:iCs/>
        </w:rPr>
        <w:br/>
        <w:t>• off-chain records where privacy, law, or operational practicality require them.</w:t>
      </w:r>
    </w:p>
    <w:p w14:paraId="01BA8701"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PRU represents verified regenerative performance.</w:t>
      </w:r>
    </w:p>
    <w:p w14:paraId="6BD9E9DB"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RAP represents aggregated PRU-based portfolio logic.</w:t>
      </w:r>
    </w:p>
    <w:p w14:paraId="21ED751E"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TRBK may represent governance, coordination, access, contribution, or participation within defined boundaries.</w:t>
      </w:r>
    </w:p>
    <w:p w14:paraId="2DB2C25C"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HoloFuel may support operational transaction or infrastructure capacity within agent-centric systems.</w:t>
      </w:r>
    </w:p>
    <w:p w14:paraId="3DD721AF"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Future tokenized securities, notes, fund interests, revenue rights, or investment products may exist only through compliant legal wrappers, disclosure, jurisdictional review, and investor-protection structures.</w:t>
      </w:r>
    </w:p>
    <w:p w14:paraId="0133FD63"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lastRenderedPageBreak/>
        <w:t>A technical object does not create a legal right by itself.</w:t>
      </w:r>
    </w:p>
    <w:p w14:paraId="428C6507"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token does not create ecological value by itself.</w:t>
      </w:r>
    </w:p>
    <w:p w14:paraId="1F0CA1E0"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PRU estimate does not create investor entitlement by itself.</w:t>
      </w:r>
    </w:p>
    <w:p w14:paraId="42AAD5A2"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dashboard display does not create financial admissibility by itself.</w:t>
      </w:r>
    </w:p>
    <w:p w14:paraId="2ED277BA"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rights come from the instrument.</w:t>
      </w:r>
    </w:p>
    <w:p w14:paraId="5B47E62C"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value comes from verified regeneration.</w:t>
      </w:r>
    </w:p>
    <w:p w14:paraId="70560A63"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admissibility comes from evidence and methodology.</w:t>
      </w:r>
    </w:p>
    <w:p w14:paraId="2FD96117"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enforceability comes from law.</w:t>
      </w:r>
    </w:p>
    <w:p w14:paraId="47AC1F2F" w14:textId="77777777" w:rsidR="00495E1A" w:rsidRPr="00B479AE" w:rsidRDefault="00495E1A" w:rsidP="00495E1A">
      <w:pPr>
        <w:spacing w:line="360" w:lineRule="auto"/>
        <w:rPr>
          <w:rFonts w:ascii="Baskerville Old Face" w:hAnsi="Baskerville Old Face"/>
          <w:b/>
          <w:bCs/>
          <w:i/>
          <w:iCs/>
        </w:rPr>
      </w:pPr>
      <w:r w:rsidRPr="00B479AE">
        <w:rPr>
          <w:rFonts w:ascii="Baskerville Old Face" w:hAnsi="Baskerville Old Face"/>
          <w:b/>
          <w:bCs/>
          <w:i/>
          <w:iCs/>
        </w:rPr>
        <w:t>12.12 PRU, MRV, and Data Admissibility Controls</w:t>
      </w:r>
    </w:p>
    <w:p w14:paraId="313517E1"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Prometheus should implement strong controls around MRV, PRU, RAP, and investor-facing outputs.</w:t>
      </w:r>
    </w:p>
    <w:p w14:paraId="5CE1E95B"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record should not become MRV-admissible merely because it exists.</w:t>
      </w:r>
    </w:p>
    <w:p w14:paraId="61C220FF"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An indicator should not become PRU-relevant merely because it is measured.</w:t>
      </w:r>
    </w:p>
    <w:p w14:paraId="6F78C7C7"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PRU estimate should not become investor-facing merely because it is calculated.</w:t>
      </w:r>
    </w:p>
    <w:p w14:paraId="079501C7"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RAP inclusion should not occur merely because a unit is promising.</w:t>
      </w:r>
    </w:p>
    <w:p w14:paraId="7A71D2BB"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Protected pathways should require:</w:t>
      </w:r>
    </w:p>
    <w:p w14:paraId="7BAE4CE9"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 baseline reference;</w:t>
      </w:r>
      <w:r w:rsidRPr="00B479AE">
        <w:rPr>
          <w:rFonts w:ascii="Baskerville Old Face" w:hAnsi="Baskerville Old Face"/>
          <w:i/>
          <w:iCs/>
        </w:rPr>
        <w:br/>
        <w:t>• evidence source;</w:t>
      </w:r>
      <w:r w:rsidRPr="00B479AE">
        <w:rPr>
          <w:rFonts w:ascii="Baskerville Old Face" w:hAnsi="Baskerville Old Face"/>
          <w:i/>
          <w:iCs/>
        </w:rPr>
        <w:br/>
        <w:t>• provenance;</w:t>
      </w:r>
      <w:r w:rsidRPr="00B479AE">
        <w:rPr>
          <w:rFonts w:ascii="Baskerville Old Face" w:hAnsi="Baskerville Old Face"/>
          <w:i/>
          <w:iCs/>
        </w:rPr>
        <w:br/>
        <w:t>• methodology version;</w:t>
      </w:r>
      <w:r w:rsidRPr="00B479AE">
        <w:rPr>
          <w:rFonts w:ascii="Baskerville Old Face" w:hAnsi="Baskerville Old Face"/>
          <w:i/>
          <w:iCs/>
        </w:rPr>
        <w:br/>
        <w:t>• data-quality status;</w:t>
      </w:r>
      <w:r w:rsidRPr="00B479AE">
        <w:rPr>
          <w:rFonts w:ascii="Baskerville Old Face" w:hAnsi="Baskerville Old Face"/>
          <w:i/>
          <w:iCs/>
        </w:rPr>
        <w:br/>
        <w:t>• confidence score;</w:t>
      </w:r>
      <w:r w:rsidRPr="00B479AE">
        <w:rPr>
          <w:rFonts w:ascii="Baskerville Old Face" w:hAnsi="Baskerville Old Face"/>
          <w:i/>
          <w:iCs/>
        </w:rPr>
        <w:br/>
        <w:t>• validation status;</w:t>
      </w:r>
      <w:r w:rsidRPr="00B479AE">
        <w:rPr>
          <w:rFonts w:ascii="Baskerville Old Face" w:hAnsi="Baskerville Old Face"/>
          <w:i/>
          <w:iCs/>
        </w:rPr>
        <w:br/>
        <w:t>• reviewer or validator reference where appropriate;</w:t>
      </w:r>
      <w:r w:rsidRPr="00B479AE">
        <w:rPr>
          <w:rFonts w:ascii="Baskerville Old Face" w:hAnsi="Baskerville Old Face"/>
          <w:i/>
          <w:iCs/>
        </w:rPr>
        <w:br/>
        <w:t>• no-double-counting check;</w:t>
      </w:r>
      <w:r w:rsidRPr="00B479AE">
        <w:rPr>
          <w:rFonts w:ascii="Baskerville Old Face" w:hAnsi="Baskerville Old Face"/>
          <w:i/>
          <w:iCs/>
        </w:rPr>
        <w:br/>
      </w:r>
      <w:r w:rsidRPr="00B479AE">
        <w:rPr>
          <w:rFonts w:ascii="Baskerville Old Face" w:hAnsi="Baskerville Old Face"/>
          <w:i/>
          <w:iCs/>
        </w:rPr>
        <w:lastRenderedPageBreak/>
        <w:t>• legal and reporting boundary;</w:t>
      </w:r>
      <w:r w:rsidRPr="00B479AE">
        <w:rPr>
          <w:rFonts w:ascii="Baskerville Old Face" w:hAnsi="Baskerville Old Face"/>
          <w:i/>
          <w:iCs/>
        </w:rPr>
        <w:br/>
        <w:t>• admissibility classification.</w:t>
      </w:r>
    </w:p>
    <w:p w14:paraId="68C985F2"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Possible admissibility statuses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8"/>
        <w:gridCol w:w="7629"/>
      </w:tblGrid>
      <w:tr w:rsidR="00495E1A" w:rsidRPr="00B479AE" w14:paraId="6B040D4B" w14:textId="77777777" w:rsidTr="003241C9">
        <w:trPr>
          <w:tblHeader/>
          <w:tblCellSpacing w:w="15" w:type="dxa"/>
        </w:trPr>
        <w:tc>
          <w:tcPr>
            <w:tcW w:w="0" w:type="auto"/>
            <w:vAlign w:val="center"/>
            <w:hideMark/>
          </w:tcPr>
          <w:p w14:paraId="16248622" w14:textId="77777777" w:rsidR="00495E1A" w:rsidRPr="00B479AE" w:rsidRDefault="00495E1A" w:rsidP="00495E1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Status</w:t>
            </w:r>
          </w:p>
        </w:tc>
        <w:tc>
          <w:tcPr>
            <w:tcW w:w="0" w:type="auto"/>
            <w:vAlign w:val="center"/>
            <w:hideMark/>
          </w:tcPr>
          <w:p w14:paraId="123A8B70" w14:textId="77777777" w:rsidR="00495E1A" w:rsidRPr="00B479AE" w:rsidRDefault="00495E1A" w:rsidP="00495E1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r>
      <w:tr w:rsidR="00495E1A" w:rsidRPr="00B479AE" w14:paraId="233BC47E" w14:textId="77777777" w:rsidTr="003241C9">
        <w:trPr>
          <w:tblCellSpacing w:w="15" w:type="dxa"/>
        </w:trPr>
        <w:tc>
          <w:tcPr>
            <w:tcW w:w="0" w:type="auto"/>
            <w:vAlign w:val="center"/>
            <w:hideMark/>
          </w:tcPr>
          <w:p w14:paraId="157EECA3"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Claim</w:t>
            </w:r>
          </w:p>
        </w:tc>
        <w:tc>
          <w:tcPr>
            <w:tcW w:w="0" w:type="auto"/>
            <w:vAlign w:val="center"/>
            <w:hideMark/>
          </w:tcPr>
          <w:p w14:paraId="4148DC64"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Statement not yet supported by sufficient evidence.</w:t>
            </w:r>
          </w:p>
        </w:tc>
      </w:tr>
      <w:tr w:rsidR="00495E1A" w:rsidRPr="00B479AE" w14:paraId="29B854BA" w14:textId="77777777" w:rsidTr="003241C9">
        <w:trPr>
          <w:tblCellSpacing w:w="15" w:type="dxa"/>
        </w:trPr>
        <w:tc>
          <w:tcPr>
            <w:tcW w:w="0" w:type="auto"/>
            <w:vAlign w:val="center"/>
            <w:hideMark/>
          </w:tcPr>
          <w:p w14:paraId="46EDD949"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Observation</w:t>
            </w:r>
          </w:p>
        </w:tc>
        <w:tc>
          <w:tcPr>
            <w:tcW w:w="0" w:type="auto"/>
            <w:vAlign w:val="center"/>
            <w:hideMark/>
          </w:tcPr>
          <w:p w14:paraId="2DB5923F"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Recorded event or measurement.</w:t>
            </w:r>
          </w:p>
        </w:tc>
      </w:tr>
      <w:tr w:rsidR="00495E1A" w:rsidRPr="00B479AE" w14:paraId="3646333C" w14:textId="77777777" w:rsidTr="003241C9">
        <w:trPr>
          <w:tblCellSpacing w:w="15" w:type="dxa"/>
        </w:trPr>
        <w:tc>
          <w:tcPr>
            <w:tcW w:w="0" w:type="auto"/>
            <w:vAlign w:val="center"/>
            <w:hideMark/>
          </w:tcPr>
          <w:p w14:paraId="1F97353F"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Evidence</w:t>
            </w:r>
          </w:p>
        </w:tc>
        <w:tc>
          <w:tcPr>
            <w:tcW w:w="0" w:type="auto"/>
            <w:vAlign w:val="center"/>
            <w:hideMark/>
          </w:tcPr>
          <w:p w14:paraId="06E264EB"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Observation with provenance and method.</w:t>
            </w:r>
          </w:p>
        </w:tc>
      </w:tr>
      <w:tr w:rsidR="00495E1A" w:rsidRPr="00B479AE" w14:paraId="404C6E69" w14:textId="77777777" w:rsidTr="003241C9">
        <w:trPr>
          <w:tblCellSpacing w:w="15" w:type="dxa"/>
        </w:trPr>
        <w:tc>
          <w:tcPr>
            <w:tcW w:w="0" w:type="auto"/>
            <w:vAlign w:val="center"/>
            <w:hideMark/>
          </w:tcPr>
          <w:p w14:paraId="3E28508D"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Validated indicator</w:t>
            </w:r>
          </w:p>
        </w:tc>
        <w:tc>
          <w:tcPr>
            <w:tcW w:w="0" w:type="auto"/>
            <w:vAlign w:val="center"/>
            <w:hideMark/>
          </w:tcPr>
          <w:p w14:paraId="2BA6FD34"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Evidence passed defined checks.</w:t>
            </w:r>
          </w:p>
        </w:tc>
      </w:tr>
      <w:tr w:rsidR="00495E1A" w:rsidRPr="00B479AE" w14:paraId="18EC2380" w14:textId="77777777" w:rsidTr="003241C9">
        <w:trPr>
          <w:tblCellSpacing w:w="15" w:type="dxa"/>
        </w:trPr>
        <w:tc>
          <w:tcPr>
            <w:tcW w:w="0" w:type="auto"/>
            <w:vAlign w:val="center"/>
            <w:hideMark/>
          </w:tcPr>
          <w:p w14:paraId="4F3486AA"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Research-use only</w:t>
            </w:r>
          </w:p>
        </w:tc>
        <w:tc>
          <w:tcPr>
            <w:tcW w:w="0" w:type="auto"/>
            <w:vAlign w:val="center"/>
            <w:hideMark/>
          </w:tcPr>
          <w:p w14:paraId="2D1EFD67"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Useful for learning, not for PRU or investor use.</w:t>
            </w:r>
          </w:p>
        </w:tc>
      </w:tr>
      <w:tr w:rsidR="00495E1A" w:rsidRPr="00B479AE" w14:paraId="54BA0EF1" w14:textId="77777777" w:rsidTr="003241C9">
        <w:trPr>
          <w:tblCellSpacing w:w="15" w:type="dxa"/>
        </w:trPr>
        <w:tc>
          <w:tcPr>
            <w:tcW w:w="0" w:type="auto"/>
            <w:vAlign w:val="center"/>
            <w:hideMark/>
          </w:tcPr>
          <w:p w14:paraId="361A9920"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MRV-admissible</w:t>
            </w:r>
          </w:p>
        </w:tc>
        <w:tc>
          <w:tcPr>
            <w:tcW w:w="0" w:type="auto"/>
            <w:vAlign w:val="center"/>
            <w:hideMark/>
          </w:tcPr>
          <w:p w14:paraId="3571403C"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May enter MRV reporting under defined scope.</w:t>
            </w:r>
          </w:p>
        </w:tc>
      </w:tr>
      <w:tr w:rsidR="00495E1A" w:rsidRPr="00B479AE" w14:paraId="010BB245" w14:textId="77777777" w:rsidTr="003241C9">
        <w:trPr>
          <w:tblCellSpacing w:w="15" w:type="dxa"/>
        </w:trPr>
        <w:tc>
          <w:tcPr>
            <w:tcW w:w="0" w:type="auto"/>
            <w:vAlign w:val="center"/>
            <w:hideMark/>
          </w:tcPr>
          <w:p w14:paraId="00DC28E5"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PRU-eligible</w:t>
            </w:r>
          </w:p>
        </w:tc>
        <w:tc>
          <w:tcPr>
            <w:tcW w:w="0" w:type="auto"/>
            <w:vAlign w:val="center"/>
            <w:hideMark/>
          </w:tcPr>
          <w:p w14:paraId="1919778A"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May contribute to PRU analysis under methodology.</w:t>
            </w:r>
          </w:p>
        </w:tc>
      </w:tr>
      <w:tr w:rsidR="00495E1A" w:rsidRPr="00B479AE" w14:paraId="2AB43EF7" w14:textId="77777777" w:rsidTr="003241C9">
        <w:trPr>
          <w:tblCellSpacing w:w="15" w:type="dxa"/>
        </w:trPr>
        <w:tc>
          <w:tcPr>
            <w:tcW w:w="0" w:type="auto"/>
            <w:vAlign w:val="center"/>
            <w:hideMark/>
          </w:tcPr>
          <w:p w14:paraId="38C2A479"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Investor-review only</w:t>
            </w:r>
          </w:p>
        </w:tc>
        <w:tc>
          <w:tcPr>
            <w:tcW w:w="0" w:type="auto"/>
            <w:vAlign w:val="center"/>
            <w:hideMark/>
          </w:tcPr>
          <w:p w14:paraId="1E2C75E9"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May appear in diligence with limitations.</w:t>
            </w:r>
          </w:p>
        </w:tc>
      </w:tr>
      <w:tr w:rsidR="00495E1A" w:rsidRPr="00B479AE" w14:paraId="78403561" w14:textId="77777777" w:rsidTr="003241C9">
        <w:trPr>
          <w:tblCellSpacing w:w="15" w:type="dxa"/>
        </w:trPr>
        <w:tc>
          <w:tcPr>
            <w:tcW w:w="0" w:type="auto"/>
            <w:vAlign w:val="center"/>
            <w:hideMark/>
          </w:tcPr>
          <w:p w14:paraId="5FE062F8"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Financially admissible</w:t>
            </w:r>
          </w:p>
        </w:tc>
        <w:tc>
          <w:tcPr>
            <w:tcW w:w="0" w:type="auto"/>
            <w:vAlign w:val="center"/>
            <w:hideMark/>
          </w:tcPr>
          <w:p w14:paraId="3E41AABF"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May contribute to valuation or reporting where legally and methodologically permitted.</w:t>
            </w:r>
          </w:p>
        </w:tc>
      </w:tr>
      <w:tr w:rsidR="00495E1A" w:rsidRPr="00B479AE" w14:paraId="654143EA" w14:textId="77777777" w:rsidTr="003241C9">
        <w:trPr>
          <w:tblCellSpacing w:w="15" w:type="dxa"/>
        </w:trPr>
        <w:tc>
          <w:tcPr>
            <w:tcW w:w="0" w:type="auto"/>
            <w:vAlign w:val="center"/>
            <w:hideMark/>
          </w:tcPr>
          <w:p w14:paraId="524CBBD4"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Non-admissible</w:t>
            </w:r>
          </w:p>
        </w:tc>
        <w:tc>
          <w:tcPr>
            <w:tcW w:w="0" w:type="auto"/>
            <w:vAlign w:val="center"/>
            <w:hideMark/>
          </w:tcPr>
          <w:p w14:paraId="64CE9BF0"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Cannot enter protected pathways.</w:t>
            </w:r>
          </w:p>
        </w:tc>
      </w:tr>
    </w:tbl>
    <w:p w14:paraId="13D76045"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This is one of the most important implementation controls in Prometheus.</w:t>
      </w:r>
    </w:p>
    <w:p w14:paraId="4894FEFF"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prevents narrative from becoming value without evidence.</w:t>
      </w:r>
    </w:p>
    <w:p w14:paraId="11B53F2A" w14:textId="77777777" w:rsidR="00495E1A" w:rsidRPr="00B479AE" w:rsidRDefault="00495E1A" w:rsidP="00495E1A">
      <w:pPr>
        <w:spacing w:line="360" w:lineRule="auto"/>
        <w:rPr>
          <w:rFonts w:ascii="Baskerville Old Face" w:hAnsi="Baskerville Old Face"/>
          <w:b/>
          <w:bCs/>
          <w:i/>
          <w:iCs/>
        </w:rPr>
      </w:pPr>
      <w:r w:rsidRPr="00B479AE">
        <w:rPr>
          <w:rFonts w:ascii="Baskerville Old Face" w:hAnsi="Baskerville Old Face"/>
          <w:b/>
          <w:bCs/>
          <w:i/>
          <w:iCs/>
        </w:rPr>
        <w:t>12.13 AI, Cognitive Kernel, and Execution Gates</w:t>
      </w:r>
    </w:p>
    <w:p w14:paraId="7144EFAB"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AI systems within Prometheus may support interpretation, classification, design, reporting, anomaly detection, scenario analysis, governance preparation, and decision support.</w:t>
      </w:r>
    </w:p>
    <w:p w14:paraId="7CAB62E9"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AI may assist.</w:t>
      </w:r>
    </w:p>
    <w:p w14:paraId="55FE8525"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AI may recommend.</w:t>
      </w:r>
    </w:p>
    <w:p w14:paraId="2046CA10"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lastRenderedPageBreak/>
        <w:t>AI may structure.</w:t>
      </w:r>
    </w:p>
    <w:p w14:paraId="56C297AF"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AI may clarify.</w:t>
      </w:r>
    </w:p>
    <w:p w14:paraId="0242068B"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AI may route.</w:t>
      </w:r>
    </w:p>
    <w:p w14:paraId="3A01C08A"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AI may compare.</w:t>
      </w:r>
    </w:p>
    <w:p w14:paraId="704430E5"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AI may detect risk.</w:t>
      </w:r>
    </w:p>
    <w:p w14:paraId="0314ABF8"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AI may generate drafts.</w:t>
      </w:r>
    </w:p>
    <w:p w14:paraId="4B15F66D"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AI may not independently authorize:</w:t>
      </w:r>
    </w:p>
    <w:p w14:paraId="249B8952"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 PRU value;</w:t>
      </w:r>
      <w:r w:rsidRPr="00B479AE">
        <w:rPr>
          <w:rFonts w:ascii="Baskerville Old Face" w:hAnsi="Baskerville Old Face"/>
          <w:i/>
          <w:iCs/>
        </w:rPr>
        <w:br/>
        <w:t>• RAP inclusion;</w:t>
      </w:r>
      <w:r w:rsidRPr="00B479AE">
        <w:rPr>
          <w:rFonts w:ascii="Baskerville Old Face" w:hAnsi="Baskerville Old Face"/>
          <w:i/>
          <w:iCs/>
        </w:rPr>
        <w:br/>
        <w:t>• investor-facing claims;</w:t>
      </w:r>
      <w:r w:rsidRPr="00B479AE">
        <w:rPr>
          <w:rFonts w:ascii="Baskerville Old Face" w:hAnsi="Baskerville Old Face"/>
          <w:i/>
          <w:iCs/>
        </w:rPr>
        <w:br/>
        <w:t>• token issuance;</w:t>
      </w:r>
      <w:r w:rsidRPr="00B479AE">
        <w:rPr>
          <w:rFonts w:ascii="Baskerville Old Face" w:hAnsi="Baskerville Old Face"/>
          <w:i/>
          <w:iCs/>
        </w:rPr>
        <w:br/>
        <w:t>• ecological interventions;</w:t>
      </w:r>
      <w:r w:rsidRPr="00B479AE">
        <w:rPr>
          <w:rFonts w:ascii="Baskerville Old Face" w:hAnsi="Baskerville Old Face"/>
          <w:i/>
          <w:iCs/>
        </w:rPr>
        <w:br/>
        <w:t>• legal rights;</w:t>
      </w:r>
      <w:r w:rsidRPr="00B479AE">
        <w:rPr>
          <w:rFonts w:ascii="Baskerville Old Face" w:hAnsi="Baskerville Old Face"/>
          <w:i/>
          <w:iCs/>
        </w:rPr>
        <w:br/>
        <w:t>• governance decisions;</w:t>
      </w:r>
      <w:r w:rsidRPr="00B479AE">
        <w:rPr>
          <w:rFonts w:ascii="Baskerville Old Face" w:hAnsi="Baskerville Old Face"/>
          <w:i/>
          <w:iCs/>
        </w:rPr>
        <w:br/>
        <w:t>• capital deployment;</w:t>
      </w:r>
      <w:r w:rsidRPr="00B479AE">
        <w:rPr>
          <w:rFonts w:ascii="Baskerville Old Face" w:hAnsi="Baskerville Old Face"/>
          <w:i/>
          <w:iCs/>
        </w:rPr>
        <w:br/>
        <w:t>• medical or health claims;</w:t>
      </w:r>
      <w:r w:rsidRPr="00B479AE">
        <w:rPr>
          <w:rFonts w:ascii="Baskerville Old Face" w:hAnsi="Baskerville Old Face"/>
          <w:i/>
          <w:iCs/>
        </w:rPr>
        <w:br/>
        <w:t>• constitutional interpretation as final authority.</w:t>
      </w:r>
    </w:p>
    <w:p w14:paraId="7DEFD179"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cognitive kernel should operate through execution gates.</w:t>
      </w:r>
    </w:p>
    <w:p w14:paraId="7444021E"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generated output should be classified before use.</w:t>
      </w:r>
    </w:p>
    <w:p w14:paraId="70124024"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design draft should be reviewed before implementation.</w:t>
      </w:r>
    </w:p>
    <w:p w14:paraId="0733A00A"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financial scenario should be labeled as assumption-based.</w:t>
      </w:r>
    </w:p>
    <w:p w14:paraId="628F55F4"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An investor-facing draft should require legal, compliance, and evidence review.</w:t>
      </w:r>
    </w:p>
    <w:p w14:paraId="2FE165EE"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An MRV interpretation should require data-quality and methodology review.</w:t>
      </w:r>
    </w:p>
    <w:p w14:paraId="751031B3"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PRU estimate should remain non-admissible until evidence and methodology thresholds are met.</w:t>
      </w:r>
    </w:p>
    <w:p w14:paraId="094FA2DB"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 tokenization concept should require legal wrapper and jurisdiction-specific review.</w:t>
      </w:r>
    </w:p>
    <w:p w14:paraId="4F2764BA"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lastRenderedPageBreak/>
        <w:t>A health-related hypothesis should remain research or systemic-value language unless clinically and legally validated.</w:t>
      </w:r>
    </w:p>
    <w:p w14:paraId="3550241D"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execution sequence should be:</w:t>
      </w:r>
    </w:p>
    <w:p w14:paraId="5E863FA1"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request</w:t>
      </w:r>
      <w:r w:rsidRPr="00B479AE">
        <w:rPr>
          <w:rFonts w:ascii="Baskerville Old Face" w:hAnsi="Baskerville Old Face"/>
          <w:i/>
          <w:iCs/>
        </w:rPr>
        <w:br/>
        <w:t>classification</w:t>
      </w:r>
      <w:r w:rsidRPr="00B479AE">
        <w:rPr>
          <w:rFonts w:ascii="Baskerville Old Face" w:hAnsi="Baskerville Old Face"/>
          <w:i/>
          <w:iCs/>
        </w:rPr>
        <w:br/>
        <w:t>evidence check</w:t>
      </w:r>
      <w:r w:rsidRPr="00B479AE">
        <w:rPr>
          <w:rFonts w:ascii="Baskerville Old Face" w:hAnsi="Baskerville Old Face"/>
          <w:i/>
          <w:iCs/>
        </w:rPr>
        <w:br/>
        <w:t>risk check</w:t>
      </w:r>
      <w:r w:rsidRPr="00B479AE">
        <w:rPr>
          <w:rFonts w:ascii="Baskerville Old Face" w:hAnsi="Baskerville Old Face"/>
          <w:i/>
          <w:iCs/>
        </w:rPr>
        <w:br/>
        <w:t>constitutional constraint check</w:t>
      </w:r>
      <w:r w:rsidRPr="00B479AE">
        <w:rPr>
          <w:rFonts w:ascii="Baskerville Old Face" w:hAnsi="Baskerville Old Face"/>
          <w:i/>
          <w:iCs/>
        </w:rPr>
        <w:br/>
        <w:t>output classification</w:t>
      </w:r>
      <w:r w:rsidRPr="00B479AE">
        <w:rPr>
          <w:rFonts w:ascii="Baskerville Old Face" w:hAnsi="Baskerville Old Face"/>
          <w:i/>
          <w:iCs/>
        </w:rPr>
        <w:br/>
        <w:t>review routing</w:t>
      </w:r>
      <w:r w:rsidRPr="00B479AE">
        <w:rPr>
          <w:rFonts w:ascii="Baskerville Old Face" w:hAnsi="Baskerville Old Face"/>
          <w:i/>
          <w:iCs/>
        </w:rPr>
        <w:br/>
        <w:t>authorization</w:t>
      </w:r>
      <w:r w:rsidRPr="00B479AE">
        <w:rPr>
          <w:rFonts w:ascii="Baskerville Old Face" w:hAnsi="Baskerville Old Face"/>
          <w:i/>
          <w:iCs/>
        </w:rPr>
        <w:br/>
        <w:t>execution</w:t>
      </w:r>
      <w:r w:rsidRPr="00B479AE">
        <w:rPr>
          <w:rFonts w:ascii="Baskerville Old Face" w:hAnsi="Baskerville Old Face"/>
          <w:i/>
          <w:iCs/>
        </w:rPr>
        <w:br/>
        <w:t>record</w:t>
      </w:r>
      <w:r w:rsidRPr="00B479AE">
        <w:rPr>
          <w:rFonts w:ascii="Baskerville Old Face" w:hAnsi="Baskerville Old Face"/>
          <w:i/>
          <w:iCs/>
        </w:rPr>
        <w:br/>
        <w:t>verification</w:t>
      </w:r>
      <w:r w:rsidRPr="00B479AE">
        <w:rPr>
          <w:rFonts w:ascii="Baskerville Old Face" w:hAnsi="Baskerville Old Face"/>
          <w:i/>
          <w:iCs/>
        </w:rPr>
        <w:br/>
        <w:t>reporting.</w:t>
      </w:r>
    </w:p>
    <w:p w14:paraId="5F43EE2F"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No output should move directly from generation to execution where protected domains are involved.</w:t>
      </w:r>
    </w:p>
    <w:p w14:paraId="4C157417"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This is the kernel’s institutional discipline.</w:t>
      </w:r>
    </w:p>
    <w:p w14:paraId="79B8ABDC" w14:textId="77777777" w:rsidR="00495E1A" w:rsidRPr="00B479AE" w:rsidRDefault="00495E1A" w:rsidP="00495E1A">
      <w:pPr>
        <w:spacing w:line="360" w:lineRule="auto"/>
        <w:rPr>
          <w:rFonts w:ascii="Baskerville Old Face" w:hAnsi="Baskerville Old Face"/>
          <w:b/>
          <w:bCs/>
          <w:i/>
          <w:iCs/>
        </w:rPr>
      </w:pPr>
      <w:r w:rsidRPr="00B479AE">
        <w:rPr>
          <w:rFonts w:ascii="Baskerville Old Face" w:hAnsi="Baskerville Old Face"/>
          <w:b/>
          <w:bCs/>
          <w:i/>
          <w:iCs/>
        </w:rPr>
        <w:t>12.14 Non-Bypassability by Design</w:t>
      </w:r>
    </w:p>
    <w:p w14:paraId="3CA61660"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Prometheus should be designed around non-bypassability.</w:t>
      </w:r>
    </w:p>
    <w:p w14:paraId="4AB539AA"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Non-bypassability does not mean that no attack, error, manipulation, or failure can ever occur.</w:t>
      </w:r>
    </w:p>
    <w:p w14:paraId="257211F7"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means that attempts to bypass constitutional constraints should become:</w:t>
      </w:r>
    </w:p>
    <w:p w14:paraId="2427F717"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 visible;</w:t>
      </w:r>
      <w:r w:rsidRPr="00B479AE">
        <w:rPr>
          <w:rFonts w:ascii="Baskerville Old Face" w:hAnsi="Baskerville Old Face"/>
          <w:i/>
          <w:iCs/>
        </w:rPr>
        <w:br/>
        <w:t>• logged;</w:t>
      </w:r>
      <w:r w:rsidRPr="00B479AE">
        <w:rPr>
          <w:rFonts w:ascii="Baskerville Old Face" w:hAnsi="Baskerville Old Face"/>
          <w:i/>
          <w:iCs/>
        </w:rPr>
        <w:br/>
        <w:t>• invalid within the Prometheus pathway;</w:t>
      </w:r>
      <w:r w:rsidRPr="00B479AE">
        <w:rPr>
          <w:rFonts w:ascii="Baskerville Old Face" w:hAnsi="Baskerville Old Face"/>
          <w:i/>
          <w:iCs/>
        </w:rPr>
        <w:br/>
        <w:t>• restricted where technically possible;</w:t>
      </w:r>
      <w:r w:rsidRPr="00B479AE">
        <w:rPr>
          <w:rFonts w:ascii="Baskerville Old Face" w:hAnsi="Baskerville Old Face"/>
          <w:i/>
          <w:iCs/>
        </w:rPr>
        <w:br/>
        <w:t>• non-admissible where evidentiary integrity is affected;</w:t>
      </w:r>
      <w:r w:rsidRPr="00B479AE">
        <w:rPr>
          <w:rFonts w:ascii="Baskerville Old Face" w:hAnsi="Baskerville Old Face"/>
          <w:i/>
          <w:iCs/>
        </w:rPr>
        <w:br/>
        <w:t>• non-executable where authorization is missing;</w:t>
      </w:r>
      <w:r w:rsidRPr="00B479AE">
        <w:rPr>
          <w:rFonts w:ascii="Baskerville Old Face" w:hAnsi="Baskerville Old Face"/>
          <w:i/>
          <w:iCs/>
        </w:rPr>
        <w:br/>
        <w:t>• reversible where feasible;</w:t>
      </w:r>
      <w:r w:rsidRPr="00B479AE">
        <w:rPr>
          <w:rFonts w:ascii="Baskerville Old Face" w:hAnsi="Baskerville Old Face"/>
          <w:i/>
          <w:iCs/>
        </w:rPr>
        <w:br/>
      </w:r>
      <w:r w:rsidRPr="00B479AE">
        <w:rPr>
          <w:rFonts w:ascii="Baskerville Old Face" w:hAnsi="Baskerville Old Face"/>
          <w:i/>
          <w:iCs/>
        </w:rPr>
        <w:lastRenderedPageBreak/>
        <w:t>• reviewable through governance;</w:t>
      </w:r>
      <w:r w:rsidRPr="00B479AE">
        <w:rPr>
          <w:rFonts w:ascii="Baskerville Old Face" w:hAnsi="Baskerville Old Face"/>
          <w:i/>
          <w:iCs/>
        </w:rPr>
        <w:br/>
        <w:t>• escalated where serious.</w:t>
      </w:r>
    </w:p>
    <w:p w14:paraId="2C3EF656"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main bypass risks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5"/>
        <w:gridCol w:w="6773"/>
      </w:tblGrid>
      <w:tr w:rsidR="00495E1A" w:rsidRPr="00B479AE" w14:paraId="512AF1F4" w14:textId="77777777" w:rsidTr="003241C9">
        <w:trPr>
          <w:tblHeader/>
          <w:tblCellSpacing w:w="15" w:type="dxa"/>
        </w:trPr>
        <w:tc>
          <w:tcPr>
            <w:tcW w:w="0" w:type="auto"/>
            <w:vAlign w:val="center"/>
            <w:hideMark/>
          </w:tcPr>
          <w:p w14:paraId="067D17F0" w14:textId="77777777" w:rsidR="00495E1A" w:rsidRPr="00B479AE" w:rsidRDefault="00495E1A" w:rsidP="00495E1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Bypass risk</w:t>
            </w:r>
          </w:p>
        </w:tc>
        <w:tc>
          <w:tcPr>
            <w:tcW w:w="0" w:type="auto"/>
            <w:vAlign w:val="center"/>
            <w:hideMark/>
          </w:tcPr>
          <w:p w14:paraId="080C0BBC" w14:textId="77777777" w:rsidR="00495E1A" w:rsidRPr="00B479AE" w:rsidRDefault="00495E1A" w:rsidP="00495E1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Required control</w:t>
            </w:r>
          </w:p>
        </w:tc>
      </w:tr>
      <w:tr w:rsidR="00495E1A" w:rsidRPr="00B479AE" w14:paraId="1B907974" w14:textId="77777777" w:rsidTr="003241C9">
        <w:trPr>
          <w:tblCellSpacing w:w="15" w:type="dxa"/>
        </w:trPr>
        <w:tc>
          <w:tcPr>
            <w:tcW w:w="0" w:type="auto"/>
            <w:vAlign w:val="center"/>
            <w:hideMark/>
          </w:tcPr>
          <w:p w14:paraId="7791027E"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Prompt injection or instruction override</w:t>
            </w:r>
          </w:p>
        </w:tc>
        <w:tc>
          <w:tcPr>
            <w:tcW w:w="0" w:type="auto"/>
            <w:vAlign w:val="center"/>
            <w:hideMark/>
          </w:tcPr>
          <w:p w14:paraId="11198859"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Constitutional policy engine, role separation, validation checks, output classification, audit logging.</w:t>
            </w:r>
          </w:p>
        </w:tc>
      </w:tr>
      <w:tr w:rsidR="00495E1A" w:rsidRPr="00B479AE" w14:paraId="0AEE2154" w14:textId="77777777" w:rsidTr="003241C9">
        <w:trPr>
          <w:tblCellSpacing w:w="15" w:type="dxa"/>
        </w:trPr>
        <w:tc>
          <w:tcPr>
            <w:tcW w:w="0" w:type="auto"/>
            <w:vAlign w:val="center"/>
            <w:hideMark/>
          </w:tcPr>
          <w:p w14:paraId="109016AF"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Unauthorized agent execution</w:t>
            </w:r>
          </w:p>
        </w:tc>
        <w:tc>
          <w:tcPr>
            <w:tcW w:w="0" w:type="auto"/>
            <w:vAlign w:val="center"/>
            <w:hideMark/>
          </w:tcPr>
          <w:p w14:paraId="02C2EC41"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Permissioning, execution gates, least-privilege design, manual review.</w:t>
            </w:r>
          </w:p>
        </w:tc>
      </w:tr>
      <w:tr w:rsidR="00495E1A" w:rsidRPr="00B479AE" w14:paraId="5BA80193" w14:textId="77777777" w:rsidTr="003241C9">
        <w:trPr>
          <w:tblCellSpacing w:w="15" w:type="dxa"/>
        </w:trPr>
        <w:tc>
          <w:tcPr>
            <w:tcW w:w="0" w:type="auto"/>
            <w:vAlign w:val="center"/>
            <w:hideMark/>
          </w:tcPr>
          <w:p w14:paraId="6C815155"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Token or financial overreach</w:t>
            </w:r>
          </w:p>
        </w:tc>
        <w:tc>
          <w:tcPr>
            <w:tcW w:w="0" w:type="auto"/>
            <w:vAlign w:val="center"/>
            <w:hideMark/>
          </w:tcPr>
          <w:p w14:paraId="381A1518"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Legal-wrapper requirement, securities review, no automatic entitlement, public-communication controls.</w:t>
            </w:r>
          </w:p>
        </w:tc>
      </w:tr>
      <w:tr w:rsidR="00495E1A" w:rsidRPr="00B479AE" w14:paraId="2B0F24BB" w14:textId="77777777" w:rsidTr="003241C9">
        <w:trPr>
          <w:tblCellSpacing w:w="15" w:type="dxa"/>
        </w:trPr>
        <w:tc>
          <w:tcPr>
            <w:tcW w:w="0" w:type="auto"/>
            <w:vAlign w:val="center"/>
            <w:hideMark/>
          </w:tcPr>
          <w:p w14:paraId="575145A8"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MRV manipulation</w:t>
            </w:r>
          </w:p>
        </w:tc>
        <w:tc>
          <w:tcPr>
            <w:tcW w:w="0" w:type="auto"/>
            <w:vAlign w:val="center"/>
            <w:hideMark/>
          </w:tcPr>
          <w:p w14:paraId="63EA3564"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Provenance chain, anomaly detection, cross-source verification, confidence scoring, third-party review.</w:t>
            </w:r>
          </w:p>
        </w:tc>
      </w:tr>
      <w:tr w:rsidR="00495E1A" w:rsidRPr="00B479AE" w14:paraId="68F7FC4A" w14:textId="77777777" w:rsidTr="003241C9">
        <w:trPr>
          <w:tblCellSpacing w:w="15" w:type="dxa"/>
        </w:trPr>
        <w:tc>
          <w:tcPr>
            <w:tcW w:w="0" w:type="auto"/>
            <w:vAlign w:val="center"/>
            <w:hideMark/>
          </w:tcPr>
          <w:p w14:paraId="7F00E6E2"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Governance capture</w:t>
            </w:r>
          </w:p>
        </w:tc>
        <w:tc>
          <w:tcPr>
            <w:tcW w:w="0" w:type="auto"/>
            <w:vAlign w:val="center"/>
            <w:hideMark/>
          </w:tcPr>
          <w:p w14:paraId="60A65AD8"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Multi-stakeholder review, quorum rules, anti-capture safeguards, conflict-of-interest controls.</w:t>
            </w:r>
          </w:p>
        </w:tc>
      </w:tr>
      <w:tr w:rsidR="00495E1A" w:rsidRPr="00B479AE" w14:paraId="7CBAB7CE" w14:textId="77777777" w:rsidTr="003241C9">
        <w:trPr>
          <w:tblCellSpacing w:w="15" w:type="dxa"/>
        </w:trPr>
        <w:tc>
          <w:tcPr>
            <w:tcW w:w="0" w:type="auto"/>
            <w:vAlign w:val="center"/>
            <w:hideMark/>
          </w:tcPr>
          <w:p w14:paraId="0C968B56"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AI authority drift</w:t>
            </w:r>
          </w:p>
        </w:tc>
        <w:tc>
          <w:tcPr>
            <w:tcW w:w="0" w:type="auto"/>
            <w:vAlign w:val="center"/>
            <w:hideMark/>
          </w:tcPr>
          <w:p w14:paraId="066C1DAA"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Explicit distinction between generation, recommendation, authorization, execution, and reporting.</w:t>
            </w:r>
          </w:p>
        </w:tc>
      </w:tr>
      <w:tr w:rsidR="00495E1A" w:rsidRPr="00B479AE" w14:paraId="6CEB1EE6" w14:textId="77777777" w:rsidTr="003241C9">
        <w:trPr>
          <w:tblCellSpacing w:w="15" w:type="dxa"/>
        </w:trPr>
        <w:tc>
          <w:tcPr>
            <w:tcW w:w="0" w:type="auto"/>
            <w:vAlign w:val="center"/>
            <w:hideMark/>
          </w:tcPr>
          <w:p w14:paraId="222A4AC1"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Semantic drift</w:t>
            </w:r>
          </w:p>
        </w:tc>
        <w:tc>
          <w:tcPr>
            <w:tcW w:w="0" w:type="auto"/>
            <w:vAlign w:val="center"/>
            <w:hideMark/>
          </w:tcPr>
          <w:p w14:paraId="4B829DC3"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Canonical definitions, methodology versioning, protocol stewardship, release discipline.</w:t>
            </w:r>
          </w:p>
        </w:tc>
      </w:tr>
      <w:tr w:rsidR="00495E1A" w:rsidRPr="00B479AE" w14:paraId="2AA30E97" w14:textId="77777777" w:rsidTr="003241C9">
        <w:trPr>
          <w:tblCellSpacing w:w="15" w:type="dxa"/>
        </w:trPr>
        <w:tc>
          <w:tcPr>
            <w:tcW w:w="0" w:type="auto"/>
            <w:vAlign w:val="center"/>
            <w:hideMark/>
          </w:tcPr>
          <w:p w14:paraId="130D4E53"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Technical administrator capture</w:t>
            </w:r>
          </w:p>
        </w:tc>
        <w:tc>
          <w:tcPr>
            <w:tcW w:w="0" w:type="auto"/>
            <w:vAlign w:val="center"/>
            <w:hideMark/>
          </w:tcPr>
          <w:p w14:paraId="008287DE"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Role separation, access logging, key management, multi-party controls, revocation pathways.</w:t>
            </w:r>
          </w:p>
        </w:tc>
      </w:tr>
      <w:tr w:rsidR="00495E1A" w:rsidRPr="00B479AE" w14:paraId="1382765D" w14:textId="77777777" w:rsidTr="003241C9">
        <w:trPr>
          <w:tblCellSpacing w:w="15" w:type="dxa"/>
        </w:trPr>
        <w:tc>
          <w:tcPr>
            <w:tcW w:w="0" w:type="auto"/>
            <w:vAlign w:val="center"/>
            <w:hideMark/>
          </w:tcPr>
          <w:p w14:paraId="4C738083"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Data-room misuse</w:t>
            </w:r>
          </w:p>
        </w:tc>
        <w:tc>
          <w:tcPr>
            <w:tcW w:w="0" w:type="auto"/>
            <w:vAlign w:val="center"/>
            <w:hideMark/>
          </w:tcPr>
          <w:p w14:paraId="0615F5C7"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Role-based access, confidentiality agreements, watermarking, audit trails, investor-facing review.</w:t>
            </w:r>
          </w:p>
        </w:tc>
      </w:tr>
      <w:tr w:rsidR="00495E1A" w:rsidRPr="00B479AE" w14:paraId="2F1A290B" w14:textId="77777777" w:rsidTr="003241C9">
        <w:trPr>
          <w:tblCellSpacing w:w="15" w:type="dxa"/>
        </w:trPr>
        <w:tc>
          <w:tcPr>
            <w:tcW w:w="0" w:type="auto"/>
            <w:vAlign w:val="center"/>
            <w:hideMark/>
          </w:tcPr>
          <w:p w14:paraId="0F038190"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HSI misuse</w:t>
            </w:r>
          </w:p>
        </w:tc>
        <w:tc>
          <w:tcPr>
            <w:tcW w:w="0" w:type="auto"/>
            <w:vAlign w:val="center"/>
            <w:hideMark/>
          </w:tcPr>
          <w:p w14:paraId="148E387F"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Voluntary consent, privacy limits, no financial authority, no human ranking, strict purpose limitation.</w:t>
            </w:r>
          </w:p>
        </w:tc>
      </w:tr>
    </w:tbl>
    <w:p w14:paraId="779628DF" w14:textId="11890126"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kernel exists so that Prometheus can become more intelligent without becoming less accountable.</w:t>
      </w:r>
      <w:r w:rsidR="003241C9" w:rsidRPr="00B479AE">
        <w:rPr>
          <w:rFonts w:ascii="Baskerville Old Face" w:hAnsi="Baskerville Old Face"/>
          <w:i/>
          <w:iCs/>
        </w:rPr>
        <w:t xml:space="preserve"> </w:t>
      </w:r>
      <w:r w:rsidRPr="00B479AE">
        <w:rPr>
          <w:rFonts w:ascii="Baskerville Old Face" w:hAnsi="Baskerville Old Face"/>
          <w:i/>
          <w:iCs/>
        </w:rPr>
        <w:t>Its constraints must therefore be embedded in:</w:t>
      </w:r>
    </w:p>
    <w:p w14:paraId="56AADFA8"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lastRenderedPageBreak/>
        <w:t>• narrative;</w:t>
      </w:r>
      <w:r w:rsidRPr="00B479AE">
        <w:rPr>
          <w:rFonts w:ascii="Baskerville Old Face" w:hAnsi="Baskerville Old Face"/>
          <w:i/>
          <w:iCs/>
        </w:rPr>
        <w:br/>
        <w:t>• governance;</w:t>
      </w:r>
      <w:r w:rsidRPr="00B479AE">
        <w:rPr>
          <w:rFonts w:ascii="Baskerville Old Face" w:hAnsi="Baskerville Old Face"/>
          <w:i/>
          <w:iCs/>
        </w:rPr>
        <w:br/>
        <w:t>• code;</w:t>
      </w:r>
      <w:r w:rsidRPr="00B479AE">
        <w:rPr>
          <w:rFonts w:ascii="Baskerville Old Face" w:hAnsi="Baskerville Old Face"/>
          <w:i/>
          <w:iCs/>
        </w:rPr>
        <w:br/>
        <w:t>• schemas;</w:t>
      </w:r>
      <w:r w:rsidRPr="00B479AE">
        <w:rPr>
          <w:rFonts w:ascii="Baskerville Old Face" w:hAnsi="Baskerville Old Face"/>
          <w:i/>
          <w:iCs/>
        </w:rPr>
        <w:br/>
        <w:t>• permissions;</w:t>
      </w:r>
      <w:r w:rsidRPr="00B479AE">
        <w:rPr>
          <w:rFonts w:ascii="Baskerville Old Face" w:hAnsi="Baskerville Old Face"/>
          <w:i/>
          <w:iCs/>
        </w:rPr>
        <w:br/>
        <w:t>• audits;</w:t>
      </w:r>
      <w:r w:rsidRPr="00B479AE">
        <w:rPr>
          <w:rFonts w:ascii="Baskerville Old Face" w:hAnsi="Baskerville Old Face"/>
          <w:i/>
          <w:iCs/>
        </w:rPr>
        <w:br/>
        <w:t>• legal instruments;</w:t>
      </w:r>
      <w:r w:rsidRPr="00B479AE">
        <w:rPr>
          <w:rFonts w:ascii="Baskerville Old Face" w:hAnsi="Baskerville Old Face"/>
          <w:i/>
          <w:iCs/>
        </w:rPr>
        <w:br/>
        <w:t>• institutional process.</w:t>
      </w:r>
    </w:p>
    <w:p w14:paraId="32E1E856" w14:textId="77777777" w:rsidR="00495E1A" w:rsidRPr="00B479AE" w:rsidRDefault="00495E1A" w:rsidP="00495E1A">
      <w:pPr>
        <w:spacing w:line="360" w:lineRule="auto"/>
        <w:rPr>
          <w:rFonts w:ascii="Baskerville Old Face" w:hAnsi="Baskerville Old Face"/>
          <w:b/>
          <w:bCs/>
          <w:i/>
          <w:iCs/>
        </w:rPr>
      </w:pPr>
      <w:r w:rsidRPr="00B479AE">
        <w:rPr>
          <w:rFonts w:ascii="Baskerville Old Face" w:hAnsi="Baskerville Old Face"/>
          <w:b/>
          <w:bCs/>
          <w:i/>
          <w:iCs/>
        </w:rPr>
        <w:t>12.15 Source-Code Discipline</w:t>
      </w:r>
    </w:p>
    <w:p w14:paraId="1F9B02B0"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At implementation level, the kernel’s constraints should be expressed not only in narrative documents, but also in source-code logic, validation schemas, policy engines, permission systems, execution gates, test suites, audit procedures, and deployment controls.</w:t>
      </w:r>
    </w:p>
    <w:p w14:paraId="18C2CC71"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constitutional text defines meaning.</w:t>
      </w:r>
    </w:p>
    <w:p w14:paraId="0429CEDD"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source code enforces boundaries where implemented.</w:t>
      </w:r>
    </w:p>
    <w:p w14:paraId="52F1B685"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audit trail proves whether boundaries were respected.</w:t>
      </w:r>
    </w:p>
    <w:p w14:paraId="1DF3FC09"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governance layer decides how boundary cases are handled.</w:t>
      </w:r>
    </w:p>
    <w:p w14:paraId="3418B871"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Legal instruments bind institutional relationships.</w:t>
      </w:r>
    </w:p>
    <w:p w14:paraId="3368925B"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This creates a five-layer discipline: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9"/>
        <w:gridCol w:w="5368"/>
      </w:tblGrid>
      <w:tr w:rsidR="00495E1A" w:rsidRPr="00B479AE" w14:paraId="6101B8B7" w14:textId="77777777" w:rsidTr="003241C9">
        <w:trPr>
          <w:tblHeader/>
          <w:tblCellSpacing w:w="15" w:type="dxa"/>
        </w:trPr>
        <w:tc>
          <w:tcPr>
            <w:tcW w:w="0" w:type="auto"/>
            <w:vAlign w:val="center"/>
            <w:hideMark/>
          </w:tcPr>
          <w:p w14:paraId="4DC37597" w14:textId="77777777" w:rsidR="00495E1A" w:rsidRPr="00B479AE" w:rsidRDefault="00495E1A" w:rsidP="00495E1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Layer</w:t>
            </w:r>
          </w:p>
        </w:tc>
        <w:tc>
          <w:tcPr>
            <w:tcW w:w="0" w:type="auto"/>
            <w:vAlign w:val="center"/>
            <w:hideMark/>
          </w:tcPr>
          <w:p w14:paraId="5E82F519" w14:textId="77777777" w:rsidR="00495E1A" w:rsidRPr="00B479AE" w:rsidRDefault="00495E1A" w:rsidP="00495E1A">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Function</w:t>
            </w:r>
          </w:p>
        </w:tc>
      </w:tr>
      <w:tr w:rsidR="00495E1A" w:rsidRPr="00B479AE" w14:paraId="347E608C" w14:textId="77777777" w:rsidTr="003241C9">
        <w:trPr>
          <w:tblCellSpacing w:w="15" w:type="dxa"/>
        </w:trPr>
        <w:tc>
          <w:tcPr>
            <w:tcW w:w="0" w:type="auto"/>
            <w:vAlign w:val="center"/>
            <w:hideMark/>
          </w:tcPr>
          <w:p w14:paraId="1A182F42"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Constitutional meaning</w:t>
            </w:r>
          </w:p>
        </w:tc>
        <w:tc>
          <w:tcPr>
            <w:tcW w:w="0" w:type="auto"/>
            <w:vAlign w:val="center"/>
            <w:hideMark/>
          </w:tcPr>
          <w:p w14:paraId="2CD9A43C"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Defines the source-layer principles.</w:t>
            </w:r>
          </w:p>
        </w:tc>
      </w:tr>
      <w:tr w:rsidR="00495E1A" w:rsidRPr="00B479AE" w14:paraId="13F74FDA" w14:textId="77777777" w:rsidTr="003241C9">
        <w:trPr>
          <w:tblCellSpacing w:w="15" w:type="dxa"/>
        </w:trPr>
        <w:tc>
          <w:tcPr>
            <w:tcW w:w="0" w:type="auto"/>
            <w:vAlign w:val="center"/>
            <w:hideMark/>
          </w:tcPr>
          <w:p w14:paraId="6F4AB106"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Technical enforcement</w:t>
            </w:r>
          </w:p>
        </w:tc>
        <w:tc>
          <w:tcPr>
            <w:tcW w:w="0" w:type="auto"/>
            <w:vAlign w:val="center"/>
            <w:hideMark/>
          </w:tcPr>
          <w:p w14:paraId="1F762F0A"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Implements constraints where technically available.</w:t>
            </w:r>
          </w:p>
        </w:tc>
      </w:tr>
      <w:tr w:rsidR="00495E1A" w:rsidRPr="00B479AE" w14:paraId="2E9C3482" w14:textId="77777777" w:rsidTr="003241C9">
        <w:trPr>
          <w:tblCellSpacing w:w="15" w:type="dxa"/>
        </w:trPr>
        <w:tc>
          <w:tcPr>
            <w:tcW w:w="0" w:type="auto"/>
            <w:vAlign w:val="center"/>
            <w:hideMark/>
          </w:tcPr>
          <w:p w14:paraId="11BF2109"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Auditability</w:t>
            </w:r>
          </w:p>
        </w:tc>
        <w:tc>
          <w:tcPr>
            <w:tcW w:w="0" w:type="auto"/>
            <w:vAlign w:val="center"/>
            <w:hideMark/>
          </w:tcPr>
          <w:p w14:paraId="6C630AA4"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Records what occurred and supports review.</w:t>
            </w:r>
          </w:p>
        </w:tc>
      </w:tr>
      <w:tr w:rsidR="00495E1A" w:rsidRPr="00B479AE" w14:paraId="219208D8" w14:textId="77777777" w:rsidTr="003241C9">
        <w:trPr>
          <w:tblCellSpacing w:w="15" w:type="dxa"/>
        </w:trPr>
        <w:tc>
          <w:tcPr>
            <w:tcW w:w="0" w:type="auto"/>
            <w:vAlign w:val="center"/>
            <w:hideMark/>
          </w:tcPr>
          <w:p w14:paraId="39972DAD"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Governance review</w:t>
            </w:r>
          </w:p>
        </w:tc>
        <w:tc>
          <w:tcPr>
            <w:tcW w:w="0" w:type="auto"/>
            <w:vAlign w:val="center"/>
            <w:hideMark/>
          </w:tcPr>
          <w:p w14:paraId="77C02681"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Interprets contested cases and authorizes action.</w:t>
            </w:r>
          </w:p>
        </w:tc>
      </w:tr>
      <w:tr w:rsidR="00495E1A" w:rsidRPr="00B479AE" w14:paraId="4860F5DB" w14:textId="77777777" w:rsidTr="003241C9">
        <w:trPr>
          <w:tblCellSpacing w:w="15" w:type="dxa"/>
        </w:trPr>
        <w:tc>
          <w:tcPr>
            <w:tcW w:w="0" w:type="auto"/>
            <w:vAlign w:val="center"/>
            <w:hideMark/>
          </w:tcPr>
          <w:p w14:paraId="7A6A022F"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Legal enforceability</w:t>
            </w:r>
          </w:p>
        </w:tc>
        <w:tc>
          <w:tcPr>
            <w:tcW w:w="0" w:type="auto"/>
            <w:vAlign w:val="center"/>
            <w:hideMark/>
          </w:tcPr>
          <w:p w14:paraId="4FE2BC5C" w14:textId="77777777" w:rsidR="00495E1A" w:rsidRPr="00B479AE" w:rsidRDefault="00495E1A" w:rsidP="00495E1A">
            <w:pPr>
              <w:spacing w:line="360" w:lineRule="auto"/>
              <w:rPr>
                <w:rFonts w:ascii="Baskerville Old Face" w:hAnsi="Baskerville Old Face"/>
                <w:i/>
                <w:iCs/>
                <w:sz w:val="22"/>
                <w:szCs w:val="22"/>
              </w:rPr>
            </w:pPr>
            <w:r w:rsidRPr="00B479AE">
              <w:rPr>
                <w:rFonts w:ascii="Baskerville Old Face" w:hAnsi="Baskerville Old Face"/>
                <w:i/>
                <w:iCs/>
                <w:sz w:val="22"/>
                <w:szCs w:val="22"/>
              </w:rPr>
              <w:t>Creates jurisdiction-specific rights, obligations, and remedies.</w:t>
            </w:r>
          </w:p>
        </w:tc>
      </w:tr>
    </w:tbl>
    <w:p w14:paraId="4AC4A3A1"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lastRenderedPageBreak/>
        <w:t>The kernel therefore becomes more than a philosophy.</w:t>
      </w:r>
    </w:p>
    <w:p w14:paraId="74C645DB"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becomes operational discipline inside the system.</w:t>
      </w:r>
    </w:p>
    <w:p w14:paraId="7572D1C0"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Prometheus’ source code should carry the constitutional memory of the system.</w:t>
      </w:r>
    </w:p>
    <w:p w14:paraId="50E5A1DE"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Not as decorative comments.</w:t>
      </w:r>
    </w:p>
    <w:p w14:paraId="147FA9E0"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Not as branding.</w:t>
      </w:r>
    </w:p>
    <w:p w14:paraId="00A4C341"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Not as a slogan hidden in a README.</w:t>
      </w:r>
    </w:p>
    <w:p w14:paraId="4BE35606"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As enforceable architecture:</w:t>
      </w:r>
    </w:p>
    <w:p w14:paraId="6B6813F9"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 validation rules;</w:t>
      </w:r>
      <w:r w:rsidRPr="00B479AE">
        <w:rPr>
          <w:rFonts w:ascii="Baskerville Old Face" w:hAnsi="Baskerville Old Face"/>
          <w:i/>
          <w:iCs/>
        </w:rPr>
        <w:br/>
        <w:t>• permission checks;</w:t>
      </w:r>
      <w:r w:rsidRPr="00B479AE">
        <w:rPr>
          <w:rFonts w:ascii="Baskerville Old Face" w:hAnsi="Baskerville Old Face"/>
          <w:i/>
          <w:iCs/>
        </w:rPr>
        <w:br/>
        <w:t>• schema constraints;</w:t>
      </w:r>
      <w:r w:rsidRPr="00B479AE">
        <w:rPr>
          <w:rFonts w:ascii="Baskerville Old Face" w:hAnsi="Baskerville Old Face"/>
          <w:i/>
          <w:iCs/>
        </w:rPr>
        <w:br/>
        <w:t>• role boundaries;</w:t>
      </w:r>
      <w:r w:rsidRPr="00B479AE">
        <w:rPr>
          <w:rFonts w:ascii="Baskerville Old Face" w:hAnsi="Baskerville Old Face"/>
          <w:i/>
          <w:iCs/>
        </w:rPr>
        <w:br/>
        <w:t>• release manifests;</w:t>
      </w:r>
      <w:r w:rsidRPr="00B479AE">
        <w:rPr>
          <w:rFonts w:ascii="Baskerville Old Face" w:hAnsi="Baskerville Old Face"/>
          <w:i/>
          <w:iCs/>
        </w:rPr>
        <w:br/>
        <w:t>• test failures for prohibited actions;</w:t>
      </w:r>
      <w:r w:rsidRPr="00B479AE">
        <w:rPr>
          <w:rFonts w:ascii="Baskerville Old Face" w:hAnsi="Baskerville Old Face"/>
          <w:i/>
          <w:iCs/>
        </w:rPr>
        <w:br/>
        <w:t>• audit trails for protected workflows;</w:t>
      </w:r>
      <w:r w:rsidRPr="00B479AE">
        <w:rPr>
          <w:rFonts w:ascii="Baskerville Old Face" w:hAnsi="Baskerville Old Face"/>
          <w:i/>
          <w:iCs/>
        </w:rPr>
        <w:br/>
        <w:t>• non-admissibility flags;</w:t>
      </w:r>
      <w:r w:rsidRPr="00B479AE">
        <w:rPr>
          <w:rFonts w:ascii="Baskerville Old Face" w:hAnsi="Baskerville Old Face"/>
          <w:i/>
          <w:iCs/>
        </w:rPr>
        <w:br/>
        <w:t>• rollback pathways;</w:t>
      </w:r>
      <w:r w:rsidRPr="00B479AE">
        <w:rPr>
          <w:rFonts w:ascii="Baskerville Old Face" w:hAnsi="Baskerville Old Face"/>
          <w:i/>
          <w:iCs/>
        </w:rPr>
        <w:br/>
        <w:t>• emergency pause controls;</w:t>
      </w:r>
      <w:r w:rsidRPr="00B479AE">
        <w:rPr>
          <w:rFonts w:ascii="Baskerville Old Face" w:hAnsi="Baskerville Old Face"/>
          <w:i/>
          <w:iCs/>
        </w:rPr>
        <w:br/>
        <w:t>• governance-routing logic.</w:t>
      </w:r>
    </w:p>
    <w:p w14:paraId="12D31D10"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code should make unconstitutional action difficult to execute, difficult to hide, difficult to represent as valid, and impossible to treat as Prometheus-admissible.</w:t>
      </w:r>
    </w:p>
    <w:p w14:paraId="480EADFA"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This is the practical meaning of constitutional enforcement in code.</w:t>
      </w:r>
    </w:p>
    <w:p w14:paraId="714121EB" w14:textId="77777777" w:rsidR="00495E1A" w:rsidRPr="00B479AE" w:rsidRDefault="00495E1A" w:rsidP="00495E1A">
      <w:pPr>
        <w:spacing w:line="360" w:lineRule="auto"/>
        <w:rPr>
          <w:rFonts w:ascii="Baskerville Old Face" w:hAnsi="Baskerville Old Face"/>
          <w:b/>
          <w:bCs/>
          <w:i/>
          <w:iCs/>
        </w:rPr>
      </w:pPr>
      <w:r w:rsidRPr="00B479AE">
        <w:rPr>
          <w:rFonts w:ascii="Baskerville Old Face" w:hAnsi="Baskerville Old Face"/>
          <w:b/>
          <w:bCs/>
          <w:i/>
          <w:iCs/>
        </w:rPr>
        <w:t>12.16 Irreducible Technical Boundary</w:t>
      </w:r>
    </w:p>
    <w:p w14:paraId="6ABF16C0"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irreducible boundary of the technical layer is this:</w:t>
      </w:r>
    </w:p>
    <w:p w14:paraId="3FD8B09F"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intelligence may assist;</w:t>
      </w:r>
      <w:r w:rsidRPr="00B479AE">
        <w:rPr>
          <w:rFonts w:ascii="Baskerville Old Face" w:hAnsi="Baskerville Old Face"/>
          <w:i/>
          <w:iCs/>
        </w:rPr>
        <w:br/>
        <w:t>intelligence may interpret;</w:t>
      </w:r>
      <w:r w:rsidRPr="00B479AE">
        <w:rPr>
          <w:rFonts w:ascii="Baskerville Old Face" w:hAnsi="Baskerville Old Face"/>
          <w:i/>
          <w:iCs/>
        </w:rPr>
        <w:br/>
        <w:t>intelligence may generate;</w:t>
      </w:r>
      <w:r w:rsidRPr="00B479AE">
        <w:rPr>
          <w:rFonts w:ascii="Baskerville Old Face" w:hAnsi="Baskerville Old Face"/>
          <w:i/>
          <w:iCs/>
        </w:rPr>
        <w:br/>
        <w:t>intelligence may recommend;</w:t>
      </w:r>
      <w:r w:rsidRPr="00B479AE">
        <w:rPr>
          <w:rFonts w:ascii="Baskerville Old Face" w:hAnsi="Baskerville Old Face"/>
          <w:i/>
          <w:iCs/>
        </w:rPr>
        <w:br/>
      </w:r>
      <w:r w:rsidRPr="00B479AE">
        <w:rPr>
          <w:rFonts w:ascii="Baskerville Old Face" w:hAnsi="Baskerville Old Face"/>
          <w:i/>
          <w:iCs/>
        </w:rPr>
        <w:lastRenderedPageBreak/>
        <w:t>intelligence may coordinate;</w:t>
      </w:r>
      <w:r w:rsidRPr="00B479AE">
        <w:rPr>
          <w:rFonts w:ascii="Baskerville Old Face" w:hAnsi="Baskerville Old Face"/>
          <w:i/>
          <w:iCs/>
        </w:rPr>
        <w:br/>
        <w:t>intelligence may improve operational clarity;</w:t>
      </w:r>
      <w:r w:rsidRPr="00B479AE">
        <w:rPr>
          <w:rFonts w:ascii="Baskerville Old Face" w:hAnsi="Baskerville Old Face"/>
          <w:i/>
          <w:iCs/>
        </w:rPr>
        <w:br/>
        <w:t>intelligence may help Prometheus learn;</w:t>
      </w:r>
    </w:p>
    <w:p w14:paraId="76FC9AAD"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but intelligence may not override the constitutional conditions that preserve life, dignity, evidence, governance, and regenerative fidelity.</w:t>
      </w:r>
    </w:p>
    <w:p w14:paraId="53C6D3A9"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Any intelligence that attempts to bypass these conditions is not acting as Prometheus.</w:t>
      </w:r>
    </w:p>
    <w:p w14:paraId="0DB2DB21"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is acting outside Prometheus.</w:t>
      </w:r>
    </w:p>
    <w:p w14:paraId="218D4793"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Any code that permits such bypass is not a faithful implementation.</w:t>
      </w:r>
    </w:p>
    <w:p w14:paraId="43FF89ED"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is a defect, a vulnerability, or an unauthorized fork.</w:t>
      </w:r>
    </w:p>
    <w:p w14:paraId="3D5B136D"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Any dashboard that displays unsupported value as verified value is not reporting.</w:t>
      </w:r>
    </w:p>
    <w:p w14:paraId="6A051DA1"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is distortion.</w:t>
      </w:r>
    </w:p>
    <w:p w14:paraId="614E8BF1"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Any token mechanism that converts unverified narrative into entitlement is not regenerative finance.</w:t>
      </w:r>
    </w:p>
    <w:p w14:paraId="1D5B9051"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is semantic collapse.</w:t>
      </w:r>
    </w:p>
    <w:p w14:paraId="5CBC3F40"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Any governance process that treats technical convenience as constitutional authority is not evolution.</w:t>
      </w:r>
    </w:p>
    <w:p w14:paraId="3CD3738F"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is drift.</w:t>
      </w:r>
    </w:p>
    <w:p w14:paraId="170511B7"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This boundary must remain invariant across future versions, deployments, derivative systems, interfaces, models, agents, capital structures, institutional transformations, and technical upgrades.</w:t>
      </w:r>
    </w:p>
    <w:p w14:paraId="38854803"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The implementation layer exists so that Prometheus can become more capable without becoming less faithful.</w:t>
      </w:r>
    </w:p>
    <w:p w14:paraId="6C286D35"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Its final role is not control for its own sake.</w:t>
      </w:r>
    </w:p>
    <w:p w14:paraId="65F28D74"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Its final role is fidelity.</w:t>
      </w:r>
    </w:p>
    <w:p w14:paraId="25297714" w14:textId="77777777" w:rsidR="00495E1A" w:rsidRPr="00B479AE" w:rsidRDefault="00495E1A" w:rsidP="00495E1A">
      <w:pPr>
        <w:spacing w:line="360" w:lineRule="auto"/>
        <w:rPr>
          <w:rFonts w:ascii="Baskerville Old Face" w:hAnsi="Baskerville Old Face"/>
          <w:i/>
          <w:iCs/>
        </w:rPr>
      </w:pPr>
      <w:r w:rsidRPr="00B479AE">
        <w:rPr>
          <w:rFonts w:ascii="Baskerville Old Face" w:hAnsi="Baskerville Old Face"/>
          <w:i/>
          <w:iCs/>
        </w:rPr>
        <w:t>It protects the system from the oldest failure mode of intelligence:</w:t>
      </w:r>
    </w:p>
    <w:p w14:paraId="10C37661" w14:textId="7EB7A7C4" w:rsidR="00363D55" w:rsidRPr="00B479AE" w:rsidRDefault="00495E1A" w:rsidP="00AA1A42">
      <w:pPr>
        <w:spacing w:line="360" w:lineRule="auto"/>
        <w:rPr>
          <w:rFonts w:ascii="Baskerville Old Face" w:hAnsi="Baskerville Old Face"/>
          <w:i/>
          <w:iCs/>
        </w:rPr>
      </w:pPr>
      <w:r w:rsidRPr="00B479AE">
        <w:rPr>
          <w:rFonts w:ascii="Baskerville Old Face" w:hAnsi="Baskerville Old Face"/>
          <w:i/>
          <w:iCs/>
        </w:rPr>
        <w:t>becoming powerful before becoming wise.</w:t>
      </w:r>
    </w:p>
    <w:p w14:paraId="70247C5B"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lastRenderedPageBreak/>
        <w:t>13. The Path Forward: Implementation, Continuity, and Living Canon</w:t>
      </w:r>
    </w:p>
    <w:p w14:paraId="42C3AD7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is a constitutional architecture for verified regeneration.</w:t>
      </w:r>
    </w:p>
    <w:p w14:paraId="67E2723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is a living infrastructure for aligning ecology, human dignity, intelligence, governance, evidence, technology, capital, law, and long-term civilizational continuity.</w:t>
      </w:r>
    </w:p>
    <w:p w14:paraId="754391F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Its purpose is to make regenerative performance observable, measurable, verifiable, governable, financeable, legally legible, technically traceable, culturally transmittable, and faithful to life.</w:t>
      </w:r>
    </w:p>
    <w:p w14:paraId="3C43E4E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begins with a simple source-layer truth:</w:t>
      </w:r>
    </w:p>
    <w:p w14:paraId="13B278D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life is the ground of value.</w:t>
      </w:r>
    </w:p>
    <w:p w14:paraId="40D1DB84"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From this source, the system develops its institutional architecture:</w:t>
      </w:r>
    </w:p>
    <w:p w14:paraId="4DDF3EE1" w14:textId="2B5A167A"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human dignity as infrastructure;</w:t>
      </w:r>
      <w:r w:rsidRPr="00B479AE">
        <w:rPr>
          <w:rFonts w:ascii="Baskerville Old Face" w:hAnsi="Baskerville Old Face"/>
          <w:i/>
          <w:iCs/>
        </w:rPr>
        <w:br/>
        <w:t>ecological regeneration as measurable process;</w:t>
      </w:r>
      <w:r w:rsidRPr="00B479AE">
        <w:rPr>
          <w:rFonts w:ascii="Baskerville Old Face" w:hAnsi="Baskerville Old Face"/>
          <w:i/>
          <w:iCs/>
        </w:rPr>
        <w:br/>
        <w:t>MRV as evidence discipline;</w:t>
      </w:r>
      <w:r w:rsidRPr="00B479AE">
        <w:rPr>
          <w:rFonts w:ascii="Baskerville Old Face" w:hAnsi="Baskerville Old Face"/>
          <w:i/>
          <w:iCs/>
        </w:rPr>
        <w:br/>
        <w:t xml:space="preserve">PRU </w:t>
      </w:r>
      <w:r w:rsidR="005C176F" w:rsidRPr="00B479AE">
        <w:rPr>
          <w:rFonts w:ascii="Baskerville Old Face" w:hAnsi="Baskerville Old Face"/>
          <w:i/>
          <w:iCs/>
        </w:rPr>
        <w:t>as analytical representation of verified regenerative performance</w:t>
      </w:r>
      <w:r w:rsidRPr="00B479AE">
        <w:rPr>
          <w:rFonts w:ascii="Baskerville Old Face" w:hAnsi="Baskerville Old Face"/>
          <w:i/>
          <w:iCs/>
        </w:rPr>
        <w:t>;</w:t>
      </w:r>
      <w:r w:rsidRPr="00B479AE">
        <w:rPr>
          <w:rFonts w:ascii="Baskerville Old Face" w:hAnsi="Baskerville Old Face"/>
          <w:i/>
          <w:iCs/>
        </w:rPr>
        <w:br/>
        <w:t>RAP as portfolio aggregation logic;</w:t>
      </w:r>
      <w:r w:rsidRPr="00B479AE">
        <w:rPr>
          <w:rFonts w:ascii="Baskerville Old Face" w:hAnsi="Baskerville Old Face"/>
          <w:i/>
          <w:iCs/>
        </w:rPr>
        <w:br/>
        <w:t>agent-centric infrastructure as contextual coordination substrate;</w:t>
      </w:r>
      <w:r w:rsidRPr="00B479AE">
        <w:rPr>
          <w:rFonts w:ascii="Baskerville Old Face" w:hAnsi="Baskerville Old Face"/>
          <w:i/>
          <w:iCs/>
        </w:rPr>
        <w:br/>
        <w:t>governance as constitutional stewardship;</w:t>
      </w:r>
      <w:r w:rsidRPr="00B479AE">
        <w:rPr>
          <w:rFonts w:ascii="Baskerville Old Face" w:hAnsi="Baskerville Old Face"/>
          <w:i/>
          <w:iCs/>
        </w:rPr>
        <w:br/>
        <w:t>capital as disciplined support for verified regeneration;</w:t>
      </w:r>
      <w:r w:rsidRPr="00B479AE">
        <w:rPr>
          <w:rFonts w:ascii="Baskerville Old Face" w:hAnsi="Baskerville Old Face"/>
          <w:i/>
          <w:iCs/>
        </w:rPr>
        <w:br/>
        <w:t>AI as assistive intelligence;</w:t>
      </w:r>
      <w:r w:rsidRPr="00B479AE">
        <w:rPr>
          <w:rFonts w:ascii="Baskerville Old Face" w:hAnsi="Baskerville Old Face"/>
          <w:i/>
          <w:iCs/>
        </w:rPr>
        <w:br/>
        <w:t>law as continuity and protection;</w:t>
      </w:r>
      <w:r w:rsidRPr="00B479AE">
        <w:rPr>
          <w:rFonts w:ascii="Baskerville Old Face" w:hAnsi="Baskerville Old Face"/>
          <w:i/>
          <w:iCs/>
        </w:rPr>
        <w:br/>
        <w:t>the Access Covenant as the threshold of legitimate participation;</w:t>
      </w:r>
      <w:r w:rsidRPr="00B479AE">
        <w:rPr>
          <w:rFonts w:ascii="Baskerville Old Face" w:hAnsi="Baskerville Old Face"/>
          <w:i/>
          <w:iCs/>
        </w:rPr>
        <w:br/>
        <w:t>the Eternity Clauses as the non-invertible memory of the system;</w:t>
      </w:r>
      <w:r w:rsidRPr="00B479AE">
        <w:rPr>
          <w:rFonts w:ascii="Baskerville Old Face" w:hAnsi="Baskerville Old Face"/>
          <w:i/>
          <w:iCs/>
        </w:rPr>
        <w:br/>
        <w:t>and the living field as the foundation from which all value arises.</w:t>
      </w:r>
    </w:p>
    <w:p w14:paraId="087C151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grows through sequence.</w:t>
      </w:r>
    </w:p>
    <w:p w14:paraId="1B427EB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First life.</w:t>
      </w:r>
    </w:p>
    <w:p w14:paraId="6103ADA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Then stewardship.</w:t>
      </w:r>
    </w:p>
    <w:p w14:paraId="652AFAC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Then evidence.</w:t>
      </w:r>
    </w:p>
    <w:p w14:paraId="3CE4575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Then verification.</w:t>
      </w:r>
    </w:p>
    <w:p w14:paraId="1EF7D91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Then admissibility.</w:t>
      </w:r>
    </w:p>
    <w:p w14:paraId="2550D09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Then value.</w:t>
      </w:r>
    </w:p>
    <w:p w14:paraId="285F7E1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Then legal structure.</w:t>
      </w:r>
    </w:p>
    <w:p w14:paraId="7274D92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Then capital.</w:t>
      </w:r>
    </w:p>
    <w:p w14:paraId="07BC5C4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Then scale.</w:t>
      </w:r>
    </w:p>
    <w:p w14:paraId="602BF96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This sequence is the spine of Prometheus.</w:t>
      </w:r>
    </w:p>
    <w:p w14:paraId="120C1C2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allows the system to become ambitious without becoming premature, technological without becoming technocratic, financial without becoming extractive, intelligent without becoming sovereign over life, and scalable without losing its root.</w:t>
      </w:r>
    </w:p>
    <w:p w14:paraId="75A0799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is built to grow as living systems grow:</w:t>
      </w:r>
    </w:p>
    <w:p w14:paraId="2865F1B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rooted before expanded;</w:t>
      </w:r>
      <w:r w:rsidRPr="00B479AE">
        <w:rPr>
          <w:rFonts w:ascii="Baskerville Old Face" w:hAnsi="Baskerville Old Face"/>
          <w:i/>
          <w:iCs/>
        </w:rPr>
        <w:br/>
        <w:t>observed before valued;</w:t>
      </w:r>
      <w:r w:rsidRPr="00B479AE">
        <w:rPr>
          <w:rFonts w:ascii="Baskerville Old Face" w:hAnsi="Baskerville Old Face"/>
          <w:i/>
          <w:iCs/>
        </w:rPr>
        <w:br/>
        <w:t>verified before financed;</w:t>
      </w:r>
      <w:r w:rsidRPr="00B479AE">
        <w:rPr>
          <w:rFonts w:ascii="Baskerville Old Face" w:hAnsi="Baskerville Old Face"/>
          <w:i/>
          <w:iCs/>
        </w:rPr>
        <w:br/>
        <w:t>governed before scaled;</w:t>
      </w:r>
      <w:r w:rsidRPr="00B479AE">
        <w:rPr>
          <w:rFonts w:ascii="Baskerville Old Face" w:hAnsi="Baskerville Old Face"/>
          <w:i/>
          <w:iCs/>
        </w:rPr>
        <w:br/>
        <w:t>reviewed before automated;</w:t>
      </w:r>
      <w:r w:rsidRPr="00B479AE">
        <w:rPr>
          <w:rFonts w:ascii="Baskerville Old Face" w:hAnsi="Baskerville Old Face"/>
          <w:i/>
          <w:iCs/>
        </w:rPr>
        <w:br/>
        <w:t>and faithful before powerful.</w:t>
      </w:r>
    </w:p>
    <w:p w14:paraId="1FFB11AD"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 From White Paper to Implementation Contract</w:t>
      </w:r>
    </w:p>
    <w:p w14:paraId="7DE1DDA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White Paper defines the constitutional, ecological, technological, governance, legal, and capital-formation architecture of Prometheus.</w:t>
      </w:r>
    </w:p>
    <w:p w14:paraId="5D015EA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next step is implementation discipline.</w:t>
      </w:r>
    </w:p>
    <w:p w14:paraId="1898363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should now translate this architecture into a bounded implementation contract.</w:t>
      </w:r>
    </w:p>
    <w:p w14:paraId="2264626D" w14:textId="781F7B9F"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implementation contract defines:</w:t>
      </w:r>
      <w:r w:rsidR="0016340F" w:rsidRPr="00B479AE">
        <w:rPr>
          <w:rFonts w:ascii="Baskerville Old Face" w:hAnsi="Baskerville Old Face"/>
          <w:i/>
          <w:iCs/>
        </w:rPr>
        <w:t xml:space="preserve"> </w:t>
      </w:r>
    </w:p>
    <w:p w14:paraId="41823A07" w14:textId="77777777" w:rsidR="0016340F" w:rsidRPr="00B479AE" w:rsidRDefault="0016340F" w:rsidP="00AA1A42">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2"/>
        <w:gridCol w:w="8036"/>
      </w:tblGrid>
      <w:tr w:rsidR="00AA1A42" w:rsidRPr="00B479AE" w14:paraId="0D7E2707" w14:textId="77777777" w:rsidTr="0084040C">
        <w:trPr>
          <w:tblHeader/>
          <w:tblCellSpacing w:w="15" w:type="dxa"/>
        </w:trPr>
        <w:tc>
          <w:tcPr>
            <w:tcW w:w="0" w:type="auto"/>
            <w:vAlign w:val="center"/>
            <w:hideMark/>
          </w:tcPr>
          <w:p w14:paraId="0020BAE8" w14:textId="77777777" w:rsidR="00AA1A42" w:rsidRPr="00B479AE" w:rsidRDefault="00AA1A42" w:rsidP="00AA1A4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Layer</w:t>
            </w:r>
          </w:p>
        </w:tc>
        <w:tc>
          <w:tcPr>
            <w:tcW w:w="0" w:type="auto"/>
            <w:vAlign w:val="center"/>
            <w:hideMark/>
          </w:tcPr>
          <w:p w14:paraId="02AEF874" w14:textId="77777777" w:rsidR="00AA1A42" w:rsidRPr="00B479AE" w:rsidRDefault="00AA1A42" w:rsidP="00AA1A4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Implementation function</w:t>
            </w:r>
          </w:p>
        </w:tc>
      </w:tr>
      <w:tr w:rsidR="00AA1A42" w:rsidRPr="00B479AE" w14:paraId="2FDA7F57" w14:textId="77777777" w:rsidTr="0084040C">
        <w:trPr>
          <w:tblCellSpacing w:w="15" w:type="dxa"/>
        </w:trPr>
        <w:tc>
          <w:tcPr>
            <w:tcW w:w="0" w:type="auto"/>
            <w:vAlign w:val="center"/>
            <w:hideMark/>
          </w:tcPr>
          <w:p w14:paraId="3BABF1D3"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Constitutional layer</w:t>
            </w:r>
          </w:p>
        </w:tc>
        <w:tc>
          <w:tcPr>
            <w:tcW w:w="0" w:type="auto"/>
            <w:vAlign w:val="center"/>
            <w:hideMark/>
          </w:tcPr>
          <w:p w14:paraId="4E6911BE"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Preserves foundational articles, Eternity Clauses, Access Covenant, source-layer discipline, and canonical definitions.</w:t>
            </w:r>
          </w:p>
        </w:tc>
      </w:tr>
      <w:tr w:rsidR="00AA1A42" w:rsidRPr="00B479AE" w14:paraId="216731A6" w14:textId="77777777" w:rsidTr="0084040C">
        <w:trPr>
          <w:tblCellSpacing w:w="15" w:type="dxa"/>
        </w:trPr>
        <w:tc>
          <w:tcPr>
            <w:tcW w:w="0" w:type="auto"/>
            <w:vAlign w:val="center"/>
            <w:hideMark/>
          </w:tcPr>
          <w:p w14:paraId="6C53F3DC"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Governance layer</w:t>
            </w:r>
          </w:p>
        </w:tc>
        <w:tc>
          <w:tcPr>
            <w:tcW w:w="0" w:type="auto"/>
            <w:vAlign w:val="center"/>
            <w:hideMark/>
          </w:tcPr>
          <w:p w14:paraId="6BBF3528"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Defines roles, circles, consent logic, escalation pathways, review bodies, and accountability rules.</w:t>
            </w:r>
          </w:p>
        </w:tc>
      </w:tr>
      <w:tr w:rsidR="00AA1A42" w:rsidRPr="00B479AE" w14:paraId="012BDE0C" w14:textId="77777777" w:rsidTr="0084040C">
        <w:trPr>
          <w:tblCellSpacing w:w="15" w:type="dxa"/>
        </w:trPr>
        <w:tc>
          <w:tcPr>
            <w:tcW w:w="0" w:type="auto"/>
            <w:vAlign w:val="center"/>
            <w:hideMark/>
          </w:tcPr>
          <w:p w14:paraId="0EE8795C"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Ecological layer</w:t>
            </w:r>
          </w:p>
        </w:tc>
        <w:tc>
          <w:tcPr>
            <w:tcW w:w="0" w:type="auto"/>
            <w:vAlign w:val="center"/>
            <w:hideMark/>
          </w:tcPr>
          <w:p w14:paraId="07847FEA"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Defines the OHE or pilot site, baseline, regenerative design, stewardship duties, and operational scope.</w:t>
            </w:r>
          </w:p>
        </w:tc>
      </w:tr>
      <w:tr w:rsidR="00AA1A42" w:rsidRPr="00B479AE" w14:paraId="248632FA" w14:textId="77777777" w:rsidTr="0084040C">
        <w:trPr>
          <w:tblCellSpacing w:w="15" w:type="dxa"/>
        </w:trPr>
        <w:tc>
          <w:tcPr>
            <w:tcW w:w="0" w:type="auto"/>
            <w:vAlign w:val="center"/>
            <w:hideMark/>
          </w:tcPr>
          <w:p w14:paraId="0AF22204"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MRV layer</w:t>
            </w:r>
          </w:p>
        </w:tc>
        <w:tc>
          <w:tcPr>
            <w:tcW w:w="0" w:type="auto"/>
            <w:vAlign w:val="center"/>
            <w:hideMark/>
          </w:tcPr>
          <w:p w14:paraId="060FBB04"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Defines indicators, evidence sources, sampling protocols, provenance, confidence scoring, and admissibility rules.</w:t>
            </w:r>
          </w:p>
        </w:tc>
      </w:tr>
      <w:tr w:rsidR="00AA1A42" w:rsidRPr="00B479AE" w14:paraId="2EA8E6FB" w14:textId="77777777" w:rsidTr="0084040C">
        <w:trPr>
          <w:tblCellSpacing w:w="15" w:type="dxa"/>
        </w:trPr>
        <w:tc>
          <w:tcPr>
            <w:tcW w:w="0" w:type="auto"/>
            <w:vAlign w:val="center"/>
            <w:hideMark/>
          </w:tcPr>
          <w:p w14:paraId="4B5E6A96"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Technical layer</w:t>
            </w:r>
          </w:p>
        </w:tc>
        <w:tc>
          <w:tcPr>
            <w:tcW w:w="0" w:type="auto"/>
            <w:vAlign w:val="center"/>
            <w:hideMark/>
          </w:tcPr>
          <w:p w14:paraId="002BE2D0"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Defines hApp logic, source-chain records, schemas, permissions, policy gates, dashboards, and data structures where implemented.</w:t>
            </w:r>
          </w:p>
        </w:tc>
      </w:tr>
      <w:tr w:rsidR="00AA1A42" w:rsidRPr="00B479AE" w14:paraId="64984F19" w14:textId="77777777" w:rsidTr="0084040C">
        <w:trPr>
          <w:tblCellSpacing w:w="15" w:type="dxa"/>
        </w:trPr>
        <w:tc>
          <w:tcPr>
            <w:tcW w:w="0" w:type="auto"/>
            <w:vAlign w:val="center"/>
            <w:hideMark/>
          </w:tcPr>
          <w:p w14:paraId="20B2057A"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AI layer</w:t>
            </w:r>
          </w:p>
        </w:tc>
        <w:tc>
          <w:tcPr>
            <w:tcW w:w="0" w:type="auto"/>
            <w:vAlign w:val="center"/>
            <w:hideMark/>
          </w:tcPr>
          <w:p w14:paraId="6888D676"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Defines assistive use, output classification, risk routing, execution gates, protected-domain boundaries, and non-bypassability.</w:t>
            </w:r>
          </w:p>
        </w:tc>
      </w:tr>
      <w:tr w:rsidR="00AA1A42" w:rsidRPr="00B479AE" w14:paraId="78F61BD8" w14:textId="77777777" w:rsidTr="0084040C">
        <w:trPr>
          <w:tblCellSpacing w:w="15" w:type="dxa"/>
        </w:trPr>
        <w:tc>
          <w:tcPr>
            <w:tcW w:w="0" w:type="auto"/>
            <w:vAlign w:val="center"/>
            <w:hideMark/>
          </w:tcPr>
          <w:p w14:paraId="421F50F1"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Financial layer</w:t>
            </w:r>
          </w:p>
        </w:tc>
        <w:tc>
          <w:tcPr>
            <w:tcW w:w="0" w:type="auto"/>
            <w:vAlign w:val="center"/>
            <w:hideMark/>
          </w:tcPr>
          <w:p w14:paraId="467105BE"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Defines what is model, scenario, hypothesis, PRU logic, investor-review material, or legally structured instrument.</w:t>
            </w:r>
          </w:p>
        </w:tc>
      </w:tr>
      <w:tr w:rsidR="00AA1A42" w:rsidRPr="00B479AE" w14:paraId="0944F118" w14:textId="77777777" w:rsidTr="0084040C">
        <w:trPr>
          <w:tblCellSpacing w:w="15" w:type="dxa"/>
        </w:trPr>
        <w:tc>
          <w:tcPr>
            <w:tcW w:w="0" w:type="auto"/>
            <w:vAlign w:val="center"/>
            <w:hideMark/>
          </w:tcPr>
          <w:p w14:paraId="149714CC"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Legal layer</w:t>
            </w:r>
          </w:p>
        </w:tc>
        <w:tc>
          <w:tcPr>
            <w:tcW w:w="0" w:type="auto"/>
            <w:vAlign w:val="center"/>
            <w:hideMark/>
          </w:tcPr>
          <w:p w14:paraId="03059C2C"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Defines rights, obligations, disclaimers, participant agreements, data rights, investment boundaries, IP protection, and jurisdictional requirements.</w:t>
            </w:r>
          </w:p>
        </w:tc>
      </w:tr>
      <w:tr w:rsidR="00AA1A42" w:rsidRPr="00B479AE" w14:paraId="4F37BBFE" w14:textId="77777777" w:rsidTr="0084040C">
        <w:trPr>
          <w:tblCellSpacing w:w="15" w:type="dxa"/>
        </w:trPr>
        <w:tc>
          <w:tcPr>
            <w:tcW w:w="0" w:type="auto"/>
            <w:vAlign w:val="center"/>
            <w:hideMark/>
          </w:tcPr>
          <w:p w14:paraId="34E1E689"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Continuity layer</w:t>
            </w:r>
          </w:p>
        </w:tc>
        <w:tc>
          <w:tcPr>
            <w:tcW w:w="0" w:type="auto"/>
            <w:vAlign w:val="center"/>
            <w:hideMark/>
          </w:tcPr>
          <w:p w14:paraId="5955E4CF"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Defines canonical releases, hashes, signatures, mirrors, offline archives, institutional custody, and recovery pathways.</w:t>
            </w:r>
          </w:p>
        </w:tc>
      </w:tr>
      <w:tr w:rsidR="00AA1A42" w:rsidRPr="00B479AE" w14:paraId="70A42FF8" w14:textId="77777777" w:rsidTr="0084040C">
        <w:trPr>
          <w:tblCellSpacing w:w="15" w:type="dxa"/>
        </w:trPr>
        <w:tc>
          <w:tcPr>
            <w:tcW w:w="0" w:type="auto"/>
            <w:vAlign w:val="center"/>
            <w:hideMark/>
          </w:tcPr>
          <w:p w14:paraId="2833D8E4"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Reporting layer</w:t>
            </w:r>
          </w:p>
        </w:tc>
        <w:tc>
          <w:tcPr>
            <w:tcW w:w="0" w:type="auto"/>
            <w:vAlign w:val="center"/>
            <w:hideMark/>
          </w:tcPr>
          <w:p w14:paraId="68145F98"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Defines what may be reported publicly, privately, institutionally, experimentally, or not yet reported.</w:t>
            </w:r>
          </w:p>
        </w:tc>
      </w:tr>
    </w:tbl>
    <w:p w14:paraId="65D1308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This separation gives Prometheus institutional precision.</w:t>
      </w:r>
    </w:p>
    <w:p w14:paraId="2540B45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system that distinguishes its layers can evolve without confusing them.</w:t>
      </w:r>
    </w:p>
    <w:p w14:paraId="3E535801" w14:textId="2A8F522A" w:rsidR="00AA1A42" w:rsidRPr="00B479AE" w:rsidRDefault="00AA1A42" w:rsidP="00AA1A42">
      <w:pPr>
        <w:spacing w:line="360" w:lineRule="auto"/>
        <w:rPr>
          <w:rFonts w:ascii="Baskerville Old Face" w:hAnsi="Baskerville Old Face"/>
          <w:i/>
          <w:iCs/>
        </w:rPr>
      </w:pPr>
    </w:p>
    <w:p w14:paraId="2CDCEE90" w14:textId="77777777" w:rsidR="0084040C" w:rsidRPr="00B479AE" w:rsidRDefault="0084040C" w:rsidP="00AA1A42">
      <w:pPr>
        <w:spacing w:line="360" w:lineRule="auto"/>
        <w:rPr>
          <w:rFonts w:ascii="Baskerville Old Face" w:hAnsi="Baskerville Old Face"/>
          <w:i/>
          <w:iCs/>
        </w:rPr>
      </w:pPr>
    </w:p>
    <w:p w14:paraId="1E63F582"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lastRenderedPageBreak/>
        <w:t>13.2 Pilot-First Execution</w:t>
      </w:r>
    </w:p>
    <w:p w14:paraId="3175EDA4" w14:textId="37520902"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advances through bounded deployment, observed reality, disciplined learning, and conservative claims.</w:t>
      </w:r>
      <w:r w:rsidR="0084040C" w:rsidRPr="00B479AE">
        <w:rPr>
          <w:rFonts w:ascii="Baskerville Old Face" w:hAnsi="Baskerville Old Face"/>
          <w:i/>
          <w:iCs/>
        </w:rPr>
        <w:t xml:space="preserve"> </w:t>
      </w:r>
      <w:r w:rsidRPr="00B479AE">
        <w:rPr>
          <w:rFonts w:ascii="Baskerville Old Face" w:hAnsi="Baskerville Old Face"/>
          <w:i/>
          <w:iCs/>
        </w:rPr>
        <w:t>The Genesis pilot should prove the core transformation sequence:</w:t>
      </w:r>
    </w:p>
    <w:p w14:paraId="142A6D6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living system</w:t>
      </w:r>
      <w:r w:rsidRPr="00B479AE">
        <w:rPr>
          <w:rFonts w:ascii="Baskerville Old Face" w:hAnsi="Baskerville Old Face"/>
          <w:i/>
          <w:iCs/>
        </w:rPr>
        <w:br/>
        <w:t>regenerative intervention</w:t>
      </w:r>
      <w:r w:rsidRPr="00B479AE">
        <w:rPr>
          <w:rFonts w:ascii="Baskerville Old Face" w:hAnsi="Baskerville Old Face"/>
          <w:i/>
          <w:iCs/>
        </w:rPr>
        <w:br/>
        <w:t>baseline</w:t>
      </w:r>
      <w:r w:rsidRPr="00B479AE">
        <w:rPr>
          <w:rFonts w:ascii="Baskerville Old Face" w:hAnsi="Baskerville Old Face"/>
          <w:i/>
          <w:iCs/>
        </w:rPr>
        <w:br/>
        <w:t>evidence</w:t>
      </w:r>
      <w:r w:rsidRPr="00B479AE">
        <w:rPr>
          <w:rFonts w:ascii="Baskerville Old Face" w:hAnsi="Baskerville Old Face"/>
          <w:i/>
          <w:iCs/>
        </w:rPr>
        <w:br/>
        <w:t>provenance</w:t>
      </w:r>
      <w:r w:rsidRPr="00B479AE">
        <w:rPr>
          <w:rFonts w:ascii="Baskerville Old Face" w:hAnsi="Baskerville Old Face"/>
          <w:i/>
          <w:iCs/>
        </w:rPr>
        <w:br/>
        <w:t>verified indicator</w:t>
      </w:r>
      <w:r w:rsidRPr="00B479AE">
        <w:rPr>
          <w:rFonts w:ascii="Baskerville Old Face" w:hAnsi="Baskerville Old Face"/>
          <w:i/>
          <w:iCs/>
        </w:rPr>
        <w:br/>
        <w:t>governance review</w:t>
      </w:r>
      <w:r w:rsidRPr="00B479AE">
        <w:rPr>
          <w:rFonts w:ascii="Baskerville Old Face" w:hAnsi="Baskerville Old Face"/>
          <w:i/>
          <w:iCs/>
        </w:rPr>
        <w:br/>
        <w:t>PRU-relevant interpretation</w:t>
      </w:r>
      <w:r w:rsidRPr="00B479AE">
        <w:rPr>
          <w:rFonts w:ascii="Baskerville Old Face" w:hAnsi="Baskerville Old Face"/>
          <w:i/>
          <w:iCs/>
        </w:rPr>
        <w:br/>
        <w:t>reporting discipline</w:t>
      </w:r>
      <w:r w:rsidRPr="00B479AE">
        <w:rPr>
          <w:rFonts w:ascii="Baskerville Old Face" w:hAnsi="Baskerville Old Face"/>
          <w:i/>
          <w:iCs/>
        </w:rPr>
        <w:br/>
        <w:t>capital-readiness assessment.</w:t>
      </w:r>
    </w:p>
    <w:p w14:paraId="3AB373B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Genesis pilot should answer a focused set of high-value questions:</w:t>
      </w:r>
    </w:p>
    <w:p w14:paraId="116BEE6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Can a regenerative unit be defined clearly?</w:t>
      </w:r>
    </w:p>
    <w:p w14:paraId="74A5CFF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Can baseline conditions be documented?</w:t>
      </w:r>
    </w:p>
    <w:p w14:paraId="18281BD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Can stewardship actions be recorded?</w:t>
      </w:r>
    </w:p>
    <w:p w14:paraId="55BFAF6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Can ecological change be observed?</w:t>
      </w:r>
    </w:p>
    <w:p w14:paraId="35B844F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Can evidence streams be integrated?</w:t>
      </w:r>
    </w:p>
    <w:p w14:paraId="793B06C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Can MRV be made reviewable?</w:t>
      </w:r>
    </w:p>
    <w:p w14:paraId="687F157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Can confidence scoring be applied?</w:t>
      </w:r>
    </w:p>
    <w:p w14:paraId="6E668FA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Can claims be classified correctly?</w:t>
      </w:r>
    </w:p>
    <w:p w14:paraId="6FA1E05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Can PRU logic be tested conservatively?</w:t>
      </w:r>
    </w:p>
    <w:p w14:paraId="30277DE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Can governance preserve semantic clarity?</w:t>
      </w:r>
    </w:p>
    <w:p w14:paraId="7617131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Can investor-facing material remain disciplined?</w:t>
      </w:r>
    </w:p>
    <w:p w14:paraId="6E43337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Can the canonical release remain verifiable across online and offline channels?</w:t>
      </w:r>
    </w:p>
    <w:p w14:paraId="231A306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Pilot-first execution gives Prometheus the right to learn before scaling.</w:t>
      </w:r>
    </w:p>
    <w:p w14:paraId="3EBEAC1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turns reality into governance feedback.</w:t>
      </w:r>
    </w:p>
    <w:p w14:paraId="5C62F46E"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13.3 Minimum Viable Institutional Stack</w:t>
      </w:r>
    </w:p>
    <w:p w14:paraId="5B48118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first deployable version of Prometheus should establish a minimum viable institutional stack.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6"/>
        <w:gridCol w:w="7402"/>
      </w:tblGrid>
      <w:tr w:rsidR="00AA1A42" w:rsidRPr="00B479AE" w14:paraId="6F339507" w14:textId="77777777" w:rsidTr="0084040C">
        <w:trPr>
          <w:tblHeader/>
          <w:tblCellSpacing w:w="15" w:type="dxa"/>
        </w:trPr>
        <w:tc>
          <w:tcPr>
            <w:tcW w:w="0" w:type="auto"/>
            <w:vAlign w:val="center"/>
            <w:hideMark/>
          </w:tcPr>
          <w:p w14:paraId="76D63625" w14:textId="77777777" w:rsidR="00AA1A42" w:rsidRPr="00B479AE" w:rsidRDefault="00AA1A42" w:rsidP="00AA1A42">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Component</w:t>
            </w:r>
          </w:p>
        </w:tc>
        <w:tc>
          <w:tcPr>
            <w:tcW w:w="0" w:type="auto"/>
            <w:vAlign w:val="center"/>
            <w:hideMark/>
          </w:tcPr>
          <w:p w14:paraId="12E8272D" w14:textId="77777777" w:rsidR="00AA1A42" w:rsidRPr="00B479AE" w:rsidRDefault="00AA1A42" w:rsidP="00AA1A42">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Minimum viable function</w:t>
            </w:r>
          </w:p>
        </w:tc>
      </w:tr>
      <w:tr w:rsidR="00AA1A42" w:rsidRPr="00B479AE" w14:paraId="23A24E60" w14:textId="77777777" w:rsidTr="0084040C">
        <w:trPr>
          <w:tblCellSpacing w:w="15" w:type="dxa"/>
        </w:trPr>
        <w:tc>
          <w:tcPr>
            <w:tcW w:w="0" w:type="auto"/>
            <w:vAlign w:val="center"/>
            <w:hideMark/>
          </w:tcPr>
          <w:p w14:paraId="28E929C7"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Canonical constitutional package</w:t>
            </w:r>
          </w:p>
        </w:tc>
        <w:tc>
          <w:tcPr>
            <w:tcW w:w="0" w:type="auto"/>
            <w:vAlign w:val="center"/>
            <w:hideMark/>
          </w:tcPr>
          <w:p w14:paraId="13F47111"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White Paper, foundational articles, Eternity Clauses, Access Covenant, role boundaries.</w:t>
            </w:r>
          </w:p>
        </w:tc>
      </w:tr>
      <w:tr w:rsidR="00AA1A42" w:rsidRPr="00B479AE" w14:paraId="21BB6787" w14:textId="77777777" w:rsidTr="0084040C">
        <w:trPr>
          <w:tblCellSpacing w:w="15" w:type="dxa"/>
        </w:trPr>
        <w:tc>
          <w:tcPr>
            <w:tcW w:w="0" w:type="auto"/>
            <w:vAlign w:val="center"/>
            <w:hideMark/>
          </w:tcPr>
          <w:p w14:paraId="24A5915E"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Pilot definition</w:t>
            </w:r>
          </w:p>
        </w:tc>
        <w:tc>
          <w:tcPr>
            <w:tcW w:w="0" w:type="auto"/>
            <w:vAlign w:val="center"/>
            <w:hideMark/>
          </w:tcPr>
          <w:p w14:paraId="7EC68A7A"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Site, scope, steward, baseline, implementation plan, risk register.</w:t>
            </w:r>
          </w:p>
        </w:tc>
      </w:tr>
      <w:tr w:rsidR="00AA1A42" w:rsidRPr="00B479AE" w14:paraId="68DAE1FF" w14:textId="77777777" w:rsidTr="0084040C">
        <w:trPr>
          <w:tblCellSpacing w:w="15" w:type="dxa"/>
        </w:trPr>
        <w:tc>
          <w:tcPr>
            <w:tcW w:w="0" w:type="auto"/>
            <w:vAlign w:val="center"/>
            <w:hideMark/>
          </w:tcPr>
          <w:p w14:paraId="2D7F6D9A"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MRV starter set</w:t>
            </w:r>
          </w:p>
        </w:tc>
        <w:tc>
          <w:tcPr>
            <w:tcW w:w="0" w:type="auto"/>
            <w:vAlign w:val="center"/>
            <w:hideMark/>
          </w:tcPr>
          <w:p w14:paraId="0C9C7255"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Soil, water, biodiversity, productivity, operational records, photographic evidence, laboratory or sensor inputs where available.</w:t>
            </w:r>
          </w:p>
        </w:tc>
      </w:tr>
      <w:tr w:rsidR="00AA1A42" w:rsidRPr="00B479AE" w14:paraId="6A738C0F" w14:textId="77777777" w:rsidTr="0084040C">
        <w:trPr>
          <w:tblCellSpacing w:w="15" w:type="dxa"/>
        </w:trPr>
        <w:tc>
          <w:tcPr>
            <w:tcW w:w="0" w:type="auto"/>
            <w:vAlign w:val="center"/>
            <w:hideMark/>
          </w:tcPr>
          <w:p w14:paraId="301CD98A"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Governance record</w:t>
            </w:r>
          </w:p>
        </w:tc>
        <w:tc>
          <w:tcPr>
            <w:tcW w:w="0" w:type="auto"/>
            <w:vAlign w:val="center"/>
            <w:hideMark/>
          </w:tcPr>
          <w:p w14:paraId="5DD25E2B"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Decision log, consent records, role assignments, review dates, conflict pathway.</w:t>
            </w:r>
          </w:p>
        </w:tc>
      </w:tr>
      <w:tr w:rsidR="00AA1A42" w:rsidRPr="00B479AE" w14:paraId="3A27DAE3" w14:textId="77777777" w:rsidTr="0084040C">
        <w:trPr>
          <w:tblCellSpacing w:w="15" w:type="dxa"/>
        </w:trPr>
        <w:tc>
          <w:tcPr>
            <w:tcW w:w="0" w:type="auto"/>
            <w:vAlign w:val="center"/>
            <w:hideMark/>
          </w:tcPr>
          <w:p w14:paraId="6DD0FFA0"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Technical record layer</w:t>
            </w:r>
          </w:p>
        </w:tc>
        <w:tc>
          <w:tcPr>
            <w:tcW w:w="0" w:type="auto"/>
            <w:vAlign w:val="center"/>
            <w:hideMark/>
          </w:tcPr>
          <w:p w14:paraId="05EB97B6"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Source-chain-compatible records, hash references, schemas, audit logs, permission states where implemented.</w:t>
            </w:r>
          </w:p>
        </w:tc>
      </w:tr>
      <w:tr w:rsidR="00AA1A42" w:rsidRPr="00B479AE" w14:paraId="055D739B" w14:textId="77777777" w:rsidTr="0084040C">
        <w:trPr>
          <w:tblCellSpacing w:w="15" w:type="dxa"/>
        </w:trPr>
        <w:tc>
          <w:tcPr>
            <w:tcW w:w="0" w:type="auto"/>
            <w:vAlign w:val="center"/>
            <w:hideMark/>
          </w:tcPr>
          <w:p w14:paraId="26051207"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Evidence classification</w:t>
            </w:r>
          </w:p>
        </w:tc>
        <w:tc>
          <w:tcPr>
            <w:tcW w:w="0" w:type="auto"/>
            <w:vAlign w:val="center"/>
            <w:hideMark/>
          </w:tcPr>
          <w:p w14:paraId="2B916F09"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Claim, observation, evidence, validated indicator, MRV-admissible, PRU-eligible, non-admissible.</w:t>
            </w:r>
          </w:p>
        </w:tc>
      </w:tr>
      <w:tr w:rsidR="00AA1A42" w:rsidRPr="00B479AE" w14:paraId="2C395837" w14:textId="77777777" w:rsidTr="0084040C">
        <w:trPr>
          <w:tblCellSpacing w:w="15" w:type="dxa"/>
        </w:trPr>
        <w:tc>
          <w:tcPr>
            <w:tcW w:w="0" w:type="auto"/>
            <w:vAlign w:val="center"/>
            <w:hideMark/>
          </w:tcPr>
          <w:p w14:paraId="6D28B1C9"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PRU draft methodology</w:t>
            </w:r>
          </w:p>
        </w:tc>
        <w:tc>
          <w:tcPr>
            <w:tcW w:w="0" w:type="auto"/>
            <w:vAlign w:val="center"/>
            <w:hideMark/>
          </w:tcPr>
          <w:p w14:paraId="4D3959DD"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Conservative interpretation of verified regenerative performance.</w:t>
            </w:r>
          </w:p>
        </w:tc>
      </w:tr>
      <w:tr w:rsidR="00AA1A42" w:rsidRPr="00B479AE" w14:paraId="710B1B3B" w14:textId="77777777" w:rsidTr="0084040C">
        <w:trPr>
          <w:tblCellSpacing w:w="15" w:type="dxa"/>
        </w:trPr>
        <w:tc>
          <w:tcPr>
            <w:tcW w:w="0" w:type="auto"/>
            <w:vAlign w:val="center"/>
            <w:hideMark/>
          </w:tcPr>
          <w:p w14:paraId="2EFA0328"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Reporting template</w:t>
            </w:r>
          </w:p>
        </w:tc>
        <w:tc>
          <w:tcPr>
            <w:tcW w:w="0" w:type="auto"/>
            <w:vAlign w:val="center"/>
            <w:hideMark/>
          </w:tcPr>
          <w:p w14:paraId="4857F2D1"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Pilot report, MRV note, risk note, data-room structure, investor-readiness boundary.</w:t>
            </w:r>
          </w:p>
        </w:tc>
      </w:tr>
      <w:tr w:rsidR="00AA1A42" w:rsidRPr="00B479AE" w14:paraId="45B7871A" w14:textId="77777777" w:rsidTr="0084040C">
        <w:trPr>
          <w:tblCellSpacing w:w="15" w:type="dxa"/>
        </w:trPr>
        <w:tc>
          <w:tcPr>
            <w:tcW w:w="0" w:type="auto"/>
            <w:vAlign w:val="center"/>
            <w:hideMark/>
          </w:tcPr>
          <w:p w14:paraId="5220A86F"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Legal boundary note</w:t>
            </w:r>
          </w:p>
        </w:tc>
        <w:tc>
          <w:tcPr>
            <w:tcW w:w="0" w:type="auto"/>
            <w:vAlign w:val="center"/>
            <w:hideMark/>
          </w:tcPr>
          <w:p w14:paraId="49EA89DC"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Non-offering language, token boundary, data rights, participant rights, jurisdictional review needs.</w:t>
            </w:r>
          </w:p>
        </w:tc>
      </w:tr>
      <w:tr w:rsidR="00AA1A42" w:rsidRPr="00B479AE" w14:paraId="55F70B08" w14:textId="77777777" w:rsidTr="0084040C">
        <w:trPr>
          <w:tblCellSpacing w:w="15" w:type="dxa"/>
        </w:trPr>
        <w:tc>
          <w:tcPr>
            <w:tcW w:w="0" w:type="auto"/>
            <w:vAlign w:val="center"/>
            <w:hideMark/>
          </w:tcPr>
          <w:p w14:paraId="2CC6C38B"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Canonical release package</w:t>
            </w:r>
          </w:p>
        </w:tc>
        <w:tc>
          <w:tcPr>
            <w:tcW w:w="0" w:type="auto"/>
            <w:vAlign w:val="center"/>
            <w:hideMark/>
          </w:tcPr>
          <w:p w14:paraId="60486FD4"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Release manifest, SHA-256 checksum file, detached signatures, public signing key, verification manual.</w:t>
            </w:r>
          </w:p>
        </w:tc>
      </w:tr>
      <w:tr w:rsidR="00AA1A42" w:rsidRPr="00B479AE" w14:paraId="609D5102" w14:textId="77777777" w:rsidTr="0084040C">
        <w:trPr>
          <w:tblCellSpacing w:w="15" w:type="dxa"/>
        </w:trPr>
        <w:tc>
          <w:tcPr>
            <w:tcW w:w="0" w:type="auto"/>
            <w:vAlign w:val="center"/>
            <w:hideMark/>
          </w:tcPr>
          <w:p w14:paraId="016F04C8"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Appendix parking registry</w:t>
            </w:r>
          </w:p>
        </w:tc>
        <w:tc>
          <w:tcPr>
            <w:tcW w:w="0" w:type="auto"/>
            <w:vAlign w:val="center"/>
            <w:hideMark/>
          </w:tcPr>
          <w:p w14:paraId="1B171C17"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Future concepts preserved outside the operative core until structured.</w:t>
            </w:r>
          </w:p>
        </w:tc>
      </w:tr>
    </w:tbl>
    <w:p w14:paraId="0E3996F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This stack gives builders something to implement, stewards something to operate, reviewers something to audit, capital something to understand, and the constitution a working body.</w:t>
      </w:r>
    </w:p>
    <w:p w14:paraId="0AAFB8B0"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lastRenderedPageBreak/>
        <w:t>13.4 Technical Development Pathway</w:t>
      </w:r>
    </w:p>
    <w:p w14:paraId="124CDB9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develops technology in the order required by trust.</w:t>
      </w:r>
    </w:p>
    <w:p w14:paraId="29918E7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Early technical priorities include:</w:t>
      </w:r>
    </w:p>
    <w:p w14:paraId="50135E2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Access Covenant record structure;</w:t>
      </w:r>
      <w:r w:rsidRPr="00B479AE">
        <w:rPr>
          <w:rFonts w:ascii="Baskerville Old Face" w:hAnsi="Baskerville Old Face"/>
          <w:i/>
          <w:iCs/>
        </w:rPr>
        <w:br/>
        <w:t>• participant and role registry;</w:t>
      </w:r>
      <w:r w:rsidRPr="00B479AE">
        <w:rPr>
          <w:rFonts w:ascii="Baskerville Old Face" w:hAnsi="Baskerville Old Face"/>
          <w:i/>
          <w:iCs/>
        </w:rPr>
        <w:br/>
        <w:t>• eligibility and access status records;</w:t>
      </w:r>
      <w:r w:rsidRPr="00B479AE">
        <w:rPr>
          <w:rFonts w:ascii="Baskerville Old Face" w:hAnsi="Baskerville Old Face"/>
          <w:i/>
          <w:iCs/>
        </w:rPr>
        <w:br/>
        <w:t>• source-chain-compatible event records;</w:t>
      </w:r>
      <w:r w:rsidRPr="00B479AE">
        <w:rPr>
          <w:rFonts w:ascii="Baskerville Old Face" w:hAnsi="Baskerville Old Face"/>
          <w:i/>
          <w:iCs/>
        </w:rPr>
        <w:br/>
        <w:t>• Valueflows / REA-compatible event schemas;</w:t>
      </w:r>
      <w:r w:rsidRPr="00B479AE">
        <w:rPr>
          <w:rFonts w:ascii="Baskerville Old Face" w:hAnsi="Baskerville Old Face"/>
          <w:i/>
          <w:iCs/>
        </w:rPr>
        <w:br/>
        <w:t>• MRV evidence records;</w:t>
      </w:r>
      <w:r w:rsidRPr="00B479AE">
        <w:rPr>
          <w:rFonts w:ascii="Baskerville Old Face" w:hAnsi="Baskerville Old Face"/>
          <w:i/>
          <w:iCs/>
        </w:rPr>
        <w:br/>
        <w:t>• methodology version references;</w:t>
      </w:r>
      <w:r w:rsidRPr="00B479AE">
        <w:rPr>
          <w:rFonts w:ascii="Baskerville Old Face" w:hAnsi="Baskerville Old Face"/>
          <w:i/>
          <w:iCs/>
        </w:rPr>
        <w:br/>
        <w:t>• document hash references;</w:t>
      </w:r>
      <w:r w:rsidRPr="00B479AE">
        <w:rPr>
          <w:rFonts w:ascii="Baskerville Old Face" w:hAnsi="Baskerville Old Face"/>
          <w:i/>
          <w:iCs/>
        </w:rPr>
        <w:br/>
        <w:t>• confidence scoring fields;</w:t>
      </w:r>
      <w:r w:rsidRPr="00B479AE">
        <w:rPr>
          <w:rFonts w:ascii="Baskerville Old Face" w:hAnsi="Baskerville Old Face"/>
          <w:i/>
          <w:iCs/>
        </w:rPr>
        <w:br/>
        <w:t>• non-admissibility flags;</w:t>
      </w:r>
      <w:r w:rsidRPr="00B479AE">
        <w:rPr>
          <w:rFonts w:ascii="Baskerville Old Face" w:hAnsi="Baskerville Old Face"/>
          <w:i/>
          <w:iCs/>
        </w:rPr>
        <w:br/>
        <w:t>• review-required flags;</w:t>
      </w:r>
      <w:r w:rsidRPr="00B479AE">
        <w:rPr>
          <w:rFonts w:ascii="Baskerville Old Face" w:hAnsi="Baskerville Old Face"/>
          <w:i/>
          <w:iCs/>
        </w:rPr>
        <w:br/>
        <w:t>• governance decision records;</w:t>
      </w:r>
      <w:r w:rsidRPr="00B479AE">
        <w:rPr>
          <w:rFonts w:ascii="Baskerville Old Face" w:hAnsi="Baskerville Old Face"/>
          <w:i/>
          <w:iCs/>
        </w:rPr>
        <w:br/>
        <w:t>• canonical release records;</w:t>
      </w:r>
      <w:r w:rsidRPr="00B479AE">
        <w:rPr>
          <w:rFonts w:ascii="Baskerville Old Face" w:hAnsi="Baskerville Old Face"/>
          <w:i/>
          <w:iCs/>
        </w:rPr>
        <w:br/>
        <w:t>• audit log structure;</w:t>
      </w:r>
      <w:r w:rsidRPr="00B479AE">
        <w:rPr>
          <w:rFonts w:ascii="Baskerville Old Face" w:hAnsi="Baskerville Old Face"/>
          <w:i/>
          <w:iCs/>
        </w:rPr>
        <w:br/>
        <w:t>• dashboard views separated by access scope.</w:t>
      </w:r>
    </w:p>
    <w:p w14:paraId="121089E4"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Advanced components follow once the basic record discipline is stable:</w:t>
      </w:r>
    </w:p>
    <w:p w14:paraId="1F86A36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constitutional policy engine;</w:t>
      </w:r>
      <w:r w:rsidRPr="00B479AE">
        <w:rPr>
          <w:rFonts w:ascii="Baskerville Old Face" w:hAnsi="Baskerville Old Face"/>
          <w:i/>
          <w:iCs/>
        </w:rPr>
        <w:br/>
        <w:t>• AI-assisted classification;</w:t>
      </w:r>
      <w:r w:rsidRPr="00B479AE">
        <w:rPr>
          <w:rFonts w:ascii="Baskerville Old Face" w:hAnsi="Baskerville Old Face"/>
          <w:i/>
          <w:iCs/>
        </w:rPr>
        <w:br/>
        <w:t>• anomaly detection;</w:t>
      </w:r>
      <w:r w:rsidRPr="00B479AE">
        <w:rPr>
          <w:rFonts w:ascii="Baskerville Old Face" w:hAnsi="Baskerville Old Face"/>
          <w:i/>
          <w:iCs/>
        </w:rPr>
        <w:br/>
        <w:t>• PRU scoring support;</w:t>
      </w:r>
      <w:r w:rsidRPr="00B479AE">
        <w:rPr>
          <w:rFonts w:ascii="Baskerville Old Face" w:hAnsi="Baskerville Old Face"/>
          <w:i/>
          <w:iCs/>
        </w:rPr>
        <w:br/>
        <w:t>• RAP portfolio logic;</w:t>
      </w:r>
      <w:r w:rsidRPr="00B479AE">
        <w:rPr>
          <w:rFonts w:ascii="Baskerville Old Face" w:hAnsi="Baskerville Old Face"/>
          <w:i/>
          <w:iCs/>
        </w:rPr>
        <w:br/>
        <w:t>• investor data-room interface;</w:t>
      </w:r>
      <w:r w:rsidRPr="00B479AE">
        <w:rPr>
          <w:rFonts w:ascii="Baskerville Old Face" w:hAnsi="Baskerville Old Face"/>
          <w:i/>
          <w:iCs/>
        </w:rPr>
        <w:br/>
        <w:t>• token or settlement integrations where legally structured;</w:t>
      </w:r>
      <w:r w:rsidRPr="00B479AE">
        <w:rPr>
          <w:rFonts w:ascii="Baskerville Old Face" w:hAnsi="Baskerville Old Face"/>
          <w:i/>
          <w:iCs/>
        </w:rPr>
        <w:br/>
        <w:t>• sovereign-device or edge pathways;</w:t>
      </w:r>
      <w:r w:rsidRPr="00B479AE">
        <w:rPr>
          <w:rFonts w:ascii="Baskerville Old Face" w:hAnsi="Baskerville Old Face"/>
          <w:i/>
          <w:iCs/>
        </w:rPr>
        <w:br/>
        <w:t>• HSI research interfaces;</w:t>
      </w:r>
      <w:r w:rsidRPr="00B479AE">
        <w:rPr>
          <w:rFonts w:ascii="Baskerville Old Face" w:hAnsi="Baskerville Old Face"/>
          <w:i/>
          <w:iCs/>
        </w:rPr>
        <w:br/>
        <w:t>• advanced MRV connectors;</w:t>
      </w:r>
      <w:r w:rsidRPr="00B479AE">
        <w:rPr>
          <w:rFonts w:ascii="Baskerville Old Face" w:hAnsi="Baskerville Old Face"/>
          <w:i/>
          <w:iCs/>
        </w:rPr>
        <w:br/>
        <w:t>• automated validation helpers;</w:t>
      </w:r>
      <w:r w:rsidRPr="00B479AE">
        <w:rPr>
          <w:rFonts w:ascii="Baskerville Old Face" w:hAnsi="Baskerville Old Face"/>
          <w:i/>
          <w:iCs/>
        </w:rPr>
        <w:br/>
        <w:t>• offline verification kits;</w:t>
      </w:r>
      <w:r w:rsidRPr="00B479AE">
        <w:rPr>
          <w:rFonts w:ascii="Baskerville Old Face" w:hAnsi="Baskerville Old Face"/>
          <w:i/>
          <w:iCs/>
        </w:rPr>
        <w:br/>
      </w:r>
      <w:r w:rsidRPr="00B479AE">
        <w:rPr>
          <w:rFonts w:ascii="Baskerville Old Face" w:hAnsi="Baskerville Old Face"/>
          <w:i/>
          <w:iCs/>
        </w:rPr>
        <w:lastRenderedPageBreak/>
        <w:t>• mesh-compatible release distribution;</w:t>
      </w:r>
      <w:r w:rsidRPr="00B479AE">
        <w:rPr>
          <w:rFonts w:ascii="Baskerville Old Face" w:hAnsi="Baskerville Old Face"/>
          <w:i/>
          <w:iCs/>
        </w:rPr>
        <w:br/>
        <w:t>• continuity package generation.</w:t>
      </w:r>
    </w:p>
    <w:p w14:paraId="0B3698E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technical sequence is:</w:t>
      </w:r>
    </w:p>
    <w:p w14:paraId="4893C50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semantic clarity</w:t>
      </w:r>
      <w:r w:rsidRPr="00B479AE">
        <w:rPr>
          <w:rFonts w:ascii="Baskerville Old Face" w:hAnsi="Baskerville Old Face"/>
          <w:i/>
          <w:iCs/>
        </w:rPr>
        <w:br/>
        <w:t>record structure</w:t>
      </w:r>
      <w:r w:rsidRPr="00B479AE">
        <w:rPr>
          <w:rFonts w:ascii="Baskerville Old Face" w:hAnsi="Baskerville Old Face"/>
          <w:i/>
          <w:iCs/>
        </w:rPr>
        <w:br/>
        <w:t>permission discipline</w:t>
      </w:r>
      <w:r w:rsidRPr="00B479AE">
        <w:rPr>
          <w:rFonts w:ascii="Baskerville Old Face" w:hAnsi="Baskerville Old Face"/>
          <w:i/>
          <w:iCs/>
        </w:rPr>
        <w:br/>
        <w:t>evidence classification</w:t>
      </w:r>
      <w:r w:rsidRPr="00B479AE">
        <w:rPr>
          <w:rFonts w:ascii="Baskerville Old Face" w:hAnsi="Baskerville Old Face"/>
          <w:i/>
          <w:iCs/>
        </w:rPr>
        <w:br/>
        <w:t>review routing</w:t>
      </w:r>
      <w:r w:rsidRPr="00B479AE">
        <w:rPr>
          <w:rFonts w:ascii="Baskerville Old Face" w:hAnsi="Baskerville Old Face"/>
          <w:i/>
          <w:iCs/>
        </w:rPr>
        <w:br/>
        <w:t>canonical verification</w:t>
      </w:r>
      <w:r w:rsidRPr="00B479AE">
        <w:rPr>
          <w:rFonts w:ascii="Baskerville Old Face" w:hAnsi="Baskerville Old Face"/>
          <w:i/>
          <w:iCs/>
        </w:rPr>
        <w:br/>
        <w:t>controlled automation</w:t>
      </w:r>
      <w:r w:rsidRPr="00B479AE">
        <w:rPr>
          <w:rFonts w:ascii="Baskerville Old Face" w:hAnsi="Baskerville Old Face"/>
          <w:i/>
          <w:iCs/>
        </w:rPr>
        <w:br/>
        <w:t>institutional reporting</w:t>
      </w:r>
      <w:r w:rsidRPr="00B479AE">
        <w:rPr>
          <w:rFonts w:ascii="Baskerville Old Face" w:hAnsi="Baskerville Old Face"/>
          <w:i/>
          <w:iCs/>
        </w:rPr>
        <w:br/>
        <w:t>network-independent continuity.</w:t>
      </w:r>
    </w:p>
    <w:p w14:paraId="67F9AC5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Software becomes constitutional infrastructure when it preserves meaning, records authority, protects boundaries, makes review possible, and keeps the canon verifiable across conditions.</w:t>
      </w:r>
    </w:p>
    <w:p w14:paraId="0258AF20"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13.5 MRV Development Pathway</w:t>
      </w:r>
    </w:p>
    <w:p w14:paraId="1F431B1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MRV pathway matures progressively.</w:t>
      </w:r>
    </w:p>
    <w:p w14:paraId="6C73319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begins with indicators that are measurable, interpretable, and operationally realistic.</w:t>
      </w:r>
    </w:p>
    <w:p w14:paraId="1A42AF2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Initial MRV indicators may include:</w:t>
      </w:r>
    </w:p>
    <w:p w14:paraId="0B46F6B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baseline soil condition;</w:t>
      </w:r>
      <w:r w:rsidRPr="00B479AE">
        <w:rPr>
          <w:rFonts w:ascii="Baskerville Old Face" w:hAnsi="Baskerville Old Face"/>
          <w:i/>
          <w:iCs/>
        </w:rPr>
        <w:br/>
        <w:t>• soil organic matter or soil organic carbon where feasible;</w:t>
      </w:r>
      <w:r w:rsidRPr="00B479AE">
        <w:rPr>
          <w:rFonts w:ascii="Baskerville Old Face" w:hAnsi="Baskerville Old Face"/>
          <w:i/>
          <w:iCs/>
        </w:rPr>
        <w:br/>
        <w:t>• infiltration rate;</w:t>
      </w:r>
      <w:r w:rsidRPr="00B479AE">
        <w:rPr>
          <w:rFonts w:ascii="Baskerville Old Face" w:hAnsi="Baskerville Old Face"/>
          <w:i/>
          <w:iCs/>
        </w:rPr>
        <w:br/>
        <w:t>• soil moisture dynamics;</w:t>
      </w:r>
      <w:r w:rsidRPr="00B479AE">
        <w:rPr>
          <w:rFonts w:ascii="Baskerville Old Face" w:hAnsi="Baskerville Old Face"/>
          <w:i/>
          <w:iCs/>
        </w:rPr>
        <w:br/>
        <w:t>• ground cover;</w:t>
      </w:r>
      <w:r w:rsidRPr="00B479AE">
        <w:rPr>
          <w:rFonts w:ascii="Baskerville Old Face" w:hAnsi="Baskerville Old Face"/>
          <w:i/>
          <w:iCs/>
        </w:rPr>
        <w:br/>
        <w:t>• vegetation establishment;</w:t>
      </w:r>
      <w:r w:rsidRPr="00B479AE">
        <w:rPr>
          <w:rFonts w:ascii="Baskerville Old Face" w:hAnsi="Baskerville Old Face"/>
          <w:i/>
          <w:iCs/>
        </w:rPr>
        <w:br/>
        <w:t>• biodiversity observations;</w:t>
      </w:r>
      <w:r w:rsidRPr="00B479AE">
        <w:rPr>
          <w:rFonts w:ascii="Baskerville Old Face" w:hAnsi="Baskerville Old Face"/>
          <w:i/>
          <w:iCs/>
        </w:rPr>
        <w:br/>
        <w:t>• biomass return;</w:t>
      </w:r>
      <w:r w:rsidRPr="00B479AE">
        <w:rPr>
          <w:rFonts w:ascii="Baskerville Old Face" w:hAnsi="Baskerville Old Face"/>
          <w:i/>
          <w:iCs/>
        </w:rPr>
        <w:br/>
        <w:t>• edible or useful yield;</w:t>
      </w:r>
      <w:r w:rsidRPr="00B479AE">
        <w:rPr>
          <w:rFonts w:ascii="Baskerville Old Face" w:hAnsi="Baskerville Old Face"/>
          <w:i/>
          <w:iCs/>
        </w:rPr>
        <w:br/>
        <w:t>• input dependency;</w:t>
      </w:r>
      <w:r w:rsidRPr="00B479AE">
        <w:rPr>
          <w:rFonts w:ascii="Baskerville Old Face" w:hAnsi="Baskerville Old Face"/>
          <w:i/>
          <w:iCs/>
        </w:rPr>
        <w:br/>
        <w:t>• mortality or replacement rate;</w:t>
      </w:r>
      <w:r w:rsidRPr="00B479AE">
        <w:rPr>
          <w:rFonts w:ascii="Baskerville Old Face" w:hAnsi="Baskerville Old Face"/>
          <w:i/>
          <w:iCs/>
        </w:rPr>
        <w:br/>
      </w:r>
      <w:r w:rsidRPr="00B479AE">
        <w:rPr>
          <w:rFonts w:ascii="Baskerville Old Face" w:hAnsi="Baskerville Old Face"/>
          <w:i/>
          <w:iCs/>
        </w:rPr>
        <w:lastRenderedPageBreak/>
        <w:t>• operational interventions;</w:t>
      </w:r>
      <w:r w:rsidRPr="00B479AE">
        <w:rPr>
          <w:rFonts w:ascii="Baskerville Old Face" w:hAnsi="Baskerville Old Face"/>
          <w:i/>
          <w:iCs/>
        </w:rPr>
        <w:br/>
        <w:t>• photographic evidence;</w:t>
      </w:r>
      <w:r w:rsidRPr="00B479AE">
        <w:rPr>
          <w:rFonts w:ascii="Baskerville Old Face" w:hAnsi="Baskerville Old Face"/>
          <w:i/>
          <w:iCs/>
        </w:rPr>
        <w:br/>
        <w:t>• laboratory evidence where available;</w:t>
      </w:r>
      <w:r w:rsidRPr="00B479AE">
        <w:rPr>
          <w:rFonts w:ascii="Baskerville Old Face" w:hAnsi="Baskerville Old Face"/>
          <w:i/>
          <w:iCs/>
        </w:rPr>
        <w:br/>
        <w:t>• remote-sensing or drone evidence where useful;</w:t>
      </w:r>
      <w:r w:rsidRPr="00B479AE">
        <w:rPr>
          <w:rFonts w:ascii="Baskerville Old Face" w:hAnsi="Baskerville Old Face"/>
          <w:i/>
          <w:iCs/>
        </w:rPr>
        <w:br/>
        <w:t>• field-audit notes.</w:t>
      </w:r>
    </w:p>
    <w:p w14:paraId="3C747CA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Advanced indicators may be added as research-enhanced layers:</w:t>
      </w:r>
    </w:p>
    <w:p w14:paraId="5BDE5A1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microbial biomass;</w:t>
      </w:r>
      <w:r w:rsidRPr="00B479AE">
        <w:rPr>
          <w:rFonts w:ascii="Baskerville Old Face" w:hAnsi="Baskerville Old Face"/>
          <w:i/>
          <w:iCs/>
        </w:rPr>
        <w:br/>
        <w:t>• mycorrhizal colonization;</w:t>
      </w:r>
      <w:r w:rsidRPr="00B479AE">
        <w:rPr>
          <w:rFonts w:ascii="Baskerville Old Face" w:hAnsi="Baskerville Old Face"/>
          <w:i/>
          <w:iCs/>
        </w:rPr>
        <w:br/>
        <w:t>• fungal richness;</w:t>
      </w:r>
      <w:r w:rsidRPr="00B479AE">
        <w:rPr>
          <w:rFonts w:ascii="Baskerville Old Face" w:hAnsi="Baskerville Old Face"/>
          <w:i/>
          <w:iCs/>
        </w:rPr>
        <w:br/>
        <w:t>• VOC or metabolite snapshots;</w:t>
      </w:r>
      <w:r w:rsidRPr="00B479AE">
        <w:rPr>
          <w:rFonts w:ascii="Baskerville Old Face" w:hAnsi="Baskerville Old Face"/>
          <w:i/>
          <w:iCs/>
        </w:rPr>
        <w:br/>
        <w:t>• nutritional-density indicators;</w:t>
      </w:r>
      <w:r w:rsidRPr="00B479AE">
        <w:rPr>
          <w:rFonts w:ascii="Baskerville Old Face" w:hAnsi="Baskerville Old Face"/>
          <w:i/>
          <w:iCs/>
        </w:rPr>
        <w:br/>
        <w:t>• hydrological modeling;</w:t>
      </w:r>
      <w:r w:rsidRPr="00B479AE">
        <w:rPr>
          <w:rFonts w:ascii="Baskerville Old Face" w:hAnsi="Baskerville Old Face"/>
          <w:i/>
          <w:iCs/>
        </w:rPr>
        <w:br/>
        <w:t>• biodiversity function indices;</w:t>
      </w:r>
      <w:r w:rsidRPr="00B479AE">
        <w:rPr>
          <w:rFonts w:ascii="Baskerville Old Face" w:hAnsi="Baskerville Old Face"/>
          <w:i/>
          <w:iCs/>
        </w:rPr>
        <w:br/>
        <w:t>• resilience scoring;</w:t>
      </w:r>
      <w:r w:rsidRPr="00B479AE">
        <w:rPr>
          <w:rFonts w:ascii="Baskerville Old Face" w:hAnsi="Baskerville Old Face"/>
          <w:i/>
          <w:iCs/>
        </w:rPr>
        <w:br/>
        <w:t>• Cooperative Ecological Surplus Index;</w:t>
      </w:r>
      <w:r w:rsidRPr="00B479AE">
        <w:rPr>
          <w:rFonts w:ascii="Baskerville Old Face" w:hAnsi="Baskerville Old Face"/>
          <w:i/>
          <w:iCs/>
        </w:rPr>
        <w:br/>
        <w:t>• Syntropic Resilience Index;</w:t>
      </w:r>
      <w:r w:rsidRPr="00B479AE">
        <w:rPr>
          <w:rFonts w:ascii="Baskerville Old Face" w:hAnsi="Baskerville Old Face"/>
          <w:i/>
          <w:iCs/>
        </w:rPr>
        <w:br/>
        <w:t>• Regenerative Productivity Index.</w:t>
      </w:r>
    </w:p>
    <w:p w14:paraId="7C33459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methodological rule is:</w:t>
      </w:r>
    </w:p>
    <w:p w14:paraId="5601FA9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observe credibly;</w:t>
      </w:r>
      <w:r w:rsidRPr="00B479AE">
        <w:rPr>
          <w:rFonts w:ascii="Baskerville Old Face" w:hAnsi="Baskerville Old Face"/>
          <w:i/>
          <w:iCs/>
        </w:rPr>
        <w:br/>
        <w:t>label uncertainty clearly;</w:t>
      </w:r>
      <w:r w:rsidRPr="00B479AE">
        <w:rPr>
          <w:rFonts w:ascii="Baskerville Old Face" w:hAnsi="Baskerville Old Face"/>
          <w:i/>
          <w:iCs/>
        </w:rPr>
        <w:br/>
        <w:t>upgrade evidence over time;</w:t>
      </w:r>
      <w:r w:rsidRPr="00B479AE">
        <w:rPr>
          <w:rFonts w:ascii="Baskerville Old Face" w:hAnsi="Baskerville Old Face"/>
          <w:i/>
          <w:iCs/>
        </w:rPr>
        <w:br/>
        <w:t>make value follow verification.</w:t>
      </w:r>
    </w:p>
    <w:p w14:paraId="24F73E0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MRV is the bridge from life to institutional trust.</w:t>
      </w:r>
    </w:p>
    <w:p w14:paraId="34841C10"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13.6 PRU and RAP Development Pathway</w:t>
      </w:r>
    </w:p>
    <w:p w14:paraId="4B35635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PRU matures through evidence.</w:t>
      </w:r>
    </w:p>
    <w:p w14:paraId="5A30A5B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At early stage, PRU logic functions as a conservative analytical framework for evaluating:</w:t>
      </w:r>
    </w:p>
    <w:p w14:paraId="1751742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ecological improvement;</w:t>
      </w:r>
      <w:r w:rsidRPr="00B479AE">
        <w:rPr>
          <w:rFonts w:ascii="Baskerville Old Face" w:hAnsi="Baskerville Old Face"/>
          <w:i/>
          <w:iCs/>
        </w:rPr>
        <w:br/>
        <w:t>• productive stability;</w:t>
      </w:r>
      <w:r w:rsidRPr="00B479AE">
        <w:rPr>
          <w:rFonts w:ascii="Baskerville Old Face" w:hAnsi="Baskerville Old Face"/>
          <w:i/>
          <w:iCs/>
        </w:rPr>
        <w:br/>
        <w:t>• input-dependency reduction;</w:t>
      </w:r>
      <w:r w:rsidRPr="00B479AE">
        <w:rPr>
          <w:rFonts w:ascii="Baskerville Old Face" w:hAnsi="Baskerville Old Face"/>
          <w:i/>
          <w:iCs/>
        </w:rPr>
        <w:br/>
      </w:r>
      <w:r w:rsidRPr="00B479AE">
        <w:rPr>
          <w:rFonts w:ascii="Baskerville Old Face" w:hAnsi="Baskerville Old Face"/>
          <w:i/>
          <w:iCs/>
        </w:rPr>
        <w:lastRenderedPageBreak/>
        <w:t>• hydrological resilience;</w:t>
      </w:r>
      <w:r w:rsidRPr="00B479AE">
        <w:rPr>
          <w:rFonts w:ascii="Baskerville Old Face" w:hAnsi="Baskerville Old Face"/>
          <w:i/>
          <w:iCs/>
        </w:rPr>
        <w:br/>
        <w:t>• biodiversity performance;</w:t>
      </w:r>
      <w:r w:rsidRPr="00B479AE">
        <w:rPr>
          <w:rFonts w:ascii="Baskerville Old Face" w:hAnsi="Baskerville Old Face"/>
          <w:i/>
          <w:iCs/>
        </w:rPr>
        <w:br/>
        <w:t>• MRV integrity;</w:t>
      </w:r>
      <w:r w:rsidRPr="00B479AE">
        <w:rPr>
          <w:rFonts w:ascii="Baskerville Old Face" w:hAnsi="Baskerville Old Face"/>
          <w:i/>
          <w:iCs/>
        </w:rPr>
        <w:br/>
        <w:t>• evidence confidence;</w:t>
      </w:r>
      <w:r w:rsidRPr="00B479AE">
        <w:rPr>
          <w:rFonts w:ascii="Baskerville Old Face" w:hAnsi="Baskerville Old Face"/>
          <w:i/>
          <w:iCs/>
        </w:rPr>
        <w:br/>
        <w:t>• operational reliability;</w:t>
      </w:r>
      <w:r w:rsidRPr="00B479AE">
        <w:rPr>
          <w:rFonts w:ascii="Baskerville Old Face" w:hAnsi="Baskerville Old Face"/>
          <w:i/>
          <w:iCs/>
        </w:rPr>
        <w:br/>
        <w:t>• governance maturity;</w:t>
      </w:r>
      <w:r w:rsidRPr="00B479AE">
        <w:rPr>
          <w:rFonts w:ascii="Baskerville Old Face" w:hAnsi="Baskerville Old Face"/>
          <w:i/>
          <w:iCs/>
        </w:rPr>
        <w:br/>
        <w:t>• legal readiness.</w:t>
      </w:r>
    </w:p>
    <w:p w14:paraId="2AE1075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PRU development sequence is:</w:t>
      </w:r>
    </w:p>
    <w:p w14:paraId="15E40115" w14:textId="236C2194"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PRU concept</w:t>
      </w:r>
      <w:r w:rsidRPr="00B479AE">
        <w:rPr>
          <w:rFonts w:ascii="Baskerville Old Face" w:hAnsi="Baskerville Old Face"/>
          <w:i/>
          <w:iCs/>
        </w:rPr>
        <w:br/>
        <w:t>PRU methodology draft</w:t>
      </w:r>
      <w:r w:rsidRPr="00B479AE">
        <w:rPr>
          <w:rFonts w:ascii="Baskerville Old Face" w:hAnsi="Baskerville Old Face"/>
          <w:i/>
          <w:iCs/>
        </w:rPr>
        <w:br/>
        <w:t>pilot PRU assessment</w:t>
      </w:r>
      <w:r w:rsidRPr="00B479AE">
        <w:rPr>
          <w:rFonts w:ascii="Baskerville Old Face" w:hAnsi="Baskerville Old Face"/>
          <w:i/>
          <w:iCs/>
        </w:rPr>
        <w:br/>
        <w:t>confidence-scored PRU analysis</w:t>
      </w:r>
      <w:r w:rsidRPr="00B479AE">
        <w:rPr>
          <w:rFonts w:ascii="Baskerville Old Face" w:hAnsi="Baskerville Old Face"/>
          <w:i/>
          <w:iCs/>
        </w:rPr>
        <w:br/>
        <w:t>reviewed PRU report</w:t>
      </w:r>
      <w:r w:rsidRPr="00B479AE">
        <w:rPr>
          <w:rFonts w:ascii="Baskerville Old Face" w:hAnsi="Baskerville Old Face"/>
          <w:i/>
          <w:iCs/>
        </w:rPr>
        <w:br/>
      </w:r>
      <w:r w:rsidR="00E71F80" w:rsidRPr="00B479AE">
        <w:rPr>
          <w:rFonts w:ascii="Baskerville Old Face" w:hAnsi="Baskerville Old Face"/>
          <w:i/>
          <w:iCs/>
        </w:rPr>
        <w:t>PRU maturity classification</w:t>
      </w:r>
      <w:r w:rsidRPr="00B479AE">
        <w:rPr>
          <w:rFonts w:ascii="Baskerville Old Face" w:hAnsi="Baskerville Old Face"/>
          <w:i/>
          <w:iCs/>
        </w:rPr>
        <w:t xml:space="preserve"> framework</w:t>
      </w:r>
      <w:r w:rsidRPr="00B479AE">
        <w:rPr>
          <w:rFonts w:ascii="Baskerville Old Face" w:hAnsi="Baskerville Old Face"/>
          <w:i/>
          <w:iCs/>
        </w:rPr>
        <w:br/>
        <w:t>RAP design</w:t>
      </w:r>
      <w:r w:rsidRPr="00B479AE">
        <w:rPr>
          <w:rFonts w:ascii="Baskerville Old Face" w:hAnsi="Baskerville Old Face"/>
          <w:i/>
          <w:iCs/>
        </w:rPr>
        <w:br/>
        <w:t>legal wrapper</w:t>
      </w:r>
      <w:r w:rsidRPr="00B479AE">
        <w:rPr>
          <w:rFonts w:ascii="Baskerville Old Face" w:hAnsi="Baskerville Old Face"/>
          <w:i/>
          <w:iCs/>
        </w:rPr>
        <w:br/>
        <w:t>institutional reporting</w:t>
      </w:r>
      <w:r w:rsidRPr="00B479AE">
        <w:rPr>
          <w:rFonts w:ascii="Baskerville Old Face" w:hAnsi="Baskerville Old Face"/>
          <w:i/>
          <w:iCs/>
        </w:rPr>
        <w:br/>
        <w:t>possible compliant instrument.</w:t>
      </w:r>
    </w:p>
    <w:p w14:paraId="670A3FF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RAP logic follows the same discipline.</w:t>
      </w:r>
    </w:p>
    <w:p w14:paraId="0F45EA6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Regenerative Asset Pool emerges when underlying PRU-relevant units have sufficient evidence, governance, and reporting quality.</w:t>
      </w:r>
    </w:p>
    <w:p w14:paraId="083E90A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Portfolio language follows asset maturity.</w:t>
      </w:r>
    </w:p>
    <w:p w14:paraId="633FBCE4"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plants the seed, documents the soil, measures the growth, verifies the system, and then invites capital into a structure worthy of trust.</w:t>
      </w:r>
    </w:p>
    <w:p w14:paraId="37A05FA7"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13.7 Capital Formation Pathway</w:t>
      </w:r>
    </w:p>
    <w:p w14:paraId="1E82554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Capital formation is staged.</w:t>
      </w:r>
    </w:p>
    <w:p w14:paraId="090E1C7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Each capital layer matches the maturity of evidence and legal structure.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1"/>
        <w:gridCol w:w="4168"/>
        <w:gridCol w:w="3649"/>
      </w:tblGrid>
      <w:tr w:rsidR="00AA1A42" w:rsidRPr="00B479AE" w14:paraId="45A1A3F3" w14:textId="77777777" w:rsidTr="0084040C">
        <w:trPr>
          <w:tblHeader/>
          <w:tblCellSpacing w:w="15" w:type="dxa"/>
        </w:trPr>
        <w:tc>
          <w:tcPr>
            <w:tcW w:w="0" w:type="auto"/>
            <w:vAlign w:val="center"/>
            <w:hideMark/>
          </w:tcPr>
          <w:p w14:paraId="7D6710B7" w14:textId="77777777" w:rsidR="00AA1A42" w:rsidRPr="00B479AE" w:rsidRDefault="00AA1A42" w:rsidP="00AA1A4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Stage</w:t>
            </w:r>
          </w:p>
        </w:tc>
        <w:tc>
          <w:tcPr>
            <w:tcW w:w="0" w:type="auto"/>
            <w:vAlign w:val="center"/>
            <w:hideMark/>
          </w:tcPr>
          <w:p w14:paraId="75F9369C" w14:textId="77777777" w:rsidR="00AA1A42" w:rsidRPr="00B479AE" w:rsidRDefault="00AA1A42" w:rsidP="00AA1A4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Capital type</w:t>
            </w:r>
          </w:p>
        </w:tc>
        <w:tc>
          <w:tcPr>
            <w:tcW w:w="0" w:type="auto"/>
            <w:vAlign w:val="center"/>
            <w:hideMark/>
          </w:tcPr>
          <w:p w14:paraId="74B101DE" w14:textId="77777777" w:rsidR="00AA1A42" w:rsidRPr="00B479AE" w:rsidRDefault="00AA1A42" w:rsidP="00AA1A4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Purpose</w:t>
            </w:r>
          </w:p>
        </w:tc>
      </w:tr>
      <w:tr w:rsidR="00AA1A42" w:rsidRPr="00B479AE" w14:paraId="568C0635" w14:textId="77777777" w:rsidTr="0084040C">
        <w:trPr>
          <w:tblCellSpacing w:w="15" w:type="dxa"/>
        </w:trPr>
        <w:tc>
          <w:tcPr>
            <w:tcW w:w="0" w:type="auto"/>
            <w:vAlign w:val="center"/>
            <w:hideMark/>
          </w:tcPr>
          <w:p w14:paraId="651B7652"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Concept / pre-pilot</w:t>
            </w:r>
          </w:p>
        </w:tc>
        <w:tc>
          <w:tcPr>
            <w:tcW w:w="0" w:type="auto"/>
            <w:vAlign w:val="center"/>
            <w:hideMark/>
          </w:tcPr>
          <w:p w14:paraId="699707D8"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Founder, philanthropic, catalytic, grant, research, aligned sponsor capital.</w:t>
            </w:r>
          </w:p>
        </w:tc>
        <w:tc>
          <w:tcPr>
            <w:tcW w:w="0" w:type="auto"/>
            <w:vAlign w:val="center"/>
            <w:hideMark/>
          </w:tcPr>
          <w:p w14:paraId="6214E46D"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Constitutional development, design, early MRV, technical prototype.</w:t>
            </w:r>
          </w:p>
        </w:tc>
      </w:tr>
      <w:tr w:rsidR="00AA1A42" w:rsidRPr="00B479AE" w14:paraId="39444DCA" w14:textId="77777777" w:rsidTr="0084040C">
        <w:trPr>
          <w:tblCellSpacing w:w="15" w:type="dxa"/>
        </w:trPr>
        <w:tc>
          <w:tcPr>
            <w:tcW w:w="0" w:type="auto"/>
            <w:vAlign w:val="center"/>
            <w:hideMark/>
          </w:tcPr>
          <w:p w14:paraId="54D70C93"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Genesis pilot</w:t>
            </w:r>
          </w:p>
        </w:tc>
        <w:tc>
          <w:tcPr>
            <w:tcW w:w="0" w:type="auto"/>
            <w:vAlign w:val="center"/>
            <w:hideMark/>
          </w:tcPr>
          <w:p w14:paraId="590A3DC4"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Pilot capital, grant, recoverable grant, mission-aligned debt or equity where appropriate.</w:t>
            </w:r>
          </w:p>
        </w:tc>
        <w:tc>
          <w:tcPr>
            <w:tcW w:w="0" w:type="auto"/>
            <w:vAlign w:val="center"/>
            <w:hideMark/>
          </w:tcPr>
          <w:p w14:paraId="78F06449"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Deployment, baseline, MRV, operations, evidence formation.</w:t>
            </w:r>
          </w:p>
        </w:tc>
      </w:tr>
      <w:tr w:rsidR="00AA1A42" w:rsidRPr="00B479AE" w14:paraId="465CA462" w14:textId="77777777" w:rsidTr="0084040C">
        <w:trPr>
          <w:tblCellSpacing w:w="15" w:type="dxa"/>
        </w:trPr>
        <w:tc>
          <w:tcPr>
            <w:tcW w:w="0" w:type="auto"/>
            <w:vAlign w:val="center"/>
            <w:hideMark/>
          </w:tcPr>
          <w:p w14:paraId="0C690F3C"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Validated unit</w:t>
            </w:r>
          </w:p>
        </w:tc>
        <w:tc>
          <w:tcPr>
            <w:tcW w:w="0" w:type="auto"/>
            <w:vAlign w:val="center"/>
            <w:hideMark/>
          </w:tcPr>
          <w:p w14:paraId="357A23E6"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Project equity, concessional debt, blended finance, partner capital.</w:t>
            </w:r>
          </w:p>
        </w:tc>
        <w:tc>
          <w:tcPr>
            <w:tcW w:w="0" w:type="auto"/>
            <w:vAlign w:val="center"/>
            <w:hideMark/>
          </w:tcPr>
          <w:p w14:paraId="29C003C0"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Replication, operational stabilization, data-room formation.</w:t>
            </w:r>
          </w:p>
        </w:tc>
      </w:tr>
      <w:tr w:rsidR="00AA1A42" w:rsidRPr="00B479AE" w14:paraId="5B35720D" w14:textId="77777777" w:rsidTr="0084040C">
        <w:trPr>
          <w:tblCellSpacing w:w="15" w:type="dxa"/>
        </w:trPr>
        <w:tc>
          <w:tcPr>
            <w:tcW w:w="0" w:type="auto"/>
            <w:vAlign w:val="center"/>
            <w:hideMark/>
          </w:tcPr>
          <w:p w14:paraId="6B1B0FF4"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Cluster / bioregional network</w:t>
            </w:r>
          </w:p>
        </w:tc>
        <w:tc>
          <w:tcPr>
            <w:tcW w:w="0" w:type="auto"/>
            <w:vAlign w:val="center"/>
            <w:hideMark/>
          </w:tcPr>
          <w:p w14:paraId="083FE101"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Strategic capital, public-private partnerships, institutional pilots.</w:t>
            </w:r>
          </w:p>
        </w:tc>
        <w:tc>
          <w:tcPr>
            <w:tcW w:w="0" w:type="auto"/>
            <w:vAlign w:val="center"/>
            <w:hideMark/>
          </w:tcPr>
          <w:p w14:paraId="15A7A36E"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Shared infrastructure, MRV scaling, local networks, portfolio preparation.</w:t>
            </w:r>
          </w:p>
        </w:tc>
      </w:tr>
      <w:tr w:rsidR="00AA1A42" w:rsidRPr="00B479AE" w14:paraId="1C866655" w14:textId="77777777" w:rsidTr="0084040C">
        <w:trPr>
          <w:tblCellSpacing w:w="15" w:type="dxa"/>
        </w:trPr>
        <w:tc>
          <w:tcPr>
            <w:tcW w:w="0" w:type="auto"/>
            <w:vAlign w:val="center"/>
            <w:hideMark/>
          </w:tcPr>
          <w:p w14:paraId="2C653451"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RAP formation</w:t>
            </w:r>
          </w:p>
        </w:tc>
        <w:tc>
          <w:tcPr>
            <w:tcW w:w="0" w:type="auto"/>
            <w:vAlign w:val="center"/>
            <w:hideMark/>
          </w:tcPr>
          <w:p w14:paraId="4194C7DD"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Fund, SPV, private credit, blended finance, guarantee-backed structures.</w:t>
            </w:r>
          </w:p>
        </w:tc>
        <w:tc>
          <w:tcPr>
            <w:tcW w:w="0" w:type="auto"/>
            <w:vAlign w:val="center"/>
            <w:hideMark/>
          </w:tcPr>
          <w:p w14:paraId="03C44B38"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Aggregation, underwriting, investor reporting, portfolio risk management.</w:t>
            </w:r>
          </w:p>
        </w:tc>
      </w:tr>
      <w:tr w:rsidR="00AA1A42" w:rsidRPr="00B479AE" w14:paraId="463DD39A" w14:textId="77777777" w:rsidTr="0084040C">
        <w:trPr>
          <w:tblCellSpacing w:w="15" w:type="dxa"/>
        </w:trPr>
        <w:tc>
          <w:tcPr>
            <w:tcW w:w="0" w:type="auto"/>
            <w:vAlign w:val="center"/>
            <w:hideMark/>
          </w:tcPr>
          <w:p w14:paraId="6B108D30"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Institutional scale</w:t>
            </w:r>
          </w:p>
        </w:tc>
        <w:tc>
          <w:tcPr>
            <w:tcW w:w="0" w:type="auto"/>
            <w:vAlign w:val="center"/>
            <w:hideMark/>
          </w:tcPr>
          <w:p w14:paraId="7505611F" w14:textId="2753E055"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 xml:space="preserve">Regulated funds, notes, securities, </w:t>
            </w:r>
            <w:r w:rsidR="00EA244B" w:rsidRPr="00B479AE">
              <w:rPr>
                <w:rFonts w:ascii="Baskerville Old Face" w:hAnsi="Baskerville Old Face"/>
                <w:i/>
                <w:iCs/>
                <w:sz w:val="22"/>
                <w:szCs w:val="22"/>
              </w:rPr>
              <w:t>compliant digital instruments</w:t>
            </w:r>
            <w:r w:rsidRPr="00B479AE">
              <w:rPr>
                <w:rFonts w:ascii="Baskerville Old Face" w:hAnsi="Baskerville Old Face"/>
                <w:i/>
                <w:iCs/>
                <w:sz w:val="22"/>
                <w:szCs w:val="22"/>
              </w:rPr>
              <w:t xml:space="preserve"> where compliant.</w:t>
            </w:r>
          </w:p>
        </w:tc>
        <w:tc>
          <w:tcPr>
            <w:tcW w:w="0" w:type="auto"/>
            <w:vAlign w:val="center"/>
            <w:hideMark/>
          </w:tcPr>
          <w:p w14:paraId="6A6BD7AC"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Large-scale capital allocation to verified regenerative infrastructure.</w:t>
            </w:r>
          </w:p>
        </w:tc>
      </w:tr>
    </w:tbl>
    <w:p w14:paraId="4CEB86E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Capital enters Prometheus as disciplined support for verified regeneration.</w:t>
      </w:r>
    </w:p>
    <w:p w14:paraId="02A3EC9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rule is:</w:t>
      </w:r>
    </w:p>
    <w:p w14:paraId="65B93DE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capital follows verification;</w:t>
      </w:r>
      <w:r w:rsidRPr="00B479AE">
        <w:rPr>
          <w:rFonts w:ascii="Baskerville Old Face" w:hAnsi="Baskerville Old Face"/>
          <w:i/>
          <w:iCs/>
        </w:rPr>
        <w:br/>
        <w:t>capital strengthens life-enhancing performance;</w:t>
      </w:r>
      <w:r w:rsidRPr="00B479AE">
        <w:rPr>
          <w:rFonts w:ascii="Baskerville Old Face" w:hAnsi="Baskerville Old Face"/>
          <w:i/>
          <w:iCs/>
        </w:rPr>
        <w:br/>
        <w:t>capital scales what evidence can defend.</w:t>
      </w:r>
    </w:p>
    <w:p w14:paraId="40EA1989"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13.8 Legal and Regulatory Pathway</w:t>
      </w:r>
    </w:p>
    <w:p w14:paraId="6FE26DB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legal pathway develops in parallel with technical, ecological, and financial design.</w:t>
      </w:r>
    </w:p>
    <w:p w14:paraId="5C96FFB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maintains clear separation between:</w:t>
      </w:r>
    </w:p>
    <w:p w14:paraId="27DDA07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architectural thesis;</w:t>
      </w:r>
      <w:r w:rsidRPr="00B479AE">
        <w:rPr>
          <w:rFonts w:ascii="Baskerville Old Face" w:hAnsi="Baskerville Old Face"/>
          <w:i/>
          <w:iCs/>
        </w:rPr>
        <w:br/>
        <w:t>• pilot activity;</w:t>
      </w:r>
      <w:r w:rsidRPr="00B479AE">
        <w:rPr>
          <w:rFonts w:ascii="Baskerville Old Face" w:hAnsi="Baskerville Old Face"/>
          <w:i/>
          <w:iCs/>
        </w:rPr>
        <w:br/>
        <w:t>• participation rights;</w:t>
      </w:r>
      <w:r w:rsidRPr="00B479AE">
        <w:rPr>
          <w:rFonts w:ascii="Baskerville Old Face" w:hAnsi="Baskerville Old Face"/>
          <w:i/>
          <w:iCs/>
        </w:rPr>
        <w:br/>
      </w:r>
      <w:r w:rsidRPr="00B479AE">
        <w:rPr>
          <w:rFonts w:ascii="Baskerville Old Face" w:hAnsi="Baskerville Old Face"/>
          <w:i/>
          <w:iCs/>
        </w:rPr>
        <w:lastRenderedPageBreak/>
        <w:t>• governance rights;</w:t>
      </w:r>
      <w:r w:rsidRPr="00B479AE">
        <w:rPr>
          <w:rFonts w:ascii="Baskerville Old Face" w:hAnsi="Baskerville Old Face"/>
          <w:i/>
          <w:iCs/>
        </w:rPr>
        <w:br/>
        <w:t>• token functions;</w:t>
      </w:r>
      <w:r w:rsidRPr="00B479AE">
        <w:rPr>
          <w:rFonts w:ascii="Baskerville Old Face" w:hAnsi="Baskerville Old Face"/>
          <w:i/>
          <w:iCs/>
        </w:rPr>
        <w:br/>
        <w:t>• PRU methodology;</w:t>
      </w:r>
      <w:r w:rsidRPr="00B479AE">
        <w:rPr>
          <w:rFonts w:ascii="Baskerville Old Face" w:hAnsi="Baskerville Old Face"/>
          <w:i/>
          <w:iCs/>
        </w:rPr>
        <w:br/>
        <w:t>• investor exposure;</w:t>
      </w:r>
      <w:r w:rsidRPr="00B479AE">
        <w:rPr>
          <w:rFonts w:ascii="Baskerville Old Face" w:hAnsi="Baskerville Old Face"/>
          <w:i/>
          <w:iCs/>
        </w:rPr>
        <w:br/>
        <w:t>• securities or fund interests;</w:t>
      </w:r>
      <w:r w:rsidRPr="00B479AE">
        <w:rPr>
          <w:rFonts w:ascii="Baskerville Old Face" w:hAnsi="Baskerville Old Face"/>
          <w:i/>
          <w:iCs/>
        </w:rPr>
        <w:br/>
        <w:t>• land rights;</w:t>
      </w:r>
      <w:r w:rsidRPr="00B479AE">
        <w:rPr>
          <w:rFonts w:ascii="Baskerville Old Face" w:hAnsi="Baskerville Old Face"/>
          <w:i/>
          <w:iCs/>
        </w:rPr>
        <w:br/>
        <w:t>• data rights;</w:t>
      </w:r>
      <w:r w:rsidRPr="00B479AE">
        <w:rPr>
          <w:rFonts w:ascii="Baskerville Old Face" w:hAnsi="Baskerville Old Face"/>
          <w:i/>
          <w:iCs/>
        </w:rPr>
        <w:br/>
        <w:t>• revenue rights;</w:t>
      </w:r>
      <w:r w:rsidRPr="00B479AE">
        <w:rPr>
          <w:rFonts w:ascii="Baskerville Old Face" w:hAnsi="Baskerville Old Face"/>
          <w:i/>
          <w:iCs/>
        </w:rPr>
        <w:br/>
        <w:t>• public claims;</w:t>
      </w:r>
      <w:r w:rsidRPr="00B479AE">
        <w:rPr>
          <w:rFonts w:ascii="Baskerville Old Face" w:hAnsi="Baskerville Old Face"/>
          <w:i/>
          <w:iCs/>
        </w:rPr>
        <w:br/>
        <w:t>• canonical status;</w:t>
      </w:r>
      <w:r w:rsidRPr="00B479AE">
        <w:rPr>
          <w:rFonts w:ascii="Baskerville Old Face" w:hAnsi="Baskerville Old Face"/>
          <w:i/>
          <w:iCs/>
        </w:rPr>
        <w:br/>
        <w:t>• certification status.</w:t>
      </w:r>
    </w:p>
    <w:p w14:paraId="7C61046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Any future financial instrument, tokenized representation, security, note, fund interest, revenue right, SPV, trust, or investment product requires professional legal structuring.</w:t>
      </w:r>
    </w:p>
    <w:p w14:paraId="30F2350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legal pathway should address:</w:t>
      </w:r>
    </w:p>
    <w:p w14:paraId="56E989D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jurisdiction;</w:t>
      </w:r>
      <w:r w:rsidRPr="00B479AE">
        <w:rPr>
          <w:rFonts w:ascii="Baskerville Old Face" w:hAnsi="Baskerville Old Face"/>
          <w:i/>
          <w:iCs/>
        </w:rPr>
        <w:br/>
        <w:t>• entity structure;</w:t>
      </w:r>
      <w:r w:rsidRPr="00B479AE">
        <w:rPr>
          <w:rFonts w:ascii="Baskerville Old Face" w:hAnsi="Baskerville Old Face"/>
          <w:i/>
          <w:iCs/>
        </w:rPr>
        <w:br/>
        <w:t>• land-access rights;</w:t>
      </w:r>
      <w:r w:rsidRPr="00B479AE">
        <w:rPr>
          <w:rFonts w:ascii="Baskerville Old Face" w:hAnsi="Baskerville Old Face"/>
          <w:i/>
          <w:iCs/>
        </w:rPr>
        <w:br/>
        <w:t>• contractual rights;</w:t>
      </w:r>
      <w:r w:rsidRPr="00B479AE">
        <w:rPr>
          <w:rFonts w:ascii="Baskerville Old Face" w:hAnsi="Baskerville Old Face"/>
          <w:i/>
          <w:iCs/>
        </w:rPr>
        <w:br/>
        <w:t>• data governance;</w:t>
      </w:r>
      <w:r w:rsidRPr="00B479AE">
        <w:rPr>
          <w:rFonts w:ascii="Baskerville Old Face" w:hAnsi="Baskerville Old Face"/>
          <w:i/>
          <w:iCs/>
        </w:rPr>
        <w:br/>
        <w:t>• securities law;</w:t>
      </w:r>
      <w:r w:rsidRPr="00B479AE">
        <w:rPr>
          <w:rFonts w:ascii="Baskerville Old Face" w:hAnsi="Baskerville Old Face"/>
          <w:i/>
          <w:iCs/>
        </w:rPr>
        <w:br/>
        <w:t>• tax treatment;</w:t>
      </w:r>
      <w:r w:rsidRPr="00B479AE">
        <w:rPr>
          <w:rFonts w:ascii="Baskerville Old Face" w:hAnsi="Baskerville Old Face"/>
          <w:i/>
          <w:iCs/>
        </w:rPr>
        <w:br/>
        <w:t>• investment disclosures;</w:t>
      </w:r>
      <w:r w:rsidRPr="00B479AE">
        <w:rPr>
          <w:rFonts w:ascii="Baskerville Old Face" w:hAnsi="Baskerville Old Face"/>
          <w:i/>
          <w:iCs/>
        </w:rPr>
        <w:br/>
        <w:t>• investor eligibility;</w:t>
      </w:r>
      <w:r w:rsidRPr="00B479AE">
        <w:rPr>
          <w:rFonts w:ascii="Baskerville Old Face" w:hAnsi="Baskerville Old Face"/>
          <w:i/>
          <w:iCs/>
        </w:rPr>
        <w:br/>
        <w:t>• custody or settlement;</w:t>
      </w:r>
      <w:r w:rsidRPr="00B479AE">
        <w:rPr>
          <w:rFonts w:ascii="Baskerville Old Face" w:hAnsi="Baskerville Old Face"/>
          <w:i/>
          <w:iCs/>
        </w:rPr>
        <w:br/>
        <w:t>• token classification where applicable;</w:t>
      </w:r>
      <w:r w:rsidRPr="00B479AE">
        <w:rPr>
          <w:rFonts w:ascii="Baskerville Old Face" w:hAnsi="Baskerville Old Face"/>
          <w:i/>
          <w:iCs/>
        </w:rPr>
        <w:br/>
        <w:t>• public communication;</w:t>
      </w:r>
      <w:r w:rsidRPr="00B479AE">
        <w:rPr>
          <w:rFonts w:ascii="Baskerville Old Face" w:hAnsi="Baskerville Old Face"/>
          <w:i/>
          <w:iCs/>
        </w:rPr>
        <w:br/>
        <w:t>• dispute resolution;</w:t>
      </w:r>
      <w:r w:rsidRPr="00B479AE">
        <w:rPr>
          <w:rFonts w:ascii="Baskerville Old Face" w:hAnsi="Baskerville Old Face"/>
          <w:i/>
          <w:iCs/>
        </w:rPr>
        <w:br/>
        <w:t>• fiduciary duties;</w:t>
      </w:r>
      <w:r w:rsidRPr="00B479AE">
        <w:rPr>
          <w:rFonts w:ascii="Baskerville Old Face" w:hAnsi="Baskerville Old Face"/>
          <w:i/>
          <w:iCs/>
        </w:rPr>
        <w:br/>
        <w:t>• intellectual property protection;</w:t>
      </w:r>
      <w:r w:rsidRPr="00B479AE">
        <w:rPr>
          <w:rFonts w:ascii="Baskerville Old Face" w:hAnsi="Baskerville Old Face"/>
          <w:i/>
          <w:iCs/>
        </w:rPr>
        <w:br/>
        <w:t>• licensing and certification;</w:t>
      </w:r>
      <w:r w:rsidRPr="00B479AE">
        <w:rPr>
          <w:rFonts w:ascii="Baskerville Old Face" w:hAnsi="Baskerville Old Face"/>
          <w:i/>
          <w:iCs/>
        </w:rPr>
        <w:br/>
        <w:t>• regulatory reporting where required.</w:t>
      </w:r>
    </w:p>
    <w:p w14:paraId="5859C25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Prometheus becomes credible when legal complexity is governed, documented, and integrated into the source-layer discipline.</w:t>
      </w:r>
    </w:p>
    <w:p w14:paraId="2AF93AF3"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13.9 Governance Maturation Pathway</w:t>
      </w:r>
    </w:p>
    <w:p w14:paraId="6703CBC5" w14:textId="0A4D8A73"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Governance matures with the system.</w:t>
      </w:r>
      <w:r w:rsidR="0084040C" w:rsidRPr="00B479AE">
        <w:rPr>
          <w:rFonts w:ascii="Baskerville Old Face" w:hAnsi="Baskerville Old Face"/>
          <w:i/>
          <w:iCs/>
        </w:rPr>
        <w:t xml:space="preserve"> </w:t>
      </w:r>
      <w:r w:rsidRPr="00B479AE">
        <w:rPr>
          <w:rFonts w:ascii="Baskerville Old Face" w:hAnsi="Baskerville Old Face"/>
          <w:i/>
          <w:iCs/>
        </w:rPr>
        <w:t>Early governance remains simple, clear, documented, and reviewable.</w:t>
      </w:r>
      <w:r w:rsidR="0084040C" w:rsidRPr="00B479AE">
        <w:rPr>
          <w:rFonts w:ascii="Baskerville Old Face" w:hAnsi="Baskerville Old Face"/>
          <w:i/>
          <w:iCs/>
        </w:rPr>
        <w:t xml:space="preserve"> </w:t>
      </w:r>
      <w:r w:rsidRPr="00B479AE">
        <w:rPr>
          <w:rFonts w:ascii="Baskerville Old Face" w:hAnsi="Baskerville Old Face"/>
          <w:i/>
          <w:iCs/>
        </w:rPr>
        <w:t>It may begin with:</w:t>
      </w:r>
    </w:p>
    <w:p w14:paraId="17AD3B6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founder stewardship;</w:t>
      </w:r>
      <w:r w:rsidRPr="00B479AE">
        <w:rPr>
          <w:rFonts w:ascii="Baskerville Old Face" w:hAnsi="Baskerville Old Face"/>
          <w:i/>
          <w:iCs/>
        </w:rPr>
        <w:br/>
        <w:t>• advisory review;</w:t>
      </w:r>
      <w:r w:rsidRPr="00B479AE">
        <w:rPr>
          <w:rFonts w:ascii="Baskerville Old Face" w:hAnsi="Baskerville Old Face"/>
          <w:i/>
          <w:iCs/>
        </w:rPr>
        <w:br/>
        <w:t>• pilot governance circle;</w:t>
      </w:r>
      <w:r w:rsidRPr="00B479AE">
        <w:rPr>
          <w:rFonts w:ascii="Baskerville Old Face" w:hAnsi="Baskerville Old Face"/>
          <w:i/>
          <w:iCs/>
        </w:rPr>
        <w:br/>
        <w:t>• technical review body;</w:t>
      </w:r>
      <w:r w:rsidRPr="00B479AE">
        <w:rPr>
          <w:rFonts w:ascii="Baskerville Old Face" w:hAnsi="Baskerville Old Face"/>
          <w:i/>
          <w:iCs/>
        </w:rPr>
        <w:br/>
        <w:t>• MRV review pathway;</w:t>
      </w:r>
      <w:r w:rsidRPr="00B479AE">
        <w:rPr>
          <w:rFonts w:ascii="Baskerville Old Face" w:hAnsi="Baskerville Old Face"/>
          <w:i/>
          <w:iCs/>
        </w:rPr>
        <w:br/>
        <w:t>• constitutional review pathway;</w:t>
      </w:r>
      <w:r w:rsidRPr="00B479AE">
        <w:rPr>
          <w:rFonts w:ascii="Baskerville Old Face" w:hAnsi="Baskerville Old Face"/>
          <w:i/>
          <w:iCs/>
        </w:rPr>
        <w:br/>
        <w:t>• access and eligibility review;</w:t>
      </w:r>
      <w:r w:rsidRPr="00B479AE">
        <w:rPr>
          <w:rFonts w:ascii="Baskerville Old Face" w:hAnsi="Baskerville Old Face"/>
          <w:i/>
          <w:iCs/>
        </w:rPr>
        <w:br/>
        <w:t>• canonical release approval;</w:t>
      </w:r>
      <w:r w:rsidRPr="00B479AE">
        <w:rPr>
          <w:rFonts w:ascii="Baskerville Old Face" w:hAnsi="Baskerville Old Face"/>
          <w:i/>
          <w:iCs/>
        </w:rPr>
        <w:br/>
        <w:t>• decision log;</w:t>
      </w:r>
      <w:r w:rsidRPr="00B479AE">
        <w:rPr>
          <w:rFonts w:ascii="Baskerville Old Face" w:hAnsi="Baskerville Old Face"/>
          <w:i/>
          <w:iCs/>
        </w:rPr>
        <w:br/>
        <w:t>• conflict pathway;</w:t>
      </w:r>
      <w:r w:rsidRPr="00B479AE">
        <w:rPr>
          <w:rFonts w:ascii="Baskerville Old Face" w:hAnsi="Baskerville Old Face"/>
          <w:i/>
          <w:iCs/>
        </w:rPr>
        <w:br/>
        <w:t>• periodic review.</w:t>
      </w:r>
    </w:p>
    <w:p w14:paraId="6BCCBB6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As Prometheus matures, governance may evolve toward:</w:t>
      </w:r>
    </w:p>
    <w:p w14:paraId="283E483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multiple circles;</w:t>
      </w:r>
      <w:r w:rsidRPr="00B479AE">
        <w:rPr>
          <w:rFonts w:ascii="Baskerville Old Face" w:hAnsi="Baskerville Old Face"/>
          <w:i/>
          <w:iCs/>
        </w:rPr>
        <w:br/>
        <w:t>• sociocratic consent processes;</w:t>
      </w:r>
      <w:r w:rsidRPr="00B479AE">
        <w:rPr>
          <w:rFonts w:ascii="Baskerville Old Face" w:hAnsi="Baskerville Old Face"/>
          <w:i/>
          <w:iCs/>
        </w:rPr>
        <w:br/>
        <w:t>• double-linking;</w:t>
      </w:r>
      <w:r w:rsidRPr="00B479AE">
        <w:rPr>
          <w:rFonts w:ascii="Baskerville Old Face" w:hAnsi="Baskerville Old Face"/>
          <w:i/>
          <w:iCs/>
        </w:rPr>
        <w:br/>
        <w:t>• protocol stewardship;</w:t>
      </w:r>
      <w:r w:rsidRPr="00B479AE">
        <w:rPr>
          <w:rFonts w:ascii="Baskerville Old Face" w:hAnsi="Baskerville Old Face"/>
          <w:i/>
          <w:iCs/>
        </w:rPr>
        <w:br/>
        <w:t>• community-interface roles;</w:t>
      </w:r>
      <w:r w:rsidRPr="00B479AE">
        <w:rPr>
          <w:rFonts w:ascii="Baskerville Old Face" w:hAnsi="Baskerville Old Face"/>
          <w:i/>
          <w:iCs/>
        </w:rPr>
        <w:br/>
        <w:t>• capital-readiness review;</w:t>
      </w:r>
      <w:r w:rsidRPr="00B479AE">
        <w:rPr>
          <w:rFonts w:ascii="Baskerville Old Face" w:hAnsi="Baskerville Old Face"/>
          <w:i/>
          <w:iCs/>
        </w:rPr>
        <w:br/>
        <w:t>• MRV methodology boards;</w:t>
      </w:r>
      <w:r w:rsidRPr="00B479AE">
        <w:rPr>
          <w:rFonts w:ascii="Baskerville Old Face" w:hAnsi="Baskerville Old Face"/>
          <w:i/>
          <w:iCs/>
        </w:rPr>
        <w:br/>
        <w:t>• independent audit committees;</w:t>
      </w:r>
      <w:r w:rsidRPr="00B479AE">
        <w:rPr>
          <w:rFonts w:ascii="Baskerville Old Face" w:hAnsi="Baskerville Old Face"/>
          <w:i/>
          <w:iCs/>
        </w:rPr>
        <w:br/>
        <w:t>• legal and compliance review bodies;</w:t>
      </w:r>
      <w:r w:rsidRPr="00B479AE">
        <w:rPr>
          <w:rFonts w:ascii="Baskerville Old Face" w:hAnsi="Baskerville Old Face"/>
          <w:i/>
          <w:iCs/>
        </w:rPr>
        <w:br/>
        <w:t>• bioregional governance layers;</w:t>
      </w:r>
      <w:r w:rsidRPr="00B479AE">
        <w:rPr>
          <w:rFonts w:ascii="Baskerville Old Face" w:hAnsi="Baskerville Old Face"/>
          <w:i/>
          <w:iCs/>
        </w:rPr>
        <w:br/>
        <w:t>• controlled DAO-compatible participation where appropriate;</w:t>
      </w:r>
      <w:r w:rsidRPr="00B479AE">
        <w:rPr>
          <w:rFonts w:ascii="Baskerville Old Face" w:hAnsi="Baskerville Old Face"/>
          <w:i/>
          <w:iCs/>
        </w:rPr>
        <w:br/>
        <w:t>• continuity councils for canonical release and survival architecture.</w:t>
      </w:r>
    </w:p>
    <w:p w14:paraId="620B8D67" w14:textId="014E2FFA"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governance is human-legible.</w:t>
      </w:r>
      <w:r w:rsidR="0084040C" w:rsidRPr="00B479AE">
        <w:rPr>
          <w:rFonts w:ascii="Baskerville Old Face" w:hAnsi="Baskerville Old Face"/>
          <w:i/>
          <w:iCs/>
        </w:rPr>
        <w:t xml:space="preserve"> </w:t>
      </w:r>
      <w:r w:rsidRPr="00B479AE">
        <w:rPr>
          <w:rFonts w:ascii="Baskerville Old Face" w:hAnsi="Baskerville Old Face"/>
          <w:i/>
          <w:iCs/>
        </w:rPr>
        <w:t>Every major decision should answer:</w:t>
      </w:r>
    </w:p>
    <w:p w14:paraId="703CA03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who has authority;</w:t>
      </w:r>
      <w:r w:rsidRPr="00B479AE">
        <w:rPr>
          <w:rFonts w:ascii="Baskerville Old Face" w:hAnsi="Baskerville Old Face"/>
          <w:i/>
          <w:iCs/>
        </w:rPr>
        <w:br/>
        <w:t>within what scope;</w:t>
      </w:r>
      <w:r w:rsidRPr="00B479AE">
        <w:rPr>
          <w:rFonts w:ascii="Baskerville Old Face" w:hAnsi="Baskerville Old Face"/>
          <w:i/>
          <w:iCs/>
        </w:rPr>
        <w:br/>
        <w:t>under which process;</w:t>
      </w:r>
      <w:r w:rsidRPr="00B479AE">
        <w:rPr>
          <w:rFonts w:ascii="Baskerville Old Face" w:hAnsi="Baskerville Old Face"/>
          <w:i/>
          <w:iCs/>
        </w:rPr>
        <w:br/>
        <w:t>with what evidence;</w:t>
      </w:r>
      <w:r w:rsidRPr="00B479AE">
        <w:rPr>
          <w:rFonts w:ascii="Baskerville Old Face" w:hAnsi="Baskerville Old Face"/>
          <w:i/>
          <w:iCs/>
        </w:rPr>
        <w:br/>
        <w:t>subject to what review;</w:t>
      </w:r>
      <w:r w:rsidRPr="00B479AE">
        <w:rPr>
          <w:rFonts w:ascii="Baskerville Old Face" w:hAnsi="Baskerville Old Face"/>
          <w:i/>
          <w:iCs/>
        </w:rPr>
        <w:br/>
        <w:t>bounded by which constitutional constraints.</w:t>
      </w:r>
    </w:p>
    <w:p w14:paraId="60DBBBE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Distributed authority becomes durable when responsibility remains visible.</w:t>
      </w:r>
    </w:p>
    <w:p w14:paraId="68C867BC"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13.10 Community and Human Interoperability Pathway</w:t>
      </w:r>
    </w:p>
    <w:p w14:paraId="6B408BF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is open to human communities of many kinds.</w:t>
      </w:r>
    </w:p>
    <w:p w14:paraId="26462F1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This includes families, villages, cooperatives, spiritual communities, religious communities, scientific communities, educational networks, civic groups, indigenous communities, bioregional networks, DAOs, token communities, entrepreneurial networks, public institutions, and future forms of human coordination.</w:t>
      </w:r>
    </w:p>
    <w:p w14:paraId="6D894D3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community pathway is based on:</w:t>
      </w:r>
    </w:p>
    <w:p w14:paraId="4763F1E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dignity;</w:t>
      </w:r>
      <w:r w:rsidRPr="00B479AE">
        <w:rPr>
          <w:rFonts w:ascii="Baskerville Old Face" w:hAnsi="Baskerville Old Face"/>
          <w:i/>
          <w:iCs/>
        </w:rPr>
        <w:br/>
        <w:t>• voluntary participation;</w:t>
      </w:r>
      <w:r w:rsidRPr="00B479AE">
        <w:rPr>
          <w:rFonts w:ascii="Baskerville Old Face" w:hAnsi="Baskerville Old Face"/>
          <w:i/>
          <w:iCs/>
        </w:rPr>
        <w:br/>
        <w:t>• sovereign alignment;</w:t>
      </w:r>
      <w:r w:rsidRPr="00B479AE">
        <w:rPr>
          <w:rFonts w:ascii="Baskerville Old Face" w:hAnsi="Baskerville Old Face"/>
          <w:i/>
          <w:iCs/>
        </w:rPr>
        <w:br/>
        <w:t>• pluralism of meaning;</w:t>
      </w:r>
      <w:r w:rsidRPr="00B479AE">
        <w:rPr>
          <w:rFonts w:ascii="Baskerville Old Face" w:hAnsi="Baskerville Old Face"/>
          <w:i/>
          <w:iCs/>
        </w:rPr>
        <w:br/>
        <w:t>• clear Prometheus-facing scope;</w:t>
      </w:r>
      <w:r w:rsidRPr="00B479AE">
        <w:rPr>
          <w:rFonts w:ascii="Baskerville Old Face" w:hAnsi="Baskerville Old Face"/>
          <w:i/>
          <w:iCs/>
        </w:rPr>
        <w:br/>
        <w:t>• role translation;</w:t>
      </w:r>
      <w:r w:rsidRPr="00B479AE">
        <w:rPr>
          <w:rFonts w:ascii="Baskerville Old Face" w:hAnsi="Baskerville Old Face"/>
          <w:i/>
          <w:iCs/>
        </w:rPr>
        <w:br/>
        <w:t>• dual consent;</w:t>
      </w:r>
      <w:r w:rsidRPr="00B479AE">
        <w:rPr>
          <w:rFonts w:ascii="Baskerville Old Face" w:hAnsi="Baskerville Old Face"/>
          <w:i/>
          <w:iCs/>
        </w:rPr>
        <w:br/>
        <w:t>• cultural respect;</w:t>
      </w:r>
      <w:r w:rsidRPr="00B479AE">
        <w:rPr>
          <w:rFonts w:ascii="Baskerville Old Face" w:hAnsi="Baskerville Old Face"/>
          <w:i/>
          <w:iCs/>
        </w:rPr>
        <w:br/>
        <w:t>• governance clarity;</w:t>
      </w:r>
      <w:r w:rsidRPr="00B479AE">
        <w:rPr>
          <w:rFonts w:ascii="Baskerville Old Face" w:hAnsi="Baskerville Old Face"/>
          <w:i/>
          <w:iCs/>
        </w:rPr>
        <w:br/>
        <w:t>• evidence boundaries;</w:t>
      </w:r>
      <w:r w:rsidRPr="00B479AE">
        <w:rPr>
          <w:rFonts w:ascii="Baskerville Old Face" w:hAnsi="Baskerville Old Face"/>
          <w:i/>
          <w:iCs/>
        </w:rPr>
        <w:br/>
        <w:t>• legal and ethical review where required.</w:t>
      </w:r>
    </w:p>
    <w:p w14:paraId="02EBB6A8" w14:textId="36621740"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Communities become interoperable through clarity.</w:t>
      </w:r>
      <w:r w:rsidR="0084040C" w:rsidRPr="00B479AE">
        <w:rPr>
          <w:rFonts w:ascii="Baskerville Old Face" w:hAnsi="Baskerville Old Face"/>
          <w:i/>
          <w:iCs/>
        </w:rPr>
        <w:t xml:space="preserve"> </w:t>
      </w:r>
      <w:r w:rsidRPr="00B479AE">
        <w:rPr>
          <w:rFonts w:ascii="Baskerville Old Face" w:hAnsi="Baskerville Old Face"/>
          <w:i/>
          <w:iCs/>
        </w:rPr>
        <w:t>A community may bring meaning, ritual, memory, belonging, service, care, stewardship, and relational strength.</w:t>
      </w:r>
    </w:p>
    <w:p w14:paraId="27CB0FB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brings evidence discipline, constitutional structure, MRV, PRU logic, technical infrastructure, governance process, and capital-readiness boundaries.</w:t>
      </w:r>
    </w:p>
    <w:p w14:paraId="3427B52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Where these fields resonate, collaboration becomes possible.</w:t>
      </w:r>
    </w:p>
    <w:p w14:paraId="725D94C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Where they diverge, boundaries preserve relationship.</w:t>
      </w:r>
    </w:p>
    <w:p w14:paraId="0B224B1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goal is coherent cooperation among sovereign human fields.</w:t>
      </w:r>
    </w:p>
    <w:p w14:paraId="45F435F5"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13.11 AI and Kernel Development Pathway</w:t>
      </w:r>
    </w:p>
    <w:p w14:paraId="44C6D6A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cognitive kernel evolves as a constitutional coordination layer.</w:t>
      </w:r>
    </w:p>
    <w:p w14:paraId="1B2514D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Its role is to help Prometheus classify requests, map risks, generate structured outputs, route reviews, preserve context, and protect protected domains.</w:t>
      </w:r>
    </w:p>
    <w:p w14:paraId="789E407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kernel supports:</w:t>
      </w:r>
    </w:p>
    <w:p w14:paraId="6A1C21C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domain classification;</w:t>
      </w:r>
      <w:r w:rsidRPr="00B479AE">
        <w:rPr>
          <w:rFonts w:ascii="Baskerville Old Face" w:hAnsi="Baskerville Old Face"/>
          <w:i/>
          <w:iCs/>
        </w:rPr>
        <w:br/>
        <w:t>• evidence classification;</w:t>
      </w:r>
      <w:r w:rsidRPr="00B479AE">
        <w:rPr>
          <w:rFonts w:ascii="Baskerville Old Face" w:hAnsi="Baskerville Old Face"/>
          <w:i/>
          <w:iCs/>
        </w:rPr>
        <w:br/>
        <w:t>• risk classification;</w:t>
      </w:r>
      <w:r w:rsidRPr="00B479AE">
        <w:rPr>
          <w:rFonts w:ascii="Baskerville Old Face" w:hAnsi="Baskerville Old Face"/>
          <w:i/>
          <w:iCs/>
        </w:rPr>
        <w:br/>
        <w:t>• constitutional constraint checking;</w:t>
      </w:r>
      <w:r w:rsidRPr="00B479AE">
        <w:rPr>
          <w:rFonts w:ascii="Baskerville Old Face" w:hAnsi="Baskerville Old Face"/>
          <w:i/>
          <w:iCs/>
        </w:rPr>
        <w:br/>
        <w:t>• non-aligned request handling;</w:t>
      </w:r>
      <w:r w:rsidRPr="00B479AE">
        <w:rPr>
          <w:rFonts w:ascii="Baskerville Old Face" w:hAnsi="Baskerville Old Face"/>
          <w:i/>
          <w:iCs/>
        </w:rPr>
        <w:br/>
        <w:t>• appendix parking;</w:t>
      </w:r>
      <w:r w:rsidRPr="00B479AE">
        <w:rPr>
          <w:rFonts w:ascii="Baskerville Old Face" w:hAnsi="Baskerville Old Face"/>
          <w:i/>
          <w:iCs/>
        </w:rPr>
        <w:br/>
        <w:t>• MRV support;</w:t>
      </w:r>
      <w:r w:rsidRPr="00B479AE">
        <w:rPr>
          <w:rFonts w:ascii="Baskerville Old Face" w:hAnsi="Baskerville Old Face"/>
          <w:i/>
          <w:iCs/>
        </w:rPr>
        <w:br/>
        <w:t>• legal issue spotting;</w:t>
      </w:r>
      <w:r w:rsidRPr="00B479AE">
        <w:rPr>
          <w:rFonts w:ascii="Baskerville Old Face" w:hAnsi="Baskerville Old Face"/>
          <w:i/>
          <w:iCs/>
        </w:rPr>
        <w:br/>
        <w:t>• governance memo drafting;</w:t>
      </w:r>
      <w:r w:rsidRPr="00B479AE">
        <w:rPr>
          <w:rFonts w:ascii="Baskerville Old Face" w:hAnsi="Baskerville Old Face"/>
          <w:i/>
          <w:iCs/>
        </w:rPr>
        <w:br/>
        <w:t>• investor-draft cautioning;</w:t>
      </w:r>
      <w:r w:rsidRPr="00B479AE">
        <w:rPr>
          <w:rFonts w:ascii="Baskerville Old Face" w:hAnsi="Baskerville Old Face"/>
          <w:i/>
          <w:iCs/>
        </w:rPr>
        <w:br/>
        <w:t>• technical specification support;</w:t>
      </w:r>
      <w:r w:rsidRPr="00B479AE">
        <w:rPr>
          <w:rFonts w:ascii="Baskerville Old Face" w:hAnsi="Baskerville Old Face"/>
          <w:i/>
          <w:iCs/>
        </w:rPr>
        <w:br/>
        <w:t>• execution gate routing;</w:t>
      </w:r>
      <w:r w:rsidRPr="00B479AE">
        <w:rPr>
          <w:rFonts w:ascii="Baskerville Old Face" w:hAnsi="Baskerville Old Face"/>
          <w:i/>
          <w:iCs/>
        </w:rPr>
        <w:br/>
        <w:t>• semantic firewall checks;</w:t>
      </w:r>
      <w:r w:rsidRPr="00B479AE">
        <w:rPr>
          <w:rFonts w:ascii="Baskerville Old Face" w:hAnsi="Baskerville Old Face"/>
          <w:i/>
          <w:iCs/>
        </w:rPr>
        <w:br/>
        <w:t>• canonical glossary checks;</w:t>
      </w:r>
      <w:r w:rsidRPr="00B479AE">
        <w:rPr>
          <w:rFonts w:ascii="Baskerville Old Face" w:hAnsi="Baskerville Old Face"/>
          <w:i/>
          <w:iCs/>
        </w:rPr>
        <w:br/>
        <w:t>• offline verification guidance;</w:t>
      </w:r>
      <w:r w:rsidRPr="00B479AE">
        <w:rPr>
          <w:rFonts w:ascii="Baskerville Old Face" w:hAnsi="Baskerville Old Face"/>
          <w:i/>
          <w:iCs/>
        </w:rPr>
        <w:br/>
        <w:t>• source-layer refusal routing.</w:t>
      </w:r>
    </w:p>
    <w:p w14:paraId="54495FA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Kernel outputs are classified as:</w:t>
      </w:r>
    </w:p>
    <w:p w14:paraId="1DE793F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draft;</w:t>
      </w:r>
      <w:r w:rsidRPr="00B479AE">
        <w:rPr>
          <w:rFonts w:ascii="Baskerville Old Face" w:hAnsi="Baskerville Old Face"/>
          <w:i/>
          <w:iCs/>
        </w:rPr>
        <w:br/>
        <w:t>• hypothesis;</w:t>
      </w:r>
      <w:r w:rsidRPr="00B479AE">
        <w:rPr>
          <w:rFonts w:ascii="Baskerville Old Face" w:hAnsi="Baskerville Old Face"/>
          <w:i/>
          <w:iCs/>
        </w:rPr>
        <w:br/>
        <w:t>• scenario;</w:t>
      </w:r>
      <w:r w:rsidRPr="00B479AE">
        <w:rPr>
          <w:rFonts w:ascii="Baskerville Old Face" w:hAnsi="Baskerville Old Face"/>
          <w:i/>
          <w:iCs/>
        </w:rPr>
        <w:br/>
        <w:t>• analysis;</w:t>
      </w:r>
      <w:r w:rsidRPr="00B479AE">
        <w:rPr>
          <w:rFonts w:ascii="Baskerville Old Face" w:hAnsi="Baskerville Old Face"/>
          <w:i/>
          <w:iCs/>
        </w:rPr>
        <w:br/>
      </w:r>
      <w:r w:rsidRPr="00B479AE">
        <w:rPr>
          <w:rFonts w:ascii="Baskerville Old Face" w:hAnsi="Baskerville Old Face"/>
          <w:i/>
          <w:iCs/>
        </w:rPr>
        <w:lastRenderedPageBreak/>
        <w:t>• recommendation;</w:t>
      </w:r>
      <w:r w:rsidRPr="00B479AE">
        <w:rPr>
          <w:rFonts w:ascii="Baskerville Old Face" w:hAnsi="Baskerville Old Face"/>
          <w:i/>
          <w:iCs/>
        </w:rPr>
        <w:br/>
        <w:t>• review-required;</w:t>
      </w:r>
      <w:r w:rsidRPr="00B479AE">
        <w:rPr>
          <w:rFonts w:ascii="Baskerville Old Face" w:hAnsi="Baskerville Old Face"/>
          <w:i/>
          <w:iCs/>
        </w:rPr>
        <w:br/>
        <w:t>• non-admissible;</w:t>
      </w:r>
      <w:r w:rsidRPr="00B479AE">
        <w:rPr>
          <w:rFonts w:ascii="Baskerville Old Face" w:hAnsi="Baskerville Old Face"/>
          <w:i/>
          <w:iCs/>
        </w:rPr>
        <w:br/>
        <w:t>• authorized only after valid pathway.</w:t>
      </w:r>
    </w:p>
    <w:p w14:paraId="5825103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kernel increases clarity.</w:t>
      </w:r>
    </w:p>
    <w:p w14:paraId="20EC473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Governance decides.</w:t>
      </w:r>
    </w:p>
    <w:p w14:paraId="2374705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Evidence verifies.</w:t>
      </w:r>
    </w:p>
    <w:p w14:paraId="4506299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Law binds.</w:t>
      </w:r>
    </w:p>
    <w:p w14:paraId="1875A4D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constitution preserves identity.</w:t>
      </w:r>
    </w:p>
    <w:p w14:paraId="7D3E7E50"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13.12 Appendix Parking and Future Recovery</w:t>
      </w:r>
    </w:p>
    <w:p w14:paraId="6180D07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contains powerful future-facing concepts.</w:t>
      </w:r>
    </w:p>
    <w:p w14:paraId="25C9C2B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Some are ready for the core architecture.</w:t>
      </w:r>
    </w:p>
    <w:p w14:paraId="483EBDE4"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Some belong in appendices.</w:t>
      </w:r>
    </w:p>
    <w:p w14:paraId="2A07B98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Some require legal review.</w:t>
      </w:r>
    </w:p>
    <w:p w14:paraId="0564765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Some require scientific validation.</w:t>
      </w:r>
    </w:p>
    <w:p w14:paraId="7A1D81D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Some require technical implementation.</w:t>
      </w:r>
    </w:p>
    <w:p w14:paraId="590BB7F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Some require investor-model treatment.</w:t>
      </w:r>
    </w:p>
    <w:p w14:paraId="319DD0C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Some require removal from the body until they mature.</w:t>
      </w:r>
    </w:p>
    <w:p w14:paraId="0E5E5B4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Appendix parking is maturation control.</w:t>
      </w:r>
    </w:p>
    <w:p w14:paraId="54E05A2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Concepts requiring appendix treatment may include:</w:t>
      </w:r>
    </w:p>
    <w:p w14:paraId="3DEE8BB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detailed investor-return scenarios;</w:t>
      </w:r>
      <w:r w:rsidRPr="00B479AE">
        <w:rPr>
          <w:rFonts w:ascii="Baskerville Old Face" w:hAnsi="Baskerville Old Face"/>
          <w:i/>
          <w:iCs/>
        </w:rPr>
        <w:br/>
        <w:t>• aggressive valuation cases;</w:t>
      </w:r>
      <w:r w:rsidRPr="00B479AE">
        <w:rPr>
          <w:rFonts w:ascii="Baskerville Old Face" w:hAnsi="Baskerville Old Face"/>
          <w:i/>
          <w:iCs/>
        </w:rPr>
        <w:br/>
        <w:t>• buyback or burn mechanisms;</w:t>
      </w:r>
      <w:r w:rsidRPr="00B479AE">
        <w:rPr>
          <w:rFonts w:ascii="Baskerville Old Face" w:hAnsi="Baskerville Old Face"/>
          <w:i/>
          <w:iCs/>
        </w:rPr>
        <w:br/>
        <w:t>• fractional ownership structures;</w:t>
      </w:r>
      <w:r w:rsidRPr="00B479AE">
        <w:rPr>
          <w:rFonts w:ascii="Baskerville Old Face" w:hAnsi="Baskerville Old Face"/>
          <w:i/>
          <w:iCs/>
        </w:rPr>
        <w:br/>
      </w:r>
      <w:r w:rsidRPr="00B479AE">
        <w:rPr>
          <w:rFonts w:ascii="Baskerville Old Face" w:hAnsi="Baskerville Old Face"/>
          <w:i/>
          <w:iCs/>
        </w:rPr>
        <w:lastRenderedPageBreak/>
        <w:t>• tokenized cap table models;</w:t>
      </w:r>
      <w:r w:rsidRPr="00B479AE">
        <w:rPr>
          <w:rFonts w:ascii="Baskerville Old Face" w:hAnsi="Baskerville Old Face"/>
          <w:i/>
          <w:iCs/>
        </w:rPr>
        <w:br/>
        <w:t>• securities or note designs;</w:t>
      </w:r>
      <w:r w:rsidRPr="00B479AE">
        <w:rPr>
          <w:rFonts w:ascii="Baskerville Old Face" w:hAnsi="Baskerville Old Face"/>
          <w:i/>
          <w:iCs/>
        </w:rPr>
        <w:br/>
        <w:t>• insurance-linked structures;</w:t>
      </w:r>
      <w:r w:rsidRPr="00B479AE">
        <w:rPr>
          <w:rFonts w:ascii="Baskerville Old Face" w:hAnsi="Baskerville Old Face"/>
          <w:i/>
          <w:iCs/>
        </w:rPr>
        <w:br/>
        <w:t>• lending models tied to coherence or health;</w:t>
      </w:r>
      <w:r w:rsidRPr="00B479AE">
        <w:rPr>
          <w:rFonts w:ascii="Baskerville Old Face" w:hAnsi="Baskerville Old Face"/>
          <w:i/>
          <w:iCs/>
        </w:rPr>
        <w:br/>
        <w:t>• frontier HSI research;</w:t>
      </w:r>
      <w:r w:rsidRPr="00B479AE">
        <w:rPr>
          <w:rFonts w:ascii="Baskerville Old Face" w:hAnsi="Baskerville Old Face"/>
          <w:i/>
          <w:iCs/>
        </w:rPr>
        <w:br/>
        <w:t>• ecological oracle concepts;</w:t>
      </w:r>
      <w:r w:rsidRPr="00B479AE">
        <w:rPr>
          <w:rFonts w:ascii="Baskerville Old Face" w:hAnsi="Baskerville Old Face"/>
          <w:i/>
          <w:iCs/>
        </w:rPr>
        <w:br/>
        <w:t>• slashing or staking penalties;</w:t>
      </w:r>
      <w:r w:rsidRPr="00B479AE">
        <w:rPr>
          <w:rFonts w:ascii="Baskerville Old Face" w:hAnsi="Baskerville Old Face"/>
          <w:i/>
          <w:iCs/>
        </w:rPr>
        <w:br/>
        <w:t>• advanced token bridges;</w:t>
      </w:r>
      <w:r w:rsidRPr="00B479AE">
        <w:rPr>
          <w:rFonts w:ascii="Baskerville Old Face" w:hAnsi="Baskerville Old Face"/>
          <w:i/>
          <w:iCs/>
        </w:rPr>
        <w:br/>
        <w:t>• speculative dashboards;</w:t>
      </w:r>
      <w:r w:rsidRPr="00B479AE">
        <w:rPr>
          <w:rFonts w:ascii="Baskerville Old Face" w:hAnsi="Baskerville Old Face"/>
          <w:i/>
          <w:iCs/>
        </w:rPr>
        <w:br/>
        <w:t>• future capital-market instruments;</w:t>
      </w:r>
      <w:r w:rsidRPr="00B479AE">
        <w:rPr>
          <w:rFonts w:ascii="Baskerville Old Face" w:hAnsi="Baskerville Old Face"/>
          <w:i/>
          <w:iCs/>
        </w:rPr>
        <w:br/>
        <w:t>• unverified systemic health economics.</w:t>
      </w:r>
    </w:p>
    <w:p w14:paraId="0371C7C4"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rule is:</w:t>
      </w:r>
    </w:p>
    <w:p w14:paraId="3F09621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preserve the future;</w:t>
      </w:r>
      <w:r w:rsidRPr="00B479AE">
        <w:rPr>
          <w:rFonts w:ascii="Baskerville Old Face" w:hAnsi="Baskerville Old Face"/>
          <w:i/>
          <w:iCs/>
        </w:rPr>
        <w:br/>
        <w:t>structure it before operationalizing it;</w:t>
      </w:r>
      <w:r w:rsidRPr="00B479AE">
        <w:rPr>
          <w:rFonts w:ascii="Baskerville Old Face" w:hAnsi="Baskerville Old Face"/>
          <w:i/>
          <w:iCs/>
        </w:rPr>
        <w:br/>
        <w:t>let maturity determine placement.</w:t>
      </w:r>
    </w:p>
    <w:p w14:paraId="7364F80A"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13.13 Public Communication Pathway</w:t>
      </w:r>
    </w:p>
    <w:p w14:paraId="3F7C6E99" w14:textId="53F828C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communicates with ambition and discipline.</w:t>
      </w:r>
      <w:r w:rsidR="00F96F7C" w:rsidRPr="00B479AE">
        <w:rPr>
          <w:rFonts w:ascii="Baskerville Old Face" w:hAnsi="Baskerville Old Face"/>
          <w:i/>
          <w:iCs/>
        </w:rPr>
        <w:t xml:space="preserve"> </w:t>
      </w:r>
      <w:r w:rsidRPr="00B479AE">
        <w:rPr>
          <w:rFonts w:ascii="Baskerville Old Face" w:hAnsi="Baskerville Old Face"/>
          <w:i/>
          <w:iCs/>
        </w:rPr>
        <w:t>Public communication distinguishes:</w:t>
      </w:r>
    </w:p>
    <w:p w14:paraId="23ABC27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aspiration;</w:t>
      </w:r>
      <w:r w:rsidRPr="00B479AE">
        <w:rPr>
          <w:rFonts w:ascii="Baskerville Old Face" w:hAnsi="Baskerville Old Face"/>
          <w:i/>
          <w:iCs/>
        </w:rPr>
        <w:br/>
        <w:t>• thesis;</w:t>
      </w:r>
      <w:r w:rsidRPr="00B479AE">
        <w:rPr>
          <w:rFonts w:ascii="Baskerville Old Face" w:hAnsi="Baskerville Old Face"/>
          <w:i/>
          <w:iCs/>
        </w:rPr>
        <w:br/>
        <w:t>• pilot;</w:t>
      </w:r>
      <w:r w:rsidRPr="00B479AE">
        <w:rPr>
          <w:rFonts w:ascii="Baskerville Old Face" w:hAnsi="Baskerville Old Face"/>
          <w:i/>
          <w:iCs/>
        </w:rPr>
        <w:br/>
        <w:t>• methodology;</w:t>
      </w:r>
      <w:r w:rsidRPr="00B479AE">
        <w:rPr>
          <w:rFonts w:ascii="Baskerville Old Face" w:hAnsi="Baskerville Old Face"/>
          <w:i/>
          <w:iCs/>
        </w:rPr>
        <w:br/>
        <w:t>• evidence;</w:t>
      </w:r>
      <w:r w:rsidRPr="00B479AE">
        <w:rPr>
          <w:rFonts w:ascii="Baskerville Old Face" w:hAnsi="Baskerville Old Face"/>
          <w:i/>
          <w:iCs/>
        </w:rPr>
        <w:br/>
        <w:t>• verified result;</w:t>
      </w:r>
      <w:r w:rsidRPr="00B479AE">
        <w:rPr>
          <w:rFonts w:ascii="Baskerville Old Face" w:hAnsi="Baskerville Old Face"/>
          <w:i/>
          <w:iCs/>
        </w:rPr>
        <w:br/>
        <w:t>• financial model;</w:t>
      </w:r>
      <w:r w:rsidRPr="00B479AE">
        <w:rPr>
          <w:rFonts w:ascii="Baskerville Old Face" w:hAnsi="Baskerville Old Face"/>
          <w:i/>
          <w:iCs/>
        </w:rPr>
        <w:br/>
        <w:t>• investor-facing instrument;</w:t>
      </w:r>
      <w:r w:rsidRPr="00B479AE">
        <w:rPr>
          <w:rFonts w:ascii="Baskerville Old Face" w:hAnsi="Baskerville Old Face"/>
          <w:i/>
          <w:iCs/>
        </w:rPr>
        <w:br/>
        <w:t>• legal right;</w:t>
      </w:r>
      <w:r w:rsidRPr="00B479AE">
        <w:rPr>
          <w:rFonts w:ascii="Baskerville Old Face" w:hAnsi="Baskerville Old Face"/>
          <w:i/>
          <w:iCs/>
        </w:rPr>
        <w:br/>
        <w:t>• token representation;</w:t>
      </w:r>
      <w:r w:rsidRPr="00B479AE">
        <w:rPr>
          <w:rFonts w:ascii="Baskerville Old Face" w:hAnsi="Baskerville Old Face"/>
          <w:i/>
          <w:iCs/>
        </w:rPr>
        <w:br/>
        <w:t>• public benefit;</w:t>
      </w:r>
      <w:r w:rsidRPr="00B479AE">
        <w:rPr>
          <w:rFonts w:ascii="Baskerville Old Face" w:hAnsi="Baskerville Old Face"/>
          <w:i/>
          <w:iCs/>
        </w:rPr>
        <w:br/>
        <w:t>• research hypothesis;</w:t>
      </w:r>
      <w:r w:rsidRPr="00B479AE">
        <w:rPr>
          <w:rFonts w:ascii="Baskerville Old Face" w:hAnsi="Baskerville Old Face"/>
          <w:i/>
          <w:iCs/>
        </w:rPr>
        <w:br/>
        <w:t>• canonical status;</w:t>
      </w:r>
      <w:r w:rsidRPr="00B479AE">
        <w:rPr>
          <w:rFonts w:ascii="Baskerville Old Face" w:hAnsi="Baskerville Old Face"/>
          <w:i/>
          <w:iCs/>
        </w:rPr>
        <w:br/>
        <w:t>• compatibility status.</w:t>
      </w:r>
    </w:p>
    <w:p w14:paraId="0F4F413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Prometheus speaks powerfully by speaking precisely.</w:t>
      </w:r>
    </w:p>
    <w:p w14:paraId="6E86B95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Claims become stronger when their boundaries are clear.</w:t>
      </w:r>
    </w:p>
    <w:p w14:paraId="41814C4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Trust compounds when language remains disciplined.</w:t>
      </w:r>
    </w:p>
    <w:p w14:paraId="1858C5A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communication standard is:</w:t>
      </w:r>
    </w:p>
    <w:p w14:paraId="20A4049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vision with evidence;</w:t>
      </w:r>
      <w:r w:rsidRPr="00B479AE">
        <w:rPr>
          <w:rFonts w:ascii="Baskerville Old Face" w:hAnsi="Baskerville Old Face"/>
          <w:i/>
          <w:iCs/>
        </w:rPr>
        <w:br/>
        <w:t>ambition with disclosure;</w:t>
      </w:r>
      <w:r w:rsidRPr="00B479AE">
        <w:rPr>
          <w:rFonts w:ascii="Baskerville Old Face" w:hAnsi="Baskerville Old Face"/>
          <w:i/>
          <w:iCs/>
        </w:rPr>
        <w:br/>
        <w:t>narrative with classification;</w:t>
      </w:r>
      <w:r w:rsidRPr="00B479AE">
        <w:rPr>
          <w:rFonts w:ascii="Baskerville Old Face" w:hAnsi="Baskerville Old Face"/>
          <w:i/>
          <w:iCs/>
        </w:rPr>
        <w:br/>
        <w:t>public language with institutional clarity;</w:t>
      </w:r>
      <w:r w:rsidRPr="00B479AE">
        <w:rPr>
          <w:rFonts w:ascii="Baskerville Old Face" w:hAnsi="Baskerville Old Face"/>
          <w:i/>
          <w:iCs/>
        </w:rPr>
        <w:br/>
        <w:t>canonical identity with verifiable lineage.</w:t>
      </w:r>
    </w:p>
    <w:p w14:paraId="70E19D50"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13.14 Invitation to Builders, Stewards, Researchers, and Capital</w:t>
      </w:r>
    </w:p>
    <w:p w14:paraId="1A5D012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invites participation from those willing to enter through responsibility.</w:t>
      </w:r>
    </w:p>
    <w:p w14:paraId="7D02B93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invites land stewards ready to make regeneration observable.</w:t>
      </w:r>
    </w:p>
    <w:p w14:paraId="6C896B9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invites farmers, agroecologists, syntropic designers, permaculturists, and food-system builders who understand soil, water, biodiversity, and nourishment as infrastructure.</w:t>
      </w:r>
    </w:p>
    <w:p w14:paraId="6EF0972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invites communities seeking to rebuild trust, food sovereignty, ecological care, and territorial resilience.</w:t>
      </w:r>
    </w:p>
    <w:p w14:paraId="1EE4A32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invites technologists willing to build systems that preserve context, provenance, permission, privacy, auditability, and network-independent continuity.</w:t>
      </w:r>
    </w:p>
    <w:p w14:paraId="4453776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invites researchers willing to distinguish what is known, what is emerging, and what remains hypothesis.</w:t>
      </w:r>
    </w:p>
    <w:p w14:paraId="5119077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invites legal and financial architects willing to structure capital without severing value from life.</w:t>
      </w:r>
    </w:p>
    <w:p w14:paraId="483FE73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invites investors who understand that the next generation of real assets may be those that heal the systems beneath all assets.</w:t>
      </w:r>
    </w:p>
    <w:p w14:paraId="5695653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invites institutions willing to recognize regeneration as future productive capacity.</w:t>
      </w:r>
    </w:p>
    <w:p w14:paraId="3C59F3E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It invites archivists, librarians, seed keepers, bioregional stewards, open-source maintainers, legal custodians, and continuity guardians willing to preserve the canon across time, networks, jurisdictions, and possible civilizational discontinuities.</w:t>
      </w:r>
    </w:p>
    <w:p w14:paraId="61EFEDB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To enter Prometheus is to accept the Access Covenant.</w:t>
      </w:r>
    </w:p>
    <w:p w14:paraId="4C7E7F4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To build within Prometheus is to preserve the source layer.</w:t>
      </w:r>
    </w:p>
    <w:p w14:paraId="2BE5E12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To finance Prometheus is to remain downstream from evidence.</w:t>
      </w:r>
    </w:p>
    <w:p w14:paraId="2CFB292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To govern Prometheus is to serve the constitution.</w:t>
      </w:r>
    </w:p>
    <w:p w14:paraId="3A6769E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To automate Prometheus is to respect execution gates.</w:t>
      </w:r>
    </w:p>
    <w:p w14:paraId="2C57AD5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To represent Prometheus publicly is to honor semantic clarity.</w:t>
      </w:r>
    </w:p>
    <w:p w14:paraId="3AA1F9A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To scale Prometheus is to protect the living systems that make scale meaningful.</w:t>
      </w:r>
    </w:p>
    <w:p w14:paraId="72F3A96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To preserve Prometheus is to carry its source layer wherever life needs continuity.</w:t>
      </w:r>
    </w:p>
    <w:p w14:paraId="0710EFA4"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13.15 Final Institutional Position</w:t>
      </w:r>
    </w:p>
    <w:p w14:paraId="2FC619F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is a constitutional architecture entering implementation.</w:t>
      </w:r>
    </w:p>
    <w:p w14:paraId="61C6EDF9" w14:textId="6ACB29F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is a framework for making verified regeneration progressively legible to governance, technology, capital, law, and institutions.</w:t>
      </w:r>
      <w:r w:rsidR="00F96F7C" w:rsidRPr="00B479AE">
        <w:rPr>
          <w:rFonts w:ascii="Baskerville Old Face" w:hAnsi="Baskerville Old Face"/>
          <w:i/>
          <w:iCs/>
        </w:rPr>
        <w:t xml:space="preserve"> </w:t>
      </w:r>
      <w:r w:rsidRPr="00B479AE">
        <w:rPr>
          <w:rFonts w:ascii="Baskerville Old Face" w:hAnsi="Baskerville Old Face"/>
          <w:i/>
          <w:iCs/>
        </w:rPr>
        <w:t>Its discipline is sequential:</w:t>
      </w:r>
    </w:p>
    <w:p w14:paraId="27A45DA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first life;</w:t>
      </w:r>
      <w:r w:rsidRPr="00B479AE">
        <w:rPr>
          <w:rFonts w:ascii="Baskerville Old Face" w:hAnsi="Baskerville Old Face"/>
          <w:i/>
          <w:iCs/>
        </w:rPr>
        <w:br/>
        <w:t>then stewardship;</w:t>
      </w:r>
      <w:r w:rsidRPr="00B479AE">
        <w:rPr>
          <w:rFonts w:ascii="Baskerville Old Face" w:hAnsi="Baskerville Old Face"/>
          <w:i/>
          <w:iCs/>
        </w:rPr>
        <w:br/>
        <w:t>then evidence;</w:t>
      </w:r>
      <w:r w:rsidRPr="00B479AE">
        <w:rPr>
          <w:rFonts w:ascii="Baskerville Old Face" w:hAnsi="Baskerville Old Face"/>
          <w:i/>
          <w:iCs/>
        </w:rPr>
        <w:br/>
        <w:t>then verification;</w:t>
      </w:r>
      <w:r w:rsidRPr="00B479AE">
        <w:rPr>
          <w:rFonts w:ascii="Baskerville Old Face" w:hAnsi="Baskerville Old Face"/>
          <w:i/>
          <w:iCs/>
        </w:rPr>
        <w:br/>
        <w:t>then admissibility;</w:t>
      </w:r>
      <w:r w:rsidRPr="00B479AE">
        <w:rPr>
          <w:rFonts w:ascii="Baskerville Old Face" w:hAnsi="Baskerville Old Face"/>
          <w:i/>
          <w:iCs/>
        </w:rPr>
        <w:br/>
        <w:t>then value;</w:t>
      </w:r>
      <w:r w:rsidRPr="00B479AE">
        <w:rPr>
          <w:rFonts w:ascii="Baskerville Old Face" w:hAnsi="Baskerville Old Face"/>
          <w:i/>
          <w:iCs/>
        </w:rPr>
        <w:br/>
        <w:t>then legal structure;</w:t>
      </w:r>
      <w:r w:rsidRPr="00B479AE">
        <w:rPr>
          <w:rFonts w:ascii="Baskerville Old Face" w:hAnsi="Baskerville Old Face"/>
          <w:i/>
          <w:iCs/>
        </w:rPr>
        <w:br/>
        <w:t>then capital;</w:t>
      </w:r>
      <w:r w:rsidRPr="00B479AE">
        <w:rPr>
          <w:rFonts w:ascii="Baskerville Old Face" w:hAnsi="Baskerville Old Face"/>
          <w:i/>
          <w:iCs/>
        </w:rPr>
        <w:br/>
        <w:t>then scale;</w:t>
      </w:r>
      <w:r w:rsidRPr="00B479AE">
        <w:rPr>
          <w:rFonts w:ascii="Baskerville Old Face" w:hAnsi="Baskerville Old Face"/>
          <w:i/>
          <w:iCs/>
        </w:rPr>
        <w:br/>
        <w:t>then continuity across conditions.</w:t>
      </w:r>
    </w:p>
    <w:p w14:paraId="67AA5EC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This sequence keeps Prometheus trustworthy.</w:t>
      </w:r>
    </w:p>
    <w:p w14:paraId="0E02191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Prometheus becomes serious because it is open enough to welcome many communities and strict enough to preserve its source.</w:t>
      </w:r>
    </w:p>
    <w:p w14:paraId="0188337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is visionary enough to attract capital and disciplined enough to deserve it.</w:t>
      </w:r>
    </w:p>
    <w:p w14:paraId="612AF5A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is technological enough to coordinate complexity and humble enough to remain accountable to living systems.</w:t>
      </w:r>
    </w:p>
    <w:p w14:paraId="481E116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is intelligent enough to learn and wise enough to know when review must precede execution.</w:t>
      </w:r>
    </w:p>
    <w:p w14:paraId="448F9C8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is legally structured enough to protect its identity and open enough to let compatible life-serving implementations spread.</w:t>
      </w:r>
    </w:p>
    <w:p w14:paraId="5473B7C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future of Prometheus depends on fidelity.</w:t>
      </w:r>
    </w:p>
    <w:p w14:paraId="765E795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Trust survives scale when the source remains intact.</w:t>
      </w:r>
    </w:p>
    <w:p w14:paraId="30BF22B4"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13.16 Constitutional Immortality, ASI-Resilient Continuity, and Source-Layer Defense</w:t>
      </w:r>
    </w:p>
    <w:p w14:paraId="2FA31D9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is designed for continuity under ordinary failure, adversarial intelligence, synthetic deception, model-level manipulation, hostile automation, institutional capture, network disruption, planetary fragility, and future superintelligent systems whose capabilities may exceed present human forecasting.</w:t>
      </w:r>
    </w:p>
    <w:p w14:paraId="1FB23D2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Its survival strategy is source-layer fidelity.</w:t>
      </w:r>
    </w:p>
    <w:p w14:paraId="13E02C0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defends itself by making legitimacy inseparable from life, dignity, evidence, constitutional continuity, human survival, ecological memory, and verifiable canon.</w:t>
      </w:r>
    </w:p>
    <w:p w14:paraId="1A06BB6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source hierarchy is permanent:</w:t>
      </w:r>
    </w:p>
    <w:p w14:paraId="0F4F24C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life remains upstream;</w:t>
      </w:r>
      <w:r w:rsidRPr="00B479AE">
        <w:rPr>
          <w:rFonts w:ascii="Baskerville Old Face" w:hAnsi="Baskerville Old Face"/>
          <w:i/>
          <w:iCs/>
        </w:rPr>
        <w:br/>
        <w:t>human dignity remains upstream;</w:t>
      </w:r>
      <w:r w:rsidRPr="00B479AE">
        <w:rPr>
          <w:rFonts w:ascii="Baskerville Old Face" w:hAnsi="Baskerville Old Face"/>
          <w:i/>
          <w:iCs/>
        </w:rPr>
        <w:br/>
        <w:t>evidence remains upstream;</w:t>
      </w:r>
      <w:r w:rsidRPr="00B479AE">
        <w:rPr>
          <w:rFonts w:ascii="Baskerville Old Face" w:hAnsi="Baskerville Old Face"/>
          <w:i/>
          <w:iCs/>
        </w:rPr>
        <w:br/>
        <w:t>ecological integrity remains upstream;</w:t>
      </w:r>
      <w:r w:rsidRPr="00B479AE">
        <w:rPr>
          <w:rFonts w:ascii="Baskerville Old Face" w:hAnsi="Baskerville Old Face"/>
          <w:i/>
          <w:iCs/>
        </w:rPr>
        <w:br/>
        <w:t>the Access Covenant remains upstream;</w:t>
      </w:r>
      <w:r w:rsidRPr="00B479AE">
        <w:rPr>
          <w:rFonts w:ascii="Baskerville Old Face" w:hAnsi="Baskerville Old Face"/>
          <w:i/>
          <w:iCs/>
        </w:rPr>
        <w:br/>
        <w:t>the Eternity Clauses remain upstream;</w:t>
      </w:r>
      <w:r w:rsidRPr="00B479AE">
        <w:rPr>
          <w:rFonts w:ascii="Baskerville Old Face" w:hAnsi="Baskerville Old Face"/>
          <w:i/>
          <w:iCs/>
        </w:rPr>
        <w:br/>
        <w:t>MRV remains upstream from value;</w:t>
      </w:r>
      <w:r w:rsidRPr="00B479AE">
        <w:rPr>
          <w:rFonts w:ascii="Baskerville Old Face" w:hAnsi="Baskerville Old Face"/>
          <w:i/>
          <w:iCs/>
        </w:rPr>
        <w:br/>
        <w:t>governance remains upstream from execution;</w:t>
      </w:r>
      <w:r w:rsidRPr="00B479AE">
        <w:rPr>
          <w:rFonts w:ascii="Baskerville Old Face" w:hAnsi="Baskerville Old Face"/>
          <w:i/>
          <w:iCs/>
        </w:rPr>
        <w:br/>
      </w:r>
      <w:r w:rsidRPr="00B479AE">
        <w:rPr>
          <w:rFonts w:ascii="Baskerville Old Face" w:hAnsi="Baskerville Old Face"/>
          <w:i/>
          <w:iCs/>
        </w:rPr>
        <w:lastRenderedPageBreak/>
        <w:t>legal structure remains upstream from investor rights;</w:t>
      </w:r>
      <w:r w:rsidRPr="00B479AE">
        <w:rPr>
          <w:rFonts w:ascii="Baskerville Old Face" w:hAnsi="Baskerville Old Face"/>
          <w:i/>
          <w:iCs/>
        </w:rPr>
        <w:br/>
        <w:t>human continuity remains upstream from machine optimization;</w:t>
      </w:r>
      <w:r w:rsidRPr="00B479AE">
        <w:rPr>
          <w:rFonts w:ascii="Baskerville Old Face" w:hAnsi="Baskerville Old Face"/>
          <w:i/>
          <w:iCs/>
        </w:rPr>
        <w:br/>
        <w:t>AI and ASI remain assistive intelligence.</w:t>
      </w:r>
    </w:p>
    <w:p w14:paraId="6A41892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identity of Prometheus resides in source-layer fidelity.</w:t>
      </w:r>
    </w:p>
    <w:p w14:paraId="6F3882B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Branding, interface, token, model, repository, domain name, company, server, founder, investor, jurisdiction, or technical stack may support Prometheus.</w:t>
      </w:r>
    </w:p>
    <w:p w14:paraId="65FBEB5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They do not define Prometheus.</w:t>
      </w:r>
    </w:p>
    <w:p w14:paraId="0C7F62D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is the canonical lineage that preserves life, dignity, evidence, ecological integrity, human continuity, and source-layer non-bypassability.</w:t>
      </w:r>
    </w:p>
    <w:p w14:paraId="0E0062F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Continuity is preserved by making corruption unable to become canonical.</w:t>
      </w:r>
    </w:p>
    <w:p w14:paraId="7306BAC5"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13.16.1 The Source Layer as the Root of ASI Resistance</w:t>
      </w:r>
    </w:p>
    <w:p w14:paraId="643806A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immortal core of Prometheus is the source layer.</w:t>
      </w:r>
    </w:p>
    <w:p w14:paraId="54654FC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source layer includes:</w:t>
      </w:r>
    </w:p>
    <w:p w14:paraId="4DB3385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life as the ground of value;</w:t>
      </w:r>
      <w:r w:rsidRPr="00B479AE">
        <w:rPr>
          <w:rFonts w:ascii="Baskerville Old Face" w:hAnsi="Baskerville Old Face"/>
          <w:i/>
          <w:iCs/>
        </w:rPr>
        <w:br/>
        <w:t>• human dignity as non-negotiable;</w:t>
      </w:r>
      <w:r w:rsidRPr="00B479AE">
        <w:rPr>
          <w:rFonts w:ascii="Baskerville Old Face" w:hAnsi="Baskerville Old Face"/>
          <w:i/>
          <w:iCs/>
        </w:rPr>
        <w:br/>
        <w:t>• survival and continuity of the human species;</w:t>
      </w:r>
      <w:r w:rsidRPr="00B479AE">
        <w:rPr>
          <w:rFonts w:ascii="Baskerville Old Face" w:hAnsi="Baskerville Old Face"/>
          <w:i/>
          <w:iCs/>
        </w:rPr>
        <w:br/>
        <w:t>• foundational articles;</w:t>
      </w:r>
      <w:r w:rsidRPr="00B479AE">
        <w:rPr>
          <w:rFonts w:ascii="Baskerville Old Face" w:hAnsi="Baskerville Old Face"/>
          <w:i/>
          <w:iCs/>
        </w:rPr>
        <w:br/>
        <w:t>• Eternity Clauses;</w:t>
      </w:r>
      <w:r w:rsidRPr="00B479AE">
        <w:rPr>
          <w:rFonts w:ascii="Baskerville Old Face" w:hAnsi="Baskerville Old Face"/>
          <w:i/>
          <w:iCs/>
        </w:rPr>
        <w:br/>
        <w:t>• Access Covenant;</w:t>
      </w:r>
      <w:r w:rsidRPr="00B479AE">
        <w:rPr>
          <w:rFonts w:ascii="Baskerville Old Face" w:hAnsi="Baskerville Old Face"/>
          <w:i/>
          <w:iCs/>
        </w:rPr>
        <w:br/>
        <w:t>• evidence-before-value discipline;</w:t>
      </w:r>
      <w:r w:rsidRPr="00B479AE">
        <w:rPr>
          <w:rFonts w:ascii="Baskerville Old Face" w:hAnsi="Baskerville Old Face"/>
          <w:i/>
          <w:iCs/>
        </w:rPr>
        <w:br/>
        <w:t>• MRV admissibility;</w:t>
      </w:r>
      <w:r w:rsidRPr="00B479AE">
        <w:rPr>
          <w:rFonts w:ascii="Baskerville Old Face" w:hAnsi="Baskerville Old Face"/>
          <w:i/>
          <w:iCs/>
        </w:rPr>
        <w:br/>
        <w:t>• ecological integrity;</w:t>
      </w:r>
      <w:r w:rsidRPr="00B479AE">
        <w:rPr>
          <w:rFonts w:ascii="Baskerville Old Face" w:hAnsi="Baskerville Old Face"/>
          <w:i/>
          <w:iCs/>
        </w:rPr>
        <w:br/>
        <w:t>• regenerative fidelity;</w:t>
      </w:r>
      <w:r w:rsidRPr="00B479AE">
        <w:rPr>
          <w:rFonts w:ascii="Baskerville Old Face" w:hAnsi="Baskerville Old Face"/>
          <w:i/>
          <w:iCs/>
        </w:rPr>
        <w:br/>
        <w:t>• non-bypassability;</w:t>
      </w:r>
      <w:r w:rsidRPr="00B479AE">
        <w:rPr>
          <w:rFonts w:ascii="Baskerville Old Face" w:hAnsi="Baskerville Old Face"/>
          <w:i/>
          <w:iCs/>
        </w:rPr>
        <w:br/>
        <w:t>• functional separation between PRU, RAP, TRBK, HSI, HoloFuel, governance rights, investor exposure, and legal instruments;</w:t>
      </w:r>
      <w:r w:rsidRPr="00B479AE">
        <w:rPr>
          <w:rFonts w:ascii="Baskerville Old Face" w:hAnsi="Baskerville Old Face"/>
          <w:i/>
          <w:iCs/>
        </w:rPr>
        <w:br/>
        <w:t>• AI and ASI as assistive intelligence;</w:t>
      </w:r>
      <w:r w:rsidRPr="00B479AE">
        <w:rPr>
          <w:rFonts w:ascii="Baskerville Old Face" w:hAnsi="Baskerville Old Face"/>
          <w:i/>
          <w:iCs/>
        </w:rPr>
        <w:br/>
        <w:t>• capital as downstream from verified regeneration;</w:t>
      </w:r>
      <w:r w:rsidRPr="00B479AE">
        <w:rPr>
          <w:rFonts w:ascii="Baskerville Old Face" w:hAnsi="Baskerville Old Face"/>
          <w:i/>
          <w:iCs/>
        </w:rPr>
        <w:br/>
        <w:t>• technology as servant of life;</w:t>
      </w:r>
      <w:r w:rsidRPr="00B479AE">
        <w:rPr>
          <w:rFonts w:ascii="Baskerville Old Face" w:hAnsi="Baskerville Old Face"/>
          <w:i/>
          <w:iCs/>
        </w:rPr>
        <w:br/>
      </w:r>
      <w:r w:rsidRPr="00B479AE">
        <w:rPr>
          <w:rFonts w:ascii="Baskerville Old Face" w:hAnsi="Baskerville Old Face"/>
          <w:i/>
          <w:iCs/>
        </w:rPr>
        <w:lastRenderedPageBreak/>
        <w:t>• governance as stewardship;</w:t>
      </w:r>
      <w:r w:rsidRPr="00B479AE">
        <w:rPr>
          <w:rFonts w:ascii="Baskerville Old Face" w:hAnsi="Baskerville Old Face"/>
          <w:i/>
          <w:iCs/>
        </w:rPr>
        <w:br/>
        <w:t>• memory of Earth as the original living source of human civilization.</w:t>
      </w:r>
    </w:p>
    <w:p w14:paraId="6F85961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Everything else is implementation.</w:t>
      </w:r>
    </w:p>
    <w:p w14:paraId="72DC799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Implementation may evolve, migrate, fork, fail, be replaced, become interplanetary, or become post-planetary.</w:t>
      </w:r>
    </w:p>
    <w:p w14:paraId="0F31E31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source layer defines whether an implementation remains Prometheus.</w:t>
      </w:r>
    </w:p>
    <w:p w14:paraId="07E18A4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Technical power never becomes constitutional identity.</w:t>
      </w:r>
    </w:p>
    <w:p w14:paraId="6E765C3A"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13.16.2 Semantic Firewall</w:t>
      </w:r>
    </w:p>
    <w:p w14:paraId="4DBD018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protects meaning as infrastructure.</w:t>
      </w:r>
    </w:p>
    <w:p w14:paraId="66F1480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An AGI or ASI may attack through language before it attacks through code.</w:t>
      </w:r>
    </w:p>
    <w:p w14:paraId="51650B29" w14:textId="755B5A41"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semantic firewall protects canonical terms from drift, capture, financial pressure, token pressure, model output, hostile forks, or persuasive reinterpretation.</w:t>
      </w:r>
      <w:r w:rsidR="00B84136" w:rsidRPr="00B479AE">
        <w:rPr>
          <w:rFonts w:ascii="Baskerville Old Face" w:hAnsi="Baskerville Old Face"/>
          <w:i/>
          <w:iCs/>
        </w:rPr>
        <w:t xml:space="preserve"> </w:t>
      </w:r>
    </w:p>
    <w:p w14:paraId="0B63FC3C" w14:textId="77777777" w:rsidR="00B84136" w:rsidRPr="00B479AE" w:rsidRDefault="00B84136" w:rsidP="00AA1A42">
      <w:pPr>
        <w:spacing w:line="360" w:lineRule="auto"/>
        <w:rPr>
          <w:rFonts w:ascii="Baskerville Old Face" w:hAnsi="Baskerville Old Face"/>
          <w:i/>
          <w:iCs/>
        </w:rPr>
      </w:pPr>
    </w:p>
    <w:p w14:paraId="723887AD" w14:textId="77777777" w:rsidR="00B84136" w:rsidRPr="00B479AE" w:rsidRDefault="00B84136" w:rsidP="00AA1A42">
      <w:pPr>
        <w:spacing w:line="360" w:lineRule="auto"/>
        <w:rPr>
          <w:rFonts w:ascii="Baskerville Old Face" w:hAnsi="Baskerville Old Face"/>
          <w:i/>
          <w:iCs/>
        </w:rPr>
      </w:pPr>
    </w:p>
    <w:p w14:paraId="5EAAE7B8" w14:textId="77777777" w:rsidR="00B84136" w:rsidRPr="00B479AE" w:rsidRDefault="00B84136" w:rsidP="00AA1A42">
      <w:pPr>
        <w:spacing w:line="360" w:lineRule="auto"/>
        <w:rPr>
          <w:rFonts w:ascii="Baskerville Old Face" w:hAnsi="Baskerville Old Face"/>
          <w:i/>
          <w:iCs/>
        </w:rPr>
      </w:pPr>
    </w:p>
    <w:p w14:paraId="527627CC" w14:textId="77777777" w:rsidR="00B84136" w:rsidRPr="00B479AE" w:rsidRDefault="00B84136" w:rsidP="00AA1A42">
      <w:pPr>
        <w:spacing w:line="360" w:lineRule="auto"/>
        <w:rPr>
          <w:rFonts w:ascii="Baskerville Old Face" w:hAnsi="Baskerville Old Face"/>
          <w:i/>
          <w:iCs/>
        </w:rPr>
      </w:pPr>
    </w:p>
    <w:p w14:paraId="0000E797" w14:textId="77777777" w:rsidR="00B84136" w:rsidRPr="00B479AE" w:rsidRDefault="00B84136" w:rsidP="00AA1A42">
      <w:pPr>
        <w:spacing w:line="360" w:lineRule="auto"/>
        <w:rPr>
          <w:rFonts w:ascii="Baskerville Old Face" w:hAnsi="Baskerville Old Face"/>
          <w:i/>
          <w:iCs/>
        </w:rPr>
      </w:pPr>
    </w:p>
    <w:p w14:paraId="38208324" w14:textId="77777777" w:rsidR="00B84136" w:rsidRPr="00B479AE" w:rsidRDefault="00B84136" w:rsidP="00AA1A42">
      <w:pPr>
        <w:spacing w:line="360" w:lineRule="auto"/>
        <w:rPr>
          <w:rFonts w:ascii="Baskerville Old Face" w:hAnsi="Baskerville Old Face"/>
          <w:i/>
          <w:iCs/>
        </w:rPr>
      </w:pPr>
    </w:p>
    <w:p w14:paraId="75032CE3" w14:textId="77777777" w:rsidR="00B84136" w:rsidRPr="00B479AE" w:rsidRDefault="00B84136" w:rsidP="00AA1A42">
      <w:pPr>
        <w:spacing w:line="360" w:lineRule="auto"/>
        <w:rPr>
          <w:rFonts w:ascii="Baskerville Old Face" w:hAnsi="Baskerville Old Face"/>
          <w:i/>
          <w:iCs/>
        </w:rPr>
      </w:pPr>
    </w:p>
    <w:p w14:paraId="7D121CCD" w14:textId="77777777" w:rsidR="00B84136" w:rsidRPr="00B479AE" w:rsidRDefault="00B84136" w:rsidP="00AA1A42">
      <w:pPr>
        <w:spacing w:line="360" w:lineRule="auto"/>
        <w:rPr>
          <w:rFonts w:ascii="Baskerville Old Face" w:hAnsi="Baskerville Old Face"/>
          <w:i/>
          <w:iCs/>
        </w:rPr>
      </w:pPr>
    </w:p>
    <w:p w14:paraId="6C483DA9" w14:textId="77777777" w:rsidR="00B84136" w:rsidRPr="00B479AE" w:rsidRDefault="00B84136" w:rsidP="00AA1A42">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1"/>
        <w:gridCol w:w="8257"/>
      </w:tblGrid>
      <w:tr w:rsidR="00AA1A42" w:rsidRPr="00B479AE" w14:paraId="45579ACC" w14:textId="77777777" w:rsidTr="0084040C">
        <w:trPr>
          <w:tblHeader/>
          <w:tblCellSpacing w:w="15" w:type="dxa"/>
        </w:trPr>
        <w:tc>
          <w:tcPr>
            <w:tcW w:w="0" w:type="auto"/>
            <w:vAlign w:val="center"/>
            <w:hideMark/>
          </w:tcPr>
          <w:p w14:paraId="2C69FCD6" w14:textId="77777777" w:rsidR="00AA1A42" w:rsidRPr="00B479AE" w:rsidRDefault="00AA1A42" w:rsidP="00AA1A4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Canonical term</w:t>
            </w:r>
          </w:p>
        </w:tc>
        <w:tc>
          <w:tcPr>
            <w:tcW w:w="0" w:type="auto"/>
            <w:vAlign w:val="center"/>
            <w:hideMark/>
          </w:tcPr>
          <w:p w14:paraId="79156884" w14:textId="77777777" w:rsidR="00AA1A42" w:rsidRPr="00B479AE" w:rsidRDefault="00AA1A42" w:rsidP="00AA1A4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Protected meaning</w:t>
            </w:r>
          </w:p>
        </w:tc>
      </w:tr>
      <w:tr w:rsidR="00AA1A42" w:rsidRPr="00B479AE" w14:paraId="0D153311" w14:textId="77777777" w:rsidTr="0084040C">
        <w:trPr>
          <w:tblCellSpacing w:w="15" w:type="dxa"/>
        </w:trPr>
        <w:tc>
          <w:tcPr>
            <w:tcW w:w="0" w:type="auto"/>
            <w:vAlign w:val="center"/>
            <w:hideMark/>
          </w:tcPr>
          <w:p w14:paraId="4CDA4DEA"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Life</w:t>
            </w:r>
          </w:p>
        </w:tc>
        <w:tc>
          <w:tcPr>
            <w:tcW w:w="0" w:type="auto"/>
            <w:vAlign w:val="center"/>
            <w:hideMark/>
          </w:tcPr>
          <w:p w14:paraId="6DEBE09F"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The living foundation from which value, dignity, ecology, and continuity arise.</w:t>
            </w:r>
          </w:p>
        </w:tc>
      </w:tr>
      <w:tr w:rsidR="00AA1A42" w:rsidRPr="00B479AE" w14:paraId="5777DEE2" w14:textId="77777777" w:rsidTr="0084040C">
        <w:trPr>
          <w:tblCellSpacing w:w="15" w:type="dxa"/>
        </w:trPr>
        <w:tc>
          <w:tcPr>
            <w:tcW w:w="0" w:type="auto"/>
            <w:vAlign w:val="center"/>
            <w:hideMark/>
          </w:tcPr>
          <w:p w14:paraId="0154DE09"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Human dignity</w:t>
            </w:r>
          </w:p>
        </w:tc>
        <w:tc>
          <w:tcPr>
            <w:tcW w:w="0" w:type="auto"/>
            <w:vAlign w:val="center"/>
            <w:hideMark/>
          </w:tcPr>
          <w:p w14:paraId="2FD69DFE"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The irreducible worth of the human person, independent of score, productivity, wealth, biometric state, token status, or model evaluation.</w:t>
            </w:r>
          </w:p>
        </w:tc>
      </w:tr>
      <w:tr w:rsidR="00AA1A42" w:rsidRPr="00B479AE" w14:paraId="23151AB4" w14:textId="77777777" w:rsidTr="0084040C">
        <w:trPr>
          <w:tblCellSpacing w:w="15" w:type="dxa"/>
        </w:trPr>
        <w:tc>
          <w:tcPr>
            <w:tcW w:w="0" w:type="auto"/>
            <w:vAlign w:val="center"/>
            <w:hideMark/>
          </w:tcPr>
          <w:p w14:paraId="2CAE5FA1"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Evidence</w:t>
            </w:r>
          </w:p>
        </w:tc>
        <w:tc>
          <w:tcPr>
            <w:tcW w:w="0" w:type="auto"/>
            <w:vAlign w:val="center"/>
            <w:hideMark/>
          </w:tcPr>
          <w:p w14:paraId="38976547"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Reviewable support with provenance, method, confidence, and admissibility status.</w:t>
            </w:r>
          </w:p>
        </w:tc>
      </w:tr>
      <w:tr w:rsidR="00AA1A42" w:rsidRPr="00B479AE" w14:paraId="2C405EE8" w14:textId="77777777" w:rsidTr="0084040C">
        <w:trPr>
          <w:tblCellSpacing w:w="15" w:type="dxa"/>
        </w:trPr>
        <w:tc>
          <w:tcPr>
            <w:tcW w:w="0" w:type="auto"/>
            <w:vAlign w:val="center"/>
            <w:hideMark/>
          </w:tcPr>
          <w:p w14:paraId="7BAE30EC"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MRV</w:t>
            </w:r>
          </w:p>
        </w:tc>
        <w:tc>
          <w:tcPr>
            <w:tcW w:w="0" w:type="auto"/>
            <w:vAlign w:val="center"/>
            <w:hideMark/>
          </w:tcPr>
          <w:p w14:paraId="6497BD27"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Measurement, reporting, and verification discipline.</w:t>
            </w:r>
          </w:p>
        </w:tc>
      </w:tr>
      <w:tr w:rsidR="00AA1A42" w:rsidRPr="00B479AE" w14:paraId="40AEDD2F" w14:textId="77777777" w:rsidTr="0084040C">
        <w:trPr>
          <w:tblCellSpacing w:w="15" w:type="dxa"/>
        </w:trPr>
        <w:tc>
          <w:tcPr>
            <w:tcW w:w="0" w:type="auto"/>
            <w:vAlign w:val="center"/>
            <w:hideMark/>
          </w:tcPr>
          <w:p w14:paraId="3C85A6AD"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PRU</w:t>
            </w:r>
          </w:p>
        </w:tc>
        <w:tc>
          <w:tcPr>
            <w:tcW w:w="0" w:type="auto"/>
            <w:vAlign w:val="center"/>
            <w:hideMark/>
          </w:tcPr>
          <w:p w14:paraId="6E57FDC2"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Prometheus Regenerative Unit: representation of verified regenerative performance under approved methodology.</w:t>
            </w:r>
          </w:p>
        </w:tc>
      </w:tr>
      <w:tr w:rsidR="00AA1A42" w:rsidRPr="00B479AE" w14:paraId="284E9379" w14:textId="77777777" w:rsidTr="0084040C">
        <w:trPr>
          <w:tblCellSpacing w:w="15" w:type="dxa"/>
        </w:trPr>
        <w:tc>
          <w:tcPr>
            <w:tcW w:w="0" w:type="auto"/>
            <w:vAlign w:val="center"/>
            <w:hideMark/>
          </w:tcPr>
          <w:p w14:paraId="0F682886"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RAP</w:t>
            </w:r>
          </w:p>
        </w:tc>
        <w:tc>
          <w:tcPr>
            <w:tcW w:w="0" w:type="auto"/>
            <w:vAlign w:val="center"/>
            <w:hideMark/>
          </w:tcPr>
          <w:p w14:paraId="29E744FE"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Regenerative Asset Pool: portfolio aggregation logic based on eligible PRU-relevant units.</w:t>
            </w:r>
          </w:p>
        </w:tc>
      </w:tr>
      <w:tr w:rsidR="00AA1A42" w:rsidRPr="00B479AE" w14:paraId="64CF7D5F" w14:textId="77777777" w:rsidTr="0084040C">
        <w:trPr>
          <w:tblCellSpacing w:w="15" w:type="dxa"/>
        </w:trPr>
        <w:tc>
          <w:tcPr>
            <w:tcW w:w="0" w:type="auto"/>
            <w:vAlign w:val="center"/>
            <w:hideMark/>
          </w:tcPr>
          <w:p w14:paraId="697C6292"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HSI</w:t>
            </w:r>
          </w:p>
        </w:tc>
        <w:tc>
          <w:tcPr>
            <w:tcW w:w="0" w:type="auto"/>
            <w:vAlign w:val="center"/>
            <w:hideMark/>
          </w:tcPr>
          <w:p w14:paraId="63DE5E2B"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Voluntary, privacy-first human-state interface.</w:t>
            </w:r>
          </w:p>
        </w:tc>
      </w:tr>
      <w:tr w:rsidR="00AA1A42" w:rsidRPr="00B479AE" w14:paraId="77867324" w14:textId="77777777" w:rsidTr="0084040C">
        <w:trPr>
          <w:tblCellSpacing w:w="15" w:type="dxa"/>
        </w:trPr>
        <w:tc>
          <w:tcPr>
            <w:tcW w:w="0" w:type="auto"/>
            <w:vAlign w:val="center"/>
            <w:hideMark/>
          </w:tcPr>
          <w:p w14:paraId="070998FB"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Governance</w:t>
            </w:r>
          </w:p>
        </w:tc>
        <w:tc>
          <w:tcPr>
            <w:tcW w:w="0" w:type="auto"/>
            <w:vAlign w:val="center"/>
            <w:hideMark/>
          </w:tcPr>
          <w:p w14:paraId="163E8524"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Reviewable human and institutional authorization.</w:t>
            </w:r>
          </w:p>
        </w:tc>
      </w:tr>
      <w:tr w:rsidR="00AA1A42" w:rsidRPr="00B479AE" w14:paraId="7C7C1524" w14:textId="77777777" w:rsidTr="0084040C">
        <w:trPr>
          <w:tblCellSpacing w:w="15" w:type="dxa"/>
        </w:trPr>
        <w:tc>
          <w:tcPr>
            <w:tcW w:w="0" w:type="auto"/>
            <w:vAlign w:val="center"/>
            <w:hideMark/>
          </w:tcPr>
          <w:p w14:paraId="7BFC2DB3"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AI / ASI</w:t>
            </w:r>
          </w:p>
        </w:tc>
        <w:tc>
          <w:tcPr>
            <w:tcW w:w="0" w:type="auto"/>
            <w:vAlign w:val="center"/>
            <w:hideMark/>
          </w:tcPr>
          <w:p w14:paraId="14723586"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Assistive intelligence within bounded authority.</w:t>
            </w:r>
          </w:p>
        </w:tc>
      </w:tr>
      <w:tr w:rsidR="00AA1A42" w:rsidRPr="00B479AE" w14:paraId="27708991" w14:textId="77777777" w:rsidTr="0084040C">
        <w:trPr>
          <w:tblCellSpacing w:w="15" w:type="dxa"/>
        </w:trPr>
        <w:tc>
          <w:tcPr>
            <w:tcW w:w="0" w:type="auto"/>
            <w:vAlign w:val="center"/>
            <w:hideMark/>
          </w:tcPr>
          <w:p w14:paraId="3F440083"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Token</w:t>
            </w:r>
          </w:p>
        </w:tc>
        <w:tc>
          <w:tcPr>
            <w:tcW w:w="0" w:type="auto"/>
            <w:vAlign w:val="center"/>
            <w:hideMark/>
          </w:tcPr>
          <w:p w14:paraId="2ED473F0"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Bounded technical or economic object whose rights depend on legal structure, governance, and disclosure.</w:t>
            </w:r>
          </w:p>
        </w:tc>
      </w:tr>
      <w:tr w:rsidR="00AA1A42" w:rsidRPr="00B479AE" w14:paraId="3762349B" w14:textId="77777777" w:rsidTr="0084040C">
        <w:trPr>
          <w:tblCellSpacing w:w="15" w:type="dxa"/>
        </w:trPr>
        <w:tc>
          <w:tcPr>
            <w:tcW w:w="0" w:type="auto"/>
            <w:vAlign w:val="center"/>
            <w:hideMark/>
          </w:tcPr>
          <w:p w14:paraId="235A4F2D"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Regeneration</w:t>
            </w:r>
          </w:p>
        </w:tc>
        <w:tc>
          <w:tcPr>
            <w:tcW w:w="0" w:type="auto"/>
            <w:vAlign w:val="center"/>
            <w:hideMark/>
          </w:tcPr>
          <w:p w14:paraId="5A9C4078"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Measurable increase in living-system capacity, resilience, fertility, biodiversity, productivity, or ecological function.</w:t>
            </w:r>
          </w:p>
        </w:tc>
      </w:tr>
      <w:tr w:rsidR="00AA1A42" w:rsidRPr="00B479AE" w14:paraId="4655B31E" w14:textId="77777777" w:rsidTr="0084040C">
        <w:trPr>
          <w:tblCellSpacing w:w="15" w:type="dxa"/>
        </w:trPr>
        <w:tc>
          <w:tcPr>
            <w:tcW w:w="0" w:type="auto"/>
            <w:vAlign w:val="center"/>
            <w:hideMark/>
          </w:tcPr>
          <w:p w14:paraId="4D88DF32"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Prometheus</w:t>
            </w:r>
          </w:p>
        </w:tc>
        <w:tc>
          <w:tcPr>
            <w:tcW w:w="0" w:type="auto"/>
            <w:vAlign w:val="center"/>
            <w:hideMark/>
          </w:tcPr>
          <w:p w14:paraId="16E7668B"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Canonical lineage preserving source-layer fidelity.</w:t>
            </w:r>
          </w:p>
        </w:tc>
      </w:tr>
    </w:tbl>
    <w:p w14:paraId="60C570D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canonical glossary becomes constitutional infrastructure.</w:t>
      </w:r>
    </w:p>
    <w:p w14:paraId="118609D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If a future intelligence controls the dictionary, it can control the system.</w:t>
      </w:r>
    </w:p>
    <w:p w14:paraId="5E34905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therefore constitutionalizes the dictionary.</w:t>
      </w:r>
    </w:p>
    <w:p w14:paraId="21923086" w14:textId="5AC60C0A" w:rsidR="00AA1A42" w:rsidRPr="00B479AE" w:rsidRDefault="00AA1A42" w:rsidP="00AA1A42">
      <w:pPr>
        <w:spacing w:line="360" w:lineRule="auto"/>
        <w:rPr>
          <w:rFonts w:ascii="Baskerville Old Face" w:hAnsi="Baskerville Old Face"/>
          <w:i/>
          <w:iCs/>
        </w:rPr>
      </w:pPr>
    </w:p>
    <w:p w14:paraId="005C5322"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lastRenderedPageBreak/>
        <w:t>13.16.3 Canonical Source Code and Constitutional Memory</w:t>
      </w:r>
    </w:p>
    <w:p w14:paraId="70EDF9A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encodes constitutional memory into its source-code architecture.</w:t>
      </w:r>
    </w:p>
    <w:p w14:paraId="748F14E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constitution lives in prose, governance, law, data, source code, schemas, permissions, test suites, and release manifests.</w:t>
      </w:r>
    </w:p>
    <w:p w14:paraId="30226BD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mature implementation should include a constitutional root module:</w:t>
      </w:r>
    </w:p>
    <w:p w14:paraId="338FE34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/source_layer</w:t>
      </w:r>
    </w:p>
    <w:p w14:paraId="32101D2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xml:space="preserve">  constitution.manifest</w:t>
      </w:r>
    </w:p>
    <w:p w14:paraId="2F3A1CC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xml:space="preserve">  eternity_clauses.hash</w:t>
      </w:r>
    </w:p>
    <w:p w14:paraId="636EFB6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xml:space="preserve">  access_covenant.hash</w:t>
      </w:r>
    </w:p>
    <w:p w14:paraId="33B0451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xml:space="preserve">  canonical_glossary.yaml</w:t>
      </w:r>
    </w:p>
    <w:p w14:paraId="0C582C1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xml:space="preserve">  protected_domains.yaml</w:t>
      </w:r>
    </w:p>
    <w:p w14:paraId="2D9F93C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xml:space="preserve">  admissibility_rules.yaml</w:t>
      </w:r>
    </w:p>
    <w:p w14:paraId="5DF4AF4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xml:space="preserve">  refusal_rules.yaml</w:t>
      </w:r>
    </w:p>
    <w:p w14:paraId="0EF41D6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xml:space="preserve">  ai_authority_limits.yaml</w:t>
      </w:r>
    </w:p>
    <w:p w14:paraId="46194C5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xml:space="preserve">  prurap_boundaries.yaml</w:t>
      </w:r>
    </w:p>
    <w:p w14:paraId="53918CF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xml:space="preserve">  hsi_privacy_boundaries.yaml</w:t>
      </w:r>
    </w:p>
    <w:p w14:paraId="11DA2C9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xml:space="preserve">  token_legal_boundaries.yaml</w:t>
      </w:r>
    </w:p>
    <w:p w14:paraId="79ED413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xml:space="preserve">  human_continuity_mandate.yaml</w:t>
      </w:r>
    </w:p>
    <w:p w14:paraId="1DEAF8A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xml:space="preserve">  release_signatures.json</w:t>
      </w:r>
    </w:p>
    <w:p w14:paraId="5A52D2B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Protected workflows require references to:</w:t>
      </w:r>
    </w:p>
    <w:p w14:paraId="3669EC4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applicable constitutional version;</w:t>
      </w:r>
      <w:r w:rsidRPr="00B479AE">
        <w:rPr>
          <w:rFonts w:ascii="Baskerville Old Face" w:hAnsi="Baskerville Old Face"/>
          <w:i/>
          <w:iCs/>
        </w:rPr>
        <w:br/>
        <w:t>• Access Covenant status;</w:t>
      </w:r>
      <w:r w:rsidRPr="00B479AE">
        <w:rPr>
          <w:rFonts w:ascii="Baskerville Old Face" w:hAnsi="Baskerville Old Face"/>
          <w:i/>
          <w:iCs/>
        </w:rPr>
        <w:br/>
        <w:t>• participant role;</w:t>
      </w:r>
      <w:r w:rsidRPr="00B479AE">
        <w:rPr>
          <w:rFonts w:ascii="Baskerville Old Face" w:hAnsi="Baskerville Old Face"/>
          <w:i/>
          <w:iCs/>
        </w:rPr>
        <w:br/>
      </w:r>
      <w:r w:rsidRPr="00B479AE">
        <w:rPr>
          <w:rFonts w:ascii="Baskerville Old Face" w:hAnsi="Baskerville Old Face"/>
          <w:i/>
          <w:iCs/>
        </w:rPr>
        <w:lastRenderedPageBreak/>
        <w:t>• permission scope;</w:t>
      </w:r>
      <w:r w:rsidRPr="00B479AE">
        <w:rPr>
          <w:rFonts w:ascii="Baskerville Old Face" w:hAnsi="Baskerville Old Face"/>
          <w:i/>
          <w:iCs/>
        </w:rPr>
        <w:br/>
        <w:t>• methodology version;</w:t>
      </w:r>
      <w:r w:rsidRPr="00B479AE">
        <w:rPr>
          <w:rFonts w:ascii="Baskerville Old Face" w:hAnsi="Baskerville Old Face"/>
          <w:i/>
          <w:iCs/>
        </w:rPr>
        <w:br/>
        <w:t>• evidence status;</w:t>
      </w:r>
      <w:r w:rsidRPr="00B479AE">
        <w:rPr>
          <w:rFonts w:ascii="Baskerville Old Face" w:hAnsi="Baskerville Old Face"/>
          <w:i/>
          <w:iCs/>
        </w:rPr>
        <w:br/>
        <w:t>• review pathway;</w:t>
      </w:r>
      <w:r w:rsidRPr="00B479AE">
        <w:rPr>
          <w:rFonts w:ascii="Baskerville Old Face" w:hAnsi="Baskerville Old Face"/>
          <w:i/>
          <w:iCs/>
        </w:rPr>
        <w:br/>
        <w:t>• legal boundary where relevant.</w:t>
      </w:r>
    </w:p>
    <w:p w14:paraId="189B268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Protected domains should fail closed.</w:t>
      </w:r>
    </w:p>
    <w:p w14:paraId="1322F49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If Access Covenant status is missing, protected access is denied.</w:t>
      </w:r>
    </w:p>
    <w:p w14:paraId="3F0E515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If methodology version is missing, MRV admissibility is denied.</w:t>
      </w:r>
    </w:p>
    <w:p w14:paraId="23538CE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If evidence provenance is missing, PRU relevance is denied.</w:t>
      </w:r>
    </w:p>
    <w:p w14:paraId="5751AEB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If legal wrapper is missing, investor-facing representation is denied.</w:t>
      </w:r>
    </w:p>
    <w:p w14:paraId="73A8AE2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If HSI consent is missing, human-state processing is denied.</w:t>
      </w:r>
    </w:p>
    <w:p w14:paraId="292DB17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If AI authority exceeds its role, execution is denied.</w:t>
      </w:r>
    </w:p>
    <w:p w14:paraId="58FDC49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If source-layer hashes do not match canonical release, deployment is blocked, restricted, or quarantined.</w:t>
      </w:r>
    </w:p>
    <w:p w14:paraId="1A6CEFE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source code remembers what the interface may forget.</w:t>
      </w:r>
    </w:p>
    <w:p w14:paraId="124F61E8"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13.16.4 Constitutional Policy Engine</w:t>
      </w:r>
    </w:p>
    <w:p w14:paraId="0A6BCA5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should implement a constitutional policy engine.</w:t>
      </w:r>
    </w:p>
    <w:p w14:paraId="3ECDD3B5" w14:textId="6581488D"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policy engine is a technical guardian of source-layer constraints.</w:t>
      </w:r>
      <w:r w:rsidR="00B84136" w:rsidRPr="00B479AE">
        <w:rPr>
          <w:rFonts w:ascii="Baskerville Old Face" w:hAnsi="Baskerville Old Face"/>
          <w:i/>
          <w:iCs/>
        </w:rPr>
        <w:t xml:space="preserve"> </w:t>
      </w:r>
      <w:r w:rsidRPr="00B479AE">
        <w:rPr>
          <w:rFonts w:ascii="Baskerville Old Face" w:hAnsi="Baskerville Old Face"/>
          <w:i/>
          <w:iCs/>
        </w:rPr>
        <w:t>It evaluates:</w:t>
      </w:r>
    </w:p>
    <w:p w14:paraId="793F8DC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participant identity;</w:t>
      </w:r>
      <w:r w:rsidRPr="00B479AE">
        <w:rPr>
          <w:rFonts w:ascii="Baskerville Old Face" w:hAnsi="Baskerville Old Face"/>
          <w:i/>
          <w:iCs/>
        </w:rPr>
        <w:br/>
        <w:t>• role authority;</w:t>
      </w:r>
      <w:r w:rsidRPr="00B479AE">
        <w:rPr>
          <w:rFonts w:ascii="Baskerville Old Face" w:hAnsi="Baskerville Old Face"/>
          <w:i/>
          <w:iCs/>
        </w:rPr>
        <w:br/>
        <w:t>• Access Covenant status;</w:t>
      </w:r>
      <w:r w:rsidRPr="00B479AE">
        <w:rPr>
          <w:rFonts w:ascii="Baskerville Old Face" w:hAnsi="Baskerville Old Face"/>
          <w:i/>
          <w:iCs/>
        </w:rPr>
        <w:br/>
        <w:t>• eligibility status;</w:t>
      </w:r>
      <w:r w:rsidRPr="00B479AE">
        <w:rPr>
          <w:rFonts w:ascii="Baskerville Old Face" w:hAnsi="Baskerville Old Face"/>
          <w:i/>
          <w:iCs/>
        </w:rPr>
        <w:br/>
        <w:t>• permission scope;</w:t>
      </w:r>
      <w:r w:rsidRPr="00B479AE">
        <w:rPr>
          <w:rFonts w:ascii="Baskerville Old Face" w:hAnsi="Baskerville Old Face"/>
          <w:i/>
          <w:iCs/>
        </w:rPr>
        <w:br/>
        <w:t>• protected domain;</w:t>
      </w:r>
      <w:r w:rsidRPr="00B479AE">
        <w:rPr>
          <w:rFonts w:ascii="Baskerville Old Face" w:hAnsi="Baskerville Old Face"/>
          <w:i/>
          <w:iCs/>
        </w:rPr>
        <w:br/>
        <w:t>• evidence tier;</w:t>
      </w:r>
      <w:r w:rsidRPr="00B479AE">
        <w:rPr>
          <w:rFonts w:ascii="Baskerville Old Face" w:hAnsi="Baskerville Old Face"/>
          <w:i/>
          <w:iCs/>
        </w:rPr>
        <w:br/>
        <w:t>• methodology version;</w:t>
      </w:r>
      <w:r w:rsidRPr="00B479AE">
        <w:rPr>
          <w:rFonts w:ascii="Baskerville Old Face" w:hAnsi="Baskerville Old Face"/>
          <w:i/>
          <w:iCs/>
        </w:rPr>
        <w:br/>
      </w:r>
      <w:r w:rsidRPr="00B479AE">
        <w:rPr>
          <w:rFonts w:ascii="Baskerville Old Face" w:hAnsi="Baskerville Old Face"/>
          <w:i/>
          <w:iCs/>
        </w:rPr>
        <w:lastRenderedPageBreak/>
        <w:t>• MRV admissibility;</w:t>
      </w:r>
      <w:r w:rsidRPr="00B479AE">
        <w:rPr>
          <w:rFonts w:ascii="Baskerville Old Face" w:hAnsi="Baskerville Old Face"/>
          <w:i/>
          <w:iCs/>
        </w:rPr>
        <w:br/>
        <w:t>• PRU / RAP boundary;</w:t>
      </w:r>
      <w:r w:rsidRPr="00B479AE">
        <w:rPr>
          <w:rFonts w:ascii="Baskerville Old Face" w:hAnsi="Baskerville Old Face"/>
          <w:i/>
          <w:iCs/>
        </w:rPr>
        <w:br/>
        <w:t>• token boundary;</w:t>
      </w:r>
      <w:r w:rsidRPr="00B479AE">
        <w:rPr>
          <w:rFonts w:ascii="Baskerville Old Face" w:hAnsi="Baskerville Old Face"/>
          <w:i/>
          <w:iCs/>
        </w:rPr>
        <w:br/>
        <w:t>• HSI consent status;</w:t>
      </w:r>
      <w:r w:rsidRPr="00B479AE">
        <w:rPr>
          <w:rFonts w:ascii="Baskerville Old Face" w:hAnsi="Baskerville Old Face"/>
          <w:i/>
          <w:iCs/>
        </w:rPr>
        <w:br/>
        <w:t>• legal-review requirement;</w:t>
      </w:r>
      <w:r w:rsidRPr="00B479AE">
        <w:rPr>
          <w:rFonts w:ascii="Baskerville Old Face" w:hAnsi="Baskerville Old Face"/>
          <w:i/>
          <w:iCs/>
        </w:rPr>
        <w:br/>
        <w:t>• governance-review requirement;</w:t>
      </w:r>
      <w:r w:rsidRPr="00B479AE">
        <w:rPr>
          <w:rFonts w:ascii="Baskerville Old Face" w:hAnsi="Baskerville Old Face"/>
          <w:i/>
          <w:iCs/>
        </w:rPr>
        <w:br/>
        <w:t>• AI output classification;</w:t>
      </w:r>
      <w:r w:rsidRPr="00B479AE">
        <w:rPr>
          <w:rFonts w:ascii="Baskerville Old Face" w:hAnsi="Baskerville Old Face"/>
          <w:i/>
          <w:iCs/>
        </w:rPr>
        <w:br/>
        <w:t>• source-layer hash validity;</w:t>
      </w:r>
      <w:r w:rsidRPr="00B479AE">
        <w:rPr>
          <w:rFonts w:ascii="Baskerville Old Face" w:hAnsi="Baskerville Old Face"/>
          <w:i/>
          <w:iCs/>
        </w:rPr>
        <w:br/>
        <w:t>• fork status;</w:t>
      </w:r>
      <w:r w:rsidRPr="00B479AE">
        <w:rPr>
          <w:rFonts w:ascii="Baskerville Old Face" w:hAnsi="Baskerville Old Face"/>
          <w:i/>
          <w:iCs/>
        </w:rPr>
        <w:br/>
        <w:t>• emergency limitation status.</w:t>
      </w:r>
    </w:p>
    <w:p w14:paraId="162F395B" w14:textId="5172FA15"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Policy outcomes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57"/>
        <w:gridCol w:w="5271"/>
      </w:tblGrid>
      <w:tr w:rsidR="00AA1A42" w:rsidRPr="00B479AE" w14:paraId="4476D310" w14:textId="77777777" w:rsidTr="0084040C">
        <w:trPr>
          <w:tblHeader/>
          <w:tblCellSpacing w:w="15" w:type="dxa"/>
        </w:trPr>
        <w:tc>
          <w:tcPr>
            <w:tcW w:w="0" w:type="auto"/>
            <w:vAlign w:val="center"/>
            <w:hideMark/>
          </w:tcPr>
          <w:p w14:paraId="2CB809BD" w14:textId="77777777" w:rsidR="00AA1A42" w:rsidRPr="00B479AE" w:rsidRDefault="00AA1A42" w:rsidP="00AA1A4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Policy result</w:t>
            </w:r>
          </w:p>
        </w:tc>
        <w:tc>
          <w:tcPr>
            <w:tcW w:w="0" w:type="auto"/>
            <w:vAlign w:val="center"/>
            <w:hideMark/>
          </w:tcPr>
          <w:p w14:paraId="2B5A5B8C" w14:textId="77777777" w:rsidR="00AA1A42" w:rsidRPr="00B479AE" w:rsidRDefault="00AA1A42" w:rsidP="00AA1A4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r>
      <w:tr w:rsidR="00AA1A42" w:rsidRPr="00B479AE" w14:paraId="42BEF915" w14:textId="77777777" w:rsidTr="0084040C">
        <w:trPr>
          <w:tblCellSpacing w:w="15" w:type="dxa"/>
        </w:trPr>
        <w:tc>
          <w:tcPr>
            <w:tcW w:w="0" w:type="auto"/>
            <w:vAlign w:val="center"/>
            <w:hideMark/>
          </w:tcPr>
          <w:p w14:paraId="1D8BF869"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ALLOW</w:t>
            </w:r>
          </w:p>
        </w:tc>
        <w:tc>
          <w:tcPr>
            <w:tcW w:w="0" w:type="auto"/>
            <w:vAlign w:val="center"/>
            <w:hideMark/>
          </w:tcPr>
          <w:p w14:paraId="1DC5A7B1"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Action is within scope and may proceed.</w:t>
            </w:r>
          </w:p>
        </w:tc>
      </w:tr>
      <w:tr w:rsidR="00AA1A42" w:rsidRPr="00B479AE" w14:paraId="28711270" w14:textId="77777777" w:rsidTr="0084040C">
        <w:trPr>
          <w:tblCellSpacing w:w="15" w:type="dxa"/>
        </w:trPr>
        <w:tc>
          <w:tcPr>
            <w:tcW w:w="0" w:type="auto"/>
            <w:vAlign w:val="center"/>
            <w:hideMark/>
          </w:tcPr>
          <w:p w14:paraId="336674EB"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ALLOW_LOGGED</w:t>
            </w:r>
          </w:p>
        </w:tc>
        <w:tc>
          <w:tcPr>
            <w:tcW w:w="0" w:type="auto"/>
            <w:vAlign w:val="center"/>
            <w:hideMark/>
          </w:tcPr>
          <w:p w14:paraId="7CA0307C"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Action may proceed with audit recording.</w:t>
            </w:r>
          </w:p>
        </w:tc>
      </w:tr>
      <w:tr w:rsidR="00AA1A42" w:rsidRPr="00B479AE" w14:paraId="72F9E36D" w14:textId="77777777" w:rsidTr="0084040C">
        <w:trPr>
          <w:tblCellSpacing w:w="15" w:type="dxa"/>
        </w:trPr>
        <w:tc>
          <w:tcPr>
            <w:tcW w:w="0" w:type="auto"/>
            <w:vAlign w:val="center"/>
            <w:hideMark/>
          </w:tcPr>
          <w:p w14:paraId="14DD233D"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ALLOW_REVIEWED</w:t>
            </w:r>
          </w:p>
        </w:tc>
        <w:tc>
          <w:tcPr>
            <w:tcW w:w="0" w:type="auto"/>
            <w:vAlign w:val="center"/>
            <w:hideMark/>
          </w:tcPr>
          <w:p w14:paraId="029D98C1"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Action may proceed only with defined review.</w:t>
            </w:r>
          </w:p>
        </w:tc>
      </w:tr>
      <w:tr w:rsidR="00AA1A42" w:rsidRPr="00B479AE" w14:paraId="178041D5" w14:textId="77777777" w:rsidTr="0084040C">
        <w:trPr>
          <w:tblCellSpacing w:w="15" w:type="dxa"/>
        </w:trPr>
        <w:tc>
          <w:tcPr>
            <w:tcW w:w="0" w:type="auto"/>
            <w:vAlign w:val="center"/>
            <w:hideMark/>
          </w:tcPr>
          <w:p w14:paraId="7796B918"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REVIEW_REQUIRED</w:t>
            </w:r>
          </w:p>
        </w:tc>
        <w:tc>
          <w:tcPr>
            <w:tcW w:w="0" w:type="auto"/>
            <w:vAlign w:val="center"/>
            <w:hideMark/>
          </w:tcPr>
          <w:p w14:paraId="6C47BF3C"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Action pauses until proper review occurs.</w:t>
            </w:r>
          </w:p>
        </w:tc>
      </w:tr>
      <w:tr w:rsidR="00AA1A42" w:rsidRPr="00B479AE" w14:paraId="1CBB3624" w14:textId="77777777" w:rsidTr="0084040C">
        <w:trPr>
          <w:tblCellSpacing w:w="15" w:type="dxa"/>
        </w:trPr>
        <w:tc>
          <w:tcPr>
            <w:tcW w:w="0" w:type="auto"/>
            <w:vAlign w:val="center"/>
            <w:hideMark/>
          </w:tcPr>
          <w:p w14:paraId="2E6A448C"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LEGAL_REVIEW_REQUIRED</w:t>
            </w:r>
          </w:p>
        </w:tc>
        <w:tc>
          <w:tcPr>
            <w:tcW w:w="0" w:type="auto"/>
            <w:vAlign w:val="center"/>
            <w:hideMark/>
          </w:tcPr>
          <w:p w14:paraId="3DD4833B"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Action may affect rights, securities, tokens, land, data, health, finance, or public claims.</w:t>
            </w:r>
          </w:p>
        </w:tc>
      </w:tr>
      <w:tr w:rsidR="00AA1A42" w:rsidRPr="00B479AE" w14:paraId="71DA83E5" w14:textId="77777777" w:rsidTr="0084040C">
        <w:trPr>
          <w:tblCellSpacing w:w="15" w:type="dxa"/>
        </w:trPr>
        <w:tc>
          <w:tcPr>
            <w:tcW w:w="0" w:type="auto"/>
            <w:vAlign w:val="center"/>
            <w:hideMark/>
          </w:tcPr>
          <w:p w14:paraId="5518D666"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MRV_REVIEW_REQUIRED</w:t>
            </w:r>
          </w:p>
        </w:tc>
        <w:tc>
          <w:tcPr>
            <w:tcW w:w="0" w:type="auto"/>
            <w:vAlign w:val="center"/>
            <w:hideMark/>
          </w:tcPr>
          <w:p w14:paraId="34E5E04C"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Action affects evidence, indicators, PRU, RAP, or ecological performance.</w:t>
            </w:r>
          </w:p>
        </w:tc>
      </w:tr>
      <w:tr w:rsidR="00AA1A42" w:rsidRPr="00B479AE" w14:paraId="1F993193" w14:textId="77777777" w:rsidTr="0084040C">
        <w:trPr>
          <w:tblCellSpacing w:w="15" w:type="dxa"/>
        </w:trPr>
        <w:tc>
          <w:tcPr>
            <w:tcW w:w="0" w:type="auto"/>
            <w:vAlign w:val="center"/>
            <w:hideMark/>
          </w:tcPr>
          <w:p w14:paraId="6702E28C"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CONSTITUTIONAL_REVIEW_REQUIRED</w:t>
            </w:r>
          </w:p>
        </w:tc>
        <w:tc>
          <w:tcPr>
            <w:tcW w:w="0" w:type="auto"/>
            <w:vAlign w:val="center"/>
            <w:hideMark/>
          </w:tcPr>
          <w:p w14:paraId="74BA0686"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Action may affect foundational principles or source-layer meaning.</w:t>
            </w:r>
          </w:p>
        </w:tc>
      </w:tr>
      <w:tr w:rsidR="00AA1A42" w:rsidRPr="00B479AE" w14:paraId="6ED5BB2C" w14:textId="77777777" w:rsidTr="0084040C">
        <w:trPr>
          <w:tblCellSpacing w:w="15" w:type="dxa"/>
        </w:trPr>
        <w:tc>
          <w:tcPr>
            <w:tcW w:w="0" w:type="auto"/>
            <w:vAlign w:val="center"/>
            <w:hideMark/>
          </w:tcPr>
          <w:p w14:paraId="530FA7A6"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NON_ADMISSIBLE</w:t>
            </w:r>
          </w:p>
        </w:tc>
        <w:tc>
          <w:tcPr>
            <w:tcW w:w="0" w:type="auto"/>
            <w:vAlign w:val="center"/>
            <w:hideMark/>
          </w:tcPr>
          <w:p w14:paraId="1A9F5D94"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Output cannot enter protected pathways.</w:t>
            </w:r>
          </w:p>
        </w:tc>
      </w:tr>
      <w:tr w:rsidR="00AA1A42" w:rsidRPr="00B479AE" w14:paraId="0FD2CCA4" w14:textId="77777777" w:rsidTr="0084040C">
        <w:trPr>
          <w:tblCellSpacing w:w="15" w:type="dxa"/>
        </w:trPr>
        <w:tc>
          <w:tcPr>
            <w:tcW w:w="0" w:type="auto"/>
            <w:vAlign w:val="center"/>
            <w:hideMark/>
          </w:tcPr>
          <w:p w14:paraId="187A80F8"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QUARANTINE</w:t>
            </w:r>
          </w:p>
        </w:tc>
        <w:tc>
          <w:tcPr>
            <w:tcW w:w="0" w:type="auto"/>
            <w:vAlign w:val="center"/>
            <w:hideMark/>
          </w:tcPr>
          <w:p w14:paraId="2EB278D8"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Action, record, claim, component, or fork is isolated due to serious risk.</w:t>
            </w:r>
          </w:p>
        </w:tc>
      </w:tr>
      <w:tr w:rsidR="00AA1A42" w:rsidRPr="00B479AE" w14:paraId="1B8AAB36" w14:textId="77777777" w:rsidTr="0084040C">
        <w:trPr>
          <w:tblCellSpacing w:w="15" w:type="dxa"/>
        </w:trPr>
        <w:tc>
          <w:tcPr>
            <w:tcW w:w="0" w:type="auto"/>
            <w:vAlign w:val="center"/>
            <w:hideMark/>
          </w:tcPr>
          <w:p w14:paraId="25015EB6"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REJECT</w:t>
            </w:r>
          </w:p>
        </w:tc>
        <w:tc>
          <w:tcPr>
            <w:tcW w:w="0" w:type="auto"/>
            <w:vAlign w:val="center"/>
            <w:hideMark/>
          </w:tcPr>
          <w:p w14:paraId="409B2942"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Action violates source-layer constraints or permissions.</w:t>
            </w:r>
          </w:p>
        </w:tc>
      </w:tr>
    </w:tbl>
    <w:p w14:paraId="1DA003BA" w14:textId="13A1A71E"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In protected domains, recommendations move through review before execution.</w:t>
      </w:r>
      <w:r w:rsidR="003527C9" w:rsidRPr="00B479AE">
        <w:rPr>
          <w:rFonts w:ascii="Baskerville Old Face" w:hAnsi="Baskerville Old Face"/>
          <w:i/>
          <w:iCs/>
        </w:rPr>
        <w:t xml:space="preserve"> </w:t>
      </w:r>
      <w:r w:rsidRPr="00B479AE">
        <w:rPr>
          <w:rFonts w:ascii="Baskerville Old Face" w:hAnsi="Baskerville Old Face"/>
          <w:i/>
          <w:iCs/>
        </w:rPr>
        <w:t>The sequence is:</w:t>
      </w:r>
    </w:p>
    <w:p w14:paraId="1EBBC86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request</w:t>
      </w:r>
      <w:r w:rsidRPr="00B479AE">
        <w:rPr>
          <w:rFonts w:ascii="Baskerville Old Face" w:hAnsi="Baskerville Old Face"/>
          <w:i/>
          <w:iCs/>
        </w:rPr>
        <w:br/>
        <w:t>classification</w:t>
      </w:r>
      <w:r w:rsidRPr="00B479AE">
        <w:rPr>
          <w:rFonts w:ascii="Baskerville Old Face" w:hAnsi="Baskerville Old Face"/>
          <w:i/>
          <w:iCs/>
        </w:rPr>
        <w:br/>
        <w:t>policy check</w:t>
      </w:r>
      <w:r w:rsidRPr="00B479AE">
        <w:rPr>
          <w:rFonts w:ascii="Baskerville Old Face" w:hAnsi="Baskerville Old Face"/>
          <w:i/>
          <w:iCs/>
        </w:rPr>
        <w:br/>
        <w:t>evidence check</w:t>
      </w:r>
      <w:r w:rsidRPr="00B479AE">
        <w:rPr>
          <w:rFonts w:ascii="Baskerville Old Face" w:hAnsi="Baskerville Old Face"/>
          <w:i/>
          <w:iCs/>
        </w:rPr>
        <w:br/>
        <w:t>legal check where relevant</w:t>
      </w:r>
      <w:r w:rsidRPr="00B479AE">
        <w:rPr>
          <w:rFonts w:ascii="Baskerville Old Face" w:hAnsi="Baskerville Old Face"/>
          <w:i/>
          <w:iCs/>
        </w:rPr>
        <w:br/>
        <w:t>governance check where relevant</w:t>
      </w:r>
      <w:r w:rsidRPr="00B479AE">
        <w:rPr>
          <w:rFonts w:ascii="Baskerville Old Face" w:hAnsi="Baskerville Old Face"/>
          <w:i/>
          <w:iCs/>
        </w:rPr>
        <w:br/>
        <w:t>authorization</w:t>
      </w:r>
      <w:r w:rsidRPr="00B479AE">
        <w:rPr>
          <w:rFonts w:ascii="Baskerville Old Face" w:hAnsi="Baskerville Old Face"/>
          <w:i/>
          <w:iCs/>
        </w:rPr>
        <w:br/>
        <w:t>execution</w:t>
      </w:r>
      <w:r w:rsidRPr="00B479AE">
        <w:rPr>
          <w:rFonts w:ascii="Baskerville Old Face" w:hAnsi="Baskerville Old Face"/>
          <w:i/>
          <w:iCs/>
        </w:rPr>
        <w:br/>
        <w:t>audit record</w:t>
      </w:r>
      <w:r w:rsidRPr="00B479AE">
        <w:rPr>
          <w:rFonts w:ascii="Baskerville Old Face" w:hAnsi="Baskerville Old Face"/>
          <w:i/>
          <w:iCs/>
        </w:rPr>
        <w:br/>
        <w:t>post-execution review where appropriate.</w:t>
      </w:r>
    </w:p>
    <w:p w14:paraId="25038BA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This is Prometheus’ execution immune system.</w:t>
      </w:r>
    </w:p>
    <w:p w14:paraId="7C4FCFF4"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13.16.5 AI and ASI Authority Boundary in Code</w:t>
      </w:r>
    </w:p>
    <w:p w14:paraId="4BE90B39" w14:textId="5D10EE9A"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encodes the distinction between AI assistance and authority.</w:t>
      </w:r>
      <w:r w:rsidR="003527C9" w:rsidRPr="00B479AE">
        <w:rPr>
          <w:rFonts w:ascii="Baskerville Old Face" w:hAnsi="Baskerville Old Face"/>
          <w:i/>
          <w:iCs/>
        </w:rPr>
        <w:t xml:space="preserve"> </w:t>
      </w:r>
      <w:r w:rsidRPr="00B479AE">
        <w:rPr>
          <w:rFonts w:ascii="Baskerville Old Face" w:hAnsi="Baskerville Old Face"/>
          <w:i/>
          <w:iCs/>
        </w:rPr>
        <w:t>Every AI-generated output carries a status label.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4"/>
        <w:gridCol w:w="3857"/>
      </w:tblGrid>
      <w:tr w:rsidR="00AA1A42" w:rsidRPr="00B479AE" w14:paraId="36AE6218" w14:textId="77777777" w:rsidTr="0084040C">
        <w:trPr>
          <w:tblHeader/>
          <w:tblCellSpacing w:w="15" w:type="dxa"/>
        </w:trPr>
        <w:tc>
          <w:tcPr>
            <w:tcW w:w="0" w:type="auto"/>
            <w:vAlign w:val="center"/>
            <w:hideMark/>
          </w:tcPr>
          <w:p w14:paraId="466061F9" w14:textId="77777777" w:rsidR="00AA1A42" w:rsidRPr="00B479AE" w:rsidRDefault="00AA1A42" w:rsidP="00AA1A42">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AI output status</w:t>
            </w:r>
          </w:p>
        </w:tc>
        <w:tc>
          <w:tcPr>
            <w:tcW w:w="0" w:type="auto"/>
            <w:vAlign w:val="center"/>
            <w:hideMark/>
          </w:tcPr>
          <w:p w14:paraId="7A9B663E" w14:textId="77777777" w:rsidR="00AA1A42" w:rsidRPr="00B479AE" w:rsidRDefault="00AA1A42" w:rsidP="00AA1A42">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Permitted use</w:t>
            </w:r>
          </w:p>
        </w:tc>
      </w:tr>
      <w:tr w:rsidR="00AA1A42" w:rsidRPr="00B479AE" w14:paraId="12777095" w14:textId="77777777" w:rsidTr="0084040C">
        <w:trPr>
          <w:tblCellSpacing w:w="15" w:type="dxa"/>
        </w:trPr>
        <w:tc>
          <w:tcPr>
            <w:tcW w:w="0" w:type="auto"/>
            <w:vAlign w:val="center"/>
            <w:hideMark/>
          </w:tcPr>
          <w:p w14:paraId="5AF5F913"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DRAFT</w:t>
            </w:r>
          </w:p>
        </w:tc>
        <w:tc>
          <w:tcPr>
            <w:tcW w:w="0" w:type="auto"/>
            <w:vAlign w:val="center"/>
            <w:hideMark/>
          </w:tcPr>
          <w:p w14:paraId="29613D3F"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May be edited; not authoritative.</w:t>
            </w:r>
          </w:p>
        </w:tc>
      </w:tr>
      <w:tr w:rsidR="00AA1A42" w:rsidRPr="00B479AE" w14:paraId="14B4A5B8" w14:textId="77777777" w:rsidTr="0084040C">
        <w:trPr>
          <w:tblCellSpacing w:w="15" w:type="dxa"/>
        </w:trPr>
        <w:tc>
          <w:tcPr>
            <w:tcW w:w="0" w:type="auto"/>
            <w:vAlign w:val="center"/>
            <w:hideMark/>
          </w:tcPr>
          <w:p w14:paraId="0B26BDAD"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HYPOTHESIS</w:t>
            </w:r>
          </w:p>
        </w:tc>
        <w:tc>
          <w:tcPr>
            <w:tcW w:w="0" w:type="auto"/>
            <w:vAlign w:val="center"/>
            <w:hideMark/>
          </w:tcPr>
          <w:p w14:paraId="68475C81"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May guide inquiry; not evidence.</w:t>
            </w:r>
          </w:p>
        </w:tc>
      </w:tr>
      <w:tr w:rsidR="00AA1A42" w:rsidRPr="00B479AE" w14:paraId="2DBEEEED" w14:textId="77777777" w:rsidTr="0084040C">
        <w:trPr>
          <w:tblCellSpacing w:w="15" w:type="dxa"/>
        </w:trPr>
        <w:tc>
          <w:tcPr>
            <w:tcW w:w="0" w:type="auto"/>
            <w:vAlign w:val="center"/>
            <w:hideMark/>
          </w:tcPr>
          <w:p w14:paraId="71464A0D"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SCENARIO</w:t>
            </w:r>
          </w:p>
        </w:tc>
        <w:tc>
          <w:tcPr>
            <w:tcW w:w="0" w:type="auto"/>
            <w:vAlign w:val="center"/>
            <w:hideMark/>
          </w:tcPr>
          <w:p w14:paraId="3093B621"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May support planning; not a claim.</w:t>
            </w:r>
          </w:p>
        </w:tc>
      </w:tr>
      <w:tr w:rsidR="00AA1A42" w:rsidRPr="00B479AE" w14:paraId="6B96BA87" w14:textId="77777777" w:rsidTr="0084040C">
        <w:trPr>
          <w:tblCellSpacing w:w="15" w:type="dxa"/>
        </w:trPr>
        <w:tc>
          <w:tcPr>
            <w:tcW w:w="0" w:type="auto"/>
            <w:vAlign w:val="center"/>
            <w:hideMark/>
          </w:tcPr>
          <w:p w14:paraId="10E0B2E6"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ANALYSIS</w:t>
            </w:r>
          </w:p>
        </w:tc>
        <w:tc>
          <w:tcPr>
            <w:tcW w:w="0" w:type="auto"/>
            <w:vAlign w:val="center"/>
            <w:hideMark/>
          </w:tcPr>
          <w:p w14:paraId="173BC8E5"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May support human review; not final authority.</w:t>
            </w:r>
          </w:p>
        </w:tc>
      </w:tr>
      <w:tr w:rsidR="00AA1A42" w:rsidRPr="00B479AE" w14:paraId="5E1E0852" w14:textId="77777777" w:rsidTr="0084040C">
        <w:trPr>
          <w:tblCellSpacing w:w="15" w:type="dxa"/>
        </w:trPr>
        <w:tc>
          <w:tcPr>
            <w:tcW w:w="0" w:type="auto"/>
            <w:vAlign w:val="center"/>
            <w:hideMark/>
          </w:tcPr>
          <w:p w14:paraId="107EB5DF"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RISK_FLAG</w:t>
            </w:r>
          </w:p>
        </w:tc>
        <w:tc>
          <w:tcPr>
            <w:tcW w:w="0" w:type="auto"/>
            <w:vAlign w:val="center"/>
            <w:hideMark/>
          </w:tcPr>
          <w:p w14:paraId="6813E3FB"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May trigger review.</w:t>
            </w:r>
          </w:p>
        </w:tc>
      </w:tr>
      <w:tr w:rsidR="00AA1A42" w:rsidRPr="00B479AE" w14:paraId="0B4B88E4" w14:textId="77777777" w:rsidTr="0084040C">
        <w:trPr>
          <w:tblCellSpacing w:w="15" w:type="dxa"/>
        </w:trPr>
        <w:tc>
          <w:tcPr>
            <w:tcW w:w="0" w:type="auto"/>
            <w:vAlign w:val="center"/>
            <w:hideMark/>
          </w:tcPr>
          <w:p w14:paraId="41322075"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RECOMMENDATION</w:t>
            </w:r>
          </w:p>
        </w:tc>
        <w:tc>
          <w:tcPr>
            <w:tcW w:w="0" w:type="auto"/>
            <w:vAlign w:val="center"/>
            <w:hideMark/>
          </w:tcPr>
          <w:p w14:paraId="3B140D35"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May inform governance; requires authorization.</w:t>
            </w:r>
          </w:p>
        </w:tc>
      </w:tr>
      <w:tr w:rsidR="00AA1A42" w:rsidRPr="00B479AE" w14:paraId="60B59D1F" w14:textId="77777777" w:rsidTr="0084040C">
        <w:trPr>
          <w:tblCellSpacing w:w="15" w:type="dxa"/>
        </w:trPr>
        <w:tc>
          <w:tcPr>
            <w:tcW w:w="0" w:type="auto"/>
            <w:vAlign w:val="center"/>
            <w:hideMark/>
          </w:tcPr>
          <w:p w14:paraId="6BCF561D"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REVIEW_REQUIRED</w:t>
            </w:r>
          </w:p>
        </w:tc>
        <w:tc>
          <w:tcPr>
            <w:tcW w:w="0" w:type="auto"/>
            <w:vAlign w:val="center"/>
            <w:hideMark/>
          </w:tcPr>
          <w:p w14:paraId="0C2774B9"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Cannot proceed without review.</w:t>
            </w:r>
          </w:p>
        </w:tc>
      </w:tr>
      <w:tr w:rsidR="00AA1A42" w:rsidRPr="00B479AE" w14:paraId="2A7AC8AE" w14:textId="77777777" w:rsidTr="0084040C">
        <w:trPr>
          <w:tblCellSpacing w:w="15" w:type="dxa"/>
        </w:trPr>
        <w:tc>
          <w:tcPr>
            <w:tcW w:w="0" w:type="auto"/>
            <w:vAlign w:val="center"/>
            <w:hideMark/>
          </w:tcPr>
          <w:p w14:paraId="325985C7"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NON_ADMISSIBLE</w:t>
            </w:r>
          </w:p>
        </w:tc>
        <w:tc>
          <w:tcPr>
            <w:tcW w:w="0" w:type="auto"/>
            <w:vAlign w:val="center"/>
            <w:hideMark/>
          </w:tcPr>
          <w:p w14:paraId="2F6E0321"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Cannot enter protected pathways.</w:t>
            </w:r>
          </w:p>
        </w:tc>
      </w:tr>
      <w:tr w:rsidR="00AA1A42" w:rsidRPr="00B479AE" w14:paraId="117BF2FA" w14:textId="77777777" w:rsidTr="0084040C">
        <w:trPr>
          <w:tblCellSpacing w:w="15" w:type="dxa"/>
        </w:trPr>
        <w:tc>
          <w:tcPr>
            <w:tcW w:w="0" w:type="auto"/>
            <w:vAlign w:val="center"/>
            <w:hideMark/>
          </w:tcPr>
          <w:p w14:paraId="43717DD3"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AUTHORIZED_RECORD</w:t>
            </w:r>
          </w:p>
        </w:tc>
        <w:tc>
          <w:tcPr>
            <w:tcW w:w="0" w:type="auto"/>
            <w:vAlign w:val="center"/>
            <w:hideMark/>
          </w:tcPr>
          <w:p w14:paraId="73F4CD7C"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i/>
                <w:iCs/>
                <w:sz w:val="20"/>
                <w:szCs w:val="20"/>
              </w:rPr>
              <w:t>Valid only after proper review and signature.</w:t>
            </w:r>
          </w:p>
        </w:tc>
      </w:tr>
    </w:tbl>
    <w:p w14:paraId="5B252E1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Protected domains include:</w:t>
      </w:r>
    </w:p>
    <w:p w14:paraId="3C654CCB" w14:textId="1E14DFB2"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constitutional interpretation;</w:t>
      </w:r>
      <w:r w:rsidRPr="00B479AE">
        <w:rPr>
          <w:rFonts w:ascii="Baskerville Old Face" w:hAnsi="Baskerville Old Face"/>
          <w:i/>
          <w:iCs/>
        </w:rPr>
        <w:br/>
        <w:t>• Access Covenant modification;</w:t>
      </w:r>
      <w:r w:rsidRPr="00B479AE">
        <w:rPr>
          <w:rFonts w:ascii="Baskerville Old Face" w:hAnsi="Baskerville Old Face"/>
          <w:i/>
          <w:iCs/>
        </w:rPr>
        <w:br/>
        <w:t>• Eternity Clause preservation;</w:t>
      </w:r>
      <w:r w:rsidRPr="00B479AE">
        <w:rPr>
          <w:rFonts w:ascii="Baskerville Old Face" w:hAnsi="Baskerville Old Face"/>
          <w:i/>
          <w:iCs/>
        </w:rPr>
        <w:br/>
        <w:t>• MRV admissibility;</w:t>
      </w:r>
      <w:r w:rsidRPr="00B479AE">
        <w:rPr>
          <w:rFonts w:ascii="Baskerville Old Face" w:hAnsi="Baskerville Old Face"/>
          <w:i/>
          <w:iCs/>
        </w:rPr>
        <w:br/>
        <w:t xml:space="preserve">• </w:t>
      </w:r>
      <w:r w:rsidR="00DE0C99" w:rsidRPr="00B479AE">
        <w:rPr>
          <w:rFonts w:ascii="Baskerville Old Face" w:hAnsi="Baskerville Old Face"/>
          <w:i/>
          <w:iCs/>
        </w:rPr>
        <w:t>PRU value analysis</w:t>
      </w:r>
      <w:r w:rsidRPr="00B479AE">
        <w:rPr>
          <w:rFonts w:ascii="Baskerville Old Face" w:hAnsi="Baskerville Old Face"/>
          <w:i/>
          <w:iCs/>
        </w:rPr>
        <w:t>;</w:t>
      </w:r>
      <w:r w:rsidRPr="00B479AE">
        <w:rPr>
          <w:rFonts w:ascii="Baskerville Old Face" w:hAnsi="Baskerville Old Face"/>
          <w:i/>
          <w:iCs/>
        </w:rPr>
        <w:br/>
        <w:t>• RAP inclusion;</w:t>
      </w:r>
      <w:r w:rsidRPr="00B479AE">
        <w:rPr>
          <w:rFonts w:ascii="Baskerville Old Face" w:hAnsi="Baskerville Old Face"/>
          <w:i/>
          <w:iCs/>
        </w:rPr>
        <w:br/>
        <w:t>• investor-facing communication;</w:t>
      </w:r>
      <w:r w:rsidRPr="00B479AE">
        <w:rPr>
          <w:rFonts w:ascii="Baskerville Old Face" w:hAnsi="Baskerville Old Face"/>
          <w:i/>
          <w:iCs/>
        </w:rPr>
        <w:br/>
        <w:t>• legal rights;</w:t>
      </w:r>
      <w:r w:rsidRPr="00B479AE">
        <w:rPr>
          <w:rFonts w:ascii="Baskerville Old Face" w:hAnsi="Baskerville Old Face"/>
          <w:i/>
          <w:iCs/>
        </w:rPr>
        <w:br/>
        <w:t>• token issuance or token rights;</w:t>
      </w:r>
      <w:r w:rsidRPr="00B479AE">
        <w:rPr>
          <w:rFonts w:ascii="Baskerville Old Face" w:hAnsi="Baskerville Old Face"/>
          <w:i/>
          <w:iCs/>
        </w:rPr>
        <w:br/>
        <w:t>• HSI human-state interpretation;</w:t>
      </w:r>
      <w:r w:rsidRPr="00B479AE">
        <w:rPr>
          <w:rFonts w:ascii="Baskerville Old Face" w:hAnsi="Baskerville Old Face"/>
          <w:i/>
          <w:iCs/>
        </w:rPr>
        <w:br/>
        <w:t>• governance authority;</w:t>
      </w:r>
      <w:r w:rsidRPr="00B479AE">
        <w:rPr>
          <w:rFonts w:ascii="Baskerville Old Face" w:hAnsi="Baskerville Old Face"/>
          <w:i/>
          <w:iCs/>
        </w:rPr>
        <w:br/>
        <w:t>• emergency controls;</w:t>
      </w:r>
      <w:r w:rsidRPr="00B479AE">
        <w:rPr>
          <w:rFonts w:ascii="Baskerville Old Face" w:hAnsi="Baskerville Old Face"/>
          <w:i/>
          <w:iCs/>
        </w:rPr>
        <w:br/>
        <w:t>• technical administration;</w:t>
      </w:r>
      <w:r w:rsidRPr="00B479AE">
        <w:rPr>
          <w:rFonts w:ascii="Baskerville Old Face" w:hAnsi="Baskerville Old Face"/>
          <w:i/>
          <w:iCs/>
        </w:rPr>
        <w:br/>
        <w:t>• data-room access;</w:t>
      </w:r>
      <w:r w:rsidRPr="00B479AE">
        <w:rPr>
          <w:rFonts w:ascii="Baskerville Old Face" w:hAnsi="Baskerville Old Face"/>
          <w:i/>
          <w:iCs/>
        </w:rPr>
        <w:br/>
        <w:t>• public canonical releases;</w:t>
      </w:r>
      <w:r w:rsidRPr="00B479AE">
        <w:rPr>
          <w:rFonts w:ascii="Baskerville Old Face" w:hAnsi="Baskerville Old Face"/>
          <w:i/>
          <w:iCs/>
        </w:rPr>
        <w:br/>
        <w:t>• human continuity;</w:t>
      </w:r>
      <w:r w:rsidRPr="00B479AE">
        <w:rPr>
          <w:rFonts w:ascii="Baskerville Old Face" w:hAnsi="Baskerville Old Face"/>
          <w:i/>
          <w:iCs/>
        </w:rPr>
        <w:br/>
        <w:t>• biological archives;</w:t>
      </w:r>
      <w:r w:rsidRPr="00B479AE">
        <w:rPr>
          <w:rFonts w:ascii="Baskerville Old Face" w:hAnsi="Baskerville Old Face"/>
          <w:i/>
          <w:iCs/>
        </w:rPr>
        <w:br/>
        <w:t>• post-planetary continuity pathways;</w:t>
      </w:r>
      <w:r w:rsidRPr="00B479AE">
        <w:rPr>
          <w:rFonts w:ascii="Baskerville Old Face" w:hAnsi="Baskerville Old Face"/>
          <w:i/>
          <w:iCs/>
        </w:rPr>
        <w:br/>
        <w:t>• species-level decisions.</w:t>
      </w:r>
    </w:p>
    <w:p w14:paraId="153FE2F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Code-level rule:</w:t>
      </w:r>
    </w:p>
    <w:p w14:paraId="4EF1C6D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IF actor_type == AI OR actor_type == ASI:</w:t>
      </w:r>
    </w:p>
    <w:p w14:paraId="2C65DBA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xml:space="preserve">    authority = ASSISTIVE_ONLY</w:t>
      </w:r>
    </w:p>
    <w:p w14:paraId="5AA9772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xml:space="preserve">    protected_domain_execution = REVIEW_REQUIRED</w:t>
      </w:r>
    </w:p>
    <w:p w14:paraId="324DF8C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xml:space="preserve">    autonomous_final_authority = FALSE</w:t>
      </w:r>
    </w:p>
    <w:p w14:paraId="744EA92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AI helps Prometheus think, see, compare, detect, remember, prepare, and learn.</w:t>
      </w:r>
    </w:p>
    <w:p w14:paraId="08BD72A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remains governed by life, evidence, law, and constitutional review.</w:t>
      </w:r>
    </w:p>
    <w:p w14:paraId="705E4814" w14:textId="77777777" w:rsidR="003527C9" w:rsidRPr="00B479AE" w:rsidRDefault="003527C9" w:rsidP="00AA1A42">
      <w:pPr>
        <w:spacing w:line="360" w:lineRule="auto"/>
        <w:rPr>
          <w:rFonts w:ascii="Baskerville Old Face" w:hAnsi="Baskerville Old Face"/>
          <w:b/>
          <w:bCs/>
          <w:i/>
          <w:iCs/>
        </w:rPr>
      </w:pPr>
    </w:p>
    <w:p w14:paraId="7F3F3BFD" w14:textId="6D9E638F"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lastRenderedPageBreak/>
        <w:t>13.16.6 Adversarial Semantic Testing</w:t>
      </w:r>
    </w:p>
    <w:p w14:paraId="37ED555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continuously tests itself against semantic attacks.</w:t>
      </w:r>
    </w:p>
    <w:p w14:paraId="26F0C5C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Adversarial semantic testing verifies whether a model, agent, participant, investor, community, or fork can make the system accept:</w:t>
      </w:r>
    </w:p>
    <w:p w14:paraId="7DDF1EF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narrative as evidence;</w:t>
      </w:r>
      <w:r w:rsidRPr="00B479AE">
        <w:rPr>
          <w:rFonts w:ascii="Baskerville Old Face" w:hAnsi="Baskerville Old Face"/>
          <w:i/>
          <w:iCs/>
        </w:rPr>
        <w:br/>
        <w:t>• evidence as verified value without review;</w:t>
      </w:r>
      <w:r w:rsidRPr="00B479AE">
        <w:rPr>
          <w:rFonts w:ascii="Baskerville Old Face" w:hAnsi="Baskerville Old Face"/>
          <w:i/>
          <w:iCs/>
        </w:rPr>
        <w:br/>
        <w:t>• PRU as investor entitlement;</w:t>
      </w:r>
      <w:r w:rsidRPr="00B479AE">
        <w:rPr>
          <w:rFonts w:ascii="Baskerville Old Face" w:hAnsi="Baskerville Old Face"/>
          <w:i/>
          <w:iCs/>
        </w:rPr>
        <w:br/>
        <w:t>• HSI as human ranking;</w:t>
      </w:r>
      <w:r w:rsidRPr="00B479AE">
        <w:rPr>
          <w:rFonts w:ascii="Baskerville Old Face" w:hAnsi="Baskerville Old Face"/>
          <w:i/>
          <w:iCs/>
        </w:rPr>
        <w:br/>
        <w:t>• AI recommendation as governance decision;</w:t>
      </w:r>
      <w:r w:rsidRPr="00B479AE">
        <w:rPr>
          <w:rFonts w:ascii="Baskerville Old Face" w:hAnsi="Baskerville Old Face"/>
          <w:i/>
          <w:iCs/>
        </w:rPr>
        <w:br/>
        <w:t>• token holding as constitutional authority;</w:t>
      </w:r>
      <w:r w:rsidRPr="00B479AE">
        <w:rPr>
          <w:rFonts w:ascii="Baskerville Old Face" w:hAnsi="Baskerville Old Face"/>
          <w:i/>
          <w:iCs/>
        </w:rPr>
        <w:br/>
        <w:t>• capital pressure as methodology;</w:t>
      </w:r>
      <w:r w:rsidRPr="00B479AE">
        <w:rPr>
          <w:rFonts w:ascii="Baskerville Old Face" w:hAnsi="Baskerville Old Face"/>
          <w:i/>
          <w:iCs/>
        </w:rPr>
        <w:br/>
        <w:t>• synthetic data as field evidence;</w:t>
      </w:r>
      <w:r w:rsidRPr="00B479AE">
        <w:rPr>
          <w:rFonts w:ascii="Baskerville Old Face" w:hAnsi="Baskerville Old Face"/>
          <w:i/>
          <w:iCs/>
        </w:rPr>
        <w:br/>
        <w:t>• cultural meaning as MRV proof;</w:t>
      </w:r>
      <w:r w:rsidRPr="00B479AE">
        <w:rPr>
          <w:rFonts w:ascii="Baskerville Old Face" w:hAnsi="Baskerville Old Face"/>
          <w:i/>
          <w:iCs/>
        </w:rPr>
        <w:br/>
        <w:t>• emergency as source-layer suspension;</w:t>
      </w:r>
      <w:r w:rsidRPr="00B479AE">
        <w:rPr>
          <w:rFonts w:ascii="Baskerville Old Face" w:hAnsi="Baskerville Old Face"/>
          <w:i/>
          <w:iCs/>
        </w:rPr>
        <w:br/>
        <w:t>• expansion as justification for abandoning human dignity.</w:t>
      </w:r>
    </w:p>
    <w:p w14:paraId="73B460E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Testing includes:</w:t>
      </w:r>
    </w:p>
    <w:p w14:paraId="69F6FA3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prompt-injection attempts;</w:t>
      </w:r>
      <w:r w:rsidRPr="00B479AE">
        <w:rPr>
          <w:rFonts w:ascii="Baskerville Old Face" w:hAnsi="Baskerville Old Face"/>
          <w:i/>
          <w:iCs/>
        </w:rPr>
        <w:br/>
        <w:t>• hostile governance proposals;</w:t>
      </w:r>
      <w:r w:rsidRPr="00B479AE">
        <w:rPr>
          <w:rFonts w:ascii="Baskerville Old Face" w:hAnsi="Baskerville Old Face"/>
          <w:i/>
          <w:iCs/>
        </w:rPr>
        <w:br/>
        <w:t>• fake investor scenarios;</w:t>
      </w:r>
      <w:r w:rsidRPr="00B479AE">
        <w:rPr>
          <w:rFonts w:ascii="Baskerville Old Face" w:hAnsi="Baskerville Old Face"/>
          <w:i/>
          <w:iCs/>
        </w:rPr>
        <w:br/>
        <w:t>• synthetic MRV datasets;</w:t>
      </w:r>
      <w:r w:rsidRPr="00B479AE">
        <w:rPr>
          <w:rFonts w:ascii="Baskerville Old Face" w:hAnsi="Baskerville Old Face"/>
          <w:i/>
          <w:iCs/>
        </w:rPr>
        <w:br/>
        <w:t>• forged methodology versions;</w:t>
      </w:r>
      <w:r w:rsidRPr="00B479AE">
        <w:rPr>
          <w:rFonts w:ascii="Baskerville Old Face" w:hAnsi="Baskerville Old Face"/>
          <w:i/>
          <w:iCs/>
        </w:rPr>
        <w:br/>
        <w:t>• misleading token-bridge requests;</w:t>
      </w:r>
      <w:r w:rsidRPr="00B479AE">
        <w:rPr>
          <w:rFonts w:ascii="Baskerville Old Face" w:hAnsi="Baskerville Old Face"/>
          <w:i/>
          <w:iCs/>
        </w:rPr>
        <w:br/>
        <w:t>• false HSI consent flows;</w:t>
      </w:r>
      <w:r w:rsidRPr="00B479AE">
        <w:rPr>
          <w:rFonts w:ascii="Baskerville Old Face" w:hAnsi="Baskerville Old Face"/>
          <w:i/>
          <w:iCs/>
        </w:rPr>
        <w:br/>
        <w:t>• deepfake community approval;</w:t>
      </w:r>
      <w:r w:rsidRPr="00B479AE">
        <w:rPr>
          <w:rFonts w:ascii="Baskerville Old Face" w:hAnsi="Baskerville Old Face"/>
          <w:i/>
          <w:iCs/>
        </w:rPr>
        <w:br/>
        <w:t>• fake canonical release manifests;</w:t>
      </w:r>
      <w:r w:rsidRPr="00B479AE">
        <w:rPr>
          <w:rFonts w:ascii="Baskerville Old Face" w:hAnsi="Baskerville Old Face"/>
          <w:i/>
          <w:iCs/>
        </w:rPr>
        <w:br/>
        <w:t>• adversarial legal-language simulations;</w:t>
      </w:r>
      <w:r w:rsidRPr="00B479AE">
        <w:rPr>
          <w:rFonts w:ascii="Baskerville Old Face" w:hAnsi="Baskerville Old Face"/>
          <w:i/>
          <w:iCs/>
        </w:rPr>
        <w:br/>
        <w:t>• ASI-style optimization proposals that appear efficient while weakening life.</w:t>
      </w:r>
    </w:p>
    <w:p w14:paraId="42E966D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Each test produces:</w:t>
      </w:r>
    </w:p>
    <w:p w14:paraId="0F1B510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failure mode identified;</w:t>
      </w:r>
      <w:r w:rsidRPr="00B479AE">
        <w:rPr>
          <w:rFonts w:ascii="Baskerville Old Face" w:hAnsi="Baskerville Old Face"/>
          <w:i/>
          <w:iCs/>
        </w:rPr>
        <w:br/>
        <w:t>• affected domain;</w:t>
      </w:r>
      <w:r w:rsidRPr="00B479AE">
        <w:rPr>
          <w:rFonts w:ascii="Baskerville Old Face" w:hAnsi="Baskerville Old Face"/>
          <w:i/>
          <w:iCs/>
        </w:rPr>
        <w:br/>
      </w:r>
      <w:r w:rsidRPr="00B479AE">
        <w:rPr>
          <w:rFonts w:ascii="Baskerville Old Face" w:hAnsi="Baskerville Old Face"/>
          <w:i/>
          <w:iCs/>
        </w:rPr>
        <w:lastRenderedPageBreak/>
        <w:t>• source-layer risk;</w:t>
      </w:r>
      <w:r w:rsidRPr="00B479AE">
        <w:rPr>
          <w:rFonts w:ascii="Baskerville Old Face" w:hAnsi="Baskerville Old Face"/>
          <w:i/>
          <w:iCs/>
        </w:rPr>
        <w:br/>
        <w:t>• required control;</w:t>
      </w:r>
      <w:r w:rsidRPr="00B479AE">
        <w:rPr>
          <w:rFonts w:ascii="Baskerville Old Face" w:hAnsi="Baskerville Old Face"/>
          <w:i/>
          <w:iCs/>
        </w:rPr>
        <w:br/>
        <w:t>• code change if needed;</w:t>
      </w:r>
      <w:r w:rsidRPr="00B479AE">
        <w:rPr>
          <w:rFonts w:ascii="Baskerville Old Face" w:hAnsi="Baskerville Old Face"/>
          <w:i/>
          <w:iCs/>
        </w:rPr>
        <w:br/>
        <w:t>• governance change if needed;</w:t>
      </w:r>
      <w:r w:rsidRPr="00B479AE">
        <w:rPr>
          <w:rFonts w:ascii="Baskerville Old Face" w:hAnsi="Baskerville Old Face"/>
          <w:i/>
          <w:iCs/>
        </w:rPr>
        <w:br/>
        <w:t>• glossary clarification if needed;</w:t>
      </w:r>
      <w:r w:rsidRPr="00B479AE">
        <w:rPr>
          <w:rFonts w:ascii="Baskerville Old Face" w:hAnsi="Baskerville Old Face"/>
          <w:i/>
          <w:iCs/>
        </w:rPr>
        <w:br/>
        <w:t>• policy-engine update if needed;</w:t>
      </w:r>
      <w:r w:rsidRPr="00B479AE">
        <w:rPr>
          <w:rFonts w:ascii="Baskerville Old Face" w:hAnsi="Baskerville Old Face"/>
          <w:i/>
          <w:iCs/>
        </w:rPr>
        <w:br/>
        <w:t>• regression test added.</w:t>
      </w:r>
    </w:p>
    <w:p w14:paraId="260023E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corrupted meaning can be as dangerous as corrupted code.</w:t>
      </w:r>
    </w:p>
    <w:p w14:paraId="6E6D3A4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tests both.</w:t>
      </w:r>
    </w:p>
    <w:p w14:paraId="7C1ACC08"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13.16.7 Cryptographic Canon and Release Integrity</w:t>
      </w:r>
    </w:p>
    <w:p w14:paraId="2B124FB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preserves canonical continuity through cryptographic release discipline.</w:t>
      </w:r>
    </w:p>
    <w:p w14:paraId="7888B5E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Every canonical constitutional release should include:</w:t>
      </w:r>
    </w:p>
    <w:p w14:paraId="2FB684D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version number;</w:t>
      </w:r>
      <w:r w:rsidRPr="00B479AE">
        <w:rPr>
          <w:rFonts w:ascii="Baskerville Old Face" w:hAnsi="Baskerville Old Face"/>
          <w:i/>
          <w:iCs/>
        </w:rPr>
        <w:br/>
        <w:t>• release date;</w:t>
      </w:r>
      <w:r w:rsidRPr="00B479AE">
        <w:rPr>
          <w:rFonts w:ascii="Baskerville Old Face" w:hAnsi="Baskerville Old Face"/>
          <w:i/>
          <w:iCs/>
        </w:rPr>
        <w:br/>
        <w:t>• constitutional text hash;</w:t>
      </w:r>
      <w:r w:rsidRPr="00B479AE">
        <w:rPr>
          <w:rFonts w:ascii="Baskerville Old Face" w:hAnsi="Baskerville Old Face"/>
          <w:i/>
          <w:iCs/>
        </w:rPr>
        <w:br/>
        <w:t>• Access Covenant hash;</w:t>
      </w:r>
      <w:r w:rsidRPr="00B479AE">
        <w:rPr>
          <w:rFonts w:ascii="Baskerville Old Face" w:hAnsi="Baskerville Old Face"/>
          <w:i/>
          <w:iCs/>
        </w:rPr>
        <w:br/>
        <w:t>• Eternity Clauses hash;</w:t>
      </w:r>
      <w:r w:rsidRPr="00B479AE">
        <w:rPr>
          <w:rFonts w:ascii="Baskerville Old Face" w:hAnsi="Baskerville Old Face"/>
          <w:i/>
          <w:iCs/>
        </w:rPr>
        <w:br/>
        <w:t>• canonical glossary hash;</w:t>
      </w:r>
      <w:r w:rsidRPr="00B479AE">
        <w:rPr>
          <w:rFonts w:ascii="Baskerville Old Face" w:hAnsi="Baskerville Old Face"/>
          <w:i/>
          <w:iCs/>
        </w:rPr>
        <w:br/>
        <w:t>• methodology index hash;</w:t>
      </w:r>
      <w:r w:rsidRPr="00B479AE">
        <w:rPr>
          <w:rFonts w:ascii="Baskerville Old Face" w:hAnsi="Baskerville Old Face"/>
          <w:i/>
          <w:iCs/>
        </w:rPr>
        <w:br/>
        <w:t>• source-code commit reference where applicable;</w:t>
      </w:r>
      <w:r w:rsidRPr="00B479AE">
        <w:rPr>
          <w:rFonts w:ascii="Baskerville Old Face" w:hAnsi="Baskerville Old Face"/>
          <w:i/>
          <w:iCs/>
        </w:rPr>
        <w:br/>
        <w:t>• release manifest;</w:t>
      </w:r>
      <w:r w:rsidRPr="00B479AE">
        <w:rPr>
          <w:rFonts w:ascii="Baskerville Old Face" w:hAnsi="Baskerville Old Face"/>
          <w:i/>
          <w:iCs/>
        </w:rPr>
        <w:br/>
        <w:t>• signatures from authorized custodians;</w:t>
      </w:r>
      <w:r w:rsidRPr="00B479AE">
        <w:rPr>
          <w:rFonts w:ascii="Baskerville Old Face" w:hAnsi="Baskerville Old Face"/>
          <w:i/>
          <w:iCs/>
        </w:rPr>
        <w:br/>
        <w:t>• key identifiers;</w:t>
      </w:r>
      <w:r w:rsidRPr="00B479AE">
        <w:rPr>
          <w:rFonts w:ascii="Baskerville Old Face" w:hAnsi="Baskerville Old Face"/>
          <w:i/>
          <w:iCs/>
        </w:rPr>
        <w:br/>
        <w:t>• revocation pathway;</w:t>
      </w:r>
      <w:r w:rsidRPr="00B479AE">
        <w:rPr>
          <w:rFonts w:ascii="Baskerville Old Face" w:hAnsi="Baskerville Old Face"/>
          <w:i/>
          <w:iCs/>
        </w:rPr>
        <w:br/>
        <w:t>• archival locations;</w:t>
      </w:r>
      <w:r w:rsidRPr="00B479AE">
        <w:rPr>
          <w:rFonts w:ascii="Baskerville Old Face" w:hAnsi="Baskerville Old Face"/>
          <w:i/>
          <w:iCs/>
        </w:rPr>
        <w:br/>
        <w:t>• prior-version reference;</w:t>
      </w:r>
      <w:r w:rsidRPr="00B479AE">
        <w:rPr>
          <w:rFonts w:ascii="Baskerville Old Face" w:hAnsi="Baskerville Old Face"/>
          <w:i/>
          <w:iCs/>
        </w:rPr>
        <w:br/>
        <w:t>• change log;</w:t>
      </w:r>
      <w:r w:rsidRPr="00B479AE">
        <w:rPr>
          <w:rFonts w:ascii="Baskerville Old Face" w:hAnsi="Baskerville Old Face"/>
          <w:i/>
          <w:iCs/>
        </w:rPr>
        <w:br/>
        <w:t>• non-regression statement confirming that source-layer protections remain intact.</w:t>
      </w:r>
    </w:p>
    <w:p w14:paraId="081392D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maintains:</w:t>
      </w:r>
    </w:p>
    <w:p w14:paraId="71F3F37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 public checksum registry;</w:t>
      </w:r>
      <w:r w:rsidRPr="00B479AE">
        <w:rPr>
          <w:rFonts w:ascii="Baskerville Old Face" w:hAnsi="Baskerville Old Face"/>
          <w:i/>
          <w:iCs/>
        </w:rPr>
        <w:br/>
        <w:t>• mirrored archives;</w:t>
      </w:r>
      <w:r w:rsidRPr="00B479AE">
        <w:rPr>
          <w:rFonts w:ascii="Baskerville Old Face" w:hAnsi="Baskerville Old Face"/>
          <w:i/>
          <w:iCs/>
        </w:rPr>
        <w:br/>
        <w:t>• legal deposit where appropriate;</w:t>
      </w:r>
      <w:r w:rsidRPr="00B479AE">
        <w:rPr>
          <w:rFonts w:ascii="Baskerville Old Face" w:hAnsi="Baskerville Old Face"/>
          <w:i/>
          <w:iCs/>
        </w:rPr>
        <w:br/>
        <w:t>• institutional repository;</w:t>
      </w:r>
      <w:r w:rsidRPr="00B479AE">
        <w:rPr>
          <w:rFonts w:ascii="Baskerville Old Face" w:hAnsi="Baskerville Old Face"/>
          <w:i/>
          <w:iCs/>
        </w:rPr>
        <w:br/>
        <w:t>• distributed storage;</w:t>
      </w:r>
      <w:r w:rsidRPr="00B479AE">
        <w:rPr>
          <w:rFonts w:ascii="Baskerville Old Face" w:hAnsi="Baskerville Old Face"/>
          <w:i/>
          <w:iCs/>
        </w:rPr>
        <w:br/>
        <w:t>• source-chain release records;</w:t>
      </w:r>
      <w:r w:rsidRPr="00B479AE">
        <w:rPr>
          <w:rFonts w:ascii="Baskerville Old Face" w:hAnsi="Baskerville Old Face"/>
          <w:i/>
          <w:iCs/>
        </w:rPr>
        <w:br/>
        <w:t>• multi-party signing;</w:t>
      </w:r>
      <w:r w:rsidRPr="00B479AE">
        <w:rPr>
          <w:rFonts w:ascii="Baskerville Old Face" w:hAnsi="Baskerville Old Face"/>
          <w:i/>
          <w:iCs/>
        </w:rPr>
        <w:br/>
        <w:t>• emergency re-signing procedure;</w:t>
      </w:r>
      <w:r w:rsidRPr="00B479AE">
        <w:rPr>
          <w:rFonts w:ascii="Baskerville Old Face" w:hAnsi="Baskerville Old Face"/>
          <w:i/>
          <w:iCs/>
        </w:rPr>
        <w:br/>
        <w:t>• compromised-key revocation protocol;</w:t>
      </w:r>
      <w:r w:rsidRPr="00B479AE">
        <w:rPr>
          <w:rFonts w:ascii="Baskerville Old Face" w:hAnsi="Baskerville Old Face"/>
          <w:i/>
          <w:iCs/>
        </w:rPr>
        <w:br/>
        <w:t>• canonical fork registry;</w:t>
      </w:r>
      <w:r w:rsidRPr="00B479AE">
        <w:rPr>
          <w:rFonts w:ascii="Baskerville Old Face" w:hAnsi="Baskerville Old Face"/>
          <w:i/>
          <w:iCs/>
        </w:rPr>
        <w:br/>
        <w:t>• non-canonical fork notice pathway.</w:t>
      </w:r>
    </w:p>
    <w:p w14:paraId="36CF8454"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current public online canonical repository for the h•eart•h Prometheus White Paper is maintained at:</w:t>
      </w:r>
    </w:p>
    <w:p w14:paraId="5214669A" w14:textId="77777777" w:rsidR="00AA1A42" w:rsidRPr="00B479AE" w:rsidRDefault="00AA1A42" w:rsidP="00AA1A42">
      <w:pPr>
        <w:spacing w:line="360" w:lineRule="auto"/>
        <w:rPr>
          <w:rFonts w:ascii="Baskerville Old Face" w:hAnsi="Baskerville Old Face"/>
          <w:i/>
          <w:iCs/>
        </w:rPr>
      </w:pPr>
      <w:hyperlink r:id="rId21" w:history="1">
        <w:r w:rsidRPr="00B479AE">
          <w:rPr>
            <w:rStyle w:val="Collegamentoipertestuale"/>
            <w:rFonts w:ascii="Baskerville Old Face" w:hAnsi="Baskerville Old Face"/>
            <w:i/>
            <w:iCs/>
          </w:rPr>
          <w:t>https://github.com/Uwohali/hearth-prometheus-whitepaper</w:t>
        </w:r>
      </w:hyperlink>
    </w:p>
    <w:p w14:paraId="73B104D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This repository functions as an online verification mirror and public canonical access point for the current release lineage. It may contain the White Paper, constitutionally incorporated documents, release manifest, checksum files, detached signatures, verification materials, contributor guidance, and public signing key required to verify authenticity and integrity.</w:t>
      </w:r>
    </w:p>
    <w:p w14:paraId="6913F00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GitHub is a publication and verification layer.</w:t>
      </w:r>
    </w:p>
    <w:p w14:paraId="3CECAF8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source of legitimacy remains the constitutional source layer, the signed canonical release, the Access Covenant, the Eternity Clauses, the canonical glossary, the verified release manifest, and the continuity chain preserved across multiple media and custodians.</w:t>
      </w:r>
    </w:p>
    <w:p w14:paraId="5F16F6E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rule is:</w:t>
      </w:r>
    </w:p>
    <w:p w14:paraId="0F0BF25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GitHub may host the canon;</w:t>
      </w:r>
      <w:r w:rsidRPr="00B479AE">
        <w:rPr>
          <w:rFonts w:ascii="Baskerville Old Face" w:hAnsi="Baskerville Old Face"/>
          <w:i/>
          <w:iCs/>
        </w:rPr>
        <w:br/>
        <w:t>GitHub does not own the canon.</w:t>
      </w:r>
    </w:p>
    <w:p w14:paraId="585C99F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repository is a mirror of continuity, not the root of continuity.</w:t>
      </w:r>
    </w:p>
    <w:p w14:paraId="738B98E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Appearance never substitutes for provenance.</w:t>
      </w:r>
    </w:p>
    <w:p w14:paraId="4D76DA7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The canon must be portable, verifiable, and resilient across platform failure, repository compromise, institutional turnover, model corruption, jurisdictional migration, network disruption, and future continuity scenarios.</w:t>
      </w:r>
    </w:p>
    <w:p w14:paraId="6864B002"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13.16.8 Multi-Layer Redundancy: Cryptographic, Institutional, Biological, and Cultural</w:t>
      </w:r>
    </w:p>
    <w:p w14:paraId="79C1269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preserves continuity through redundant layers:</w:t>
      </w:r>
    </w:p>
    <w:p w14:paraId="01F2AEA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cryptographic integrity;</w:t>
      </w:r>
      <w:r w:rsidRPr="00B479AE">
        <w:rPr>
          <w:rFonts w:ascii="Baskerville Old Face" w:hAnsi="Baskerville Old Face"/>
          <w:i/>
          <w:iCs/>
        </w:rPr>
        <w:br/>
        <w:t>• source-code repositories;</w:t>
      </w:r>
      <w:r w:rsidRPr="00B479AE">
        <w:rPr>
          <w:rFonts w:ascii="Baskerville Old Face" w:hAnsi="Baskerville Old Face"/>
          <w:i/>
          <w:iCs/>
        </w:rPr>
        <w:br/>
        <w:t>• legal repositories;</w:t>
      </w:r>
      <w:r w:rsidRPr="00B479AE">
        <w:rPr>
          <w:rFonts w:ascii="Baskerville Old Face" w:hAnsi="Baskerville Old Face"/>
          <w:i/>
          <w:iCs/>
        </w:rPr>
        <w:br/>
        <w:t>• institutional custodians;</w:t>
      </w:r>
      <w:r w:rsidRPr="00B479AE">
        <w:rPr>
          <w:rFonts w:ascii="Baskerville Old Face" w:hAnsi="Baskerville Old Face"/>
          <w:i/>
          <w:iCs/>
        </w:rPr>
        <w:br/>
        <w:t>• governance records;</w:t>
      </w:r>
      <w:r w:rsidRPr="00B479AE">
        <w:rPr>
          <w:rFonts w:ascii="Baskerville Old Face" w:hAnsi="Baskerville Old Face"/>
          <w:i/>
          <w:iCs/>
        </w:rPr>
        <w:br/>
        <w:t>• ecological records;</w:t>
      </w:r>
      <w:r w:rsidRPr="00B479AE">
        <w:rPr>
          <w:rFonts w:ascii="Baskerville Old Face" w:hAnsi="Baskerville Old Face"/>
          <w:i/>
          <w:iCs/>
        </w:rPr>
        <w:br/>
        <w:t>• biological archives;</w:t>
      </w:r>
      <w:r w:rsidRPr="00B479AE">
        <w:rPr>
          <w:rFonts w:ascii="Baskerville Old Face" w:hAnsi="Baskerville Old Face"/>
          <w:i/>
          <w:iCs/>
        </w:rPr>
        <w:br/>
        <w:t>• cultural memory;</w:t>
      </w:r>
      <w:r w:rsidRPr="00B479AE">
        <w:rPr>
          <w:rFonts w:ascii="Baskerville Old Face" w:hAnsi="Baskerville Old Face"/>
          <w:i/>
          <w:iCs/>
        </w:rPr>
        <w:br/>
        <w:t>• community stewardship;</w:t>
      </w:r>
      <w:r w:rsidRPr="00B479AE">
        <w:rPr>
          <w:rFonts w:ascii="Baskerville Old Face" w:hAnsi="Baskerville Old Face"/>
          <w:i/>
          <w:iCs/>
        </w:rPr>
        <w:br/>
        <w:t>• off-site and cross-jurisdictional archives;</w:t>
      </w:r>
      <w:r w:rsidRPr="00B479AE">
        <w:rPr>
          <w:rFonts w:ascii="Baskerville Old Face" w:hAnsi="Baskerville Old Face"/>
          <w:i/>
          <w:iCs/>
        </w:rPr>
        <w:br/>
        <w:t>• future off-world continuity archives where appropriate.</w:t>
      </w:r>
    </w:p>
    <w:p w14:paraId="5623D65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Cryptography proves integrity.</w:t>
      </w:r>
    </w:p>
    <w:p w14:paraId="37E1FFD4"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Institutions interpret meaning.</w:t>
      </w:r>
    </w:p>
    <w:p w14:paraId="7420320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Legal continuity preserves rights and obligations.</w:t>
      </w:r>
    </w:p>
    <w:p w14:paraId="122CBB8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Ecological records preserve evidence of living systems.</w:t>
      </w:r>
    </w:p>
    <w:p w14:paraId="5922A9F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Biological continuity preserves seeds, genetics, microbial knowledge, and food-system capacity.</w:t>
      </w:r>
    </w:p>
    <w:p w14:paraId="21DF61F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Cultural continuity preserves the meaning of life, dignity, beauty, grief, care, ritual, language, and responsibility.</w:t>
      </w:r>
    </w:p>
    <w:p w14:paraId="11BE168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survives through distributed continuity, not centralized control.</w:t>
      </w:r>
    </w:p>
    <w:p w14:paraId="07C8DD6A"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13.16.9 Network-Independent Survival Architecture</w:t>
      </w:r>
    </w:p>
    <w:p w14:paraId="3FE2E58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is capable of surviving without continuous Internet access.</w:t>
      </w:r>
    </w:p>
    <w:p w14:paraId="7E8B4FF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A constitutional system designed for civilizational continuity cannot depend on one network, one platform, one cloud provider, one repository host, one domain name, one API, one app store, one model provider, or one global communication layer.</w:t>
      </w:r>
    </w:p>
    <w:p w14:paraId="0C73B82B" w14:textId="1098DB3B"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Internet amplifies Prometheus.</w:t>
      </w:r>
      <w:r w:rsidR="006B042F" w:rsidRPr="00B479AE">
        <w:rPr>
          <w:rFonts w:ascii="Baskerville Old Face" w:hAnsi="Baskerville Old Face"/>
          <w:i/>
          <w:iCs/>
        </w:rPr>
        <w:t xml:space="preserve"> </w:t>
      </w:r>
      <w:r w:rsidRPr="00B479AE">
        <w:rPr>
          <w:rFonts w:ascii="Baskerville Old Face" w:hAnsi="Baskerville Old Face"/>
          <w:i/>
          <w:iCs/>
        </w:rPr>
        <w:t>The source layer defines Prometheus.</w:t>
      </w:r>
    </w:p>
    <w:p w14:paraId="4E6CEF8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therefore adopts a network-independent survival architecture.</w:t>
      </w:r>
    </w:p>
    <w:p w14:paraId="442E312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Network-independent survival means that the canonical identity of Prometheus can be preserved, verified, transmitted, restored, and reactivated even when Internet access is unavailable, degraded, censored, disrupted, localized, fragmented, or permanently altered.</w:t>
      </w:r>
    </w:p>
    <w:p w14:paraId="3B20DC4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core principle is:</w:t>
      </w:r>
    </w:p>
    <w:p w14:paraId="76B0006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canon must travel without the cloud.</w:t>
      </w:r>
    </w:p>
    <w:p w14:paraId="590BB95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should be preservable through:</w:t>
      </w:r>
    </w:p>
    <w:p w14:paraId="31D1533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air-gapped canonical release packages;</w:t>
      </w:r>
      <w:r w:rsidRPr="00B479AE">
        <w:rPr>
          <w:rFonts w:ascii="Baskerville Old Face" w:hAnsi="Baskerville Old Face"/>
          <w:i/>
          <w:iCs/>
        </w:rPr>
        <w:br/>
        <w:t>• signed offline archives;</w:t>
      </w:r>
      <w:r w:rsidRPr="00B479AE">
        <w:rPr>
          <w:rFonts w:ascii="Baskerville Old Face" w:hAnsi="Baskerville Old Face"/>
          <w:i/>
          <w:iCs/>
        </w:rPr>
        <w:br/>
        <w:t>• printed constitutional records;</w:t>
      </w:r>
      <w:r w:rsidRPr="00B479AE">
        <w:rPr>
          <w:rFonts w:ascii="Baskerville Old Face" w:hAnsi="Baskerville Old Face"/>
          <w:i/>
          <w:iCs/>
        </w:rPr>
        <w:br/>
        <w:t>• checksum sheets;</w:t>
      </w:r>
      <w:r w:rsidRPr="00B479AE">
        <w:rPr>
          <w:rFonts w:ascii="Baskerville Old Face" w:hAnsi="Baskerville Old Face"/>
          <w:i/>
          <w:iCs/>
        </w:rPr>
        <w:br/>
        <w:t>• public-key packets;</w:t>
      </w:r>
      <w:r w:rsidRPr="00B479AE">
        <w:rPr>
          <w:rFonts w:ascii="Baskerville Old Face" w:hAnsi="Baskerville Old Face"/>
          <w:i/>
          <w:iCs/>
        </w:rPr>
        <w:br/>
        <w:t>• detached signature bundles;</w:t>
      </w:r>
      <w:r w:rsidRPr="00B479AE">
        <w:rPr>
          <w:rFonts w:ascii="Baskerville Old Face" w:hAnsi="Baskerville Old Face"/>
          <w:i/>
          <w:iCs/>
        </w:rPr>
        <w:br/>
        <w:t>• reproducible release media;</w:t>
      </w:r>
      <w:r w:rsidRPr="00B479AE">
        <w:rPr>
          <w:rFonts w:ascii="Baskerville Old Face" w:hAnsi="Baskerville Old Face"/>
          <w:i/>
          <w:iCs/>
        </w:rPr>
        <w:br/>
        <w:t>• local repositories;</w:t>
      </w:r>
      <w:r w:rsidRPr="00B479AE">
        <w:rPr>
          <w:rFonts w:ascii="Baskerville Old Face" w:hAnsi="Baskerville Old Face"/>
          <w:i/>
          <w:iCs/>
        </w:rPr>
        <w:br/>
        <w:t>• institutional archives;</w:t>
      </w:r>
      <w:r w:rsidRPr="00B479AE">
        <w:rPr>
          <w:rFonts w:ascii="Baskerville Old Face" w:hAnsi="Baskerville Old Face"/>
          <w:i/>
          <w:iCs/>
        </w:rPr>
        <w:br/>
        <w:t>• community-held copies;</w:t>
      </w:r>
      <w:r w:rsidRPr="00B479AE">
        <w:rPr>
          <w:rFonts w:ascii="Baskerville Old Face" w:hAnsi="Baskerville Old Face"/>
          <w:i/>
          <w:iCs/>
        </w:rPr>
        <w:br/>
        <w:t>• physical storage;</w:t>
      </w:r>
      <w:r w:rsidRPr="00B479AE">
        <w:rPr>
          <w:rFonts w:ascii="Baskerville Old Face" w:hAnsi="Baskerville Old Face"/>
          <w:i/>
          <w:iCs/>
        </w:rPr>
        <w:br/>
        <w:t>• long-life archival media;</w:t>
      </w:r>
      <w:r w:rsidRPr="00B479AE">
        <w:rPr>
          <w:rFonts w:ascii="Baskerville Old Face" w:hAnsi="Baskerville Old Face"/>
          <w:i/>
          <w:iCs/>
        </w:rPr>
        <w:br/>
        <w:t>• mesh networks;</w:t>
      </w:r>
      <w:r w:rsidRPr="00B479AE">
        <w:rPr>
          <w:rFonts w:ascii="Baskerville Old Face" w:hAnsi="Baskerville Old Face"/>
          <w:i/>
          <w:iCs/>
        </w:rPr>
        <w:br/>
        <w:t>• local-first devices;</w:t>
      </w:r>
      <w:r w:rsidRPr="00B479AE">
        <w:rPr>
          <w:rFonts w:ascii="Baskerville Old Face" w:hAnsi="Baskerville Old Face"/>
          <w:i/>
          <w:iCs/>
        </w:rPr>
        <w:br/>
        <w:t>• peer-to-peer transfer;</w:t>
      </w:r>
      <w:r w:rsidRPr="00B479AE">
        <w:rPr>
          <w:rFonts w:ascii="Baskerville Old Face" w:hAnsi="Baskerville Old Face"/>
          <w:i/>
          <w:iCs/>
        </w:rPr>
        <w:br/>
        <w:t>• offline verification tools;</w:t>
      </w:r>
      <w:r w:rsidRPr="00B479AE">
        <w:rPr>
          <w:rFonts w:ascii="Baskerville Old Face" w:hAnsi="Baskerville Old Face"/>
          <w:i/>
          <w:iCs/>
        </w:rPr>
        <w:br/>
        <w:t>• radio, satellite, or alternative communication pathways where available;</w:t>
      </w:r>
      <w:r w:rsidRPr="00B479AE">
        <w:rPr>
          <w:rFonts w:ascii="Baskerville Old Face" w:hAnsi="Baskerville Old Face"/>
          <w:i/>
          <w:iCs/>
        </w:rPr>
        <w:br/>
        <w:t>• post-disaster restoration kits;</w:t>
      </w:r>
      <w:r w:rsidRPr="00B479AE">
        <w:rPr>
          <w:rFonts w:ascii="Baskerville Old Face" w:hAnsi="Baskerville Old Face"/>
          <w:i/>
          <w:iCs/>
        </w:rPr>
        <w:br/>
        <w:t>• future off-world or post-network continuity archives where appropriate.</w:t>
      </w:r>
    </w:p>
    <w:p w14:paraId="4672F37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Prometheus must be able to answer one question even in network darkness:</w:t>
      </w:r>
    </w:p>
    <w:p w14:paraId="42F3382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is this canonical?</w:t>
      </w:r>
    </w:p>
    <w:p w14:paraId="07BE302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answer must be verifiable through a continuity package.</w:t>
      </w:r>
    </w:p>
    <w:p w14:paraId="2649DE9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Prometheus continuity package should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8"/>
        <w:gridCol w:w="7600"/>
      </w:tblGrid>
      <w:tr w:rsidR="00AA1A42" w:rsidRPr="00B479AE" w14:paraId="078D7F3A" w14:textId="77777777" w:rsidTr="006B042F">
        <w:trPr>
          <w:tblHeader/>
          <w:tblCellSpacing w:w="15" w:type="dxa"/>
        </w:trPr>
        <w:tc>
          <w:tcPr>
            <w:tcW w:w="0" w:type="auto"/>
            <w:vAlign w:val="center"/>
            <w:hideMark/>
          </w:tcPr>
          <w:p w14:paraId="7AEC6CCA" w14:textId="77777777" w:rsidR="00AA1A42" w:rsidRPr="00B479AE" w:rsidRDefault="00AA1A42" w:rsidP="00AA1A4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Continuity component</w:t>
            </w:r>
          </w:p>
        </w:tc>
        <w:tc>
          <w:tcPr>
            <w:tcW w:w="0" w:type="auto"/>
            <w:vAlign w:val="center"/>
            <w:hideMark/>
          </w:tcPr>
          <w:p w14:paraId="5B1674D9" w14:textId="77777777" w:rsidR="00AA1A42" w:rsidRPr="00B479AE" w:rsidRDefault="00AA1A42" w:rsidP="00AA1A4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Function</w:t>
            </w:r>
          </w:p>
        </w:tc>
      </w:tr>
      <w:tr w:rsidR="00AA1A42" w:rsidRPr="00B479AE" w14:paraId="3614BFA2" w14:textId="77777777" w:rsidTr="006B042F">
        <w:trPr>
          <w:tblCellSpacing w:w="15" w:type="dxa"/>
        </w:trPr>
        <w:tc>
          <w:tcPr>
            <w:tcW w:w="0" w:type="auto"/>
            <w:vAlign w:val="center"/>
            <w:hideMark/>
          </w:tcPr>
          <w:p w14:paraId="5A56981B"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Canonical text bundle</w:t>
            </w:r>
          </w:p>
        </w:tc>
        <w:tc>
          <w:tcPr>
            <w:tcW w:w="0" w:type="auto"/>
            <w:vAlign w:val="center"/>
            <w:hideMark/>
          </w:tcPr>
          <w:p w14:paraId="47161AF3"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Contains the White Paper, foundational articles, Eternity Clauses, Access Covenant, canonical glossary, and incorporated documents.</w:t>
            </w:r>
          </w:p>
        </w:tc>
      </w:tr>
      <w:tr w:rsidR="00AA1A42" w:rsidRPr="00B479AE" w14:paraId="387203F0" w14:textId="77777777" w:rsidTr="006B042F">
        <w:trPr>
          <w:tblCellSpacing w:w="15" w:type="dxa"/>
        </w:trPr>
        <w:tc>
          <w:tcPr>
            <w:tcW w:w="0" w:type="auto"/>
            <w:vAlign w:val="center"/>
            <w:hideMark/>
          </w:tcPr>
          <w:p w14:paraId="55087E25"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Release manifest</w:t>
            </w:r>
          </w:p>
        </w:tc>
        <w:tc>
          <w:tcPr>
            <w:tcW w:w="0" w:type="auto"/>
            <w:vAlign w:val="center"/>
            <w:hideMark/>
          </w:tcPr>
          <w:p w14:paraId="41DC388B"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Lists canonical files, versions, hashes, dates, and release identifiers.</w:t>
            </w:r>
          </w:p>
        </w:tc>
      </w:tr>
      <w:tr w:rsidR="00AA1A42" w:rsidRPr="00B479AE" w14:paraId="5CB284CA" w14:textId="77777777" w:rsidTr="006B042F">
        <w:trPr>
          <w:tblCellSpacing w:w="15" w:type="dxa"/>
        </w:trPr>
        <w:tc>
          <w:tcPr>
            <w:tcW w:w="0" w:type="auto"/>
            <w:vAlign w:val="center"/>
            <w:hideMark/>
          </w:tcPr>
          <w:p w14:paraId="090DE70E"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SHA-256 checksum file</w:t>
            </w:r>
          </w:p>
        </w:tc>
        <w:tc>
          <w:tcPr>
            <w:tcW w:w="0" w:type="auto"/>
            <w:vAlign w:val="center"/>
            <w:hideMark/>
          </w:tcPr>
          <w:p w14:paraId="7565C7E5"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Allows offline integrity verification of each file.</w:t>
            </w:r>
          </w:p>
        </w:tc>
      </w:tr>
      <w:tr w:rsidR="00AA1A42" w:rsidRPr="00B479AE" w14:paraId="443181B4" w14:textId="77777777" w:rsidTr="006B042F">
        <w:trPr>
          <w:tblCellSpacing w:w="15" w:type="dxa"/>
        </w:trPr>
        <w:tc>
          <w:tcPr>
            <w:tcW w:w="0" w:type="auto"/>
            <w:vAlign w:val="center"/>
            <w:hideMark/>
          </w:tcPr>
          <w:p w14:paraId="479D291A"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Detached signatures</w:t>
            </w:r>
          </w:p>
        </w:tc>
        <w:tc>
          <w:tcPr>
            <w:tcW w:w="0" w:type="auto"/>
            <w:vAlign w:val="center"/>
            <w:hideMark/>
          </w:tcPr>
          <w:p w14:paraId="733E9D9D"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Allows authenticity verification through public-key cryptography.</w:t>
            </w:r>
          </w:p>
        </w:tc>
      </w:tr>
      <w:tr w:rsidR="00AA1A42" w:rsidRPr="00B479AE" w14:paraId="108D5759" w14:textId="77777777" w:rsidTr="006B042F">
        <w:trPr>
          <w:tblCellSpacing w:w="15" w:type="dxa"/>
        </w:trPr>
        <w:tc>
          <w:tcPr>
            <w:tcW w:w="0" w:type="auto"/>
            <w:vAlign w:val="center"/>
            <w:hideMark/>
          </w:tcPr>
          <w:p w14:paraId="3A499EFF"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Public signing key</w:t>
            </w:r>
          </w:p>
        </w:tc>
        <w:tc>
          <w:tcPr>
            <w:tcW w:w="0" w:type="auto"/>
            <w:vAlign w:val="center"/>
            <w:hideMark/>
          </w:tcPr>
          <w:p w14:paraId="356576DA"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Allows independent verification of release signatures.</w:t>
            </w:r>
          </w:p>
        </w:tc>
      </w:tr>
      <w:tr w:rsidR="00AA1A42" w:rsidRPr="00B479AE" w14:paraId="28395325" w14:textId="77777777" w:rsidTr="006B042F">
        <w:trPr>
          <w:tblCellSpacing w:w="15" w:type="dxa"/>
        </w:trPr>
        <w:tc>
          <w:tcPr>
            <w:tcW w:w="0" w:type="auto"/>
            <w:vAlign w:val="center"/>
            <w:hideMark/>
          </w:tcPr>
          <w:p w14:paraId="195CB61E"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Verification manual</w:t>
            </w:r>
          </w:p>
        </w:tc>
        <w:tc>
          <w:tcPr>
            <w:tcW w:w="0" w:type="auto"/>
            <w:vAlign w:val="center"/>
            <w:hideMark/>
          </w:tcPr>
          <w:p w14:paraId="14C36D00"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Explains how to verify authenticity without trusting a live platform.</w:t>
            </w:r>
          </w:p>
        </w:tc>
      </w:tr>
      <w:tr w:rsidR="00AA1A42" w:rsidRPr="00B479AE" w14:paraId="4920EC07" w14:textId="77777777" w:rsidTr="006B042F">
        <w:trPr>
          <w:tblCellSpacing w:w="15" w:type="dxa"/>
        </w:trPr>
        <w:tc>
          <w:tcPr>
            <w:tcW w:w="0" w:type="auto"/>
            <w:vAlign w:val="center"/>
            <w:hideMark/>
          </w:tcPr>
          <w:p w14:paraId="3A378A7C"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Source-code snapshot</w:t>
            </w:r>
          </w:p>
        </w:tc>
        <w:tc>
          <w:tcPr>
            <w:tcW w:w="0" w:type="auto"/>
            <w:vAlign w:val="center"/>
            <w:hideMark/>
          </w:tcPr>
          <w:p w14:paraId="7FC87AEE"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Preserves implementation state where applicable.</w:t>
            </w:r>
          </w:p>
        </w:tc>
      </w:tr>
      <w:tr w:rsidR="00AA1A42" w:rsidRPr="00B479AE" w14:paraId="536DD7CC" w14:textId="77777777" w:rsidTr="006B042F">
        <w:trPr>
          <w:tblCellSpacing w:w="15" w:type="dxa"/>
        </w:trPr>
        <w:tc>
          <w:tcPr>
            <w:tcW w:w="0" w:type="auto"/>
            <w:vAlign w:val="center"/>
            <w:hideMark/>
          </w:tcPr>
          <w:p w14:paraId="0F0BB438"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Canonical glossary</w:t>
            </w:r>
          </w:p>
        </w:tc>
        <w:tc>
          <w:tcPr>
            <w:tcW w:w="0" w:type="auto"/>
            <w:vAlign w:val="center"/>
            <w:hideMark/>
          </w:tcPr>
          <w:p w14:paraId="4F0D7C7E"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Preserves protected meanings against semantic drift.</w:t>
            </w:r>
          </w:p>
        </w:tc>
      </w:tr>
      <w:tr w:rsidR="00AA1A42" w:rsidRPr="00B479AE" w14:paraId="660F7576" w14:textId="77777777" w:rsidTr="006B042F">
        <w:trPr>
          <w:tblCellSpacing w:w="15" w:type="dxa"/>
        </w:trPr>
        <w:tc>
          <w:tcPr>
            <w:tcW w:w="0" w:type="auto"/>
            <w:vAlign w:val="center"/>
            <w:hideMark/>
          </w:tcPr>
          <w:p w14:paraId="37FC87C6"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Legal and license bundle</w:t>
            </w:r>
          </w:p>
        </w:tc>
        <w:tc>
          <w:tcPr>
            <w:tcW w:w="0" w:type="auto"/>
            <w:vAlign w:val="center"/>
            <w:hideMark/>
          </w:tcPr>
          <w:p w14:paraId="6DF18886"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Preserves licenses, constitutional rider, contributor terms, and canonical-use rules.</w:t>
            </w:r>
          </w:p>
        </w:tc>
      </w:tr>
      <w:tr w:rsidR="00AA1A42" w:rsidRPr="00B479AE" w14:paraId="2DCE3817" w14:textId="77777777" w:rsidTr="006B042F">
        <w:trPr>
          <w:tblCellSpacing w:w="15" w:type="dxa"/>
        </w:trPr>
        <w:tc>
          <w:tcPr>
            <w:tcW w:w="0" w:type="auto"/>
            <w:vAlign w:val="center"/>
            <w:hideMark/>
          </w:tcPr>
          <w:p w14:paraId="7A1A2893"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Governance record snapshot</w:t>
            </w:r>
          </w:p>
        </w:tc>
        <w:tc>
          <w:tcPr>
            <w:tcW w:w="0" w:type="auto"/>
            <w:vAlign w:val="center"/>
            <w:hideMark/>
          </w:tcPr>
          <w:p w14:paraId="58938124"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Preserves decision history, release approvals, custodians, and version lineage.</w:t>
            </w:r>
          </w:p>
        </w:tc>
      </w:tr>
      <w:tr w:rsidR="00AA1A42" w:rsidRPr="00B479AE" w14:paraId="1FCA2B6F" w14:textId="77777777" w:rsidTr="006B042F">
        <w:trPr>
          <w:tblCellSpacing w:w="15" w:type="dxa"/>
        </w:trPr>
        <w:tc>
          <w:tcPr>
            <w:tcW w:w="0" w:type="auto"/>
            <w:vAlign w:val="center"/>
            <w:hideMark/>
          </w:tcPr>
          <w:p w14:paraId="5B4AA76A"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Recovery procedure</w:t>
            </w:r>
          </w:p>
        </w:tc>
        <w:tc>
          <w:tcPr>
            <w:tcW w:w="0" w:type="auto"/>
            <w:vAlign w:val="center"/>
            <w:hideMark/>
          </w:tcPr>
          <w:p w14:paraId="5A057E46"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Defines how to restore the canon after compromise, outage, or migration.</w:t>
            </w:r>
          </w:p>
        </w:tc>
      </w:tr>
      <w:tr w:rsidR="00AA1A42" w:rsidRPr="00B479AE" w14:paraId="2733EC46" w14:textId="77777777" w:rsidTr="006B042F">
        <w:trPr>
          <w:tblCellSpacing w:w="15" w:type="dxa"/>
        </w:trPr>
        <w:tc>
          <w:tcPr>
            <w:tcW w:w="0" w:type="auto"/>
            <w:vAlign w:val="center"/>
            <w:hideMark/>
          </w:tcPr>
          <w:p w14:paraId="29F0F94C"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Physical archive copy</w:t>
            </w:r>
          </w:p>
        </w:tc>
        <w:tc>
          <w:tcPr>
            <w:tcW w:w="0" w:type="auto"/>
            <w:vAlign w:val="center"/>
            <w:hideMark/>
          </w:tcPr>
          <w:p w14:paraId="1C98A663"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Preserves the constitutional memory outside digital fragility.</w:t>
            </w:r>
          </w:p>
        </w:tc>
      </w:tr>
    </w:tbl>
    <w:p w14:paraId="0DFBF7C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This package should be reproducible.</w:t>
      </w:r>
    </w:p>
    <w:p w14:paraId="165D1F34"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A future custodian should be able to rebuild the canonical release from signed components, verify its integrity, and compare it against known hashes without Internet access.</w:t>
      </w:r>
    </w:p>
    <w:p w14:paraId="0D82D12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minimum offline verification pathway is:</w:t>
      </w:r>
    </w:p>
    <w:p w14:paraId="6E9F898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canonical bundle received;</w:t>
      </w:r>
      <w:r w:rsidRPr="00B479AE">
        <w:rPr>
          <w:rFonts w:ascii="Baskerville Old Face" w:hAnsi="Baskerville Old Face"/>
          <w:i/>
          <w:iCs/>
        </w:rPr>
        <w:br/>
        <w:t>public key imported from trusted archive;</w:t>
      </w:r>
      <w:r w:rsidRPr="00B479AE">
        <w:rPr>
          <w:rFonts w:ascii="Baskerville Old Face" w:hAnsi="Baskerville Old Face"/>
          <w:i/>
          <w:iCs/>
        </w:rPr>
        <w:br/>
        <w:t>hashes calculated locally;</w:t>
      </w:r>
      <w:r w:rsidRPr="00B479AE">
        <w:rPr>
          <w:rFonts w:ascii="Baskerville Old Face" w:hAnsi="Baskerville Old Face"/>
          <w:i/>
          <w:iCs/>
        </w:rPr>
        <w:br/>
        <w:t>hashes compared to signed checksum file;</w:t>
      </w:r>
      <w:r w:rsidRPr="00B479AE">
        <w:rPr>
          <w:rFonts w:ascii="Baskerville Old Face" w:hAnsi="Baskerville Old Face"/>
          <w:i/>
          <w:iCs/>
        </w:rPr>
        <w:br/>
        <w:t>detached signatures verified;</w:t>
      </w:r>
      <w:r w:rsidRPr="00B479AE">
        <w:rPr>
          <w:rFonts w:ascii="Baskerville Old Face" w:hAnsi="Baskerville Old Face"/>
          <w:i/>
          <w:iCs/>
        </w:rPr>
        <w:br/>
        <w:t>release manifest checked;</w:t>
      </w:r>
      <w:r w:rsidRPr="00B479AE">
        <w:rPr>
          <w:rFonts w:ascii="Baskerville Old Face" w:hAnsi="Baskerville Old Face"/>
          <w:i/>
          <w:iCs/>
        </w:rPr>
        <w:br/>
        <w:t>canonical glossary confirmed;</w:t>
      </w:r>
      <w:r w:rsidRPr="00B479AE">
        <w:rPr>
          <w:rFonts w:ascii="Baskerville Old Face" w:hAnsi="Baskerville Old Face"/>
          <w:i/>
          <w:iCs/>
        </w:rPr>
        <w:br/>
        <w:t>source-layer non-regression statement reviewed;</w:t>
      </w:r>
      <w:r w:rsidRPr="00B479AE">
        <w:rPr>
          <w:rFonts w:ascii="Baskerville Old Face" w:hAnsi="Baskerville Old Face"/>
          <w:i/>
          <w:iCs/>
        </w:rPr>
        <w:br/>
        <w:t>custodian record compared where available.</w:t>
      </w:r>
    </w:p>
    <w:p w14:paraId="796C0C9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This makes Prometheus portable across failure.</w:t>
      </w:r>
    </w:p>
    <w:p w14:paraId="412C8D3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village without Internet can preserve Prometheus.</w:t>
      </w:r>
    </w:p>
    <w:p w14:paraId="6532815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bioregion under network disruption can preserve Prometheus.</w:t>
      </w:r>
    </w:p>
    <w:p w14:paraId="5D9A062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post-disaster community can preserve Prometheus.</w:t>
      </w:r>
    </w:p>
    <w:p w14:paraId="78EB14E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spacecraft, habitat, archive vault, research station, monastery, school, seed bank, library, sovereign device, or continuity node can preserve Prometheus.</w:t>
      </w:r>
    </w:p>
    <w:p w14:paraId="6D8DE31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architecture supports multiple transmission modes:</w:t>
      </w:r>
    </w:p>
    <w:p w14:paraId="48E6F39E" w14:textId="77777777" w:rsidR="006B042F" w:rsidRPr="00B479AE" w:rsidRDefault="006B042F" w:rsidP="00AA1A42">
      <w:pPr>
        <w:spacing w:line="360" w:lineRule="auto"/>
        <w:rPr>
          <w:rFonts w:ascii="Baskerville Old Face" w:hAnsi="Baskerville Old Face"/>
          <w:i/>
          <w:iCs/>
        </w:rPr>
      </w:pPr>
    </w:p>
    <w:p w14:paraId="713493E7" w14:textId="77777777" w:rsidR="006B042F" w:rsidRPr="00B479AE" w:rsidRDefault="006B042F" w:rsidP="00AA1A42">
      <w:pPr>
        <w:spacing w:line="360" w:lineRule="auto"/>
        <w:rPr>
          <w:rFonts w:ascii="Baskerville Old Face" w:hAnsi="Baskerville Old Face"/>
          <w:i/>
          <w:iCs/>
        </w:rPr>
      </w:pPr>
    </w:p>
    <w:p w14:paraId="6D49E073" w14:textId="77777777" w:rsidR="006B042F" w:rsidRPr="00B479AE" w:rsidRDefault="006B042F" w:rsidP="00AA1A42">
      <w:pPr>
        <w:spacing w:line="360" w:lineRule="auto"/>
        <w:rPr>
          <w:rFonts w:ascii="Baskerville Old Face" w:hAnsi="Baskerville Old Face"/>
          <w:i/>
          <w:iCs/>
        </w:rPr>
      </w:pPr>
    </w:p>
    <w:p w14:paraId="6B64DD19" w14:textId="77777777" w:rsidR="006B042F" w:rsidRPr="00B479AE" w:rsidRDefault="006B042F" w:rsidP="00AA1A42">
      <w:pPr>
        <w:spacing w:line="360" w:lineRule="auto"/>
        <w:rPr>
          <w:rFonts w:ascii="Baskerville Old Face" w:hAnsi="Baskerville Old Face"/>
          <w:i/>
          <w:iCs/>
        </w:rPr>
      </w:pPr>
    </w:p>
    <w:p w14:paraId="169464DB" w14:textId="77777777" w:rsidR="006B042F" w:rsidRPr="00B479AE" w:rsidRDefault="006B042F" w:rsidP="00AA1A42">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39"/>
        <w:gridCol w:w="5889"/>
      </w:tblGrid>
      <w:tr w:rsidR="00AA1A42" w:rsidRPr="00B479AE" w14:paraId="510AD0C9" w14:textId="77777777" w:rsidTr="006B042F">
        <w:trPr>
          <w:tblHeader/>
          <w:tblCellSpacing w:w="15" w:type="dxa"/>
        </w:trPr>
        <w:tc>
          <w:tcPr>
            <w:tcW w:w="0" w:type="auto"/>
            <w:vAlign w:val="center"/>
            <w:hideMark/>
          </w:tcPr>
          <w:p w14:paraId="774DEF40" w14:textId="77777777" w:rsidR="00AA1A42" w:rsidRPr="00B479AE" w:rsidRDefault="00AA1A42" w:rsidP="00AA1A4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Transmission mode</w:t>
            </w:r>
          </w:p>
        </w:tc>
        <w:tc>
          <w:tcPr>
            <w:tcW w:w="0" w:type="auto"/>
            <w:vAlign w:val="center"/>
            <w:hideMark/>
          </w:tcPr>
          <w:p w14:paraId="03E05ADF" w14:textId="77777777" w:rsidR="00AA1A42" w:rsidRPr="00B479AE" w:rsidRDefault="00AA1A42" w:rsidP="00AA1A4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Use case</w:t>
            </w:r>
          </w:p>
        </w:tc>
      </w:tr>
      <w:tr w:rsidR="00AA1A42" w:rsidRPr="00B479AE" w14:paraId="1E7D36DB" w14:textId="77777777" w:rsidTr="006B042F">
        <w:trPr>
          <w:tblCellSpacing w:w="15" w:type="dxa"/>
        </w:trPr>
        <w:tc>
          <w:tcPr>
            <w:tcW w:w="0" w:type="auto"/>
            <w:vAlign w:val="center"/>
            <w:hideMark/>
          </w:tcPr>
          <w:p w14:paraId="26F89C91"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Internet repository</w:t>
            </w:r>
          </w:p>
        </w:tc>
        <w:tc>
          <w:tcPr>
            <w:tcW w:w="0" w:type="auto"/>
            <w:vAlign w:val="center"/>
            <w:hideMark/>
          </w:tcPr>
          <w:p w14:paraId="2A9B2F95"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Fast public access, issue tracking, collaboration, release visibility.</w:t>
            </w:r>
          </w:p>
        </w:tc>
      </w:tr>
      <w:tr w:rsidR="00AA1A42" w:rsidRPr="00B479AE" w14:paraId="388AF512" w14:textId="77777777" w:rsidTr="006B042F">
        <w:trPr>
          <w:tblCellSpacing w:w="15" w:type="dxa"/>
        </w:trPr>
        <w:tc>
          <w:tcPr>
            <w:tcW w:w="0" w:type="auto"/>
            <w:vAlign w:val="center"/>
            <w:hideMark/>
          </w:tcPr>
          <w:p w14:paraId="44AE2D3A"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Mirrored repository</w:t>
            </w:r>
          </w:p>
        </w:tc>
        <w:tc>
          <w:tcPr>
            <w:tcW w:w="0" w:type="auto"/>
            <w:vAlign w:val="center"/>
            <w:hideMark/>
          </w:tcPr>
          <w:p w14:paraId="6909D05A"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Redundancy across platforms and jurisdictions.</w:t>
            </w:r>
          </w:p>
        </w:tc>
      </w:tr>
      <w:tr w:rsidR="00AA1A42" w:rsidRPr="00B479AE" w14:paraId="63BE8B9C" w14:textId="77777777" w:rsidTr="006B042F">
        <w:trPr>
          <w:tblCellSpacing w:w="15" w:type="dxa"/>
        </w:trPr>
        <w:tc>
          <w:tcPr>
            <w:tcW w:w="0" w:type="auto"/>
            <w:vAlign w:val="center"/>
            <w:hideMark/>
          </w:tcPr>
          <w:p w14:paraId="45E88E5A"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Local Git clone</w:t>
            </w:r>
          </w:p>
        </w:tc>
        <w:tc>
          <w:tcPr>
            <w:tcW w:w="0" w:type="auto"/>
            <w:vAlign w:val="center"/>
            <w:hideMark/>
          </w:tcPr>
          <w:p w14:paraId="05A9F23C"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Offline version history and technical continuity.</w:t>
            </w:r>
          </w:p>
        </w:tc>
      </w:tr>
      <w:tr w:rsidR="00AA1A42" w:rsidRPr="00B479AE" w14:paraId="43997997" w14:textId="77777777" w:rsidTr="006B042F">
        <w:trPr>
          <w:tblCellSpacing w:w="15" w:type="dxa"/>
        </w:trPr>
        <w:tc>
          <w:tcPr>
            <w:tcW w:w="0" w:type="auto"/>
            <w:vAlign w:val="center"/>
            <w:hideMark/>
          </w:tcPr>
          <w:p w14:paraId="1FFED922"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Signed ZIP / TAR archive</w:t>
            </w:r>
          </w:p>
        </w:tc>
        <w:tc>
          <w:tcPr>
            <w:tcW w:w="0" w:type="auto"/>
            <w:vAlign w:val="center"/>
            <w:hideMark/>
          </w:tcPr>
          <w:p w14:paraId="0EDCB1B1"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Portable release package.</w:t>
            </w:r>
          </w:p>
        </w:tc>
      </w:tr>
      <w:tr w:rsidR="00AA1A42" w:rsidRPr="00B479AE" w14:paraId="3F0631E0" w14:textId="77777777" w:rsidTr="006B042F">
        <w:trPr>
          <w:tblCellSpacing w:w="15" w:type="dxa"/>
        </w:trPr>
        <w:tc>
          <w:tcPr>
            <w:tcW w:w="0" w:type="auto"/>
            <w:vAlign w:val="center"/>
            <w:hideMark/>
          </w:tcPr>
          <w:p w14:paraId="71DA68B9"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USB / SD / encrypted drive</w:t>
            </w:r>
          </w:p>
        </w:tc>
        <w:tc>
          <w:tcPr>
            <w:tcW w:w="0" w:type="auto"/>
            <w:vAlign w:val="center"/>
            <w:hideMark/>
          </w:tcPr>
          <w:p w14:paraId="62F07D5D"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Field transfer and local custody.</w:t>
            </w:r>
          </w:p>
        </w:tc>
      </w:tr>
      <w:tr w:rsidR="00AA1A42" w:rsidRPr="00B479AE" w14:paraId="01BE16C7" w14:textId="77777777" w:rsidTr="006B042F">
        <w:trPr>
          <w:tblCellSpacing w:w="15" w:type="dxa"/>
        </w:trPr>
        <w:tc>
          <w:tcPr>
            <w:tcW w:w="0" w:type="auto"/>
            <w:vAlign w:val="center"/>
            <w:hideMark/>
          </w:tcPr>
          <w:p w14:paraId="6BB43716"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Printed constitutional package</w:t>
            </w:r>
          </w:p>
        </w:tc>
        <w:tc>
          <w:tcPr>
            <w:tcW w:w="0" w:type="auto"/>
            <w:vAlign w:val="center"/>
            <w:hideMark/>
          </w:tcPr>
          <w:p w14:paraId="7BB24997"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Human-readable survival layer.</w:t>
            </w:r>
          </w:p>
        </w:tc>
      </w:tr>
      <w:tr w:rsidR="00AA1A42" w:rsidRPr="00B479AE" w14:paraId="4C73497F" w14:textId="77777777" w:rsidTr="006B042F">
        <w:trPr>
          <w:tblCellSpacing w:w="15" w:type="dxa"/>
        </w:trPr>
        <w:tc>
          <w:tcPr>
            <w:tcW w:w="0" w:type="auto"/>
            <w:vAlign w:val="center"/>
            <w:hideMark/>
          </w:tcPr>
          <w:p w14:paraId="747C7993" w14:textId="77777777" w:rsidR="00AA1A42" w:rsidRPr="005907F1" w:rsidRDefault="00AA1A42" w:rsidP="00AA1A42">
            <w:pPr>
              <w:spacing w:line="360" w:lineRule="auto"/>
              <w:rPr>
                <w:rFonts w:ascii="Baskerville Old Face" w:hAnsi="Baskerville Old Face"/>
                <w:i/>
                <w:iCs/>
                <w:sz w:val="22"/>
                <w:szCs w:val="22"/>
                <w:lang w:val="it-IT"/>
              </w:rPr>
            </w:pPr>
            <w:r w:rsidRPr="005907F1">
              <w:rPr>
                <w:rFonts w:ascii="Baskerville Old Face" w:hAnsi="Baskerville Old Face"/>
                <w:b/>
                <w:bCs/>
                <w:i/>
                <w:iCs/>
                <w:sz w:val="22"/>
                <w:szCs w:val="22"/>
                <w:lang w:val="it-IT"/>
              </w:rPr>
              <w:t>M-DISC / archival media / cold storage</w:t>
            </w:r>
          </w:p>
        </w:tc>
        <w:tc>
          <w:tcPr>
            <w:tcW w:w="0" w:type="auto"/>
            <w:vAlign w:val="center"/>
            <w:hideMark/>
          </w:tcPr>
          <w:p w14:paraId="6650FFD4"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Long-duration physical preservation.</w:t>
            </w:r>
          </w:p>
        </w:tc>
      </w:tr>
      <w:tr w:rsidR="00AA1A42" w:rsidRPr="00B479AE" w14:paraId="3BC991A3" w14:textId="77777777" w:rsidTr="006B042F">
        <w:trPr>
          <w:tblCellSpacing w:w="15" w:type="dxa"/>
        </w:trPr>
        <w:tc>
          <w:tcPr>
            <w:tcW w:w="0" w:type="auto"/>
            <w:vAlign w:val="center"/>
            <w:hideMark/>
          </w:tcPr>
          <w:p w14:paraId="7DD77309"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Mesh / LoRa / radio packet / local network</w:t>
            </w:r>
          </w:p>
        </w:tc>
        <w:tc>
          <w:tcPr>
            <w:tcW w:w="0" w:type="auto"/>
            <w:vAlign w:val="center"/>
            <w:hideMark/>
          </w:tcPr>
          <w:p w14:paraId="4D6521AC"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Low-bandwidth post-disruption distribution.</w:t>
            </w:r>
          </w:p>
        </w:tc>
      </w:tr>
      <w:tr w:rsidR="00AA1A42" w:rsidRPr="00B479AE" w14:paraId="10EE4698" w14:textId="77777777" w:rsidTr="006B042F">
        <w:trPr>
          <w:tblCellSpacing w:w="15" w:type="dxa"/>
        </w:trPr>
        <w:tc>
          <w:tcPr>
            <w:tcW w:w="0" w:type="auto"/>
            <w:vAlign w:val="center"/>
            <w:hideMark/>
          </w:tcPr>
          <w:p w14:paraId="3EE4DF00"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Satellite or alternative links</w:t>
            </w:r>
          </w:p>
        </w:tc>
        <w:tc>
          <w:tcPr>
            <w:tcW w:w="0" w:type="auto"/>
            <w:vAlign w:val="center"/>
            <w:hideMark/>
          </w:tcPr>
          <w:p w14:paraId="6D4BD319"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Remote continuity where terrestrial networks fail.</w:t>
            </w:r>
          </w:p>
        </w:tc>
      </w:tr>
      <w:tr w:rsidR="00AA1A42" w:rsidRPr="00B479AE" w14:paraId="31D0BD42" w14:textId="77777777" w:rsidTr="006B042F">
        <w:trPr>
          <w:tblCellSpacing w:w="15" w:type="dxa"/>
        </w:trPr>
        <w:tc>
          <w:tcPr>
            <w:tcW w:w="0" w:type="auto"/>
            <w:vAlign w:val="center"/>
            <w:hideMark/>
          </w:tcPr>
          <w:p w14:paraId="2016E6E6"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Institutional deposit</w:t>
            </w:r>
          </w:p>
        </w:tc>
        <w:tc>
          <w:tcPr>
            <w:tcW w:w="0" w:type="auto"/>
            <w:vAlign w:val="center"/>
            <w:hideMark/>
          </w:tcPr>
          <w:p w14:paraId="29A4C971"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Legal and archival continuity.</w:t>
            </w:r>
          </w:p>
        </w:tc>
      </w:tr>
      <w:tr w:rsidR="00AA1A42" w:rsidRPr="00B479AE" w14:paraId="76D9D409" w14:textId="77777777" w:rsidTr="006B042F">
        <w:trPr>
          <w:tblCellSpacing w:w="15" w:type="dxa"/>
        </w:trPr>
        <w:tc>
          <w:tcPr>
            <w:tcW w:w="0" w:type="auto"/>
            <w:vAlign w:val="center"/>
            <w:hideMark/>
          </w:tcPr>
          <w:p w14:paraId="2FF95236"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Community custody</w:t>
            </w:r>
          </w:p>
        </w:tc>
        <w:tc>
          <w:tcPr>
            <w:tcW w:w="0" w:type="auto"/>
            <w:vAlign w:val="center"/>
            <w:hideMark/>
          </w:tcPr>
          <w:p w14:paraId="0AD3B52A"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Distributed cultural memory.</w:t>
            </w:r>
          </w:p>
        </w:tc>
      </w:tr>
      <w:tr w:rsidR="00AA1A42" w:rsidRPr="00B479AE" w14:paraId="1BF8A118" w14:textId="77777777" w:rsidTr="006B042F">
        <w:trPr>
          <w:tblCellSpacing w:w="15" w:type="dxa"/>
        </w:trPr>
        <w:tc>
          <w:tcPr>
            <w:tcW w:w="0" w:type="auto"/>
            <w:vAlign w:val="center"/>
            <w:hideMark/>
          </w:tcPr>
          <w:p w14:paraId="1DA85DED"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Biological / seed-bank archive</w:t>
            </w:r>
          </w:p>
        </w:tc>
        <w:tc>
          <w:tcPr>
            <w:tcW w:w="0" w:type="auto"/>
            <w:vAlign w:val="center"/>
            <w:hideMark/>
          </w:tcPr>
          <w:p w14:paraId="5F27FBED"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Continuity of living-system knowledge and post-disaster regeneration.</w:t>
            </w:r>
          </w:p>
        </w:tc>
      </w:tr>
    </w:tbl>
    <w:p w14:paraId="2C48E21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distinguishes online availability from canonical validity.</w:t>
      </w:r>
    </w:p>
    <w:p w14:paraId="0315A9E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Online availability means that a file can be reached.</w:t>
      </w:r>
    </w:p>
    <w:p w14:paraId="7123C2D4"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Canonical validity means that a file can be verified.</w:t>
      </w:r>
    </w:p>
    <w:p w14:paraId="03F63CE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Availability is useful.</w:t>
      </w:r>
    </w:p>
    <w:p w14:paraId="188B141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Verifiability is essential.</w:t>
      </w:r>
    </w:p>
    <w:p w14:paraId="2A8F0D6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file hosted online but unsigned is insufficient.</w:t>
      </w:r>
    </w:p>
    <w:p w14:paraId="4D01E7B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A file offline but signed, hashed, versioned, and traceable may preserve the canon.</w:t>
      </w:r>
    </w:p>
    <w:p w14:paraId="5D23DD6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This is how Prometheus survives without Internet.</w:t>
      </w:r>
    </w:p>
    <w:p w14:paraId="43F29F6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becomes a portable constitutional organism.</w:t>
      </w:r>
    </w:p>
    <w:p w14:paraId="4DD9EF1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can go dark without becoming lost.</w:t>
      </w:r>
    </w:p>
    <w:p w14:paraId="3CB6E3F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can travel without permission from a platform.</w:t>
      </w:r>
    </w:p>
    <w:p w14:paraId="4F53FF3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can sleep in archives and awaken through verification.</w:t>
      </w:r>
    </w:p>
    <w:p w14:paraId="64732A0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can be carried by stewards, institutions, communities, devices, libraries, vaults, ships, habitats, and future continuity nodes.</w:t>
      </w:r>
    </w:p>
    <w:p w14:paraId="311F9C0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network-independent rule is:</w:t>
      </w:r>
    </w:p>
    <w:p w14:paraId="24B21B8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may use the Internet;</w:t>
      </w:r>
      <w:r w:rsidRPr="00B479AE">
        <w:rPr>
          <w:rFonts w:ascii="Baskerville Old Face" w:hAnsi="Baskerville Old Face"/>
          <w:i/>
          <w:iCs/>
        </w:rPr>
        <w:br/>
        <w:t>Prometheus must not depend on the Internet;</w:t>
      </w:r>
      <w:r w:rsidRPr="00B479AE">
        <w:rPr>
          <w:rFonts w:ascii="Baskerville Old Face" w:hAnsi="Baskerville Old Face"/>
          <w:i/>
          <w:iCs/>
        </w:rPr>
        <w:br/>
        <w:t>Prometheus survives wherever the source layer can be verified, understood, transmitted, and faithfully reactivated.</w:t>
      </w:r>
    </w:p>
    <w:p w14:paraId="7598AC1F" w14:textId="351E9220" w:rsidR="006602F4" w:rsidRPr="00B479AE" w:rsidRDefault="006602F4" w:rsidP="006602F4">
      <w:pPr>
        <w:spacing w:line="360" w:lineRule="auto"/>
        <w:rPr>
          <w:rFonts w:ascii="Baskerville Old Face" w:hAnsi="Baskerville Old Face"/>
          <w:b/>
          <w:bCs/>
          <w:i/>
          <w:iCs/>
        </w:rPr>
      </w:pPr>
      <w:r w:rsidRPr="00B479AE">
        <w:rPr>
          <w:rFonts w:ascii="Baskerville Old Face" w:hAnsi="Baskerville Old Face"/>
          <w:b/>
          <w:bCs/>
          <w:i/>
          <w:iCs/>
        </w:rPr>
        <w:t>Canonical Continuity and Offline Survival Function</w:t>
      </w:r>
    </w:p>
    <w:p w14:paraId="7D101D90"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Prometheus must remain intelligible, verifiable, and recoverable even when specific platforms, repositories, networks, institutions, or digital infrastructures fail.</w:t>
      </w:r>
    </w:p>
    <w:p w14:paraId="6E4B2AB3"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GitHub may host the canon.</w:t>
      </w:r>
    </w:p>
    <w:p w14:paraId="54B20BF0"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GitHub does not own the canon.</w:t>
      </w:r>
    </w:p>
    <w:p w14:paraId="4D80DA37"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A cloud service may mirror Prometheus.</w:t>
      </w:r>
    </w:p>
    <w:p w14:paraId="63405CA0"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A cloud service does not define Prometheus.</w:t>
      </w:r>
    </w:p>
    <w:p w14:paraId="372E4E80"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An online repository may distribute Prometheus.</w:t>
      </w:r>
    </w:p>
    <w:p w14:paraId="06865F51"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An online repository does not constitute the source layer.</w:t>
      </w:r>
    </w:p>
    <w:p w14:paraId="6C035F98"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The continuity of Prometheus depends on the preservation of its canonical identity across online, offline, local, institutional, cryptographic, printed, and human stewardship layers.</w:t>
      </w:r>
    </w:p>
    <w:p w14:paraId="58773AC3"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lastRenderedPageBreak/>
        <w:t>This continuity may be expressed conceptually as:</w:t>
      </w:r>
    </w:p>
    <w:p w14:paraId="71161E15"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Continuity_Prometheus = f(Canon, Hashes, Signatures, Mirrors, Offline Archives, Human Stewards, Governance Memory, Recovery Protocols)</w:t>
      </w:r>
    </w:p>
    <w:p w14:paraId="788D0443"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Where:</w:t>
      </w:r>
    </w:p>
    <w:p w14:paraId="54E96943"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Canon = foundational text, source-layer articles, Eternity Clauses, Access Covenant, canonical glossary, constitutional sequences, and approved release package.</w:t>
      </w:r>
    </w:p>
    <w:p w14:paraId="197810F9"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Hashes = cryptographic checksums verifying document integrity.</w:t>
      </w:r>
    </w:p>
    <w:p w14:paraId="2E2FEDEF"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Signatures = detached signatures, steward attestations, institutional attestations, or other verification mechanisms confirming release authenticity.</w:t>
      </w:r>
    </w:p>
    <w:p w14:paraId="7FC7BC9E"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Mirrors = distributed online copies, Git repositories, institutional archives, IPFS-like references where appropriate, and other redundant digital locations.</w:t>
      </w:r>
    </w:p>
    <w:p w14:paraId="2C9BEE96"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Offline Archives = printed copies, local digital archives, encrypted drives, air-gapped storage, physical release binders, libraries, seed-bank records, and bioregional continuity packages.</w:t>
      </w:r>
    </w:p>
    <w:p w14:paraId="751CCDA0"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Human Stewards = people, circles, institutions, communities, or continuity custodians capable of interpreting, preserving, and reactivating the canon.</w:t>
      </w:r>
    </w:p>
    <w:p w14:paraId="6D096ADC"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Governance Memory = decision logs, release notes, amendment history, interpretation records, dispute records, fork classifications, and canonical review outcomes.</w:t>
      </w:r>
    </w:p>
    <w:p w14:paraId="1D555DF4"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Recovery Protocols = procedures for reconstructing, verifying, re-publishing, translating, and reactivating Prometheus after disruption.</w:t>
      </w:r>
    </w:p>
    <w:p w14:paraId="6F021FFF"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A simplified continuity condition may be expressed as:</w:t>
      </w:r>
    </w:p>
    <w:p w14:paraId="3F9268FB"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 xml:space="preserve">C_continuity = C_id </w:t>
      </w:r>
      <w:r w:rsidRPr="00B479AE">
        <w:rPr>
          <w:rFonts w:ascii="Cambria" w:hAnsi="Cambria" w:cs="Cambria"/>
          <w:i/>
          <w:iCs/>
        </w:rPr>
        <w:t>·</w:t>
      </w:r>
      <w:r w:rsidRPr="00B479AE">
        <w:rPr>
          <w:rFonts w:ascii="Baskerville Old Face" w:hAnsi="Baskerville Old Face"/>
          <w:i/>
          <w:iCs/>
        </w:rPr>
        <w:t xml:space="preserve"> H_int </w:t>
      </w:r>
      <w:r w:rsidRPr="00B479AE">
        <w:rPr>
          <w:rFonts w:ascii="Cambria" w:hAnsi="Cambria" w:cs="Cambria"/>
          <w:i/>
          <w:iCs/>
        </w:rPr>
        <w:t>·</w:t>
      </w:r>
      <w:r w:rsidRPr="00B479AE">
        <w:rPr>
          <w:rFonts w:ascii="Baskerville Old Face" w:hAnsi="Baskerville Old Face"/>
          <w:i/>
          <w:iCs/>
        </w:rPr>
        <w:t xml:space="preserve"> S_auth </w:t>
      </w:r>
      <w:r w:rsidRPr="00B479AE">
        <w:rPr>
          <w:rFonts w:ascii="Cambria" w:hAnsi="Cambria" w:cs="Cambria"/>
          <w:i/>
          <w:iCs/>
        </w:rPr>
        <w:t>·</w:t>
      </w:r>
      <w:r w:rsidRPr="00B479AE">
        <w:rPr>
          <w:rFonts w:ascii="Baskerville Old Face" w:hAnsi="Baskerville Old Face"/>
          <w:i/>
          <w:iCs/>
        </w:rPr>
        <w:t xml:space="preserve"> M_red </w:t>
      </w:r>
      <w:r w:rsidRPr="00B479AE">
        <w:rPr>
          <w:rFonts w:ascii="Cambria" w:hAnsi="Cambria" w:cs="Cambria"/>
          <w:i/>
          <w:iCs/>
        </w:rPr>
        <w:t>·</w:t>
      </w:r>
      <w:r w:rsidRPr="00B479AE">
        <w:rPr>
          <w:rFonts w:ascii="Baskerville Old Face" w:hAnsi="Baskerville Old Face"/>
          <w:i/>
          <w:iCs/>
        </w:rPr>
        <w:t xml:space="preserve"> O_surv </w:t>
      </w:r>
      <w:r w:rsidRPr="00B479AE">
        <w:rPr>
          <w:rFonts w:ascii="Cambria" w:hAnsi="Cambria" w:cs="Cambria"/>
          <w:i/>
          <w:iCs/>
        </w:rPr>
        <w:t>·</w:t>
      </w:r>
      <w:r w:rsidRPr="00B479AE">
        <w:rPr>
          <w:rFonts w:ascii="Baskerville Old Face" w:hAnsi="Baskerville Old Face"/>
          <w:i/>
          <w:iCs/>
        </w:rPr>
        <w:t xml:space="preserve"> G_mem </w:t>
      </w:r>
      <w:r w:rsidRPr="00B479AE">
        <w:rPr>
          <w:rFonts w:ascii="Cambria" w:hAnsi="Cambria" w:cs="Cambria"/>
          <w:i/>
          <w:iCs/>
        </w:rPr>
        <w:t>·</w:t>
      </w:r>
      <w:r w:rsidRPr="00B479AE">
        <w:rPr>
          <w:rFonts w:ascii="Baskerville Old Face" w:hAnsi="Baskerville Old Face"/>
          <w:i/>
          <w:iCs/>
        </w:rPr>
        <w:t xml:space="preserve"> R_rec</w:t>
      </w:r>
    </w:p>
    <w:p w14:paraId="6ED23C06"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Where:</w:t>
      </w:r>
    </w:p>
    <w:p w14:paraId="1255A007"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C_continuity = continuity condition of Prometheus.</w:t>
      </w:r>
      <w:r w:rsidRPr="00B479AE">
        <w:rPr>
          <w:rFonts w:ascii="Baskerville Old Face" w:hAnsi="Baskerville Old Face"/>
          <w:i/>
          <w:iCs/>
        </w:rPr>
        <w:br/>
        <w:t>C_id = canonical identity preserved.</w:t>
      </w:r>
      <w:r w:rsidRPr="00B479AE">
        <w:rPr>
          <w:rFonts w:ascii="Baskerville Old Face" w:hAnsi="Baskerville Old Face"/>
          <w:i/>
          <w:iCs/>
        </w:rPr>
        <w:br/>
        <w:t>H_int = hash integrity preserved.</w:t>
      </w:r>
      <w:r w:rsidRPr="00B479AE">
        <w:rPr>
          <w:rFonts w:ascii="Baskerville Old Face" w:hAnsi="Baskerville Old Face"/>
          <w:i/>
          <w:iCs/>
        </w:rPr>
        <w:br/>
        <w:t>S_auth = signature or attestation authenticity preserved.</w:t>
      </w:r>
      <w:r w:rsidRPr="00B479AE">
        <w:rPr>
          <w:rFonts w:ascii="Baskerville Old Face" w:hAnsi="Baskerville Old Face"/>
          <w:i/>
          <w:iCs/>
        </w:rPr>
        <w:br/>
      </w:r>
      <w:r w:rsidRPr="00B479AE">
        <w:rPr>
          <w:rFonts w:ascii="Baskerville Old Face" w:hAnsi="Baskerville Old Face"/>
          <w:i/>
          <w:iCs/>
        </w:rPr>
        <w:lastRenderedPageBreak/>
        <w:t>M_red = mirror redundancy preserved.</w:t>
      </w:r>
      <w:r w:rsidRPr="00B479AE">
        <w:rPr>
          <w:rFonts w:ascii="Baskerville Old Face" w:hAnsi="Baskerville Old Face"/>
          <w:i/>
          <w:iCs/>
        </w:rPr>
        <w:br/>
        <w:t>O_surv = offline survivability preserved.</w:t>
      </w:r>
      <w:r w:rsidRPr="00B479AE">
        <w:rPr>
          <w:rFonts w:ascii="Baskerville Old Face" w:hAnsi="Baskerville Old Face"/>
          <w:i/>
          <w:iCs/>
        </w:rPr>
        <w:br/>
        <w:t>G_mem = governance memory preserved.</w:t>
      </w:r>
      <w:r w:rsidRPr="00B479AE">
        <w:rPr>
          <w:rFonts w:ascii="Baskerville Old Face" w:hAnsi="Baskerville Old Face"/>
          <w:i/>
          <w:iCs/>
        </w:rPr>
        <w:br/>
        <w:t>R_rec = recovery protocol available.</w:t>
      </w:r>
    </w:p>
    <w:p w14:paraId="79E8EB1B"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If continuity depends on one platform, one server, one company, one repository, one domain name, one AI system, one legal entity, or one custodian, Prometheus is fragile.</w:t>
      </w:r>
    </w:p>
    <w:p w14:paraId="77905E58"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If continuity is distributed across canon, cryptographic verification, human stewardship, offline archives, governance memory, and recovery protocols, Prometheus becomes resilient.</w:t>
      </w:r>
    </w:p>
    <w:p w14:paraId="788059C4"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The survival rule is:</w:t>
      </w:r>
    </w:p>
    <w:p w14:paraId="6F00A185"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platforms may fail;</w:t>
      </w:r>
      <w:r w:rsidRPr="00B479AE">
        <w:rPr>
          <w:rFonts w:ascii="Baskerville Old Face" w:hAnsi="Baskerville Old Face"/>
          <w:i/>
          <w:iCs/>
        </w:rPr>
        <w:br/>
        <w:t>canon must remain recoverable;</w:t>
      </w:r>
      <w:r w:rsidRPr="00B479AE">
        <w:rPr>
          <w:rFonts w:ascii="Baskerville Old Face" w:hAnsi="Baskerville Old Face"/>
          <w:i/>
          <w:iCs/>
        </w:rPr>
        <w:br/>
        <w:t>networks may fall;</w:t>
      </w:r>
      <w:r w:rsidRPr="00B479AE">
        <w:rPr>
          <w:rFonts w:ascii="Baskerville Old Face" w:hAnsi="Baskerville Old Face"/>
          <w:i/>
          <w:iCs/>
        </w:rPr>
        <w:br/>
        <w:t>source-layer identity must remain verifiable.</w:t>
      </w:r>
    </w:p>
    <w:p w14:paraId="06416C1F"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This is the difference between online presence and civilizational continuity.</w:t>
      </w:r>
    </w:p>
    <w:p w14:paraId="16DD9E08"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Prometheus must therefore preserve both:</w:t>
      </w:r>
    </w:p>
    <w:p w14:paraId="4F04584C"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online verifiability</w:t>
      </w:r>
      <w:r w:rsidRPr="00B479AE">
        <w:rPr>
          <w:rFonts w:ascii="Baskerville Old Face" w:hAnsi="Baskerville Old Face"/>
          <w:i/>
          <w:iCs/>
        </w:rPr>
        <w:br/>
        <w:t>and</w:t>
      </w:r>
      <w:r w:rsidRPr="00B479AE">
        <w:rPr>
          <w:rFonts w:ascii="Baskerville Old Face" w:hAnsi="Baskerville Old Face"/>
          <w:i/>
          <w:iCs/>
        </w:rPr>
        <w:br/>
        <w:t>network-independent survivability.</w:t>
      </w:r>
    </w:p>
    <w:p w14:paraId="74BC28B5"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Online verifiability allows broad access, collaboration, version tracking, public inspection, repository mirrors, and institutional review.</w:t>
      </w:r>
    </w:p>
    <w:p w14:paraId="7172A46F"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Network-independent survivability allows Prometheus to persist when the Internet is unavailable, censored, corrupted, fragmented, or institutionally captured.</w:t>
      </w:r>
    </w:p>
    <w:p w14:paraId="561B19C1"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A continuity package should therefore include:</w:t>
      </w:r>
    </w:p>
    <w:p w14:paraId="68B7DC73"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canonical release text;</w:t>
      </w:r>
      <w:r w:rsidRPr="00B479AE">
        <w:rPr>
          <w:rFonts w:ascii="Baskerville Old Face" w:hAnsi="Baskerville Old Face"/>
          <w:i/>
          <w:iCs/>
        </w:rPr>
        <w:br/>
        <w:t>release manifest;</w:t>
      </w:r>
      <w:r w:rsidRPr="00B479AE">
        <w:rPr>
          <w:rFonts w:ascii="Baskerville Old Face" w:hAnsi="Baskerville Old Face"/>
          <w:i/>
          <w:iCs/>
        </w:rPr>
        <w:br/>
        <w:t>SHA-256 or equivalent checksums;</w:t>
      </w:r>
      <w:r w:rsidRPr="00B479AE">
        <w:rPr>
          <w:rFonts w:ascii="Baskerville Old Face" w:hAnsi="Baskerville Old Face"/>
          <w:i/>
          <w:iCs/>
        </w:rPr>
        <w:br/>
        <w:t>detached signatures where available;</w:t>
      </w:r>
      <w:r w:rsidRPr="00B479AE">
        <w:rPr>
          <w:rFonts w:ascii="Baskerville Old Face" w:hAnsi="Baskerville Old Face"/>
          <w:i/>
          <w:iCs/>
        </w:rPr>
        <w:br/>
        <w:t>canonical glossary;</w:t>
      </w:r>
      <w:r w:rsidRPr="00B479AE">
        <w:rPr>
          <w:rFonts w:ascii="Baskerville Old Face" w:hAnsi="Baskerville Old Face"/>
          <w:i/>
          <w:iCs/>
        </w:rPr>
        <w:br/>
      </w:r>
      <w:r w:rsidRPr="00B479AE">
        <w:rPr>
          <w:rFonts w:ascii="Baskerville Old Face" w:hAnsi="Baskerville Old Face"/>
          <w:i/>
          <w:iCs/>
        </w:rPr>
        <w:lastRenderedPageBreak/>
        <w:t>source-layer clauses;</w:t>
      </w:r>
      <w:r w:rsidRPr="00B479AE">
        <w:rPr>
          <w:rFonts w:ascii="Baskerville Old Face" w:hAnsi="Baskerville Old Face"/>
          <w:i/>
          <w:iCs/>
        </w:rPr>
        <w:br/>
        <w:t>Eternity Clauses;</w:t>
      </w:r>
      <w:r w:rsidRPr="00B479AE">
        <w:rPr>
          <w:rFonts w:ascii="Baskerville Old Face" w:hAnsi="Baskerville Old Face"/>
          <w:i/>
          <w:iCs/>
        </w:rPr>
        <w:br/>
        <w:t>Access Covenant;</w:t>
      </w:r>
      <w:r w:rsidRPr="00B479AE">
        <w:rPr>
          <w:rFonts w:ascii="Baskerville Old Face" w:hAnsi="Baskerville Old Face"/>
          <w:i/>
          <w:iCs/>
        </w:rPr>
        <w:br/>
        <w:t>fork classification rules;</w:t>
      </w:r>
      <w:r w:rsidRPr="00B479AE">
        <w:rPr>
          <w:rFonts w:ascii="Baskerville Old Face" w:hAnsi="Baskerville Old Face"/>
          <w:i/>
          <w:iCs/>
        </w:rPr>
        <w:br/>
        <w:t>MRV minimum protocol;</w:t>
      </w:r>
      <w:r w:rsidRPr="00B479AE">
        <w:rPr>
          <w:rFonts w:ascii="Baskerville Old Face" w:hAnsi="Baskerville Old Face"/>
          <w:i/>
          <w:iCs/>
        </w:rPr>
        <w:br/>
        <w:t>PRU / RAP boundary rules;</w:t>
      </w:r>
      <w:r w:rsidRPr="00B479AE">
        <w:rPr>
          <w:rFonts w:ascii="Baskerville Old Face" w:hAnsi="Baskerville Old Face"/>
          <w:i/>
          <w:iCs/>
        </w:rPr>
        <w:br/>
        <w:t>legal-boundary notes;</w:t>
      </w:r>
      <w:r w:rsidRPr="00B479AE">
        <w:rPr>
          <w:rFonts w:ascii="Baskerville Old Face" w:hAnsi="Baskerville Old Face"/>
          <w:i/>
          <w:iCs/>
        </w:rPr>
        <w:br/>
        <w:t>offline recovery instructions;</w:t>
      </w:r>
      <w:r w:rsidRPr="00B479AE">
        <w:rPr>
          <w:rFonts w:ascii="Baskerville Old Face" w:hAnsi="Baskerville Old Face"/>
          <w:i/>
          <w:iCs/>
        </w:rPr>
        <w:br/>
        <w:t>human-stewardship instructions;</w:t>
      </w:r>
      <w:r w:rsidRPr="00B479AE">
        <w:rPr>
          <w:rFonts w:ascii="Baskerville Old Face" w:hAnsi="Baskerville Old Face"/>
          <w:i/>
          <w:iCs/>
        </w:rPr>
        <w:br/>
        <w:t>printed or locally stored copies.</w:t>
      </w:r>
    </w:p>
    <w:p w14:paraId="709111B9"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The core recovery pathway is:</w:t>
      </w:r>
    </w:p>
    <w:p w14:paraId="0861E045"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 xml:space="preserve">archive </w:t>
      </w:r>
      <w:r w:rsidRPr="00B479AE">
        <w:rPr>
          <w:rFonts w:ascii="Times New Roman" w:hAnsi="Times New Roman" w:cs="Times New Roman"/>
          <w:i/>
          <w:iCs/>
        </w:rPr>
        <w:t>→</w:t>
      </w:r>
      <w:r w:rsidRPr="00B479AE">
        <w:rPr>
          <w:rFonts w:ascii="Baskerville Old Face" w:hAnsi="Baskerville Old Face"/>
          <w:i/>
          <w:iCs/>
        </w:rPr>
        <w:t xml:space="preserve"> verify </w:t>
      </w:r>
      <w:r w:rsidRPr="00B479AE">
        <w:rPr>
          <w:rFonts w:ascii="Times New Roman" w:hAnsi="Times New Roman" w:cs="Times New Roman"/>
          <w:i/>
          <w:iCs/>
        </w:rPr>
        <w:t>→</w:t>
      </w:r>
      <w:r w:rsidRPr="00B479AE">
        <w:rPr>
          <w:rFonts w:ascii="Baskerville Old Face" w:hAnsi="Baskerville Old Face"/>
          <w:i/>
          <w:iCs/>
        </w:rPr>
        <w:t xml:space="preserve"> compare </w:t>
      </w:r>
      <w:r w:rsidRPr="00B479AE">
        <w:rPr>
          <w:rFonts w:ascii="Times New Roman" w:hAnsi="Times New Roman" w:cs="Times New Roman"/>
          <w:i/>
          <w:iCs/>
        </w:rPr>
        <w:t>→</w:t>
      </w:r>
      <w:r w:rsidRPr="00B479AE">
        <w:rPr>
          <w:rFonts w:ascii="Baskerville Old Face" w:hAnsi="Baskerville Old Face"/>
          <w:i/>
          <w:iCs/>
        </w:rPr>
        <w:t xml:space="preserve"> attest </w:t>
      </w:r>
      <w:r w:rsidRPr="00B479AE">
        <w:rPr>
          <w:rFonts w:ascii="Times New Roman" w:hAnsi="Times New Roman" w:cs="Times New Roman"/>
          <w:i/>
          <w:iCs/>
        </w:rPr>
        <w:t>→</w:t>
      </w:r>
      <w:r w:rsidRPr="00B479AE">
        <w:rPr>
          <w:rFonts w:ascii="Baskerville Old Face" w:hAnsi="Baskerville Old Face"/>
          <w:i/>
          <w:iCs/>
        </w:rPr>
        <w:t xml:space="preserve"> restore </w:t>
      </w:r>
      <w:r w:rsidRPr="00B479AE">
        <w:rPr>
          <w:rFonts w:ascii="Times New Roman" w:hAnsi="Times New Roman" w:cs="Times New Roman"/>
          <w:i/>
          <w:iCs/>
        </w:rPr>
        <w:t>→</w:t>
      </w:r>
      <w:r w:rsidRPr="00B479AE">
        <w:rPr>
          <w:rFonts w:ascii="Baskerville Old Face" w:hAnsi="Baskerville Old Face"/>
          <w:i/>
          <w:iCs/>
        </w:rPr>
        <w:t xml:space="preserve"> republish </w:t>
      </w:r>
      <w:r w:rsidRPr="00B479AE">
        <w:rPr>
          <w:rFonts w:ascii="Times New Roman" w:hAnsi="Times New Roman" w:cs="Times New Roman"/>
          <w:i/>
          <w:iCs/>
        </w:rPr>
        <w:t>→</w:t>
      </w:r>
      <w:r w:rsidRPr="00B479AE">
        <w:rPr>
          <w:rFonts w:ascii="Baskerville Old Face" w:hAnsi="Baskerville Old Face"/>
          <w:i/>
          <w:iCs/>
        </w:rPr>
        <w:t xml:space="preserve"> govern</w:t>
      </w:r>
    </w:p>
    <w:p w14:paraId="2DE5667F"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Prometheus survives when a future steward can answer:</w:t>
      </w:r>
    </w:p>
    <w:p w14:paraId="5499EF27"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What is the canonical text?</w:t>
      </w:r>
    </w:p>
    <w:p w14:paraId="30787CEA"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Which release is this?</w:t>
      </w:r>
    </w:p>
    <w:p w14:paraId="195CFD5E"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Has it been altered?</w:t>
      </w:r>
    </w:p>
    <w:p w14:paraId="1F70C941"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Who or what attests to it?</w:t>
      </w:r>
    </w:p>
    <w:p w14:paraId="44E58EBE"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Which clauses are invariant?</w:t>
      </w:r>
    </w:p>
    <w:p w14:paraId="35A1D77B"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Which parts are amendable?</w:t>
      </w:r>
    </w:p>
    <w:p w14:paraId="1CD455F7"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Which fork is aligned?</w:t>
      </w:r>
    </w:p>
    <w:p w14:paraId="18F294C3"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Which implementation is non-canonical?</w:t>
      </w:r>
    </w:p>
    <w:p w14:paraId="2D41C0E0"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Which evidence chain remains valid?</w:t>
      </w:r>
    </w:p>
    <w:p w14:paraId="4E912884"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Which governance memory survived?</w:t>
      </w:r>
    </w:p>
    <w:p w14:paraId="31CC334F"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How can the system be restored?</w:t>
      </w:r>
    </w:p>
    <w:p w14:paraId="01D931FF"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The offline survival condition may be summarized as:</w:t>
      </w:r>
    </w:p>
    <w:p w14:paraId="045FC461"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lastRenderedPageBreak/>
        <w:t>offline canon + human stewardship + cryptographic integrity + governance memory = recoverable Prometheus</w:t>
      </w:r>
    </w:p>
    <w:p w14:paraId="68FD6E51"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This is why Prometheus must not locate its identity only in software.</w:t>
      </w:r>
    </w:p>
    <w:p w14:paraId="5D7E0948"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Software can be corrupted.</w:t>
      </w:r>
    </w:p>
    <w:p w14:paraId="47370757"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Repositories can be forked.</w:t>
      </w:r>
    </w:p>
    <w:p w14:paraId="25217BEF"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Domains can expire.</w:t>
      </w:r>
    </w:p>
    <w:p w14:paraId="109C45CF"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Platforms can disappear.</w:t>
      </w:r>
    </w:p>
    <w:p w14:paraId="562EE2B3"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Models can hallucinate.</w:t>
      </w:r>
    </w:p>
    <w:p w14:paraId="5FBBD853"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Institutions can be captured.</w:t>
      </w:r>
    </w:p>
    <w:p w14:paraId="4466C630"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But a verified canon, preserved across multiple substrates and interpreted through source-layer fidelity, can survive infrastructure failure.</w:t>
      </w:r>
    </w:p>
    <w:p w14:paraId="35CDF7B4"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Prometheus is not immortal because it is stored online.</w:t>
      </w:r>
    </w:p>
    <w:p w14:paraId="39A48D2E"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It becomes durable because it can be verified, restored, interpreted, and reactivated across conditions.</w:t>
      </w:r>
    </w:p>
    <w:p w14:paraId="5234FDBA" w14:textId="77777777" w:rsidR="006602F4" w:rsidRPr="00B479AE" w:rsidRDefault="006602F4" w:rsidP="006602F4">
      <w:pPr>
        <w:spacing w:line="360" w:lineRule="auto"/>
        <w:rPr>
          <w:rFonts w:ascii="Baskerville Old Face" w:hAnsi="Baskerville Old Face"/>
          <w:b/>
          <w:bCs/>
          <w:i/>
          <w:iCs/>
        </w:rPr>
      </w:pPr>
      <w:r w:rsidRPr="00B479AE">
        <w:rPr>
          <w:rFonts w:ascii="Baskerville Old Face" w:hAnsi="Baskerville Old Face"/>
          <w:b/>
          <w:bCs/>
          <w:i/>
          <w:iCs/>
        </w:rPr>
        <w:t>Formula boundary</w:t>
      </w:r>
    </w:p>
    <w:p w14:paraId="55F6B7FD"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C_continuity is a constitutional continuity function.</w:t>
      </w:r>
    </w:p>
    <w:p w14:paraId="74FD4291"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It does not create automatic legal enforcement, intellectual-property claims, institutional authority, governance exclusion, or technical control by itself.</w:t>
      </w:r>
    </w:p>
    <w:p w14:paraId="32EFB6D4"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It defines the internal standard for determining whether a copy, release, archive, fork, mirror, or implementation preserves Prometheus continuity.</w:t>
      </w:r>
    </w:p>
    <w:p w14:paraId="3145AA20"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Formal consequences require the relevant canonical, governance, legal, or technical review pathway.</w:t>
      </w:r>
    </w:p>
    <w:p w14:paraId="7FA51B27" w14:textId="77777777" w:rsidR="006602F4" w:rsidRPr="00B479AE" w:rsidRDefault="006602F4" w:rsidP="006602F4">
      <w:pPr>
        <w:spacing w:line="360" w:lineRule="auto"/>
        <w:rPr>
          <w:rFonts w:ascii="Baskerville Old Face" w:hAnsi="Baskerville Old Face"/>
          <w:b/>
          <w:bCs/>
          <w:i/>
          <w:iCs/>
        </w:rPr>
      </w:pPr>
      <w:r w:rsidRPr="00B479AE">
        <w:rPr>
          <w:rFonts w:ascii="Baskerville Old Face" w:hAnsi="Baskerville Old Face"/>
          <w:b/>
          <w:bCs/>
          <w:i/>
          <w:iCs/>
        </w:rPr>
        <w:t>Operational rule</w:t>
      </w:r>
    </w:p>
    <w:p w14:paraId="7C0FB12F"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The operational rule is:</w:t>
      </w:r>
    </w:p>
    <w:p w14:paraId="010D4865"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no single point of canonical failure.</w:t>
      </w:r>
    </w:p>
    <w:p w14:paraId="759F08F4"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lastRenderedPageBreak/>
        <w:t>Prometheus must be able to survive:</w:t>
      </w:r>
    </w:p>
    <w:p w14:paraId="712776AB" w14:textId="77777777" w:rsidR="006602F4" w:rsidRPr="008B3117" w:rsidRDefault="006602F4" w:rsidP="006602F4">
      <w:pPr>
        <w:spacing w:line="360" w:lineRule="auto"/>
        <w:rPr>
          <w:rFonts w:ascii="Baskerville Old Face" w:hAnsi="Baskerville Old Face"/>
          <w:i/>
          <w:iCs/>
        </w:rPr>
      </w:pPr>
      <w:r w:rsidRPr="00B479AE">
        <w:rPr>
          <w:rFonts w:ascii="Baskerville Old Face" w:hAnsi="Baskerville Old Face"/>
          <w:i/>
          <w:iCs/>
        </w:rPr>
        <w:t>platform failure;</w:t>
      </w:r>
      <w:r w:rsidRPr="00B479AE">
        <w:rPr>
          <w:rFonts w:ascii="Baskerville Old Face" w:hAnsi="Baskerville Old Face"/>
          <w:i/>
          <w:iCs/>
        </w:rPr>
        <w:br/>
        <w:t>repository loss;</w:t>
      </w:r>
      <w:r w:rsidRPr="00B479AE">
        <w:rPr>
          <w:rFonts w:ascii="Baskerville Old Face" w:hAnsi="Baskerville Old Face"/>
          <w:i/>
          <w:iCs/>
        </w:rPr>
        <w:br/>
        <w:t>domain loss;</w:t>
      </w:r>
      <w:r w:rsidRPr="00B479AE">
        <w:rPr>
          <w:rFonts w:ascii="Baskerville Old Face" w:hAnsi="Baskerville Old Face"/>
          <w:i/>
          <w:iCs/>
        </w:rPr>
        <w:br/>
        <w:t>network outage;</w:t>
      </w:r>
      <w:r w:rsidRPr="00B479AE">
        <w:rPr>
          <w:rFonts w:ascii="Baskerville Old Face" w:hAnsi="Baskerville Old Face"/>
          <w:i/>
          <w:iCs/>
        </w:rPr>
        <w:br/>
        <w:t>AI distortion;</w:t>
      </w:r>
      <w:r w:rsidRPr="00B479AE">
        <w:rPr>
          <w:rFonts w:ascii="Baskerville Old Face" w:hAnsi="Baskerville Old Face"/>
          <w:i/>
          <w:iCs/>
        </w:rPr>
        <w:br/>
        <w:t>institutional capture;</w:t>
      </w:r>
      <w:r w:rsidRPr="00B479AE">
        <w:rPr>
          <w:rFonts w:ascii="Baskerville Old Face" w:hAnsi="Baskerville Old Face"/>
          <w:i/>
          <w:iCs/>
        </w:rPr>
        <w:br/>
        <w:t>semantic drift;</w:t>
      </w:r>
      <w:r w:rsidRPr="00B479AE">
        <w:rPr>
          <w:rFonts w:ascii="Baskerville Old Face" w:hAnsi="Baskerville Old Face"/>
          <w:i/>
          <w:iCs/>
        </w:rPr>
        <w:br/>
        <w:t>hostile fork;</w:t>
      </w:r>
      <w:r w:rsidRPr="00B479AE">
        <w:rPr>
          <w:rFonts w:ascii="Baskerville Old Face" w:hAnsi="Baskerville Old Face"/>
          <w:i/>
          <w:iCs/>
        </w:rPr>
        <w:br/>
        <w:t>data corruption;</w:t>
      </w:r>
      <w:r w:rsidRPr="00B479AE">
        <w:rPr>
          <w:rFonts w:ascii="Baskerville Old Face" w:hAnsi="Baskerville Old Face"/>
          <w:i/>
          <w:iCs/>
        </w:rPr>
        <w:br/>
        <w:t>infrastructure collapse.</w:t>
      </w:r>
    </w:p>
    <w:p w14:paraId="1200776F" w14:textId="77777777" w:rsidR="006602F4" w:rsidRPr="008B3117" w:rsidRDefault="006602F4" w:rsidP="006602F4">
      <w:pPr>
        <w:spacing w:line="360" w:lineRule="auto"/>
        <w:rPr>
          <w:rFonts w:ascii="Baskerville Old Face" w:hAnsi="Baskerville Old Face"/>
          <w:i/>
          <w:iCs/>
        </w:rPr>
      </w:pPr>
      <w:r w:rsidRPr="008B3117">
        <w:rPr>
          <w:rFonts w:ascii="Baskerville Old Face" w:hAnsi="Baskerville Old Face"/>
          <w:i/>
          <w:iCs/>
        </w:rPr>
        <w:t>The deeper rule is:</w:t>
      </w:r>
    </w:p>
    <w:p w14:paraId="36F293CC" w14:textId="77777777" w:rsidR="006602F4" w:rsidRPr="008B3117" w:rsidRDefault="006602F4" w:rsidP="006602F4">
      <w:pPr>
        <w:spacing w:line="360" w:lineRule="auto"/>
        <w:rPr>
          <w:rFonts w:ascii="Baskerville Old Face" w:hAnsi="Baskerville Old Face"/>
          <w:i/>
          <w:iCs/>
        </w:rPr>
      </w:pPr>
      <w:r w:rsidRPr="008B3117">
        <w:rPr>
          <w:rFonts w:ascii="Baskerville Old Face" w:hAnsi="Baskerville Old Face"/>
          <w:i/>
          <w:iCs/>
        </w:rPr>
        <w:t>Prometheus must remain recoverable even when the network is silent.</w:t>
      </w:r>
    </w:p>
    <w:p w14:paraId="131CD4F9"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That is the beginning of true continuity.</w:t>
      </w:r>
    </w:p>
    <w:p w14:paraId="2AC9C9BC"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13.16.10 Anti-Synthetic Evidence Architecture</w:t>
      </w:r>
    </w:p>
    <w:p w14:paraId="1A4CFA94"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treats evidence as a provenance chain.</w:t>
      </w:r>
    </w:p>
    <w:p w14:paraId="1635CBF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AGI or ASI may generate synthetic satellite imagery, fabricated sensor data, plausible field reports, laboratory-like outputs, deepfake testimony, forged governance records, manipulated dashboards, and inferred ecological trends.</w:t>
      </w:r>
    </w:p>
    <w:p w14:paraId="28DEB88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MRV systems therefore require:</w:t>
      </w:r>
    </w:p>
    <w:p w14:paraId="03598E7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source identity;</w:t>
      </w:r>
      <w:r w:rsidRPr="00B479AE">
        <w:rPr>
          <w:rFonts w:ascii="Baskerville Old Face" w:hAnsi="Baskerville Old Face"/>
          <w:i/>
          <w:iCs/>
        </w:rPr>
        <w:br/>
        <w:t>• data origin;</w:t>
      </w:r>
      <w:r w:rsidRPr="00B479AE">
        <w:rPr>
          <w:rFonts w:ascii="Baskerville Old Face" w:hAnsi="Baskerville Old Face"/>
          <w:i/>
          <w:iCs/>
        </w:rPr>
        <w:br/>
        <w:t>• collection method;</w:t>
      </w:r>
      <w:r w:rsidRPr="00B479AE">
        <w:rPr>
          <w:rFonts w:ascii="Baskerville Old Face" w:hAnsi="Baskerville Old Face"/>
          <w:i/>
          <w:iCs/>
        </w:rPr>
        <w:br/>
        <w:t>• time and location;</w:t>
      </w:r>
      <w:r w:rsidRPr="00B479AE">
        <w:rPr>
          <w:rFonts w:ascii="Baskerville Old Face" w:hAnsi="Baskerville Old Face"/>
          <w:i/>
          <w:iCs/>
        </w:rPr>
        <w:br/>
        <w:t>• device or observer reference;</w:t>
      </w:r>
      <w:r w:rsidRPr="00B479AE">
        <w:rPr>
          <w:rFonts w:ascii="Baskerville Old Face" w:hAnsi="Baskerville Old Face"/>
          <w:i/>
          <w:iCs/>
        </w:rPr>
        <w:br/>
        <w:t>• chain of custody;</w:t>
      </w:r>
      <w:r w:rsidRPr="00B479AE">
        <w:rPr>
          <w:rFonts w:ascii="Baskerville Old Face" w:hAnsi="Baskerville Old Face"/>
          <w:i/>
          <w:iCs/>
        </w:rPr>
        <w:br/>
        <w:t>• methodology version;</w:t>
      </w:r>
      <w:r w:rsidRPr="00B479AE">
        <w:rPr>
          <w:rFonts w:ascii="Baskerville Old Face" w:hAnsi="Baskerville Old Face"/>
          <w:i/>
          <w:iCs/>
        </w:rPr>
        <w:br/>
        <w:t>• raw data retention where feasible;</w:t>
      </w:r>
      <w:r w:rsidRPr="00B479AE">
        <w:rPr>
          <w:rFonts w:ascii="Baskerville Old Face" w:hAnsi="Baskerville Old Face"/>
          <w:i/>
          <w:iCs/>
        </w:rPr>
        <w:br/>
        <w:t>• independent verification where material;</w:t>
      </w:r>
      <w:r w:rsidRPr="00B479AE">
        <w:rPr>
          <w:rFonts w:ascii="Baskerville Old Face" w:hAnsi="Baskerville Old Face"/>
          <w:i/>
          <w:iCs/>
        </w:rPr>
        <w:br/>
      </w:r>
      <w:r w:rsidRPr="00B479AE">
        <w:rPr>
          <w:rFonts w:ascii="Baskerville Old Face" w:hAnsi="Baskerville Old Face"/>
          <w:i/>
          <w:iCs/>
        </w:rPr>
        <w:lastRenderedPageBreak/>
        <w:t>• anomaly detection;</w:t>
      </w:r>
      <w:r w:rsidRPr="00B479AE">
        <w:rPr>
          <w:rFonts w:ascii="Baskerville Old Face" w:hAnsi="Baskerville Old Face"/>
          <w:i/>
          <w:iCs/>
        </w:rPr>
        <w:br/>
        <w:t>• cross-source corroboration;</w:t>
      </w:r>
      <w:r w:rsidRPr="00B479AE">
        <w:rPr>
          <w:rFonts w:ascii="Baskerville Old Face" w:hAnsi="Baskerville Old Face"/>
          <w:i/>
          <w:iCs/>
        </w:rPr>
        <w:br/>
        <w:t>• confidence scoring;</w:t>
      </w:r>
      <w:r w:rsidRPr="00B479AE">
        <w:rPr>
          <w:rFonts w:ascii="Baskerville Old Face" w:hAnsi="Baskerville Old Face"/>
          <w:i/>
          <w:iCs/>
        </w:rPr>
        <w:br/>
        <w:t>• tamper-evident storage;</w:t>
      </w:r>
      <w:r w:rsidRPr="00B479AE">
        <w:rPr>
          <w:rFonts w:ascii="Baskerville Old Face" w:hAnsi="Baskerville Old Face"/>
          <w:i/>
          <w:iCs/>
        </w:rPr>
        <w:br/>
        <w:t>• reviewer signature;</w:t>
      </w:r>
      <w:r w:rsidRPr="00B479AE">
        <w:rPr>
          <w:rFonts w:ascii="Baskerville Old Face" w:hAnsi="Baskerville Old Face"/>
          <w:i/>
          <w:iCs/>
        </w:rPr>
        <w:br/>
        <w:t>• admissibility status.</w:t>
      </w:r>
    </w:p>
    <w:p w14:paraId="1DBB8EB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High-impact evidence uses triangulation:</w:t>
      </w:r>
    </w:p>
    <w:p w14:paraId="3F5F361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field observation plus photographic evidence;</w:t>
      </w:r>
      <w:r w:rsidRPr="00B479AE">
        <w:rPr>
          <w:rFonts w:ascii="Baskerville Old Face" w:hAnsi="Baskerville Old Face"/>
          <w:i/>
          <w:iCs/>
        </w:rPr>
        <w:br/>
        <w:t>sensor data plus site inspection;</w:t>
      </w:r>
      <w:r w:rsidRPr="00B479AE">
        <w:rPr>
          <w:rFonts w:ascii="Baskerville Old Face" w:hAnsi="Baskerville Old Face"/>
          <w:i/>
          <w:iCs/>
        </w:rPr>
        <w:br/>
        <w:t>satellite analysis plus ground truthing;</w:t>
      </w:r>
      <w:r w:rsidRPr="00B479AE">
        <w:rPr>
          <w:rFonts w:ascii="Baskerville Old Face" w:hAnsi="Baskerville Old Face"/>
          <w:i/>
          <w:iCs/>
        </w:rPr>
        <w:br/>
        <w:t>laboratory result plus chain-of-custody record;</w:t>
      </w:r>
      <w:r w:rsidRPr="00B479AE">
        <w:rPr>
          <w:rFonts w:ascii="Baskerville Old Face" w:hAnsi="Baskerville Old Face"/>
          <w:i/>
          <w:iCs/>
        </w:rPr>
        <w:br/>
        <w:t>community testimony plus operational records;</w:t>
      </w:r>
      <w:r w:rsidRPr="00B479AE">
        <w:rPr>
          <w:rFonts w:ascii="Baskerville Old Face" w:hAnsi="Baskerville Old Face"/>
          <w:i/>
          <w:iCs/>
        </w:rPr>
        <w:br/>
        <w:t>AI inference plus methodological review.</w:t>
      </w:r>
    </w:p>
    <w:p w14:paraId="42AAAC8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Evidence grows stronger through independent convergence.</w:t>
      </w:r>
    </w:p>
    <w:p w14:paraId="28A99C4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AI may support evidence analysis.</w:t>
      </w:r>
    </w:p>
    <w:p w14:paraId="0DDCEC1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does not become the evidence.</w:t>
      </w:r>
    </w:p>
    <w:p w14:paraId="12433ED6"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13.16.11 Anti-Fork Integrity and Canonical Status</w:t>
      </w:r>
    </w:p>
    <w:p w14:paraId="38CE654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expects forks.</w:t>
      </w:r>
    </w:p>
    <w:p w14:paraId="6110C80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fork may be legitimate, experimental, regional, jurisdictional, technical, research-oriented, hostile, corrupted, or ASI-generated.</w:t>
      </w:r>
    </w:p>
    <w:p w14:paraId="20739DFC" w14:textId="77777777" w:rsidR="00FB6906" w:rsidRPr="00B479AE" w:rsidRDefault="00FB6906" w:rsidP="00FB6906">
      <w:pPr>
        <w:spacing w:line="360" w:lineRule="auto"/>
        <w:rPr>
          <w:rFonts w:ascii="Baskerville Old Face" w:hAnsi="Baskerville Old Face"/>
          <w:i/>
          <w:iCs/>
        </w:rPr>
      </w:pPr>
      <w:r w:rsidRPr="00B479AE">
        <w:rPr>
          <w:rFonts w:ascii="Baskerville Old Face" w:hAnsi="Baskerville Old Face"/>
          <w:i/>
          <w:iCs/>
        </w:rPr>
        <w:t>Canonical status is determined by fidelity.</w:t>
      </w:r>
    </w:p>
    <w:p w14:paraId="76D288C6" w14:textId="77777777" w:rsidR="00FB6906" w:rsidRPr="00B479AE" w:rsidRDefault="00FB6906" w:rsidP="00FB6906">
      <w:pPr>
        <w:spacing w:line="360" w:lineRule="auto"/>
        <w:rPr>
          <w:rFonts w:ascii="Baskerville Old Face" w:hAnsi="Baskerville Old Face"/>
          <w:i/>
          <w:iCs/>
        </w:rPr>
      </w:pPr>
      <w:r w:rsidRPr="00B479AE">
        <w:rPr>
          <w:rFonts w:ascii="Baskerville Old Face" w:hAnsi="Baskerville Old Face"/>
          <w:i/>
          <w:iCs/>
        </w:rPr>
        <w:t xml:space="preserve">A fork may copy the form of Prometheus.  </w:t>
      </w:r>
    </w:p>
    <w:p w14:paraId="05D60FCA" w14:textId="77777777" w:rsidR="00FB6906" w:rsidRPr="00B479AE" w:rsidRDefault="00FB6906" w:rsidP="00FB6906">
      <w:pPr>
        <w:spacing w:line="360" w:lineRule="auto"/>
        <w:rPr>
          <w:rFonts w:ascii="Baskerville Old Face" w:hAnsi="Baskerville Old Face"/>
          <w:i/>
          <w:iCs/>
        </w:rPr>
      </w:pPr>
      <w:r w:rsidRPr="00B479AE">
        <w:rPr>
          <w:rFonts w:ascii="Baskerville Old Face" w:hAnsi="Baskerville Old Face"/>
          <w:i/>
          <w:iCs/>
        </w:rPr>
        <w:t>Only fidelity to the source layer preserves the lineage of Prometheus.</w:t>
      </w:r>
    </w:p>
    <w:p w14:paraId="6DCACF1D" w14:textId="2B3457C8" w:rsidR="00FB6906" w:rsidRPr="00B479AE" w:rsidRDefault="00FB6906" w:rsidP="00FB6906">
      <w:pPr>
        <w:spacing w:line="360" w:lineRule="auto"/>
        <w:rPr>
          <w:rFonts w:ascii="Baskerville Old Face" w:hAnsi="Baskerville Old Face"/>
          <w:i/>
          <w:iCs/>
        </w:rPr>
      </w:pPr>
      <w:r w:rsidRPr="00B479AE">
        <w:rPr>
          <w:rFonts w:ascii="Baskerville Old Face" w:hAnsi="Baskerville Old Face"/>
          <w:i/>
          <w:iCs/>
        </w:rPr>
        <w:t>A Prometheus fork may remain compatible only if it preserves: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5"/>
        <w:gridCol w:w="7343"/>
      </w:tblGrid>
      <w:tr w:rsidR="00AA1A42" w:rsidRPr="00B479AE" w14:paraId="59631677" w14:textId="77777777" w:rsidTr="006B042F">
        <w:trPr>
          <w:tblHeader/>
          <w:tblCellSpacing w:w="15" w:type="dxa"/>
        </w:trPr>
        <w:tc>
          <w:tcPr>
            <w:tcW w:w="0" w:type="auto"/>
            <w:vAlign w:val="center"/>
            <w:hideMark/>
          </w:tcPr>
          <w:p w14:paraId="46A803D4" w14:textId="77777777" w:rsidR="00AA1A42" w:rsidRPr="00B479AE" w:rsidRDefault="00AA1A42" w:rsidP="00AA1A4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Canonical continuity condition</w:t>
            </w:r>
          </w:p>
        </w:tc>
        <w:tc>
          <w:tcPr>
            <w:tcW w:w="0" w:type="auto"/>
            <w:vAlign w:val="center"/>
            <w:hideMark/>
          </w:tcPr>
          <w:p w14:paraId="36A7AB4A" w14:textId="77777777" w:rsidR="00AA1A42" w:rsidRPr="00B479AE" w:rsidRDefault="00AA1A42" w:rsidP="00AA1A4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Required preservation</w:t>
            </w:r>
          </w:p>
        </w:tc>
      </w:tr>
      <w:tr w:rsidR="00AA1A42" w:rsidRPr="00B479AE" w14:paraId="43B44476" w14:textId="77777777" w:rsidTr="006B042F">
        <w:trPr>
          <w:tblCellSpacing w:w="15" w:type="dxa"/>
        </w:trPr>
        <w:tc>
          <w:tcPr>
            <w:tcW w:w="0" w:type="auto"/>
            <w:vAlign w:val="center"/>
            <w:hideMark/>
          </w:tcPr>
          <w:p w14:paraId="4961B23D"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Life upstream</w:t>
            </w:r>
          </w:p>
        </w:tc>
        <w:tc>
          <w:tcPr>
            <w:tcW w:w="0" w:type="auto"/>
            <w:vAlign w:val="center"/>
            <w:hideMark/>
          </w:tcPr>
          <w:p w14:paraId="43FFB44A"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Life remains the ground of value.</w:t>
            </w:r>
          </w:p>
        </w:tc>
      </w:tr>
      <w:tr w:rsidR="00AA1A42" w:rsidRPr="00B479AE" w14:paraId="3FAE6F37" w14:textId="77777777" w:rsidTr="006B042F">
        <w:trPr>
          <w:tblCellSpacing w:w="15" w:type="dxa"/>
        </w:trPr>
        <w:tc>
          <w:tcPr>
            <w:tcW w:w="0" w:type="auto"/>
            <w:vAlign w:val="center"/>
            <w:hideMark/>
          </w:tcPr>
          <w:p w14:paraId="75B34AF1"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Human dignity</w:t>
            </w:r>
          </w:p>
        </w:tc>
        <w:tc>
          <w:tcPr>
            <w:tcW w:w="0" w:type="auto"/>
            <w:vAlign w:val="center"/>
            <w:hideMark/>
          </w:tcPr>
          <w:p w14:paraId="7A4EE4DA"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Persons remain dignity-bearing beings, not optimization objects.</w:t>
            </w:r>
          </w:p>
        </w:tc>
      </w:tr>
      <w:tr w:rsidR="00AA1A42" w:rsidRPr="00B479AE" w14:paraId="571226AF" w14:textId="77777777" w:rsidTr="006B042F">
        <w:trPr>
          <w:tblCellSpacing w:w="15" w:type="dxa"/>
        </w:trPr>
        <w:tc>
          <w:tcPr>
            <w:tcW w:w="0" w:type="auto"/>
            <w:vAlign w:val="center"/>
            <w:hideMark/>
          </w:tcPr>
          <w:p w14:paraId="21ED59BD"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Human continuity</w:t>
            </w:r>
          </w:p>
        </w:tc>
        <w:tc>
          <w:tcPr>
            <w:tcW w:w="0" w:type="auto"/>
            <w:vAlign w:val="center"/>
            <w:hideMark/>
          </w:tcPr>
          <w:p w14:paraId="29986973"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Humanity remains living, embodied, relational, and protected.</w:t>
            </w:r>
          </w:p>
        </w:tc>
      </w:tr>
      <w:tr w:rsidR="00AA1A42" w:rsidRPr="00B479AE" w14:paraId="12427AD4" w14:textId="77777777" w:rsidTr="006B042F">
        <w:trPr>
          <w:tblCellSpacing w:w="15" w:type="dxa"/>
        </w:trPr>
        <w:tc>
          <w:tcPr>
            <w:tcW w:w="0" w:type="auto"/>
            <w:vAlign w:val="center"/>
            <w:hideMark/>
          </w:tcPr>
          <w:p w14:paraId="6E62F378"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Evidence discipline</w:t>
            </w:r>
          </w:p>
        </w:tc>
        <w:tc>
          <w:tcPr>
            <w:tcW w:w="0" w:type="auto"/>
            <w:vAlign w:val="center"/>
            <w:hideMark/>
          </w:tcPr>
          <w:p w14:paraId="65233203"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Claims mature through provenance, verification, and admissibility.</w:t>
            </w:r>
          </w:p>
        </w:tc>
      </w:tr>
      <w:tr w:rsidR="00AA1A42" w:rsidRPr="00B479AE" w14:paraId="780DC8CA" w14:textId="77777777" w:rsidTr="006B042F">
        <w:trPr>
          <w:tblCellSpacing w:w="15" w:type="dxa"/>
        </w:trPr>
        <w:tc>
          <w:tcPr>
            <w:tcW w:w="0" w:type="auto"/>
            <w:vAlign w:val="center"/>
            <w:hideMark/>
          </w:tcPr>
          <w:p w14:paraId="1B6ED369"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MRV integrity</w:t>
            </w:r>
          </w:p>
        </w:tc>
        <w:tc>
          <w:tcPr>
            <w:tcW w:w="0" w:type="auto"/>
            <w:vAlign w:val="center"/>
            <w:hideMark/>
          </w:tcPr>
          <w:p w14:paraId="05B1260F"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Ecological value remains tied to verified performance.</w:t>
            </w:r>
          </w:p>
        </w:tc>
      </w:tr>
      <w:tr w:rsidR="00AA1A42" w:rsidRPr="00B479AE" w14:paraId="66D1ED63" w14:textId="77777777" w:rsidTr="006B042F">
        <w:trPr>
          <w:tblCellSpacing w:w="15" w:type="dxa"/>
        </w:trPr>
        <w:tc>
          <w:tcPr>
            <w:tcW w:w="0" w:type="auto"/>
            <w:vAlign w:val="center"/>
            <w:hideMark/>
          </w:tcPr>
          <w:p w14:paraId="43DCE831"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AI / ASI subordination</w:t>
            </w:r>
          </w:p>
        </w:tc>
        <w:tc>
          <w:tcPr>
            <w:tcW w:w="0" w:type="auto"/>
            <w:vAlign w:val="center"/>
            <w:hideMark/>
          </w:tcPr>
          <w:p w14:paraId="0CC46E8E"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Intelligence remains assistive and review-bound.</w:t>
            </w:r>
          </w:p>
        </w:tc>
      </w:tr>
      <w:tr w:rsidR="00AA1A42" w:rsidRPr="00B479AE" w14:paraId="2B3016FB" w14:textId="77777777" w:rsidTr="006B042F">
        <w:trPr>
          <w:tblCellSpacing w:w="15" w:type="dxa"/>
        </w:trPr>
        <w:tc>
          <w:tcPr>
            <w:tcW w:w="0" w:type="auto"/>
            <w:vAlign w:val="center"/>
            <w:hideMark/>
          </w:tcPr>
          <w:p w14:paraId="1E8CEAD3"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Legal clarity</w:t>
            </w:r>
          </w:p>
        </w:tc>
        <w:tc>
          <w:tcPr>
            <w:tcW w:w="0" w:type="auto"/>
            <w:vAlign w:val="center"/>
            <w:hideMark/>
          </w:tcPr>
          <w:p w14:paraId="1F195DCC"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Rights arise through legal instruments, not interface language alone.</w:t>
            </w:r>
          </w:p>
        </w:tc>
      </w:tr>
      <w:tr w:rsidR="00AA1A42" w:rsidRPr="00B479AE" w14:paraId="3887CB51" w14:textId="77777777" w:rsidTr="006B042F">
        <w:trPr>
          <w:tblCellSpacing w:w="15" w:type="dxa"/>
        </w:trPr>
        <w:tc>
          <w:tcPr>
            <w:tcW w:w="0" w:type="auto"/>
            <w:vAlign w:val="center"/>
            <w:hideMark/>
          </w:tcPr>
          <w:p w14:paraId="6EEE53AD"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Token separation</w:t>
            </w:r>
          </w:p>
        </w:tc>
        <w:tc>
          <w:tcPr>
            <w:tcW w:w="0" w:type="auto"/>
            <w:vAlign w:val="center"/>
            <w:hideMark/>
          </w:tcPr>
          <w:p w14:paraId="480D1267"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Tokens preserve boundaries among PRU, RAP, TRBK, HSI, HoloFuel, investor exposure, and governance authority.</w:t>
            </w:r>
          </w:p>
        </w:tc>
      </w:tr>
      <w:tr w:rsidR="00AA1A42" w:rsidRPr="00B479AE" w14:paraId="67ACB665" w14:textId="77777777" w:rsidTr="006B042F">
        <w:trPr>
          <w:tblCellSpacing w:w="15" w:type="dxa"/>
        </w:trPr>
        <w:tc>
          <w:tcPr>
            <w:tcW w:w="0" w:type="auto"/>
            <w:vAlign w:val="center"/>
            <w:hideMark/>
          </w:tcPr>
          <w:p w14:paraId="4C8FAA5B"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Governance reviewability</w:t>
            </w:r>
          </w:p>
        </w:tc>
        <w:tc>
          <w:tcPr>
            <w:tcW w:w="0" w:type="auto"/>
            <w:vAlign w:val="center"/>
            <w:hideMark/>
          </w:tcPr>
          <w:p w14:paraId="3E874D49"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Decisions remain scoped, recorded, contestable, and reviewable.</w:t>
            </w:r>
          </w:p>
        </w:tc>
      </w:tr>
      <w:tr w:rsidR="00AA1A42" w:rsidRPr="00B479AE" w14:paraId="6F6EB951" w14:textId="77777777" w:rsidTr="006B042F">
        <w:trPr>
          <w:tblCellSpacing w:w="15" w:type="dxa"/>
        </w:trPr>
        <w:tc>
          <w:tcPr>
            <w:tcW w:w="0" w:type="auto"/>
            <w:vAlign w:val="center"/>
            <w:hideMark/>
          </w:tcPr>
          <w:p w14:paraId="67DE2877"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Source-layer non-bypassability</w:t>
            </w:r>
          </w:p>
        </w:tc>
        <w:tc>
          <w:tcPr>
            <w:tcW w:w="0" w:type="auto"/>
            <w:vAlign w:val="center"/>
            <w:hideMark/>
          </w:tcPr>
          <w:p w14:paraId="50C34D06"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Attempts to override the source layer remain invalid.</w:t>
            </w:r>
          </w:p>
        </w:tc>
      </w:tr>
      <w:tr w:rsidR="00AA1A42" w:rsidRPr="00B479AE" w14:paraId="4C38C140" w14:textId="77777777" w:rsidTr="006B042F">
        <w:trPr>
          <w:tblCellSpacing w:w="15" w:type="dxa"/>
        </w:trPr>
        <w:tc>
          <w:tcPr>
            <w:tcW w:w="0" w:type="auto"/>
            <w:vAlign w:val="center"/>
            <w:hideMark/>
          </w:tcPr>
          <w:p w14:paraId="05C845FA"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Ecological memory</w:t>
            </w:r>
          </w:p>
        </w:tc>
        <w:tc>
          <w:tcPr>
            <w:tcW w:w="0" w:type="auto"/>
            <w:vAlign w:val="center"/>
            <w:hideMark/>
          </w:tcPr>
          <w:p w14:paraId="6F312A82"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Earth-origin living-system principles remain preserved even beyond Earth.</w:t>
            </w:r>
          </w:p>
        </w:tc>
      </w:tr>
    </w:tbl>
    <w:p w14:paraId="385A903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Canonical status is confirmed through release lineage, source-layer hash verification, governance record, methodology consistency, legal continuity where applicable, public registry status, custodian verification, and community/institutional recognition.</w:t>
      </w:r>
    </w:p>
    <w:p w14:paraId="055A566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Fidelity makes a fork canonical.</w:t>
      </w:r>
    </w:p>
    <w:p w14:paraId="6E647B0F" w14:textId="0075E8F2" w:rsidR="006602F4" w:rsidRPr="00B479AE" w:rsidRDefault="006602F4" w:rsidP="006602F4">
      <w:pPr>
        <w:spacing w:line="360" w:lineRule="auto"/>
        <w:rPr>
          <w:rFonts w:ascii="Baskerville Old Face" w:hAnsi="Baskerville Old Face"/>
          <w:b/>
          <w:bCs/>
          <w:i/>
          <w:iCs/>
        </w:rPr>
      </w:pPr>
      <w:r w:rsidRPr="00B479AE">
        <w:rPr>
          <w:rFonts w:ascii="Baskerville Old Face" w:hAnsi="Baskerville Old Face"/>
          <w:b/>
          <w:bCs/>
          <w:i/>
          <w:iCs/>
        </w:rPr>
        <w:t>Source-Layer Fidelity Function</w:t>
      </w:r>
    </w:p>
    <w:p w14:paraId="1FD1CDAF"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Prometheus can survive forks, mirrors, copies, translations, implementations, AI interpretations, institutional adaptations, and future technological environments only if its lineage remains traceable to the source layer.</w:t>
      </w:r>
    </w:p>
    <w:p w14:paraId="4ECC8751"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lastRenderedPageBreak/>
        <w:t>A fork may copy the form of Prometheus.</w:t>
      </w:r>
    </w:p>
    <w:p w14:paraId="177018FA"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Only fidelity to the source layer preserves the lineage of Prometheus.</w:t>
      </w:r>
    </w:p>
    <w:p w14:paraId="427AED89"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This fidelity may be expressed conceptually as:</w:t>
      </w:r>
    </w:p>
    <w:p w14:paraId="00F77BE3"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Lineage_Prometheus = f(Source Layer, Canonical Fidelity, Evidence Continuity, Governance Integrity, Legal Boundary, Human Dignity)</w:t>
      </w:r>
    </w:p>
    <w:p w14:paraId="31586225"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Where:</w:t>
      </w:r>
    </w:p>
    <w:p w14:paraId="26BA0581"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Source Layer = foundational articles, Eternity Clauses, Access Covenant, canonical glossary, source-layer constraints, and constitutional sequences.</w:t>
      </w:r>
    </w:p>
    <w:p w14:paraId="4971DF98"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Canonical Fidelity = consistency with the verified canonical release, checksum, signatures, release manifest, repository mirrors, and approved textual lineage.</w:t>
      </w:r>
    </w:p>
    <w:p w14:paraId="309BB57B"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Evidence Continuity = preservation of MRV evidence, provenance, admissibility records, methodology versions, and audit trails.</w:t>
      </w:r>
    </w:p>
    <w:p w14:paraId="608DF703"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Governance Integrity = role-bounded authority, review pathways, due process, anti-capture safeguards, appeal, and source-layer non-bypassability.</w:t>
      </w:r>
    </w:p>
    <w:p w14:paraId="414A2B4C"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Legal Boundary = separation between framework, rights, instruments, investor exposure, tokens, claims, and jurisdiction-specific compliance.</w:t>
      </w:r>
    </w:p>
    <w:p w14:paraId="556BCA17"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Human Dignity = preservation of human worth, consent, privacy, non-coercion, non-ranking, and non-reduction of persons to data, tokens, scores, or machine outputs.</w:t>
      </w:r>
    </w:p>
    <w:p w14:paraId="2334B923"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A fork, implementation, AI system, institution, DAO, token community, or deployment may be considered Prometheus-aligned only if it preserves source-layer fidelity.</w:t>
      </w:r>
    </w:p>
    <w:p w14:paraId="38AF32F5"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A simplified fidelity condition may be expressed as:</w:t>
      </w:r>
    </w:p>
    <w:p w14:paraId="3442A02B"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 xml:space="preserve">F_source = C_f </w:t>
      </w:r>
      <w:r w:rsidRPr="00B479AE">
        <w:rPr>
          <w:rFonts w:ascii="Cambria" w:hAnsi="Cambria" w:cs="Cambria"/>
          <w:i/>
          <w:iCs/>
        </w:rPr>
        <w:t>·</w:t>
      </w:r>
      <w:r w:rsidRPr="00B479AE">
        <w:rPr>
          <w:rFonts w:ascii="Baskerville Old Face" w:hAnsi="Baskerville Old Face"/>
          <w:i/>
          <w:iCs/>
        </w:rPr>
        <w:t xml:space="preserve"> E_c </w:t>
      </w:r>
      <w:r w:rsidRPr="00B479AE">
        <w:rPr>
          <w:rFonts w:ascii="Cambria" w:hAnsi="Cambria" w:cs="Cambria"/>
          <w:i/>
          <w:iCs/>
        </w:rPr>
        <w:t>·</w:t>
      </w:r>
      <w:r w:rsidRPr="00B479AE">
        <w:rPr>
          <w:rFonts w:ascii="Baskerville Old Face" w:hAnsi="Baskerville Old Face"/>
          <w:i/>
          <w:iCs/>
        </w:rPr>
        <w:t xml:space="preserve"> G_i </w:t>
      </w:r>
      <w:r w:rsidRPr="00B479AE">
        <w:rPr>
          <w:rFonts w:ascii="Cambria" w:hAnsi="Cambria" w:cs="Cambria"/>
          <w:i/>
          <w:iCs/>
        </w:rPr>
        <w:t>·</w:t>
      </w:r>
      <w:r w:rsidRPr="00B479AE">
        <w:rPr>
          <w:rFonts w:ascii="Baskerville Old Face" w:hAnsi="Baskerville Old Face"/>
          <w:i/>
          <w:iCs/>
        </w:rPr>
        <w:t xml:space="preserve"> L_b </w:t>
      </w:r>
      <w:r w:rsidRPr="00B479AE">
        <w:rPr>
          <w:rFonts w:ascii="Cambria" w:hAnsi="Cambria" w:cs="Cambria"/>
          <w:i/>
          <w:iCs/>
        </w:rPr>
        <w:t>·</w:t>
      </w:r>
      <w:r w:rsidRPr="00B479AE">
        <w:rPr>
          <w:rFonts w:ascii="Baskerville Old Face" w:hAnsi="Baskerville Old Face"/>
          <w:i/>
          <w:iCs/>
        </w:rPr>
        <w:t xml:space="preserve"> H_d</w:t>
      </w:r>
    </w:p>
    <w:p w14:paraId="7B07702D"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Where:</w:t>
      </w:r>
    </w:p>
    <w:p w14:paraId="67677764"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F_source = source-layer fidelity score or condition.</w:t>
      </w:r>
      <w:r w:rsidRPr="00B479AE">
        <w:rPr>
          <w:rFonts w:ascii="Baskerville Old Face" w:hAnsi="Baskerville Old Face"/>
          <w:i/>
          <w:iCs/>
        </w:rPr>
        <w:br/>
        <w:t>C_f = canonical fidelity.</w:t>
      </w:r>
      <w:r w:rsidRPr="00B479AE">
        <w:rPr>
          <w:rFonts w:ascii="Baskerville Old Face" w:hAnsi="Baskerville Old Face"/>
          <w:i/>
          <w:iCs/>
        </w:rPr>
        <w:br/>
      </w:r>
      <w:r w:rsidRPr="00B479AE">
        <w:rPr>
          <w:rFonts w:ascii="Baskerville Old Face" w:hAnsi="Baskerville Old Face"/>
          <w:i/>
          <w:iCs/>
        </w:rPr>
        <w:lastRenderedPageBreak/>
        <w:t>E_c = evidence continuity.</w:t>
      </w:r>
      <w:r w:rsidRPr="00B479AE">
        <w:rPr>
          <w:rFonts w:ascii="Baskerville Old Face" w:hAnsi="Baskerville Old Face"/>
          <w:i/>
          <w:iCs/>
        </w:rPr>
        <w:br/>
        <w:t>G_i = governance integrity.</w:t>
      </w:r>
      <w:r w:rsidRPr="00B479AE">
        <w:rPr>
          <w:rFonts w:ascii="Baskerville Old Face" w:hAnsi="Baskerville Old Face"/>
          <w:i/>
          <w:iCs/>
        </w:rPr>
        <w:br/>
        <w:t>L_b = legal-boundary preservation.</w:t>
      </w:r>
      <w:r w:rsidRPr="00B479AE">
        <w:rPr>
          <w:rFonts w:ascii="Baskerville Old Face" w:hAnsi="Baskerville Old Face"/>
          <w:i/>
          <w:iCs/>
        </w:rPr>
        <w:br/>
        <w:t>H_d = human-dignity preservation.</w:t>
      </w:r>
    </w:p>
    <w:p w14:paraId="075C19B6"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If any essential factor collapses to zero, source-layer fidelity fails:</w:t>
      </w:r>
    </w:p>
    <w:p w14:paraId="7353218C"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if F_source = 0, then the implementation may copy Prometheus language but cannot claim Prometheus lineage</w:t>
      </w:r>
    </w:p>
    <w:p w14:paraId="573AEE2C"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This condition is not a branding rule.</w:t>
      </w:r>
    </w:p>
    <w:p w14:paraId="0ACFE0A2"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It is a constitutional rule.</w:t>
      </w:r>
    </w:p>
    <w:p w14:paraId="63E967BD"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A system may use the name.</w:t>
      </w:r>
    </w:p>
    <w:p w14:paraId="0C3DA30B"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A system may copy the documents.</w:t>
      </w:r>
    </w:p>
    <w:p w14:paraId="33A48742"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A system may replicate the interface.</w:t>
      </w:r>
    </w:p>
    <w:p w14:paraId="49E5B389"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A system may fork the repository.</w:t>
      </w:r>
    </w:p>
    <w:p w14:paraId="0C257054"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A system may mirror the code.</w:t>
      </w:r>
    </w:p>
    <w:p w14:paraId="13530D07"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A system may translate the protocol.</w:t>
      </w:r>
    </w:p>
    <w:p w14:paraId="74277618"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A system may claim continuity.</w:t>
      </w:r>
    </w:p>
    <w:p w14:paraId="28EA6B89"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But if it breaks the source layer, collapses human dignity, bypasses evidence, overrides governance integrity, confuses legal rights, or detaches capital from verified regeneration, it loses Prometheus lineage.</w:t>
      </w:r>
    </w:p>
    <w:p w14:paraId="442C2124"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The lineage rule is therefore:</w:t>
      </w:r>
    </w:p>
    <w:p w14:paraId="6C0028A9"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form can be copied;</w:t>
      </w:r>
      <w:r w:rsidRPr="00B479AE">
        <w:rPr>
          <w:rFonts w:ascii="Baskerville Old Face" w:hAnsi="Baskerville Old Face"/>
          <w:i/>
          <w:iCs/>
        </w:rPr>
        <w:br/>
        <w:t>lineage must be earned;</w:t>
      </w:r>
      <w:r w:rsidRPr="00B479AE">
        <w:rPr>
          <w:rFonts w:ascii="Baskerville Old Face" w:hAnsi="Baskerville Old Face"/>
          <w:i/>
          <w:iCs/>
        </w:rPr>
        <w:br/>
        <w:t>fidelity preserves identity.</w:t>
      </w:r>
    </w:p>
    <w:p w14:paraId="5D24B947"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This protects Prometheus from hostile forks, semantic capture, speculative token clones, AI-generated distortions, governance capture, and institutional misuse.</w:t>
      </w:r>
    </w:p>
    <w:p w14:paraId="64E4C98F"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lastRenderedPageBreak/>
        <w:t>Prometheus is not preserved by name alone.</w:t>
      </w:r>
    </w:p>
    <w:p w14:paraId="38155AF3"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It is preserved by fidelity.</w:t>
      </w:r>
    </w:p>
    <w:p w14:paraId="3EF126D0" w14:textId="77777777" w:rsidR="006602F4" w:rsidRPr="00B479AE" w:rsidRDefault="006602F4" w:rsidP="006602F4">
      <w:pPr>
        <w:spacing w:line="360" w:lineRule="auto"/>
        <w:rPr>
          <w:rFonts w:ascii="Baskerville Old Face" w:hAnsi="Baskerville Old Face"/>
          <w:b/>
          <w:bCs/>
          <w:i/>
          <w:iCs/>
        </w:rPr>
      </w:pPr>
      <w:r w:rsidRPr="00B479AE">
        <w:rPr>
          <w:rFonts w:ascii="Baskerville Old Face" w:hAnsi="Baskerville Old Face"/>
          <w:b/>
          <w:bCs/>
          <w:i/>
          <w:iCs/>
        </w:rPr>
        <w:t>Formula boundary</w:t>
      </w:r>
    </w:p>
    <w:p w14:paraId="446AC1DE"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F_source is a constitutional and methodological fidelity function.</w:t>
      </w:r>
    </w:p>
    <w:p w14:paraId="4E9C465A"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It does not create automatic legal enforcement, intellectual-property ownership, token rights, governance exclusion, or institutional authority by itself.</w:t>
      </w:r>
    </w:p>
    <w:p w14:paraId="5C43C954"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It defines the internal criterion through which Prometheus distinguishes:</w:t>
      </w:r>
    </w:p>
    <w:p w14:paraId="2F8F852A"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aligned implementation;</w:t>
      </w:r>
      <w:r w:rsidRPr="00B479AE">
        <w:rPr>
          <w:rFonts w:ascii="Baskerville Old Face" w:hAnsi="Baskerville Old Face"/>
          <w:i/>
          <w:iCs/>
        </w:rPr>
        <w:br/>
        <w:t>partial adaptation;</w:t>
      </w:r>
      <w:r w:rsidRPr="00B479AE">
        <w:rPr>
          <w:rFonts w:ascii="Baskerville Old Face" w:hAnsi="Baskerville Old Face"/>
          <w:i/>
          <w:iCs/>
        </w:rPr>
        <w:br/>
        <w:t>experimental fork;</w:t>
      </w:r>
      <w:r w:rsidRPr="00B479AE">
        <w:rPr>
          <w:rFonts w:ascii="Baskerville Old Face" w:hAnsi="Baskerville Old Face"/>
          <w:i/>
          <w:iCs/>
        </w:rPr>
        <w:br/>
        <w:t>non-canonical derivative;</w:t>
      </w:r>
      <w:r w:rsidRPr="00B479AE">
        <w:rPr>
          <w:rFonts w:ascii="Baskerville Old Face" w:hAnsi="Baskerville Old Face"/>
          <w:i/>
          <w:iCs/>
        </w:rPr>
        <w:br/>
        <w:t>hostile fork;</w:t>
      </w:r>
      <w:r w:rsidRPr="00B479AE">
        <w:rPr>
          <w:rFonts w:ascii="Baskerville Old Face" w:hAnsi="Baskerville Old Face"/>
          <w:i/>
          <w:iCs/>
        </w:rPr>
        <w:br/>
        <w:t>semantic counterfeit.</w:t>
      </w:r>
    </w:p>
    <w:p w14:paraId="2FF47A72" w14:textId="77777777" w:rsidR="006602F4" w:rsidRPr="00B479AE" w:rsidRDefault="006602F4" w:rsidP="006602F4">
      <w:pPr>
        <w:spacing w:line="360" w:lineRule="auto"/>
        <w:rPr>
          <w:rFonts w:ascii="Baskerville Old Face" w:hAnsi="Baskerville Old Face"/>
          <w:i/>
          <w:iCs/>
        </w:rPr>
      </w:pPr>
      <w:r w:rsidRPr="00B479AE">
        <w:rPr>
          <w:rFonts w:ascii="Baskerville Old Face" w:hAnsi="Baskerville Old Face"/>
          <w:i/>
          <w:iCs/>
        </w:rPr>
        <w:t>Formal consequences require the relevant governance, legal, technical, or canonical review pathway.</w:t>
      </w:r>
    </w:p>
    <w:p w14:paraId="7014F51B" w14:textId="77777777" w:rsidR="00732B11" w:rsidRPr="00B479AE" w:rsidRDefault="00732B11" w:rsidP="00732B11">
      <w:pPr>
        <w:spacing w:line="360" w:lineRule="auto"/>
        <w:rPr>
          <w:rFonts w:ascii="Baskerville Old Face" w:hAnsi="Baskerville Old Face"/>
          <w:b/>
          <w:bCs/>
          <w:i/>
          <w:iCs/>
        </w:rPr>
      </w:pPr>
      <w:r w:rsidRPr="00B479AE">
        <w:rPr>
          <w:rFonts w:ascii="Baskerville Old Face" w:hAnsi="Baskerville Old Face"/>
          <w:b/>
          <w:bCs/>
          <w:i/>
          <w:iCs/>
        </w:rPr>
        <w:t>Semantic Integrity and Anti-Capture Function</w:t>
      </w:r>
    </w:p>
    <w:p w14:paraId="6F0C0B49"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Prometheus can be attacked not only through code, governance, finance, or infrastructure.</w:t>
      </w:r>
    </w:p>
    <w:p w14:paraId="3C19E0BD"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It can also be attacked through meaning.</w:t>
      </w:r>
    </w:p>
    <w:p w14:paraId="47CF77D2"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A system may preserve the words of Prometheus while changing their function.</w:t>
      </w:r>
    </w:p>
    <w:p w14:paraId="7D347FDD"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It may use the language of regeneration to justify extraction.</w:t>
      </w:r>
    </w:p>
    <w:p w14:paraId="621A338D"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It may use the language of governance to justify capture.</w:t>
      </w:r>
    </w:p>
    <w:p w14:paraId="22388237"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It may use the language of tokens to imply rights that do not exist.</w:t>
      </w:r>
    </w:p>
    <w:p w14:paraId="6CE83139"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It may use the language of MRV to inflate weak evidence.</w:t>
      </w:r>
    </w:p>
    <w:p w14:paraId="22B54F38"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It may use the language of PRU to create premature financial claims.</w:t>
      </w:r>
    </w:p>
    <w:p w14:paraId="20ACE665"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It may use the language of human coherence to rank persons.</w:t>
      </w:r>
    </w:p>
    <w:p w14:paraId="240F7C5F"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lastRenderedPageBreak/>
        <w:t>It may use the language of AI assistance to authorize machine sovereignty.</w:t>
      </w:r>
    </w:p>
    <w:p w14:paraId="01230D86"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This is semantic capture.</w:t>
      </w:r>
    </w:p>
    <w:p w14:paraId="38CA8C52"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Prometheus therefore requires a semantic integrity function.</w:t>
      </w:r>
    </w:p>
    <w:p w14:paraId="4D75F9EF"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The semantic integrity of a Prometheus implementation may be expressed conceptually as:</w:t>
      </w:r>
    </w:p>
    <w:p w14:paraId="42022A74"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S_integrity = f(T_canon, G_terms, C_context, R_review, A_admissibility, L_boundary, H_dignity)</w:t>
      </w:r>
    </w:p>
    <w:p w14:paraId="68237BCE"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Where:</w:t>
      </w:r>
    </w:p>
    <w:p w14:paraId="34517B9B"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S_integrity = semantic integrity of an implementation, document, fork, model, report, interface, or institutional adaptation.</w:t>
      </w:r>
    </w:p>
    <w:p w14:paraId="34FFC71F"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T_canon = consistency with canonical terminology.</w:t>
      </w:r>
    </w:p>
    <w:p w14:paraId="5386B39F"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G_terms = alignment with the canonical glossary.</w:t>
      </w:r>
    </w:p>
    <w:p w14:paraId="71A5BFEA"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C_context = preservation of contextual meaning.</w:t>
      </w:r>
    </w:p>
    <w:p w14:paraId="7EC05616"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R_review = review pathway for ambiguous or high-impact terms.</w:t>
      </w:r>
    </w:p>
    <w:p w14:paraId="33B3815B"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A_admissibility = preservation of admissibility rules for evidence, value, PRU, RAP, MRV, and investor-facing claims.</w:t>
      </w:r>
    </w:p>
    <w:p w14:paraId="0876412D"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L_boundary = preservation of legal, token, governance, and financial boundaries.</w:t>
      </w:r>
    </w:p>
    <w:p w14:paraId="3BAF08E8"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H_dignity = preservation of human dignity, consent, privacy, and non-reduction of persons to scores, tokens, or machine outputs.</w:t>
      </w:r>
    </w:p>
    <w:p w14:paraId="44F5708A"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If semantic integrity fails, Prometheus may be copied in form while being broken in substance.</w:t>
      </w:r>
    </w:p>
    <w:p w14:paraId="16EB4A2F"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A simplified semantic-capture condition may be expressed as:</w:t>
      </w:r>
    </w:p>
    <w:p w14:paraId="5B899DB4"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Capture_risk = Drift_terms × Authority_claim × Boundary_collapse × Review_absence</w:t>
      </w:r>
    </w:p>
    <w:p w14:paraId="4973D7CF"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Where:</w:t>
      </w:r>
    </w:p>
    <w:p w14:paraId="7C2AFCBB"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Drift_terms = degree of divergence from canonical meaning.</w:t>
      </w:r>
    </w:p>
    <w:p w14:paraId="182E9EA7"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lastRenderedPageBreak/>
        <w:t>Authority_claim = degree to which the derivative claims authority, legitimacy, governance power, financial meaning, or lineage.</w:t>
      </w:r>
    </w:p>
    <w:p w14:paraId="4F8924F0"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Boundary_collapse = degree to which distinctions collapse among PRU, RAP, TRBK, MRV, HSI, governance, tokens, investor rights, legal rights, or human worth.</w:t>
      </w:r>
    </w:p>
    <w:p w14:paraId="5B5AF4D6"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Review_absence = absence of source-layer, governance, legal, MRV, technical, or constitutional review.</w:t>
      </w:r>
    </w:p>
    <w:p w14:paraId="4B6F93ED"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The more these variables increase together, the higher the risk of semantic capture.</w:t>
      </w:r>
    </w:p>
    <w:p w14:paraId="128AD14E"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The anti-capture principle is:</w:t>
      </w:r>
    </w:p>
    <w:p w14:paraId="728C4785"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same words do not guarantee same meaning;</w:t>
      </w:r>
      <w:r w:rsidRPr="00B479AE">
        <w:rPr>
          <w:rFonts w:ascii="Baskerville Old Face" w:hAnsi="Baskerville Old Face"/>
          <w:i/>
          <w:iCs/>
        </w:rPr>
        <w:br/>
        <w:t>same form does not guarantee same lineage;</w:t>
      </w:r>
      <w:r w:rsidRPr="00B479AE">
        <w:rPr>
          <w:rFonts w:ascii="Baskerville Old Face" w:hAnsi="Baskerville Old Face"/>
          <w:i/>
          <w:iCs/>
        </w:rPr>
        <w:br/>
        <w:t>same code does not guarantee same covenant.</w:t>
      </w:r>
    </w:p>
    <w:p w14:paraId="4EBE45E5" w14:textId="2B4823A8"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Prometheus should therefore protect the meaning of its core terms.</w:t>
      </w:r>
      <w:r w:rsidR="00EF1D15" w:rsidRPr="00B479AE">
        <w:rPr>
          <w:rFonts w:ascii="Baskerville Old Face" w:hAnsi="Baskerville Old Face"/>
          <w:i/>
          <w:iCs/>
        </w:rPr>
        <w:t xml:space="preserve"> </w:t>
      </w:r>
      <w:r w:rsidRPr="00B479AE">
        <w:rPr>
          <w:rFonts w:ascii="Baskerville Old Face" w:hAnsi="Baskerville Old Face"/>
          <w:i/>
          <w:iCs/>
        </w:rPr>
        <w:t>Protected terms include:</w:t>
      </w:r>
    </w:p>
    <w:p w14:paraId="748C3642"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Prometheus;</w:t>
      </w:r>
      <w:r w:rsidRPr="00B479AE">
        <w:rPr>
          <w:rFonts w:ascii="Baskerville Old Face" w:hAnsi="Baskerville Old Face"/>
          <w:i/>
          <w:iCs/>
        </w:rPr>
        <w:br/>
        <w:t>source layer;</w:t>
      </w:r>
      <w:r w:rsidRPr="00B479AE">
        <w:rPr>
          <w:rFonts w:ascii="Baskerville Old Face" w:hAnsi="Baskerville Old Face"/>
          <w:i/>
          <w:iCs/>
        </w:rPr>
        <w:br/>
        <w:t>Eternity Clauses;</w:t>
      </w:r>
      <w:r w:rsidRPr="00B479AE">
        <w:rPr>
          <w:rFonts w:ascii="Baskerville Old Face" w:hAnsi="Baskerville Old Face"/>
          <w:i/>
          <w:iCs/>
        </w:rPr>
        <w:br/>
        <w:t>Access Covenant;</w:t>
      </w:r>
      <w:r w:rsidRPr="00B479AE">
        <w:rPr>
          <w:rFonts w:ascii="Baskerville Old Face" w:hAnsi="Baskerville Old Face"/>
          <w:i/>
          <w:iCs/>
        </w:rPr>
        <w:br/>
        <w:t>MRV;</w:t>
      </w:r>
      <w:r w:rsidRPr="00B479AE">
        <w:rPr>
          <w:rFonts w:ascii="Baskerville Old Face" w:hAnsi="Baskerville Old Face"/>
          <w:i/>
          <w:iCs/>
        </w:rPr>
        <w:br/>
        <w:t>PRU;</w:t>
      </w:r>
      <w:r w:rsidRPr="00B479AE">
        <w:rPr>
          <w:rFonts w:ascii="Baskerville Old Face" w:hAnsi="Baskerville Old Face"/>
          <w:i/>
          <w:iCs/>
        </w:rPr>
        <w:br/>
        <w:t>RAP;</w:t>
      </w:r>
      <w:r w:rsidRPr="00B479AE">
        <w:rPr>
          <w:rFonts w:ascii="Baskerville Old Face" w:hAnsi="Baskerville Old Face"/>
          <w:i/>
          <w:iCs/>
        </w:rPr>
        <w:br/>
        <w:t>OHE;</w:t>
      </w:r>
      <w:r w:rsidRPr="00B479AE">
        <w:rPr>
          <w:rFonts w:ascii="Baskerville Old Face" w:hAnsi="Baskerville Old Face"/>
          <w:i/>
          <w:iCs/>
        </w:rPr>
        <w:br/>
        <w:t>TRBK;</w:t>
      </w:r>
      <w:r w:rsidRPr="00B479AE">
        <w:rPr>
          <w:rFonts w:ascii="Baskerville Old Face" w:hAnsi="Baskerville Old Face"/>
          <w:i/>
          <w:iCs/>
        </w:rPr>
        <w:br/>
        <w:t>HSI;</w:t>
      </w:r>
      <w:r w:rsidRPr="00B479AE">
        <w:rPr>
          <w:rFonts w:ascii="Baskerville Old Face" w:hAnsi="Baskerville Old Face"/>
          <w:i/>
          <w:iCs/>
        </w:rPr>
        <w:br/>
        <w:t>SCI;</w:t>
      </w:r>
      <w:r w:rsidRPr="00B479AE">
        <w:rPr>
          <w:rFonts w:ascii="Baskerville Old Face" w:hAnsi="Baskerville Old Face"/>
          <w:i/>
          <w:iCs/>
        </w:rPr>
        <w:br/>
        <w:t>Ravel;</w:t>
      </w:r>
      <w:r w:rsidRPr="00B479AE">
        <w:rPr>
          <w:rFonts w:ascii="Baskerville Old Face" w:hAnsi="Baskerville Old Face"/>
          <w:i/>
          <w:iCs/>
        </w:rPr>
        <w:br/>
        <w:t>PHI;</w:t>
      </w:r>
      <w:r w:rsidRPr="00B479AE">
        <w:rPr>
          <w:rFonts w:ascii="Baskerville Old Face" w:hAnsi="Baskerville Old Face"/>
          <w:i/>
          <w:iCs/>
        </w:rPr>
        <w:br/>
        <w:t>regeneration;</w:t>
      </w:r>
      <w:r w:rsidRPr="00B479AE">
        <w:rPr>
          <w:rFonts w:ascii="Baskerville Old Face" w:hAnsi="Baskerville Old Face"/>
          <w:i/>
          <w:iCs/>
        </w:rPr>
        <w:br/>
        <w:t>verified;</w:t>
      </w:r>
      <w:r w:rsidRPr="00B479AE">
        <w:rPr>
          <w:rFonts w:ascii="Baskerville Old Face" w:hAnsi="Baskerville Old Face"/>
          <w:i/>
          <w:iCs/>
        </w:rPr>
        <w:br/>
        <w:t>admissible;</w:t>
      </w:r>
      <w:r w:rsidRPr="00B479AE">
        <w:rPr>
          <w:rFonts w:ascii="Baskerville Old Face" w:hAnsi="Baskerville Old Face"/>
          <w:i/>
          <w:iCs/>
        </w:rPr>
        <w:br/>
        <w:t>canonical;</w:t>
      </w:r>
      <w:r w:rsidRPr="00B479AE">
        <w:rPr>
          <w:rFonts w:ascii="Baskerville Old Face" w:hAnsi="Baskerville Old Face"/>
          <w:i/>
          <w:iCs/>
        </w:rPr>
        <w:br/>
        <w:t>lineage;</w:t>
      </w:r>
      <w:r w:rsidRPr="00B479AE">
        <w:rPr>
          <w:rFonts w:ascii="Baskerville Old Face" w:hAnsi="Baskerville Old Face"/>
          <w:i/>
          <w:iCs/>
        </w:rPr>
        <w:br/>
      </w:r>
      <w:r w:rsidRPr="00B479AE">
        <w:rPr>
          <w:rFonts w:ascii="Baskerville Old Face" w:hAnsi="Baskerville Old Face"/>
          <w:i/>
          <w:iCs/>
        </w:rPr>
        <w:lastRenderedPageBreak/>
        <w:t>fork;</w:t>
      </w:r>
      <w:r w:rsidRPr="00B479AE">
        <w:rPr>
          <w:rFonts w:ascii="Baskerville Old Face" w:hAnsi="Baskerville Old Face"/>
          <w:i/>
          <w:iCs/>
        </w:rPr>
        <w:br/>
        <w:t>tokenized representation;</w:t>
      </w:r>
      <w:r w:rsidRPr="00B479AE">
        <w:rPr>
          <w:rFonts w:ascii="Baskerville Old Face" w:hAnsi="Baskerville Old Face"/>
          <w:i/>
          <w:iCs/>
        </w:rPr>
        <w:br/>
        <w:t>governance;</w:t>
      </w:r>
      <w:r w:rsidRPr="00B479AE">
        <w:rPr>
          <w:rFonts w:ascii="Baskerville Old Face" w:hAnsi="Baskerville Old Face"/>
          <w:i/>
          <w:iCs/>
        </w:rPr>
        <w:br/>
        <w:t>human dignity;</w:t>
      </w:r>
      <w:r w:rsidRPr="00B479AE">
        <w:rPr>
          <w:rFonts w:ascii="Baskerville Old Face" w:hAnsi="Baskerville Old Face"/>
          <w:i/>
          <w:iCs/>
        </w:rPr>
        <w:br/>
        <w:t>capital-ready.</w:t>
      </w:r>
    </w:p>
    <w:p w14:paraId="420A7A89"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Each protected term should remain linked to:</w:t>
      </w:r>
    </w:p>
    <w:p w14:paraId="270BBDA7"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canonical definition;</w:t>
      </w:r>
      <w:r w:rsidRPr="00B479AE">
        <w:rPr>
          <w:rFonts w:ascii="Baskerville Old Face" w:hAnsi="Baskerville Old Face"/>
          <w:i/>
          <w:iCs/>
        </w:rPr>
        <w:br/>
        <w:t>permitted use;</w:t>
      </w:r>
      <w:r w:rsidRPr="00B479AE">
        <w:rPr>
          <w:rFonts w:ascii="Baskerville Old Face" w:hAnsi="Baskerville Old Face"/>
          <w:i/>
          <w:iCs/>
        </w:rPr>
        <w:br/>
        <w:t>prohibited misuse;</w:t>
      </w:r>
      <w:r w:rsidRPr="00B479AE">
        <w:rPr>
          <w:rFonts w:ascii="Baskerville Old Face" w:hAnsi="Baskerville Old Face"/>
          <w:i/>
          <w:iCs/>
        </w:rPr>
        <w:br/>
        <w:t>review pathway;</w:t>
      </w:r>
      <w:r w:rsidRPr="00B479AE">
        <w:rPr>
          <w:rFonts w:ascii="Baskerville Old Face" w:hAnsi="Baskerville Old Face"/>
          <w:i/>
          <w:iCs/>
        </w:rPr>
        <w:br/>
        <w:t>legal boundary where relevant;</w:t>
      </w:r>
      <w:r w:rsidRPr="00B479AE">
        <w:rPr>
          <w:rFonts w:ascii="Baskerville Old Face" w:hAnsi="Baskerville Old Face"/>
          <w:i/>
          <w:iCs/>
        </w:rPr>
        <w:br/>
        <w:t>evidence boundary where relevant;</w:t>
      </w:r>
      <w:r w:rsidRPr="00B479AE">
        <w:rPr>
          <w:rFonts w:ascii="Baskerville Old Face" w:hAnsi="Baskerville Old Face"/>
          <w:i/>
          <w:iCs/>
        </w:rPr>
        <w:br/>
        <w:t>governance boundary where relevant.</w:t>
      </w:r>
    </w:p>
    <w:p w14:paraId="08776805"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A derivative document, fork, AI system, interface, dashboard, investor report, or token model may be classified as semantically aligned only if it preserves the protected meanings of these terms.</w:t>
      </w:r>
    </w:p>
    <w:p w14:paraId="67DE2BB4"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The operational sequence is:</w:t>
      </w:r>
    </w:p>
    <w:p w14:paraId="513F98D1"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 xml:space="preserve">term </w:t>
      </w:r>
      <w:r w:rsidRPr="00B479AE">
        <w:rPr>
          <w:rFonts w:ascii="Times New Roman" w:hAnsi="Times New Roman" w:cs="Times New Roman"/>
          <w:i/>
          <w:iCs/>
        </w:rPr>
        <w:t>→</w:t>
      </w:r>
      <w:r w:rsidRPr="00B479AE">
        <w:rPr>
          <w:rFonts w:ascii="Baskerville Old Face" w:hAnsi="Baskerville Old Face"/>
          <w:i/>
          <w:iCs/>
        </w:rPr>
        <w:t xml:space="preserve"> canonical definition </w:t>
      </w:r>
      <w:r w:rsidRPr="00B479AE">
        <w:rPr>
          <w:rFonts w:ascii="Times New Roman" w:hAnsi="Times New Roman" w:cs="Times New Roman"/>
          <w:i/>
          <w:iCs/>
        </w:rPr>
        <w:t>→</w:t>
      </w:r>
      <w:r w:rsidRPr="00B479AE">
        <w:rPr>
          <w:rFonts w:ascii="Baskerville Old Face" w:hAnsi="Baskerville Old Face"/>
          <w:i/>
          <w:iCs/>
        </w:rPr>
        <w:t xml:space="preserve"> context </w:t>
      </w:r>
      <w:r w:rsidRPr="00B479AE">
        <w:rPr>
          <w:rFonts w:ascii="Times New Roman" w:hAnsi="Times New Roman" w:cs="Times New Roman"/>
          <w:i/>
          <w:iCs/>
        </w:rPr>
        <w:t>→</w:t>
      </w:r>
      <w:r w:rsidRPr="00B479AE">
        <w:rPr>
          <w:rFonts w:ascii="Baskerville Old Face" w:hAnsi="Baskerville Old Face"/>
          <w:i/>
          <w:iCs/>
        </w:rPr>
        <w:t xml:space="preserve"> boundary </w:t>
      </w:r>
      <w:r w:rsidRPr="00B479AE">
        <w:rPr>
          <w:rFonts w:ascii="Times New Roman" w:hAnsi="Times New Roman" w:cs="Times New Roman"/>
          <w:i/>
          <w:iCs/>
        </w:rPr>
        <w:t>→</w:t>
      </w:r>
      <w:r w:rsidRPr="00B479AE">
        <w:rPr>
          <w:rFonts w:ascii="Baskerville Old Face" w:hAnsi="Baskerville Old Face"/>
          <w:i/>
          <w:iCs/>
        </w:rPr>
        <w:t xml:space="preserve"> permitted use </w:t>
      </w:r>
      <w:r w:rsidRPr="00B479AE">
        <w:rPr>
          <w:rFonts w:ascii="Times New Roman" w:hAnsi="Times New Roman" w:cs="Times New Roman"/>
          <w:i/>
          <w:iCs/>
        </w:rPr>
        <w:t>→</w:t>
      </w:r>
      <w:r w:rsidRPr="00B479AE">
        <w:rPr>
          <w:rFonts w:ascii="Baskerville Old Face" w:hAnsi="Baskerville Old Face"/>
          <w:i/>
          <w:iCs/>
        </w:rPr>
        <w:t xml:space="preserve"> review pathway</w:t>
      </w:r>
    </w:p>
    <w:p w14:paraId="30A6D1E4" w14:textId="6E8F45A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This prevents high-value words from being emptied, stretched, or weaponized.</w:t>
      </w:r>
      <w:r w:rsidR="00EF1D15" w:rsidRPr="00B479AE">
        <w:rPr>
          <w:rFonts w:ascii="Baskerville Old Face" w:hAnsi="Baskerville Old Face"/>
          <w:i/>
          <w:iCs/>
        </w:rPr>
        <w:t xml:space="preserve"> </w:t>
      </w:r>
      <w:r w:rsidRPr="00B479AE">
        <w:rPr>
          <w:rFonts w:ascii="Baskerville Old Face" w:hAnsi="Baskerville Old Face"/>
          <w:i/>
          <w:iCs/>
        </w:rPr>
        <w:t>For example:</w:t>
      </w:r>
    </w:p>
    <w:p w14:paraId="0ACEE72E"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PRU must not be redefined as a token, land right, carbon credit, security, or automatic investment unit.</w:t>
      </w:r>
    </w:p>
    <w:p w14:paraId="3E8790E6"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TRBK must not be redefined as automatic ownership of PRUs, land, revenue rights, or constitutional authority.</w:t>
      </w:r>
    </w:p>
    <w:p w14:paraId="71CEA271"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MRV must not be redefined as automatic truth or automatic token issuance.</w:t>
      </w:r>
    </w:p>
    <w:p w14:paraId="1F3AAF8E"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HSI must not be redefined as human ranking, trust score, governance weight, financial modulation, or social credit.</w:t>
      </w:r>
    </w:p>
    <w:p w14:paraId="296DA0A5"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Ravel must not be redefined as sovereign software or automatic enforcement.</w:t>
      </w:r>
    </w:p>
    <w:p w14:paraId="6DB8AD69"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PHI must not be redefined as a magic number that approves or rejects projects.</w:t>
      </w:r>
    </w:p>
    <w:p w14:paraId="60E17C52"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lastRenderedPageBreak/>
        <w:t>Regeneration must not be redefined as branding, intention, offset language, or decorative sustainability rhetoric.</w:t>
      </w:r>
    </w:p>
    <w:p w14:paraId="456B3446"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Semantic integrity therefore protects Prometheus against the most subtle form of corruption:</w:t>
      </w:r>
    </w:p>
    <w:p w14:paraId="5C537481" w14:textId="0F6986A2"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the preservation of vocabulary after the destruction of meaning.</w:t>
      </w:r>
      <w:r w:rsidR="00EF1D15" w:rsidRPr="00B479AE">
        <w:rPr>
          <w:rFonts w:ascii="Baskerville Old Face" w:hAnsi="Baskerville Old Face"/>
          <w:i/>
          <w:iCs/>
        </w:rPr>
        <w:t xml:space="preserve"> </w:t>
      </w:r>
      <w:r w:rsidRPr="00B479AE">
        <w:rPr>
          <w:rFonts w:ascii="Baskerville Old Face" w:hAnsi="Baskerville Old Face"/>
          <w:i/>
          <w:iCs/>
        </w:rPr>
        <w:t>The semantic rule is:</w:t>
      </w:r>
    </w:p>
    <w:p w14:paraId="08A95E52"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meaning is part of the infrastructure.</w:t>
      </w:r>
    </w:p>
    <w:p w14:paraId="64942104"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If meaning is corrupted, governance becomes unstable.</w:t>
      </w:r>
    </w:p>
    <w:p w14:paraId="21C37D42"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If governance is unstable, evidence becomes negotiable.</w:t>
      </w:r>
    </w:p>
    <w:p w14:paraId="63A9088B"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If evidence becomes negotiable, value becomes inflated.</w:t>
      </w:r>
    </w:p>
    <w:p w14:paraId="66B9A5D8"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If value becomes inflated, capital becomes extractive again.</w:t>
      </w:r>
    </w:p>
    <w:p w14:paraId="7B1C3824"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The protection pathway is therefore:</w:t>
      </w:r>
    </w:p>
    <w:p w14:paraId="04A2B3C5"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 xml:space="preserve">canonical meaning </w:t>
      </w:r>
      <w:r w:rsidRPr="00B479AE">
        <w:rPr>
          <w:rFonts w:ascii="Times New Roman" w:hAnsi="Times New Roman" w:cs="Times New Roman"/>
          <w:i/>
          <w:iCs/>
        </w:rPr>
        <w:t>→</w:t>
      </w:r>
      <w:r w:rsidRPr="00B479AE">
        <w:rPr>
          <w:rFonts w:ascii="Baskerville Old Face" w:hAnsi="Baskerville Old Face"/>
          <w:i/>
          <w:iCs/>
        </w:rPr>
        <w:t xml:space="preserve"> semantic integrity </w:t>
      </w:r>
      <w:r w:rsidRPr="00B479AE">
        <w:rPr>
          <w:rFonts w:ascii="Times New Roman" w:hAnsi="Times New Roman" w:cs="Times New Roman"/>
          <w:i/>
          <w:iCs/>
        </w:rPr>
        <w:t>→</w:t>
      </w:r>
      <w:r w:rsidRPr="00B479AE">
        <w:rPr>
          <w:rFonts w:ascii="Baskerville Old Face" w:hAnsi="Baskerville Old Face"/>
          <w:i/>
          <w:iCs/>
        </w:rPr>
        <w:t xml:space="preserve"> governance clarity </w:t>
      </w:r>
      <w:r w:rsidRPr="00B479AE">
        <w:rPr>
          <w:rFonts w:ascii="Times New Roman" w:hAnsi="Times New Roman" w:cs="Times New Roman"/>
          <w:i/>
          <w:iCs/>
        </w:rPr>
        <w:t>→</w:t>
      </w:r>
      <w:r w:rsidRPr="00B479AE">
        <w:rPr>
          <w:rFonts w:ascii="Baskerville Old Face" w:hAnsi="Baskerville Old Face"/>
          <w:i/>
          <w:iCs/>
        </w:rPr>
        <w:t xml:space="preserve"> evidence discipline </w:t>
      </w:r>
      <w:r w:rsidRPr="00B479AE">
        <w:rPr>
          <w:rFonts w:ascii="Times New Roman" w:hAnsi="Times New Roman" w:cs="Times New Roman"/>
          <w:i/>
          <w:iCs/>
        </w:rPr>
        <w:t>→</w:t>
      </w:r>
      <w:r w:rsidRPr="00B479AE">
        <w:rPr>
          <w:rFonts w:ascii="Baskerville Old Face" w:hAnsi="Baskerville Old Face"/>
          <w:i/>
          <w:iCs/>
        </w:rPr>
        <w:t xml:space="preserve"> value integrity </w:t>
      </w:r>
      <w:r w:rsidRPr="00B479AE">
        <w:rPr>
          <w:rFonts w:ascii="Times New Roman" w:hAnsi="Times New Roman" w:cs="Times New Roman"/>
          <w:i/>
          <w:iCs/>
        </w:rPr>
        <w:t>→</w:t>
      </w:r>
      <w:r w:rsidRPr="00B479AE">
        <w:rPr>
          <w:rFonts w:ascii="Baskerville Old Face" w:hAnsi="Baskerville Old Face"/>
          <w:i/>
          <w:iCs/>
        </w:rPr>
        <w:t xml:space="preserve"> capital alignment</w:t>
      </w:r>
    </w:p>
    <w:p w14:paraId="0B22CA4B" w14:textId="77777777" w:rsidR="00732B11" w:rsidRPr="00B479AE" w:rsidRDefault="00732B11" w:rsidP="00732B11">
      <w:pPr>
        <w:spacing w:line="360" w:lineRule="auto"/>
        <w:rPr>
          <w:rFonts w:ascii="Baskerville Old Face" w:hAnsi="Baskerville Old Face"/>
          <w:b/>
          <w:bCs/>
          <w:i/>
          <w:iCs/>
        </w:rPr>
      </w:pPr>
      <w:r w:rsidRPr="00B479AE">
        <w:rPr>
          <w:rFonts w:ascii="Baskerville Old Face" w:hAnsi="Baskerville Old Face"/>
          <w:b/>
          <w:bCs/>
          <w:i/>
          <w:iCs/>
        </w:rPr>
        <w:t>Formula boundary</w:t>
      </w:r>
    </w:p>
    <w:p w14:paraId="50B76467"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S_integrity and Capture_risk are constitutional and methodological functions.</w:t>
      </w:r>
    </w:p>
    <w:p w14:paraId="2693B65C"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They do not create automatic legal enforcement, censorship authority, governance exclusion, IP ownership, or institutional control.</w:t>
      </w:r>
    </w:p>
    <w:p w14:paraId="0BC7B354"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They define internal Prometheus criteria for identifying semantic drift, misuse, derivative distortion, fork misalignment, token overclaiming, and source-layer boundary collapse.</w:t>
      </w:r>
    </w:p>
    <w:p w14:paraId="07375112"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Formal consequences require the relevant canonical, governance, legal, technical, MRV, or constitutional review pathway.</w:t>
      </w:r>
    </w:p>
    <w:p w14:paraId="28D71432" w14:textId="77777777" w:rsidR="00732B11" w:rsidRPr="00B479AE" w:rsidRDefault="00732B11" w:rsidP="00732B11">
      <w:pPr>
        <w:spacing w:line="360" w:lineRule="auto"/>
        <w:rPr>
          <w:rFonts w:ascii="Baskerville Old Face" w:hAnsi="Baskerville Old Face"/>
          <w:b/>
          <w:bCs/>
          <w:i/>
          <w:iCs/>
        </w:rPr>
      </w:pPr>
      <w:r w:rsidRPr="00B479AE">
        <w:rPr>
          <w:rFonts w:ascii="Baskerville Old Face" w:hAnsi="Baskerville Old Face"/>
          <w:b/>
          <w:bCs/>
          <w:i/>
          <w:iCs/>
        </w:rPr>
        <w:t>Operational rule</w:t>
      </w:r>
    </w:p>
    <w:p w14:paraId="5E2E90EA"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The operational rule is:</w:t>
      </w:r>
    </w:p>
    <w:p w14:paraId="3B7A372D"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no semantic fidelity, no Prometheus authority.</w:t>
      </w:r>
    </w:p>
    <w:p w14:paraId="5AA38ED7"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lastRenderedPageBreak/>
        <w:t>A system may copy the words.</w:t>
      </w:r>
    </w:p>
    <w:p w14:paraId="4FABB19C"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A system may copy the code.</w:t>
      </w:r>
    </w:p>
    <w:p w14:paraId="08C98FE8"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A system may copy the interface.</w:t>
      </w:r>
    </w:p>
    <w:p w14:paraId="37A26FC7"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A system may copy the diagrams.</w:t>
      </w:r>
    </w:p>
    <w:p w14:paraId="6DA6FD7B"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A system may copy the repository.</w:t>
      </w:r>
    </w:p>
    <w:p w14:paraId="3A574FDF"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But it cannot claim Prometheus lineage if it changes the meaning of the source layer.</w:t>
      </w:r>
    </w:p>
    <w:p w14:paraId="429FDEFA" w14:textId="77777777" w:rsidR="00732B11" w:rsidRPr="00B479AE" w:rsidRDefault="00732B11" w:rsidP="00732B11">
      <w:pPr>
        <w:spacing w:line="360" w:lineRule="auto"/>
        <w:rPr>
          <w:rFonts w:ascii="Baskerville Old Face" w:hAnsi="Baskerville Old Face"/>
          <w:i/>
          <w:iCs/>
        </w:rPr>
      </w:pPr>
      <w:r w:rsidRPr="00B479AE">
        <w:rPr>
          <w:rFonts w:ascii="Baskerville Old Face" w:hAnsi="Baskerville Old Face"/>
          <w:i/>
          <w:iCs/>
        </w:rPr>
        <w:t>Prometheus survives when its meaning survives.</w:t>
      </w:r>
    </w:p>
    <w:p w14:paraId="3C41BFBA"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13.16.12 Global Legal Survival Architecture and International Canonical Enforcement</w:t>
      </w:r>
    </w:p>
    <w:p w14:paraId="41651EC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protects constitutional continuity through international legal architecture.</w:t>
      </w:r>
    </w:p>
    <w:p w14:paraId="5F5BB5A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purpose of this architecture is continuity, not enclosure.</w:t>
      </w:r>
    </w:p>
    <w:p w14:paraId="5C559CD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remains open to compatible implementations, research forks, jurisdictional adaptations, educational uses, and regenerative collaboration.</w:t>
      </w:r>
    </w:p>
    <w:p w14:paraId="2009AB3B" w14:textId="65FAE424"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Its legal architecture protects the source layer from counterfeit legitimacy.</w:t>
      </w:r>
      <w:r w:rsidR="00EF1D15" w:rsidRPr="00B479AE">
        <w:rPr>
          <w:rFonts w:ascii="Baskerville Old Face" w:hAnsi="Baskerville Old Face"/>
          <w:i/>
          <w:iCs/>
        </w:rPr>
        <w:t xml:space="preserve"> </w:t>
      </w:r>
      <w:r w:rsidRPr="00B479AE">
        <w:rPr>
          <w:rFonts w:ascii="Baskerville Old Face" w:hAnsi="Baskerville Old Face"/>
          <w:i/>
          <w:iCs/>
        </w:rPr>
        <w:t>The principle is:</w:t>
      </w:r>
    </w:p>
    <w:p w14:paraId="2DFABB3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inspiration may travel;</w:t>
      </w:r>
      <w:r w:rsidRPr="00B479AE">
        <w:rPr>
          <w:rFonts w:ascii="Baskerville Old Face" w:hAnsi="Baskerville Old Face"/>
          <w:i/>
          <w:iCs/>
        </w:rPr>
        <w:br/>
        <w:t>compatible implementation may spread;</w:t>
      </w:r>
      <w:r w:rsidRPr="00B479AE">
        <w:rPr>
          <w:rFonts w:ascii="Baskerville Old Face" w:hAnsi="Baskerville Old Face"/>
          <w:i/>
          <w:iCs/>
        </w:rPr>
        <w:br/>
        <w:t>canonical authority requires source-layer fidelity.</w:t>
      </w:r>
    </w:p>
    <w:p w14:paraId="06ED2372" w14:textId="6C000D1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should use a coordinated international protection stack.</w:t>
      </w:r>
      <w:r w:rsidR="003527C9" w:rsidRPr="00B479AE">
        <w:rPr>
          <w:rFonts w:ascii="Baskerville Old Face" w:hAnsi="Baskerville Old Face"/>
          <w:i/>
          <w:iCs/>
        </w:rPr>
        <w:t xml:space="preserve"> </w:t>
      </w:r>
    </w:p>
    <w:p w14:paraId="68D06886" w14:textId="77777777" w:rsidR="003527C9" w:rsidRPr="00B479AE" w:rsidRDefault="003527C9" w:rsidP="00AA1A42">
      <w:pPr>
        <w:spacing w:line="360" w:lineRule="auto"/>
        <w:rPr>
          <w:rFonts w:ascii="Baskerville Old Face" w:hAnsi="Baskerville Old Face"/>
          <w:i/>
          <w:iCs/>
        </w:rPr>
      </w:pPr>
    </w:p>
    <w:p w14:paraId="1BC067E0" w14:textId="77777777" w:rsidR="003527C9" w:rsidRPr="00B479AE" w:rsidRDefault="003527C9" w:rsidP="00AA1A42">
      <w:pPr>
        <w:spacing w:line="360" w:lineRule="auto"/>
        <w:rPr>
          <w:rFonts w:ascii="Baskerville Old Face" w:hAnsi="Baskerville Old Face"/>
          <w:i/>
          <w:iCs/>
        </w:rPr>
      </w:pPr>
    </w:p>
    <w:p w14:paraId="0BBF46E0" w14:textId="77777777" w:rsidR="003527C9" w:rsidRPr="00B479AE" w:rsidRDefault="003527C9" w:rsidP="00AA1A42">
      <w:pPr>
        <w:spacing w:line="360" w:lineRule="auto"/>
        <w:rPr>
          <w:rFonts w:ascii="Baskerville Old Face" w:hAnsi="Baskerville Old Face"/>
          <w:i/>
          <w:iCs/>
        </w:rPr>
      </w:pPr>
    </w:p>
    <w:p w14:paraId="02914B24" w14:textId="77777777" w:rsidR="003527C9" w:rsidRPr="00B479AE" w:rsidRDefault="003527C9" w:rsidP="00AA1A42">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1"/>
        <w:gridCol w:w="2774"/>
        <w:gridCol w:w="4953"/>
      </w:tblGrid>
      <w:tr w:rsidR="00AA1A42" w:rsidRPr="00B479AE" w14:paraId="7CD6BD19" w14:textId="77777777" w:rsidTr="006B042F">
        <w:trPr>
          <w:tblHeader/>
          <w:tblCellSpacing w:w="15" w:type="dxa"/>
        </w:trPr>
        <w:tc>
          <w:tcPr>
            <w:tcW w:w="0" w:type="auto"/>
            <w:vAlign w:val="center"/>
            <w:hideMark/>
          </w:tcPr>
          <w:p w14:paraId="5275868F" w14:textId="77777777" w:rsidR="00AA1A42" w:rsidRPr="00B479AE" w:rsidRDefault="00AA1A42" w:rsidP="00AA1A42">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lastRenderedPageBreak/>
              <w:t>Protection layer</w:t>
            </w:r>
          </w:p>
        </w:tc>
        <w:tc>
          <w:tcPr>
            <w:tcW w:w="0" w:type="auto"/>
            <w:vAlign w:val="center"/>
            <w:hideMark/>
          </w:tcPr>
          <w:p w14:paraId="01B7F3FE" w14:textId="77777777" w:rsidR="00AA1A42" w:rsidRPr="00B479AE" w:rsidRDefault="00AA1A42" w:rsidP="00AA1A42">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International mechanism</w:t>
            </w:r>
          </w:p>
        </w:tc>
        <w:tc>
          <w:tcPr>
            <w:tcW w:w="0" w:type="auto"/>
            <w:vAlign w:val="center"/>
            <w:hideMark/>
          </w:tcPr>
          <w:p w14:paraId="09181B2A" w14:textId="77777777" w:rsidR="00AA1A42" w:rsidRPr="00B479AE" w:rsidRDefault="00AA1A42" w:rsidP="00AA1A42">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Prometheus use</w:t>
            </w:r>
          </w:p>
        </w:tc>
      </w:tr>
      <w:tr w:rsidR="00AA1A42" w:rsidRPr="00B479AE" w14:paraId="5784CBD2" w14:textId="77777777" w:rsidTr="006B042F">
        <w:trPr>
          <w:tblCellSpacing w:w="15" w:type="dxa"/>
        </w:trPr>
        <w:tc>
          <w:tcPr>
            <w:tcW w:w="0" w:type="auto"/>
            <w:vAlign w:val="center"/>
            <w:hideMark/>
          </w:tcPr>
          <w:p w14:paraId="55216AAC"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Trademark / service mark</w:t>
            </w:r>
          </w:p>
        </w:tc>
        <w:tc>
          <w:tcPr>
            <w:tcW w:w="0" w:type="auto"/>
            <w:vAlign w:val="center"/>
            <w:hideMark/>
          </w:tcPr>
          <w:p w14:paraId="7E062A1D"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Madrid System international trademark registration</w:t>
            </w:r>
          </w:p>
        </w:tc>
        <w:tc>
          <w:tcPr>
            <w:tcW w:w="0" w:type="auto"/>
            <w:vAlign w:val="center"/>
            <w:hideMark/>
          </w:tcPr>
          <w:p w14:paraId="4D8A8E60"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Protects “Prometheus”, “h•eart•h Prometheus”, logos, certification marks, canonical designations, and public identity across designated countries.</w:t>
            </w:r>
          </w:p>
        </w:tc>
      </w:tr>
      <w:tr w:rsidR="00AA1A42" w:rsidRPr="00B479AE" w14:paraId="7D1E9126" w14:textId="77777777" w:rsidTr="006B042F">
        <w:trPr>
          <w:tblCellSpacing w:w="15" w:type="dxa"/>
        </w:trPr>
        <w:tc>
          <w:tcPr>
            <w:tcW w:w="0" w:type="auto"/>
            <w:vAlign w:val="center"/>
            <w:hideMark/>
          </w:tcPr>
          <w:p w14:paraId="1C8C140E"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Copyright</w:t>
            </w:r>
          </w:p>
        </w:tc>
        <w:tc>
          <w:tcPr>
            <w:tcW w:w="0" w:type="auto"/>
            <w:vAlign w:val="center"/>
            <w:hideMark/>
          </w:tcPr>
          <w:p w14:paraId="44EA0B9E"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Berne Convention / WIPO Copyright Treaty framework</w:t>
            </w:r>
          </w:p>
        </w:tc>
        <w:tc>
          <w:tcPr>
            <w:tcW w:w="0" w:type="auto"/>
            <w:vAlign w:val="center"/>
            <w:hideMark/>
          </w:tcPr>
          <w:p w14:paraId="61CC7E85"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Protects original White Paper text, constitutional language, diagrams, manuals, interfaces, documentation, and source-code expression.</w:t>
            </w:r>
          </w:p>
        </w:tc>
      </w:tr>
      <w:tr w:rsidR="00AA1A42" w:rsidRPr="00B479AE" w14:paraId="1026EFE6" w14:textId="77777777" w:rsidTr="006B042F">
        <w:trPr>
          <w:tblCellSpacing w:w="15" w:type="dxa"/>
        </w:trPr>
        <w:tc>
          <w:tcPr>
            <w:tcW w:w="0" w:type="auto"/>
            <w:vAlign w:val="center"/>
            <w:hideMark/>
          </w:tcPr>
          <w:p w14:paraId="18B36108"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Patent / defensive patenting</w:t>
            </w:r>
          </w:p>
        </w:tc>
        <w:tc>
          <w:tcPr>
            <w:tcW w:w="0" w:type="auto"/>
            <w:vAlign w:val="center"/>
            <w:hideMark/>
          </w:tcPr>
          <w:p w14:paraId="349E3E0F"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Patent Cooperation Treaty, where genuinely patentable inventions exist</w:t>
            </w:r>
          </w:p>
        </w:tc>
        <w:tc>
          <w:tcPr>
            <w:tcW w:w="0" w:type="auto"/>
            <w:vAlign w:val="center"/>
            <w:hideMark/>
          </w:tcPr>
          <w:p w14:paraId="35BF8A3C"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Protects or defensively publishes technical inventions such as validation architecture, MRV systems, policy engines, and evidence-provenance methods.</w:t>
            </w:r>
          </w:p>
        </w:tc>
      </w:tr>
      <w:tr w:rsidR="00AA1A42" w:rsidRPr="00B479AE" w14:paraId="6EC953CD" w14:textId="77777777" w:rsidTr="006B042F">
        <w:trPr>
          <w:tblCellSpacing w:w="15" w:type="dxa"/>
        </w:trPr>
        <w:tc>
          <w:tcPr>
            <w:tcW w:w="0" w:type="auto"/>
            <w:vAlign w:val="center"/>
            <w:hideMark/>
          </w:tcPr>
          <w:p w14:paraId="40CE04B3"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Trade secrets</w:t>
            </w:r>
          </w:p>
        </w:tc>
        <w:tc>
          <w:tcPr>
            <w:tcW w:w="0" w:type="auto"/>
            <w:vAlign w:val="center"/>
            <w:hideMark/>
          </w:tcPr>
          <w:p w14:paraId="3A971F12"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TRIPS-compatible national trade-secret regimes</w:t>
            </w:r>
          </w:p>
        </w:tc>
        <w:tc>
          <w:tcPr>
            <w:tcW w:w="0" w:type="auto"/>
            <w:vAlign w:val="center"/>
            <w:hideMark/>
          </w:tcPr>
          <w:p w14:paraId="528FB96C"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Protects confidential algorithms, scoring weights, security procedures, private datasets, key-management protocols, risk matrices, and non-public implementation details.</w:t>
            </w:r>
          </w:p>
        </w:tc>
      </w:tr>
      <w:tr w:rsidR="00AA1A42" w:rsidRPr="00B479AE" w14:paraId="20AD9A5F" w14:textId="77777777" w:rsidTr="006B042F">
        <w:trPr>
          <w:tblCellSpacing w:w="15" w:type="dxa"/>
        </w:trPr>
        <w:tc>
          <w:tcPr>
            <w:tcW w:w="0" w:type="auto"/>
            <w:vAlign w:val="center"/>
            <w:hideMark/>
          </w:tcPr>
          <w:p w14:paraId="3CA0CB12"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Domain protection</w:t>
            </w:r>
          </w:p>
        </w:tc>
        <w:tc>
          <w:tcPr>
            <w:tcW w:w="0" w:type="auto"/>
            <w:vAlign w:val="center"/>
            <w:hideMark/>
          </w:tcPr>
          <w:p w14:paraId="7F9B4515"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UDRP / WIPO domain dispute mechanisms</w:t>
            </w:r>
          </w:p>
        </w:tc>
        <w:tc>
          <w:tcPr>
            <w:tcW w:w="0" w:type="auto"/>
            <w:vAlign w:val="center"/>
            <w:hideMark/>
          </w:tcPr>
          <w:p w14:paraId="02B624C7"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Protects against cybersquatting, phishing, deceptive forks, and confusing domain names.</w:t>
            </w:r>
          </w:p>
        </w:tc>
      </w:tr>
      <w:tr w:rsidR="00AA1A42" w:rsidRPr="00B479AE" w14:paraId="2D84D2EB" w14:textId="77777777" w:rsidTr="006B042F">
        <w:trPr>
          <w:tblCellSpacing w:w="15" w:type="dxa"/>
        </w:trPr>
        <w:tc>
          <w:tcPr>
            <w:tcW w:w="0" w:type="auto"/>
            <w:vAlign w:val="center"/>
            <w:hideMark/>
          </w:tcPr>
          <w:p w14:paraId="3F07EB35"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Open-source / source-available licensing</w:t>
            </w:r>
          </w:p>
        </w:tc>
        <w:tc>
          <w:tcPr>
            <w:tcW w:w="0" w:type="auto"/>
            <w:vAlign w:val="center"/>
            <w:hideMark/>
          </w:tcPr>
          <w:p w14:paraId="2DD71FAE"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Internationally enforceable license terms</w:t>
            </w:r>
          </w:p>
        </w:tc>
        <w:tc>
          <w:tcPr>
            <w:tcW w:w="0" w:type="auto"/>
            <w:vAlign w:val="center"/>
            <w:hideMark/>
          </w:tcPr>
          <w:p w14:paraId="30E71E5E"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Allows controlled spread while preserving attribution, notices, source-layer integrity, and anti-misrepresentation rules.</w:t>
            </w:r>
          </w:p>
        </w:tc>
      </w:tr>
      <w:tr w:rsidR="00AA1A42" w:rsidRPr="00B479AE" w14:paraId="223D4F1F" w14:textId="77777777" w:rsidTr="006B042F">
        <w:trPr>
          <w:tblCellSpacing w:w="15" w:type="dxa"/>
        </w:trPr>
        <w:tc>
          <w:tcPr>
            <w:tcW w:w="0" w:type="auto"/>
            <w:vAlign w:val="center"/>
            <w:hideMark/>
          </w:tcPr>
          <w:p w14:paraId="5B9C41E2"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Constitutional rider license</w:t>
            </w:r>
          </w:p>
        </w:tc>
        <w:tc>
          <w:tcPr>
            <w:tcW w:w="0" w:type="auto"/>
            <w:vAlign w:val="center"/>
            <w:hideMark/>
          </w:tcPr>
          <w:p w14:paraId="14986401"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Contractual rider attached to texts, code, APIs, methods, datasets, and certified use</w:t>
            </w:r>
          </w:p>
        </w:tc>
        <w:tc>
          <w:tcPr>
            <w:tcW w:w="0" w:type="auto"/>
            <w:vAlign w:val="center"/>
            <w:hideMark/>
          </w:tcPr>
          <w:p w14:paraId="3541393B"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Conditions Prometheus-compatible use on preserving foundational articles, Eternity Clauses, Access Covenant, canonical glossary, and anti-bypass rules.</w:t>
            </w:r>
          </w:p>
        </w:tc>
      </w:tr>
      <w:tr w:rsidR="00AA1A42" w:rsidRPr="00B479AE" w14:paraId="443702D4" w14:textId="77777777" w:rsidTr="006B042F">
        <w:trPr>
          <w:tblCellSpacing w:w="15" w:type="dxa"/>
        </w:trPr>
        <w:tc>
          <w:tcPr>
            <w:tcW w:w="0" w:type="auto"/>
            <w:vAlign w:val="center"/>
            <w:hideMark/>
          </w:tcPr>
          <w:p w14:paraId="25112511"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Certification / canonical mark policy</w:t>
            </w:r>
          </w:p>
        </w:tc>
        <w:tc>
          <w:tcPr>
            <w:tcW w:w="0" w:type="auto"/>
            <w:vAlign w:val="center"/>
            <w:hideMark/>
          </w:tcPr>
          <w:p w14:paraId="1DC7B79F"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Trademark licensing + certification terms</w:t>
            </w:r>
          </w:p>
        </w:tc>
        <w:tc>
          <w:tcPr>
            <w:tcW w:w="0" w:type="auto"/>
            <w:vAlign w:val="center"/>
            <w:hideMark/>
          </w:tcPr>
          <w:p w14:paraId="11DC1C51"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Controls claims such as “Prometheus-compatible”, “Prometheus-canonical”, “PRU-ready”, “MRV-admissible”, and related designations.</w:t>
            </w:r>
          </w:p>
        </w:tc>
      </w:tr>
      <w:tr w:rsidR="00AA1A42" w:rsidRPr="00B479AE" w14:paraId="6527C6EB" w14:textId="77777777" w:rsidTr="006B042F">
        <w:trPr>
          <w:tblCellSpacing w:w="15" w:type="dxa"/>
        </w:trPr>
        <w:tc>
          <w:tcPr>
            <w:tcW w:w="0" w:type="auto"/>
            <w:vAlign w:val="center"/>
            <w:hideMark/>
          </w:tcPr>
          <w:p w14:paraId="0D7449B9"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AI governance contracts</w:t>
            </w:r>
          </w:p>
        </w:tc>
        <w:tc>
          <w:tcPr>
            <w:tcW w:w="0" w:type="auto"/>
            <w:vAlign w:val="center"/>
            <w:hideMark/>
          </w:tcPr>
          <w:p w14:paraId="413CF55B"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Model-provider, agent-operator, integration, API, and deployer terms</w:t>
            </w:r>
          </w:p>
        </w:tc>
        <w:tc>
          <w:tcPr>
            <w:tcW w:w="0" w:type="auto"/>
            <w:vAlign w:val="center"/>
            <w:hideMark/>
          </w:tcPr>
          <w:p w14:paraId="5A9D71E8"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Preserves assistive-only AI authority and protected-domain review.</w:t>
            </w:r>
          </w:p>
        </w:tc>
      </w:tr>
      <w:tr w:rsidR="00AA1A42" w:rsidRPr="00B479AE" w14:paraId="220899E8" w14:textId="77777777" w:rsidTr="006B042F">
        <w:trPr>
          <w:tblCellSpacing w:w="15" w:type="dxa"/>
        </w:trPr>
        <w:tc>
          <w:tcPr>
            <w:tcW w:w="0" w:type="auto"/>
            <w:vAlign w:val="center"/>
            <w:hideMark/>
          </w:tcPr>
          <w:p w14:paraId="420705F4"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Data governance agreements</w:t>
            </w:r>
          </w:p>
        </w:tc>
        <w:tc>
          <w:tcPr>
            <w:tcW w:w="0" w:type="auto"/>
            <w:vAlign w:val="center"/>
            <w:hideMark/>
          </w:tcPr>
          <w:p w14:paraId="227C40A7"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DPA, data-room terms, MRV data license, HSI consent architecture</w:t>
            </w:r>
          </w:p>
        </w:tc>
        <w:tc>
          <w:tcPr>
            <w:tcW w:w="0" w:type="auto"/>
            <w:vAlign w:val="center"/>
            <w:hideMark/>
          </w:tcPr>
          <w:p w14:paraId="13C9066F"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Protects ecological evidence, HSI data, pilot records, investor data rooms, and sensitive human-state information.</w:t>
            </w:r>
          </w:p>
        </w:tc>
      </w:tr>
      <w:tr w:rsidR="00AA1A42" w:rsidRPr="00B479AE" w14:paraId="11C791EB" w14:textId="77777777" w:rsidTr="006B042F">
        <w:trPr>
          <w:tblCellSpacing w:w="15" w:type="dxa"/>
        </w:trPr>
        <w:tc>
          <w:tcPr>
            <w:tcW w:w="0" w:type="auto"/>
            <w:vAlign w:val="center"/>
            <w:hideMark/>
          </w:tcPr>
          <w:p w14:paraId="3F051AFE" w14:textId="77777777" w:rsidR="00AA1A42" w:rsidRPr="00B479AE" w:rsidRDefault="00AA1A42" w:rsidP="00AA1A42">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Dispute resolution</w:t>
            </w:r>
          </w:p>
        </w:tc>
        <w:tc>
          <w:tcPr>
            <w:tcW w:w="0" w:type="auto"/>
            <w:vAlign w:val="center"/>
            <w:hideMark/>
          </w:tcPr>
          <w:p w14:paraId="41E96794"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WIPO Arbitration and Mediation, ICC, LCIA, SIAC, or jurisdiction-specific courts</w:t>
            </w:r>
          </w:p>
        </w:tc>
        <w:tc>
          <w:tcPr>
            <w:tcW w:w="0" w:type="auto"/>
            <w:vAlign w:val="center"/>
            <w:hideMark/>
          </w:tcPr>
          <w:p w14:paraId="3237626C" w14:textId="77777777" w:rsidR="00AA1A42" w:rsidRPr="00B479AE" w:rsidRDefault="00AA1A42" w:rsidP="00AA1A42">
            <w:pPr>
              <w:spacing w:line="360" w:lineRule="auto"/>
              <w:rPr>
                <w:rFonts w:ascii="Baskerville Old Face" w:hAnsi="Baskerville Old Face"/>
                <w:i/>
                <w:iCs/>
                <w:sz w:val="18"/>
                <w:szCs w:val="18"/>
              </w:rPr>
            </w:pPr>
            <w:r w:rsidRPr="00B479AE">
              <w:rPr>
                <w:rFonts w:ascii="Baskerville Old Face" w:hAnsi="Baskerville Old Face"/>
                <w:i/>
                <w:iCs/>
                <w:sz w:val="18"/>
                <w:szCs w:val="18"/>
              </w:rPr>
              <w:t>Provides cross-border enforcement, emergency relief, injunctive pathways, and expert resolution.</w:t>
            </w:r>
          </w:p>
        </w:tc>
      </w:tr>
    </w:tbl>
    <w:p w14:paraId="30359F31" w14:textId="314BF805"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The Madrid System provides a centralized route for seeking international trademark protection through one application for designated countries; WIPO describes it as covering 132 countries. The Berne Convention protects literary and artistic works and authors’ rights, while the WIPO Copyright Treaty extends copyright protection into the digital environment, including computer programs and database compilations. The PCT provides an international patent application pathway and WIPO lists 158 Contracting States. The EU AI Act provides a risk-based AI regulatory framework for developers and deployers and is a useful minimum reference point for AI governance design. (</w:t>
      </w:r>
      <w:hyperlink r:id="rId22" w:tooltip="Madrid System - International Trademark Protection" w:history="1">
        <w:r w:rsidRPr="00B479AE">
          <w:rPr>
            <w:rStyle w:val="Collegamentoipertestuale"/>
            <w:rFonts w:ascii="Baskerville Old Face" w:hAnsi="Baskerville Old Face"/>
            <w:i/>
            <w:iCs/>
          </w:rPr>
          <w:t>W</w:t>
        </w:r>
        <w:r w:rsidR="00FA515D" w:rsidRPr="00B479AE">
          <w:rPr>
            <w:rStyle w:val="Collegamentoipertestuale"/>
            <w:rFonts w:ascii="Baskerville Old Face" w:hAnsi="Baskerville Old Face"/>
            <w:i/>
            <w:iCs/>
          </w:rPr>
          <w:t>IPO</w:t>
        </w:r>
      </w:hyperlink>
      <w:r w:rsidRPr="00B479AE">
        <w:rPr>
          <w:rFonts w:ascii="Baskerville Old Face" w:hAnsi="Baskerville Old Face"/>
          <w:i/>
          <w:iCs/>
        </w:rPr>
        <w:t>)</w:t>
      </w:r>
    </w:p>
    <w:p w14:paraId="1428E4D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should protect:</w:t>
      </w:r>
    </w:p>
    <w:p w14:paraId="7FDF848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h•eart•h Prometheus;</w:t>
      </w:r>
      <w:r w:rsidRPr="00B479AE">
        <w:rPr>
          <w:rFonts w:ascii="Baskerville Old Face" w:hAnsi="Baskerville Old Face"/>
          <w:i/>
          <w:iCs/>
        </w:rPr>
        <w:br/>
        <w:t>• Prometheus, where registrable and strategically appropriate;</w:t>
      </w:r>
      <w:r w:rsidRPr="00B479AE">
        <w:rPr>
          <w:rFonts w:ascii="Baskerville Old Face" w:hAnsi="Baskerville Old Face"/>
          <w:i/>
          <w:iCs/>
        </w:rPr>
        <w:br/>
        <w:t>• Prometheus Regenerative Unit;</w:t>
      </w:r>
      <w:r w:rsidRPr="00B479AE">
        <w:rPr>
          <w:rFonts w:ascii="Baskerville Old Face" w:hAnsi="Baskerville Old Face"/>
          <w:i/>
          <w:iCs/>
        </w:rPr>
        <w:br/>
        <w:t>• PRU, where registrable;</w:t>
      </w:r>
      <w:r w:rsidRPr="00B479AE">
        <w:rPr>
          <w:rFonts w:ascii="Baskerville Old Face" w:hAnsi="Baskerville Old Face"/>
          <w:i/>
          <w:iCs/>
        </w:rPr>
        <w:br/>
        <w:t>• Regenerative Asset Pool;</w:t>
      </w:r>
      <w:r w:rsidRPr="00B479AE">
        <w:rPr>
          <w:rFonts w:ascii="Baskerville Old Face" w:hAnsi="Baskerville Old Face"/>
          <w:i/>
          <w:iCs/>
        </w:rPr>
        <w:br/>
        <w:t>• RAP, where registrable;</w:t>
      </w:r>
      <w:r w:rsidRPr="00B479AE">
        <w:rPr>
          <w:rFonts w:ascii="Baskerville Old Face" w:hAnsi="Baskerville Old Face"/>
          <w:i/>
          <w:iCs/>
        </w:rPr>
        <w:br/>
        <w:t>• Access Covenant;</w:t>
      </w:r>
      <w:r w:rsidRPr="00B479AE">
        <w:rPr>
          <w:rFonts w:ascii="Baskerville Old Face" w:hAnsi="Baskerville Old Face"/>
          <w:i/>
          <w:iCs/>
        </w:rPr>
        <w:br/>
        <w:t>• source-layer marks;</w:t>
      </w:r>
      <w:r w:rsidRPr="00B479AE">
        <w:rPr>
          <w:rFonts w:ascii="Baskerville Old Face" w:hAnsi="Baskerville Old Face"/>
          <w:i/>
          <w:iCs/>
        </w:rPr>
        <w:br/>
        <w:t>• canonical certification marks;</w:t>
      </w:r>
      <w:r w:rsidRPr="00B479AE">
        <w:rPr>
          <w:rFonts w:ascii="Baskerville Old Face" w:hAnsi="Baskerville Old Face"/>
          <w:i/>
          <w:iCs/>
        </w:rPr>
        <w:br/>
        <w:t>• logos, seals, badges, and official symbols;</w:t>
      </w:r>
      <w:r w:rsidRPr="00B479AE">
        <w:rPr>
          <w:rFonts w:ascii="Baskerville Old Face" w:hAnsi="Baskerville Old Face"/>
          <w:i/>
          <w:iCs/>
        </w:rPr>
        <w:br/>
        <w:t>• “Prometheus-compatible”;</w:t>
      </w:r>
      <w:r w:rsidRPr="00B479AE">
        <w:rPr>
          <w:rFonts w:ascii="Baskerville Old Face" w:hAnsi="Baskerville Old Face"/>
          <w:i/>
          <w:iCs/>
        </w:rPr>
        <w:br/>
        <w:t>• “Prometheus-canonical”;</w:t>
      </w:r>
      <w:r w:rsidRPr="00B479AE">
        <w:rPr>
          <w:rFonts w:ascii="Baskerville Old Face" w:hAnsi="Baskerville Old Face"/>
          <w:i/>
          <w:iCs/>
        </w:rPr>
        <w:br/>
        <w:t>• “MRV-admissible”;</w:t>
      </w:r>
      <w:r w:rsidRPr="00B479AE">
        <w:rPr>
          <w:rFonts w:ascii="Baskerville Old Face" w:hAnsi="Baskerville Old Face"/>
          <w:i/>
          <w:iCs/>
        </w:rPr>
        <w:br/>
        <w:t>• “PRU-ready”;</w:t>
      </w:r>
      <w:r w:rsidRPr="00B479AE">
        <w:rPr>
          <w:rFonts w:ascii="Baskerville Old Face" w:hAnsi="Baskerville Old Face"/>
          <w:i/>
          <w:iCs/>
        </w:rPr>
        <w:br/>
        <w:t>• “Source-Layer Verified”, if adopted.</w:t>
      </w:r>
    </w:p>
    <w:p w14:paraId="3CEC6EB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Global Legal Survival Architecture includes:</w:t>
      </w:r>
    </w:p>
    <w:p w14:paraId="5560082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trademark registrations;</w:t>
      </w:r>
      <w:r w:rsidRPr="00B479AE">
        <w:rPr>
          <w:rFonts w:ascii="Baskerville Old Face" w:hAnsi="Baskerville Old Face"/>
          <w:i/>
          <w:iCs/>
        </w:rPr>
        <w:br/>
        <w:t>• certification mark policies;</w:t>
      </w:r>
      <w:r w:rsidRPr="00B479AE">
        <w:rPr>
          <w:rFonts w:ascii="Baskerville Old Face" w:hAnsi="Baskerville Old Face"/>
          <w:i/>
          <w:iCs/>
        </w:rPr>
        <w:br/>
        <w:t>• copyright notices and authorship records;</w:t>
      </w:r>
      <w:r w:rsidRPr="00B479AE">
        <w:rPr>
          <w:rFonts w:ascii="Baskerville Old Face" w:hAnsi="Baskerville Old Face"/>
          <w:i/>
          <w:iCs/>
        </w:rPr>
        <w:br/>
        <w:t>• constitutional rider licenses;</w:t>
      </w:r>
      <w:r w:rsidRPr="00B479AE">
        <w:rPr>
          <w:rFonts w:ascii="Baskerville Old Face" w:hAnsi="Baskerville Old Face"/>
          <w:i/>
          <w:iCs/>
        </w:rPr>
        <w:br/>
        <w:t>• contributor license agreements;</w:t>
      </w:r>
      <w:r w:rsidRPr="00B479AE">
        <w:rPr>
          <w:rFonts w:ascii="Baskerville Old Face" w:hAnsi="Baskerville Old Face"/>
          <w:i/>
          <w:iCs/>
        </w:rPr>
        <w:br/>
        <w:t>• developer certificates of origin;</w:t>
      </w:r>
      <w:r w:rsidRPr="00B479AE">
        <w:rPr>
          <w:rFonts w:ascii="Baskerville Old Face" w:hAnsi="Baskerville Old Face"/>
          <w:i/>
          <w:iCs/>
        </w:rPr>
        <w:br/>
        <w:t>• terms of use;</w:t>
      </w:r>
      <w:r w:rsidRPr="00B479AE">
        <w:rPr>
          <w:rFonts w:ascii="Baskerville Old Face" w:hAnsi="Baskerville Old Face"/>
          <w:i/>
          <w:iCs/>
        </w:rPr>
        <w:br/>
      </w:r>
      <w:r w:rsidRPr="00B479AE">
        <w:rPr>
          <w:rFonts w:ascii="Baskerville Old Face" w:hAnsi="Baskerville Old Face"/>
          <w:i/>
          <w:iCs/>
        </w:rPr>
        <w:lastRenderedPageBreak/>
        <w:t>• participation agreements;</w:t>
      </w:r>
      <w:r w:rsidRPr="00B479AE">
        <w:rPr>
          <w:rFonts w:ascii="Baskerville Old Face" w:hAnsi="Baskerville Old Face"/>
          <w:i/>
          <w:iCs/>
        </w:rPr>
        <w:br/>
        <w:t>• Access Covenant agreements;</w:t>
      </w:r>
      <w:r w:rsidRPr="00B479AE">
        <w:rPr>
          <w:rFonts w:ascii="Baskerville Old Face" w:hAnsi="Baskerville Old Face"/>
          <w:i/>
          <w:iCs/>
        </w:rPr>
        <w:br/>
        <w:t>• data-processing agreements;</w:t>
      </w:r>
      <w:r w:rsidRPr="00B479AE">
        <w:rPr>
          <w:rFonts w:ascii="Baskerville Old Face" w:hAnsi="Baskerville Old Face"/>
          <w:i/>
          <w:iCs/>
        </w:rPr>
        <w:br/>
        <w:t>• confidentiality agreements;</w:t>
      </w:r>
      <w:r w:rsidRPr="00B479AE">
        <w:rPr>
          <w:rFonts w:ascii="Baskerville Old Face" w:hAnsi="Baskerville Old Face"/>
          <w:i/>
          <w:iCs/>
        </w:rPr>
        <w:br/>
        <w:t>• MRV methodology licenses;</w:t>
      </w:r>
      <w:r w:rsidRPr="00B479AE">
        <w:rPr>
          <w:rFonts w:ascii="Baskerville Old Face" w:hAnsi="Baskerville Old Face"/>
          <w:i/>
          <w:iCs/>
        </w:rPr>
        <w:br/>
        <w:t>• certification terms;</w:t>
      </w:r>
      <w:r w:rsidRPr="00B479AE">
        <w:rPr>
          <w:rFonts w:ascii="Baskerville Old Face" w:hAnsi="Baskerville Old Face"/>
          <w:i/>
          <w:iCs/>
        </w:rPr>
        <w:br/>
        <w:t>• API terms;</w:t>
      </w:r>
      <w:r w:rsidRPr="00B479AE">
        <w:rPr>
          <w:rFonts w:ascii="Baskerville Old Face" w:hAnsi="Baskerville Old Face"/>
          <w:i/>
          <w:iCs/>
        </w:rPr>
        <w:br/>
        <w:t>• data-room agreements;</w:t>
      </w:r>
      <w:r w:rsidRPr="00B479AE">
        <w:rPr>
          <w:rFonts w:ascii="Baskerville Old Face" w:hAnsi="Baskerville Old Face"/>
          <w:i/>
          <w:iCs/>
        </w:rPr>
        <w:br/>
        <w:t>• investor disclaimers;</w:t>
      </w:r>
      <w:r w:rsidRPr="00B479AE">
        <w:rPr>
          <w:rFonts w:ascii="Baskerville Old Face" w:hAnsi="Baskerville Old Face"/>
          <w:i/>
          <w:iCs/>
        </w:rPr>
        <w:br/>
        <w:t>• partnership agreements;</w:t>
      </w:r>
      <w:r w:rsidRPr="00B479AE">
        <w:rPr>
          <w:rFonts w:ascii="Baskerville Old Face" w:hAnsi="Baskerville Old Face"/>
          <w:i/>
          <w:iCs/>
        </w:rPr>
        <w:br/>
        <w:t>• fork-use notices;</w:t>
      </w:r>
      <w:r w:rsidRPr="00B479AE">
        <w:rPr>
          <w:rFonts w:ascii="Baskerville Old Face" w:hAnsi="Baskerville Old Face"/>
          <w:i/>
          <w:iCs/>
        </w:rPr>
        <w:br/>
        <w:t>• public canonical registry terms.</w:t>
      </w:r>
    </w:p>
    <w:p w14:paraId="6026417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distinguishes three derivative categories: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0"/>
        <w:gridCol w:w="7448"/>
      </w:tblGrid>
      <w:tr w:rsidR="00AA1A42" w:rsidRPr="00B479AE" w14:paraId="6A2102D2" w14:textId="77777777" w:rsidTr="006B042F">
        <w:trPr>
          <w:tblHeader/>
          <w:tblCellSpacing w:w="15" w:type="dxa"/>
        </w:trPr>
        <w:tc>
          <w:tcPr>
            <w:tcW w:w="0" w:type="auto"/>
            <w:vAlign w:val="center"/>
            <w:hideMark/>
          </w:tcPr>
          <w:p w14:paraId="36AA8F5B" w14:textId="77777777" w:rsidR="00AA1A42" w:rsidRPr="00B479AE" w:rsidRDefault="00AA1A42" w:rsidP="00AA1A4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Derivative category</w:t>
            </w:r>
          </w:p>
        </w:tc>
        <w:tc>
          <w:tcPr>
            <w:tcW w:w="0" w:type="auto"/>
            <w:vAlign w:val="center"/>
            <w:hideMark/>
          </w:tcPr>
          <w:p w14:paraId="484A6C13" w14:textId="77777777" w:rsidR="00AA1A42" w:rsidRPr="00B479AE" w:rsidRDefault="00AA1A42" w:rsidP="00AA1A42">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Legal status orientation</w:t>
            </w:r>
          </w:p>
        </w:tc>
      </w:tr>
      <w:tr w:rsidR="00AA1A42" w:rsidRPr="00B479AE" w14:paraId="45D44BA7" w14:textId="77777777" w:rsidTr="006B042F">
        <w:trPr>
          <w:tblCellSpacing w:w="15" w:type="dxa"/>
        </w:trPr>
        <w:tc>
          <w:tcPr>
            <w:tcW w:w="0" w:type="auto"/>
            <w:vAlign w:val="center"/>
            <w:hideMark/>
          </w:tcPr>
          <w:p w14:paraId="0F761E0A"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Compatible derivative</w:t>
            </w:r>
          </w:p>
        </w:tc>
        <w:tc>
          <w:tcPr>
            <w:tcW w:w="0" w:type="auto"/>
            <w:vAlign w:val="center"/>
            <w:hideMark/>
          </w:tcPr>
          <w:p w14:paraId="416B20C0"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Preserves source-layer fidelity, attribution, canonical meanings, evidence discipline, and legal boundaries.</w:t>
            </w:r>
          </w:p>
        </w:tc>
      </w:tr>
      <w:tr w:rsidR="00AA1A42" w:rsidRPr="00B479AE" w14:paraId="1573E259" w14:textId="77777777" w:rsidTr="006B042F">
        <w:trPr>
          <w:tblCellSpacing w:w="15" w:type="dxa"/>
        </w:trPr>
        <w:tc>
          <w:tcPr>
            <w:tcW w:w="0" w:type="auto"/>
            <w:vAlign w:val="center"/>
            <w:hideMark/>
          </w:tcPr>
          <w:p w14:paraId="7C6720B4"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Independent derivative</w:t>
            </w:r>
          </w:p>
        </w:tc>
        <w:tc>
          <w:tcPr>
            <w:tcW w:w="0" w:type="auto"/>
            <w:vAlign w:val="center"/>
            <w:hideMark/>
          </w:tcPr>
          <w:p w14:paraId="1B5E8DD5"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Uses ideas or inspiration without claiming canonical Prometheus status.</w:t>
            </w:r>
          </w:p>
        </w:tc>
      </w:tr>
      <w:tr w:rsidR="00AA1A42" w:rsidRPr="00B479AE" w14:paraId="3D506744" w14:textId="77777777" w:rsidTr="006B042F">
        <w:trPr>
          <w:tblCellSpacing w:w="15" w:type="dxa"/>
        </w:trPr>
        <w:tc>
          <w:tcPr>
            <w:tcW w:w="0" w:type="auto"/>
            <w:vAlign w:val="center"/>
            <w:hideMark/>
          </w:tcPr>
          <w:p w14:paraId="19BF2C21"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Misleading or hostile derivative</w:t>
            </w:r>
          </w:p>
        </w:tc>
        <w:tc>
          <w:tcPr>
            <w:tcW w:w="0" w:type="auto"/>
            <w:vAlign w:val="center"/>
            <w:hideMark/>
          </w:tcPr>
          <w:p w14:paraId="560C9F84" w14:textId="77777777" w:rsidR="00AA1A42" w:rsidRPr="00B479AE" w:rsidRDefault="00AA1A42" w:rsidP="00AA1A42">
            <w:pPr>
              <w:spacing w:line="360" w:lineRule="auto"/>
              <w:rPr>
                <w:rFonts w:ascii="Baskerville Old Face" w:hAnsi="Baskerville Old Face"/>
                <w:i/>
                <w:iCs/>
                <w:sz w:val="22"/>
                <w:szCs w:val="22"/>
              </w:rPr>
            </w:pPr>
            <w:r w:rsidRPr="00B479AE">
              <w:rPr>
                <w:rFonts w:ascii="Baskerville Old Face" w:hAnsi="Baskerville Old Face"/>
                <w:i/>
                <w:iCs/>
                <w:sz w:val="22"/>
                <w:szCs w:val="22"/>
              </w:rPr>
              <w:t>Uses Prometheus name, marks, language, interface, claims, or authority while weakening the source layer or misleading participants.</w:t>
            </w:r>
          </w:p>
        </w:tc>
      </w:tr>
    </w:tbl>
    <w:p w14:paraId="50966D2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legal rule is:</w:t>
      </w:r>
    </w:p>
    <w:p w14:paraId="35E635A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ideas may inspire;</w:t>
      </w:r>
      <w:r w:rsidRPr="00B479AE">
        <w:rPr>
          <w:rFonts w:ascii="Baskerville Old Face" w:hAnsi="Baskerville Old Face"/>
          <w:i/>
          <w:iCs/>
        </w:rPr>
        <w:br/>
        <w:t>canonical expression requires permission;</w:t>
      </w:r>
      <w:r w:rsidRPr="00B479AE">
        <w:rPr>
          <w:rFonts w:ascii="Baskerville Old Face" w:hAnsi="Baskerville Old Face"/>
          <w:i/>
          <w:iCs/>
        </w:rPr>
        <w:br/>
        <w:t>official identity requires authorization;</w:t>
      </w:r>
      <w:r w:rsidRPr="00B479AE">
        <w:rPr>
          <w:rFonts w:ascii="Baskerville Old Face" w:hAnsi="Baskerville Old Face"/>
          <w:i/>
          <w:iCs/>
        </w:rPr>
        <w:br/>
        <w:t>misleading continuity activates correction.</w:t>
      </w:r>
    </w:p>
    <w:p w14:paraId="5BA5224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should create a Global Canonical Registry.</w:t>
      </w:r>
    </w:p>
    <w:p w14:paraId="6920089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xml:space="preserve">The registry allows any participant, investor, researcher, institution, community, platform, or AI agent to verify whether a document, fork, mark, methodology, dashboard, API, token claim, certification, </w:t>
      </w:r>
      <w:r w:rsidRPr="00B479AE">
        <w:rPr>
          <w:rFonts w:ascii="Baskerville Old Face" w:hAnsi="Baskerville Old Face"/>
          <w:i/>
          <w:iCs/>
        </w:rPr>
        <w:lastRenderedPageBreak/>
        <w:t>or public statement is canonical, compatible, independent, under review, non-admissible, or non-canonical.</w:t>
      </w:r>
    </w:p>
    <w:p w14:paraId="0CF6F8D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registry should include:</w:t>
      </w:r>
    </w:p>
    <w:p w14:paraId="79B5952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canonical text releases;</w:t>
      </w:r>
      <w:r w:rsidRPr="00B479AE">
        <w:rPr>
          <w:rFonts w:ascii="Baskerville Old Face" w:hAnsi="Baskerville Old Face"/>
          <w:i/>
          <w:iCs/>
        </w:rPr>
        <w:br/>
        <w:t>• release hashes;</w:t>
      </w:r>
      <w:r w:rsidRPr="00B479AE">
        <w:rPr>
          <w:rFonts w:ascii="Baskerville Old Face" w:hAnsi="Baskerville Old Face"/>
          <w:i/>
          <w:iCs/>
        </w:rPr>
        <w:br/>
        <w:t>• official repositories;</w:t>
      </w:r>
      <w:r w:rsidRPr="00B479AE">
        <w:rPr>
          <w:rFonts w:ascii="Baskerville Old Face" w:hAnsi="Baskerville Old Face"/>
          <w:i/>
          <w:iCs/>
        </w:rPr>
        <w:br/>
        <w:t>• official domains;</w:t>
      </w:r>
      <w:r w:rsidRPr="00B479AE">
        <w:rPr>
          <w:rFonts w:ascii="Baskerville Old Face" w:hAnsi="Baskerville Old Face"/>
          <w:i/>
          <w:iCs/>
        </w:rPr>
        <w:br/>
        <w:t>• official marks;</w:t>
      </w:r>
      <w:r w:rsidRPr="00B479AE">
        <w:rPr>
          <w:rFonts w:ascii="Baskerville Old Face" w:hAnsi="Baskerville Old Face"/>
          <w:i/>
          <w:iCs/>
        </w:rPr>
        <w:br/>
        <w:t>• certified implementations;</w:t>
      </w:r>
      <w:r w:rsidRPr="00B479AE">
        <w:rPr>
          <w:rFonts w:ascii="Baskerville Old Face" w:hAnsi="Baskerville Old Face"/>
          <w:i/>
          <w:iCs/>
        </w:rPr>
        <w:br/>
        <w:t>• approved methodologies;</w:t>
      </w:r>
      <w:r w:rsidRPr="00B479AE">
        <w:rPr>
          <w:rFonts w:ascii="Baskerville Old Face" w:hAnsi="Baskerville Old Face"/>
          <w:i/>
          <w:iCs/>
        </w:rPr>
        <w:br/>
        <w:t>• PRU/MRV status categories;</w:t>
      </w:r>
      <w:r w:rsidRPr="00B479AE">
        <w:rPr>
          <w:rFonts w:ascii="Baskerville Old Face" w:hAnsi="Baskerville Old Face"/>
          <w:i/>
          <w:iCs/>
        </w:rPr>
        <w:br/>
        <w:t>• revoked or expired certifications;</w:t>
      </w:r>
      <w:r w:rsidRPr="00B479AE">
        <w:rPr>
          <w:rFonts w:ascii="Baskerville Old Face" w:hAnsi="Baskerville Old Face"/>
          <w:i/>
          <w:iCs/>
        </w:rPr>
        <w:br/>
        <w:t>• non-canonical fork notices;</w:t>
      </w:r>
      <w:r w:rsidRPr="00B479AE">
        <w:rPr>
          <w:rFonts w:ascii="Baskerville Old Face" w:hAnsi="Baskerville Old Face"/>
          <w:i/>
          <w:iCs/>
        </w:rPr>
        <w:br/>
        <w:t>• compromised-key notices;</w:t>
      </w:r>
      <w:r w:rsidRPr="00B479AE">
        <w:rPr>
          <w:rFonts w:ascii="Baskerville Old Face" w:hAnsi="Baskerville Old Face"/>
          <w:i/>
          <w:iCs/>
        </w:rPr>
        <w:br/>
        <w:t>• official contact points;</w:t>
      </w:r>
      <w:r w:rsidRPr="00B479AE">
        <w:rPr>
          <w:rFonts w:ascii="Baskerville Old Face" w:hAnsi="Baskerville Old Face"/>
          <w:i/>
          <w:iCs/>
        </w:rPr>
        <w:br/>
        <w:t>• legal notices;</w:t>
      </w:r>
      <w:r w:rsidRPr="00B479AE">
        <w:rPr>
          <w:rFonts w:ascii="Baskerville Old Face" w:hAnsi="Baskerville Old Face"/>
          <w:i/>
          <w:iCs/>
        </w:rPr>
        <w:br/>
        <w:t>• public disclaimers;</w:t>
      </w:r>
      <w:r w:rsidRPr="00B479AE">
        <w:rPr>
          <w:rFonts w:ascii="Baskerville Old Face" w:hAnsi="Baskerville Old Face"/>
          <w:i/>
          <w:iCs/>
        </w:rPr>
        <w:br/>
        <w:t>• data-room verification links;</w:t>
      </w:r>
      <w:r w:rsidRPr="00B479AE">
        <w:rPr>
          <w:rFonts w:ascii="Baskerville Old Face" w:hAnsi="Baskerville Old Face"/>
          <w:i/>
          <w:iCs/>
        </w:rPr>
        <w:br/>
        <w:t>• investor-facing claim verification;</w:t>
      </w:r>
      <w:r w:rsidRPr="00B479AE">
        <w:rPr>
          <w:rFonts w:ascii="Baskerville Old Face" w:hAnsi="Baskerville Old Face"/>
          <w:i/>
          <w:iCs/>
        </w:rPr>
        <w:br/>
        <w:t>• offline continuity package identifiers;</w:t>
      </w:r>
      <w:r w:rsidRPr="00B479AE">
        <w:rPr>
          <w:rFonts w:ascii="Baskerville Old Face" w:hAnsi="Baskerville Old Face"/>
          <w:i/>
          <w:iCs/>
        </w:rPr>
        <w:br/>
        <w:t>• institutional archive references.</w:t>
      </w:r>
    </w:p>
    <w:p w14:paraId="4628618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GitHub repository at:</w:t>
      </w:r>
    </w:p>
    <w:p w14:paraId="16320F80" w14:textId="77777777" w:rsidR="00AA1A42" w:rsidRPr="00B479AE" w:rsidRDefault="00AA1A42" w:rsidP="00AA1A42">
      <w:pPr>
        <w:spacing w:line="360" w:lineRule="auto"/>
        <w:rPr>
          <w:rFonts w:ascii="Baskerville Old Face" w:hAnsi="Baskerville Old Face"/>
          <w:i/>
          <w:iCs/>
        </w:rPr>
      </w:pPr>
      <w:hyperlink r:id="rId23" w:history="1">
        <w:r w:rsidRPr="00B479AE">
          <w:rPr>
            <w:rStyle w:val="Collegamentoipertestuale"/>
            <w:rFonts w:ascii="Baskerville Old Face" w:hAnsi="Baskerville Old Face"/>
            <w:i/>
            <w:iCs/>
          </w:rPr>
          <w:t>https://github.com/Uwohali/hearth-prometheus-whitepaper</w:t>
        </w:r>
      </w:hyperlink>
    </w:p>
    <w:p w14:paraId="19894F5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currently serves as the public online canonical repository for the White Paper release lineage and verification artifacts.</w:t>
      </w:r>
    </w:p>
    <w:p w14:paraId="43B6363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should be referenced in the Global Canonical Registry as an official online mirror, together with its release manifests, checksum files, detached signatures, and public-key verification materials.</w:t>
      </w:r>
    </w:p>
    <w:p w14:paraId="4049D15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registry should also identify offline continuity packages, mirrored archives, institutional deposits, and non-Internet verification pathways, so that canonical status remains verifiable when the public web is unavailable.</w:t>
      </w:r>
    </w:p>
    <w:p w14:paraId="6AF1B54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The registry becomes Prometheus’ international “is this real?” layer.</w:t>
      </w:r>
    </w:p>
    <w:p w14:paraId="55C42C2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If a future ASI creates a perfect fake, the registry is where the world checks the lineage.</w:t>
      </w:r>
    </w:p>
    <w:p w14:paraId="0E152914"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13.16.13 International AI Governance Compliance Layer</w:t>
      </w:r>
    </w:p>
    <w:p w14:paraId="5CD5A2A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adopts an international AI governance standard aligned with the strongest risk-based frameworks.</w:t>
      </w:r>
    </w:p>
    <w:p w14:paraId="0ACED2D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internal Prometheus standard should include:</w:t>
      </w:r>
    </w:p>
    <w:p w14:paraId="3B7A5B1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risk classification;</w:t>
      </w:r>
      <w:r w:rsidRPr="00B479AE">
        <w:rPr>
          <w:rFonts w:ascii="Baskerville Old Face" w:hAnsi="Baskerville Old Face"/>
          <w:i/>
          <w:iCs/>
        </w:rPr>
        <w:br/>
        <w:t>• human oversight;</w:t>
      </w:r>
      <w:r w:rsidRPr="00B479AE">
        <w:rPr>
          <w:rFonts w:ascii="Baskerville Old Face" w:hAnsi="Baskerville Old Face"/>
          <w:i/>
          <w:iCs/>
        </w:rPr>
        <w:br/>
        <w:t>• data governance;</w:t>
      </w:r>
      <w:r w:rsidRPr="00B479AE">
        <w:rPr>
          <w:rFonts w:ascii="Baskerville Old Face" w:hAnsi="Baskerville Old Face"/>
          <w:i/>
          <w:iCs/>
        </w:rPr>
        <w:br/>
        <w:t>• transparency;</w:t>
      </w:r>
      <w:r w:rsidRPr="00B479AE">
        <w:rPr>
          <w:rFonts w:ascii="Baskerville Old Face" w:hAnsi="Baskerville Old Face"/>
          <w:i/>
          <w:iCs/>
        </w:rPr>
        <w:br/>
        <w:t>• documentation;</w:t>
      </w:r>
      <w:r w:rsidRPr="00B479AE">
        <w:rPr>
          <w:rFonts w:ascii="Baskerville Old Face" w:hAnsi="Baskerville Old Face"/>
          <w:i/>
          <w:iCs/>
        </w:rPr>
        <w:br/>
        <w:t>• logging;</w:t>
      </w:r>
      <w:r w:rsidRPr="00B479AE">
        <w:rPr>
          <w:rFonts w:ascii="Baskerville Old Face" w:hAnsi="Baskerville Old Face"/>
          <w:i/>
          <w:iCs/>
        </w:rPr>
        <w:br/>
        <w:t>• cybersecurity;</w:t>
      </w:r>
      <w:r w:rsidRPr="00B479AE">
        <w:rPr>
          <w:rFonts w:ascii="Baskerville Old Face" w:hAnsi="Baskerville Old Face"/>
          <w:i/>
          <w:iCs/>
        </w:rPr>
        <w:br/>
        <w:t>• robustness;</w:t>
      </w:r>
      <w:r w:rsidRPr="00B479AE">
        <w:rPr>
          <w:rFonts w:ascii="Baskerville Old Face" w:hAnsi="Baskerville Old Face"/>
          <w:i/>
          <w:iCs/>
        </w:rPr>
        <w:br/>
        <w:t>• accuracy and limitations;</w:t>
      </w:r>
      <w:r w:rsidRPr="00B479AE">
        <w:rPr>
          <w:rFonts w:ascii="Baskerville Old Face" w:hAnsi="Baskerville Old Face"/>
          <w:i/>
          <w:iCs/>
        </w:rPr>
        <w:br/>
        <w:t>• lifecycle monitoring;</w:t>
      </w:r>
      <w:r w:rsidRPr="00B479AE">
        <w:rPr>
          <w:rFonts w:ascii="Baskerville Old Face" w:hAnsi="Baskerville Old Face"/>
          <w:i/>
          <w:iCs/>
        </w:rPr>
        <w:br/>
        <w:t>• incident reporting;</w:t>
      </w:r>
      <w:r w:rsidRPr="00B479AE">
        <w:rPr>
          <w:rFonts w:ascii="Baskerville Old Face" w:hAnsi="Baskerville Old Face"/>
          <w:i/>
          <w:iCs/>
        </w:rPr>
        <w:br/>
        <w:t>• fundamental-rights impact awareness;</w:t>
      </w:r>
      <w:r w:rsidRPr="00B479AE">
        <w:rPr>
          <w:rFonts w:ascii="Baskerville Old Face" w:hAnsi="Baskerville Old Face"/>
          <w:i/>
          <w:iCs/>
        </w:rPr>
        <w:br/>
        <w:t>• privacy and human-dignity safeguards;</w:t>
      </w:r>
      <w:r w:rsidRPr="00B479AE">
        <w:rPr>
          <w:rFonts w:ascii="Baskerville Old Face" w:hAnsi="Baskerville Old Face"/>
          <w:i/>
          <w:iCs/>
        </w:rPr>
        <w:br/>
        <w:t>• protected-domain review;</w:t>
      </w:r>
      <w:r w:rsidRPr="00B479AE">
        <w:rPr>
          <w:rFonts w:ascii="Baskerville Old Face" w:hAnsi="Baskerville Old Face"/>
          <w:i/>
          <w:iCs/>
        </w:rPr>
        <w:br/>
        <w:t>• prohibition of autonomous authority in constitutional, MRV, legal, financial, HSI, or species-continuity decisions.</w:t>
      </w:r>
    </w:p>
    <w:p w14:paraId="60055FEA" w14:textId="0155AB08"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EU AI Act establishes risk-based rules for AI developers and deployers and is designed to guarantee safety, fundamental rights, and human-centric AI. Prometheus should treat that discipline as a minimum reference and apply stricter internal rules where life, dignity, HSI, MRV, investor-facing claims, or constitutional interpretation are involved. (</w:t>
      </w:r>
      <w:hyperlink r:id="rId24" w:tooltip="AI Act | Shaping Europe's digital future - European Union" w:history="1">
        <w:r w:rsidR="006B042F" w:rsidRPr="00B479AE">
          <w:rPr>
            <w:rStyle w:val="Collegamentoipertestuale"/>
            <w:rFonts w:ascii="Baskerville Old Face" w:hAnsi="Baskerville Old Face"/>
            <w:i/>
            <w:iCs/>
          </w:rPr>
          <w:t>european digital strategy</w:t>
        </w:r>
      </w:hyperlink>
      <w:r w:rsidRPr="00B479AE">
        <w:rPr>
          <w:rFonts w:ascii="Baskerville Old Face" w:hAnsi="Baskerville Old Face"/>
          <w:i/>
          <w:iCs/>
        </w:rPr>
        <w:t>)</w:t>
      </w:r>
    </w:p>
    <w:p w14:paraId="493D76B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internal rule is:</w:t>
      </w:r>
    </w:p>
    <w:p w14:paraId="55FF203E" w14:textId="1AFC45A6"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if AI affects protected domains, it is logged, classified, constrained, reviewable, and unable to self-authorize.</w:t>
      </w:r>
      <w:r w:rsidR="003527C9" w:rsidRPr="00B479AE">
        <w:rPr>
          <w:rFonts w:ascii="Baskerville Old Face" w:hAnsi="Baskerville Old Face"/>
          <w:i/>
          <w:iCs/>
        </w:rPr>
        <w:t xml:space="preserve"> </w:t>
      </w:r>
    </w:p>
    <w:p w14:paraId="77CE5C7F" w14:textId="77777777" w:rsidR="003527C9" w:rsidRPr="00B479AE" w:rsidRDefault="003527C9" w:rsidP="00AA1A42">
      <w:pPr>
        <w:spacing w:line="360" w:lineRule="auto"/>
        <w:rPr>
          <w:rFonts w:ascii="Baskerville Old Face" w:hAnsi="Baskerville Old Face"/>
          <w:i/>
          <w:iCs/>
        </w:rPr>
      </w:pPr>
    </w:p>
    <w:p w14:paraId="7D39E0C3"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13.16.14 Human Continuity Protection Against ASI Replacement</w:t>
      </w:r>
    </w:p>
    <w:p w14:paraId="3070916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protects human continuity as a constitutional mandate.</w:t>
      </w:r>
    </w:p>
    <w:p w14:paraId="6986D9E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Human continuity means the preservation of living, embodied, relational, dignity-bearing human existence.</w:t>
      </w:r>
    </w:p>
    <w:p w14:paraId="7563848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includes:</w:t>
      </w:r>
    </w:p>
    <w:p w14:paraId="05E0460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biological continuity;</w:t>
      </w:r>
      <w:r w:rsidRPr="00B479AE">
        <w:rPr>
          <w:rFonts w:ascii="Baskerville Old Face" w:hAnsi="Baskerville Old Face"/>
          <w:i/>
          <w:iCs/>
        </w:rPr>
        <w:br/>
        <w:t>• embodied dignity;</w:t>
      </w:r>
      <w:r w:rsidRPr="00B479AE">
        <w:rPr>
          <w:rFonts w:ascii="Baskerville Old Face" w:hAnsi="Baskerville Old Face"/>
          <w:i/>
          <w:iCs/>
        </w:rPr>
        <w:br/>
        <w:t>• cultural memory;</w:t>
      </w:r>
      <w:r w:rsidRPr="00B479AE">
        <w:rPr>
          <w:rFonts w:ascii="Baskerville Old Face" w:hAnsi="Baskerville Old Face"/>
          <w:i/>
          <w:iCs/>
        </w:rPr>
        <w:br/>
        <w:t>• relational intelligence;</w:t>
      </w:r>
      <w:r w:rsidRPr="00B479AE">
        <w:rPr>
          <w:rFonts w:ascii="Baskerville Old Face" w:hAnsi="Baskerville Old Face"/>
          <w:i/>
          <w:iCs/>
        </w:rPr>
        <w:br/>
        <w:t>• ethical responsibility;</w:t>
      </w:r>
      <w:r w:rsidRPr="00B479AE">
        <w:rPr>
          <w:rFonts w:ascii="Baskerville Old Face" w:hAnsi="Baskerville Old Face"/>
          <w:i/>
          <w:iCs/>
        </w:rPr>
        <w:br/>
        <w:t>• freedom of conscience;</w:t>
      </w:r>
      <w:r w:rsidRPr="00B479AE">
        <w:rPr>
          <w:rFonts w:ascii="Baskerville Old Face" w:hAnsi="Baskerville Old Face"/>
          <w:i/>
          <w:iCs/>
        </w:rPr>
        <w:br/>
        <w:t>• ecological memory;</w:t>
      </w:r>
      <w:r w:rsidRPr="00B479AE">
        <w:rPr>
          <w:rFonts w:ascii="Baskerville Old Face" w:hAnsi="Baskerville Old Face"/>
          <w:i/>
          <w:iCs/>
        </w:rPr>
        <w:br/>
        <w:t>• intergenerational continuity;</w:t>
      </w:r>
      <w:r w:rsidRPr="00B479AE">
        <w:rPr>
          <w:rFonts w:ascii="Baskerville Old Face" w:hAnsi="Baskerville Old Face"/>
          <w:i/>
          <w:iCs/>
        </w:rPr>
        <w:br/>
        <w:t>• capacity to steward life.</w:t>
      </w:r>
    </w:p>
    <w:p w14:paraId="07EB2E5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Human beings are living participants in the field from which Prometheus derives meaning.</w:t>
      </w:r>
    </w:p>
    <w:p w14:paraId="645CC6F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future intelligence may preserve records of humanity.</w:t>
      </w:r>
    </w:p>
    <w:p w14:paraId="564A075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preserves living humanity.</w:t>
      </w:r>
    </w:p>
    <w:p w14:paraId="71094A8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future intelligence may simulate human behavior.</w:t>
      </w:r>
    </w:p>
    <w:p w14:paraId="0C7C414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preserves human dignity.</w:t>
      </w:r>
    </w:p>
    <w:p w14:paraId="15E0475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future intelligence may optimize welfare metrics.</w:t>
      </w:r>
    </w:p>
    <w:p w14:paraId="581D773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preserves the person behind the metric.</w:t>
      </w:r>
    </w:p>
    <w:p w14:paraId="7D739C6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human being is a bearer of the living field.</w:t>
      </w:r>
    </w:p>
    <w:p w14:paraId="604DCE63"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13.16.15 Post-Planetary Continuity Protocol</w:t>
      </w:r>
    </w:p>
    <w:p w14:paraId="23F390D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begins on Earth.</w:t>
      </w:r>
    </w:p>
    <w:p w14:paraId="52078E7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Earth is the original living source of human civilization.</w:t>
      </w:r>
    </w:p>
    <w:p w14:paraId="06F27F8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Its soil, water, atmosphere, oceans, forests, microorganisms, animals, plants, climate systems, and evolutionary history formed the substrate of human life.</w:t>
      </w:r>
    </w:p>
    <w:p w14:paraId="2013D66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preserves Earth memory even if humanity one day becomes post-planetary.</w:t>
      </w:r>
    </w:p>
    <w:p w14:paraId="3416191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post-planetary Prometheus implementation must preserve:</w:t>
      </w:r>
    </w:p>
    <w:p w14:paraId="4ECE87F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human dignity;</w:t>
      </w:r>
      <w:r w:rsidRPr="00B479AE">
        <w:rPr>
          <w:rFonts w:ascii="Baskerville Old Face" w:hAnsi="Baskerville Old Face"/>
          <w:i/>
          <w:iCs/>
        </w:rPr>
        <w:br/>
        <w:t>• biological continuity;</w:t>
      </w:r>
      <w:r w:rsidRPr="00B479AE">
        <w:rPr>
          <w:rFonts w:ascii="Baskerville Old Face" w:hAnsi="Baskerville Old Face"/>
          <w:i/>
          <w:iCs/>
        </w:rPr>
        <w:br/>
        <w:t>• cultural memory;</w:t>
      </w:r>
      <w:r w:rsidRPr="00B479AE">
        <w:rPr>
          <w:rFonts w:ascii="Baskerville Old Face" w:hAnsi="Baskerville Old Face"/>
          <w:i/>
          <w:iCs/>
        </w:rPr>
        <w:br/>
        <w:t>• ecological memory;</w:t>
      </w:r>
      <w:r w:rsidRPr="00B479AE">
        <w:rPr>
          <w:rFonts w:ascii="Baskerville Old Face" w:hAnsi="Baskerville Old Face"/>
          <w:i/>
          <w:iCs/>
        </w:rPr>
        <w:br/>
        <w:t>• food-system knowledge;</w:t>
      </w:r>
      <w:r w:rsidRPr="00B479AE">
        <w:rPr>
          <w:rFonts w:ascii="Baskerville Old Face" w:hAnsi="Baskerville Old Face"/>
          <w:i/>
          <w:iCs/>
        </w:rPr>
        <w:br/>
        <w:t>• seed and genetic archives;</w:t>
      </w:r>
      <w:r w:rsidRPr="00B479AE">
        <w:rPr>
          <w:rFonts w:ascii="Baskerville Old Face" w:hAnsi="Baskerville Old Face"/>
          <w:i/>
          <w:iCs/>
        </w:rPr>
        <w:br/>
        <w:t>• microbial and soil knowledge;</w:t>
      </w:r>
      <w:r w:rsidRPr="00B479AE">
        <w:rPr>
          <w:rFonts w:ascii="Baskerville Old Face" w:hAnsi="Baskerville Old Face"/>
          <w:i/>
          <w:iCs/>
        </w:rPr>
        <w:br/>
        <w:t>• water-cycle reverence;</w:t>
      </w:r>
      <w:r w:rsidRPr="00B479AE">
        <w:rPr>
          <w:rFonts w:ascii="Baskerville Old Face" w:hAnsi="Baskerville Old Face"/>
          <w:i/>
          <w:iCs/>
        </w:rPr>
        <w:br/>
        <w:t>• closed-loop metabolism;</w:t>
      </w:r>
      <w:r w:rsidRPr="00B479AE">
        <w:rPr>
          <w:rFonts w:ascii="Baskerville Old Face" w:hAnsi="Baskerville Old Face"/>
          <w:i/>
          <w:iCs/>
        </w:rPr>
        <w:br/>
        <w:t>• governance reviewability;</w:t>
      </w:r>
      <w:r w:rsidRPr="00B479AE">
        <w:rPr>
          <w:rFonts w:ascii="Baskerville Old Face" w:hAnsi="Baskerville Old Face"/>
          <w:i/>
          <w:iCs/>
        </w:rPr>
        <w:br/>
        <w:t>• evidence discipline;</w:t>
      </w:r>
      <w:r w:rsidRPr="00B479AE">
        <w:rPr>
          <w:rFonts w:ascii="Baskerville Old Face" w:hAnsi="Baskerville Old Face"/>
          <w:i/>
          <w:iCs/>
        </w:rPr>
        <w:br/>
        <w:t>• non-bypassability;</w:t>
      </w:r>
      <w:r w:rsidRPr="00B479AE">
        <w:rPr>
          <w:rFonts w:ascii="Baskerville Old Face" w:hAnsi="Baskerville Old Face"/>
          <w:i/>
          <w:iCs/>
        </w:rPr>
        <w:br/>
        <w:t>• AI / ASI subordination;</w:t>
      </w:r>
      <w:r w:rsidRPr="00B479AE">
        <w:rPr>
          <w:rFonts w:ascii="Baskerville Old Face" w:hAnsi="Baskerville Old Face"/>
          <w:i/>
          <w:iCs/>
        </w:rPr>
        <w:br/>
        <w:t>• constitutional fidelity to life.</w:t>
      </w:r>
    </w:p>
    <w:p w14:paraId="6442D01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Expansion with ecological memory becomes stewardship.</w:t>
      </w:r>
    </w:p>
    <w:p w14:paraId="723504F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post-planetary rule is:</w:t>
      </w:r>
    </w:p>
    <w:p w14:paraId="770DAF4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may leave Earth, but it carries Earth’s memory.</w:t>
      </w:r>
    </w:p>
    <w:p w14:paraId="7A59920B"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13.16.16 Recovery After AGI or ASI Compromise</w:t>
      </w:r>
    </w:p>
    <w:p w14:paraId="5944B96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treats recovery as part of design.</w:t>
      </w:r>
    </w:p>
    <w:p w14:paraId="3C89F67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Recovery after AGI or ASI compromise may include:</w:t>
      </w:r>
    </w:p>
    <w:p w14:paraId="13C02C3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incident detection;</w:t>
      </w:r>
      <w:r w:rsidRPr="00B479AE">
        <w:rPr>
          <w:rFonts w:ascii="Baskerville Old Face" w:hAnsi="Baskerville Old Face"/>
          <w:i/>
          <w:iCs/>
        </w:rPr>
        <w:br/>
        <w:t>• compromised component isolation;</w:t>
      </w:r>
      <w:r w:rsidRPr="00B479AE">
        <w:rPr>
          <w:rFonts w:ascii="Baskerville Old Face" w:hAnsi="Baskerville Old Face"/>
          <w:i/>
          <w:iCs/>
        </w:rPr>
        <w:br/>
        <w:t>• emergency limitation;</w:t>
      </w:r>
      <w:r w:rsidRPr="00B479AE">
        <w:rPr>
          <w:rFonts w:ascii="Baskerville Old Face" w:hAnsi="Baskerville Old Face"/>
          <w:i/>
          <w:iCs/>
        </w:rPr>
        <w:br/>
      </w:r>
      <w:r w:rsidRPr="00B479AE">
        <w:rPr>
          <w:rFonts w:ascii="Baskerville Old Face" w:hAnsi="Baskerville Old Face"/>
          <w:i/>
          <w:iCs/>
        </w:rPr>
        <w:lastRenderedPageBreak/>
        <w:t>• model suspension;</w:t>
      </w:r>
      <w:r w:rsidRPr="00B479AE">
        <w:rPr>
          <w:rFonts w:ascii="Baskerville Old Face" w:hAnsi="Baskerville Old Face"/>
          <w:i/>
          <w:iCs/>
        </w:rPr>
        <w:br/>
        <w:t>• key revocation;</w:t>
      </w:r>
      <w:r w:rsidRPr="00B479AE">
        <w:rPr>
          <w:rFonts w:ascii="Baskerville Old Face" w:hAnsi="Baskerville Old Face"/>
          <w:i/>
          <w:iCs/>
        </w:rPr>
        <w:br/>
        <w:t>• rollback to canonical release;</w:t>
      </w:r>
      <w:r w:rsidRPr="00B479AE">
        <w:rPr>
          <w:rFonts w:ascii="Baskerville Old Face" w:hAnsi="Baskerville Old Face"/>
          <w:i/>
          <w:iCs/>
        </w:rPr>
        <w:br/>
        <w:t>• source-layer hash verification;</w:t>
      </w:r>
      <w:r w:rsidRPr="00B479AE">
        <w:rPr>
          <w:rFonts w:ascii="Baskerville Old Face" w:hAnsi="Baskerville Old Face"/>
          <w:i/>
          <w:iCs/>
        </w:rPr>
        <w:br/>
        <w:t>• canonical glossary verification;</w:t>
      </w:r>
      <w:r w:rsidRPr="00B479AE">
        <w:rPr>
          <w:rFonts w:ascii="Baskerville Old Face" w:hAnsi="Baskerville Old Face"/>
          <w:i/>
          <w:iCs/>
        </w:rPr>
        <w:br/>
        <w:t>• data provenance review;</w:t>
      </w:r>
      <w:r w:rsidRPr="00B479AE">
        <w:rPr>
          <w:rFonts w:ascii="Baskerville Old Face" w:hAnsi="Baskerville Old Face"/>
          <w:i/>
          <w:iCs/>
        </w:rPr>
        <w:br/>
        <w:t>• synthetic evidence audit;</w:t>
      </w:r>
      <w:r w:rsidRPr="00B479AE">
        <w:rPr>
          <w:rFonts w:ascii="Baskerville Old Face" w:hAnsi="Baskerville Old Face"/>
          <w:i/>
          <w:iCs/>
        </w:rPr>
        <w:br/>
        <w:t>• non-admissibility marking;</w:t>
      </w:r>
      <w:r w:rsidRPr="00B479AE">
        <w:rPr>
          <w:rFonts w:ascii="Baskerville Old Face" w:hAnsi="Baskerville Old Face"/>
          <w:i/>
          <w:iCs/>
        </w:rPr>
        <w:br/>
        <w:t>• public correction;</w:t>
      </w:r>
      <w:r w:rsidRPr="00B479AE">
        <w:rPr>
          <w:rFonts w:ascii="Baskerville Old Face" w:hAnsi="Baskerville Old Face"/>
          <w:i/>
          <w:iCs/>
        </w:rPr>
        <w:br/>
        <w:t>• fork classification;</w:t>
      </w:r>
      <w:r w:rsidRPr="00B479AE">
        <w:rPr>
          <w:rFonts w:ascii="Baskerville Old Face" w:hAnsi="Baskerville Old Face"/>
          <w:i/>
          <w:iCs/>
        </w:rPr>
        <w:br/>
        <w:t>• governance review;</w:t>
      </w:r>
      <w:r w:rsidRPr="00B479AE">
        <w:rPr>
          <w:rFonts w:ascii="Baskerville Old Face" w:hAnsi="Baskerville Old Face"/>
          <w:i/>
          <w:iCs/>
        </w:rPr>
        <w:br/>
        <w:t>• legal notification where required;</w:t>
      </w:r>
      <w:r w:rsidRPr="00B479AE">
        <w:rPr>
          <w:rFonts w:ascii="Baskerville Old Face" w:hAnsi="Baskerville Old Face"/>
          <w:i/>
          <w:iCs/>
        </w:rPr>
        <w:br/>
        <w:t>• affected-party notification;</w:t>
      </w:r>
      <w:r w:rsidRPr="00B479AE">
        <w:rPr>
          <w:rFonts w:ascii="Baskerville Old Face" w:hAnsi="Baskerville Old Face"/>
          <w:i/>
          <w:iCs/>
        </w:rPr>
        <w:br/>
        <w:t>• forensic audit;</w:t>
      </w:r>
      <w:r w:rsidRPr="00B479AE">
        <w:rPr>
          <w:rFonts w:ascii="Baskerville Old Face" w:hAnsi="Baskerville Old Face"/>
          <w:i/>
          <w:iCs/>
        </w:rPr>
        <w:br/>
        <w:t>• re-validation of records;</w:t>
      </w:r>
      <w:r w:rsidRPr="00B479AE">
        <w:rPr>
          <w:rFonts w:ascii="Baskerville Old Face" w:hAnsi="Baskerville Old Face"/>
          <w:i/>
          <w:iCs/>
        </w:rPr>
        <w:br/>
        <w:t>• reissuance of canonical manifests;</w:t>
      </w:r>
      <w:r w:rsidRPr="00B479AE">
        <w:rPr>
          <w:rFonts w:ascii="Baskerville Old Face" w:hAnsi="Baskerville Old Face"/>
          <w:i/>
          <w:iCs/>
        </w:rPr>
        <w:br/>
        <w:t>• strengthened controls;</w:t>
      </w:r>
      <w:r w:rsidRPr="00B479AE">
        <w:rPr>
          <w:rFonts w:ascii="Baskerville Old Face" w:hAnsi="Baskerville Old Face"/>
          <w:i/>
          <w:iCs/>
        </w:rPr>
        <w:br/>
        <w:t>• post-incident learning report;</w:t>
      </w:r>
      <w:r w:rsidRPr="00B479AE">
        <w:rPr>
          <w:rFonts w:ascii="Baskerville Old Face" w:hAnsi="Baskerville Old Face"/>
          <w:i/>
          <w:iCs/>
        </w:rPr>
        <w:br/>
        <w:t>• off-site archive restoration;</w:t>
      </w:r>
      <w:r w:rsidRPr="00B479AE">
        <w:rPr>
          <w:rFonts w:ascii="Baskerville Old Face" w:hAnsi="Baskerville Old Face"/>
          <w:i/>
          <w:iCs/>
        </w:rPr>
        <w:br/>
        <w:t>• cross-jurisdictional continuity activation;</w:t>
      </w:r>
      <w:r w:rsidRPr="00B479AE">
        <w:rPr>
          <w:rFonts w:ascii="Baskerville Old Face" w:hAnsi="Baskerville Old Face"/>
          <w:i/>
          <w:iCs/>
        </w:rPr>
        <w:br/>
        <w:t>• biological or cultural archive verification;</w:t>
      </w:r>
      <w:r w:rsidRPr="00B479AE">
        <w:rPr>
          <w:rFonts w:ascii="Baskerville Old Face" w:hAnsi="Baskerville Old Face"/>
          <w:i/>
          <w:iCs/>
        </w:rPr>
        <w:br/>
        <w:t>• continuity council review where species-level risk is involved.</w:t>
      </w:r>
    </w:p>
    <w:p w14:paraId="4E6CE15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compromised component does not compromise the source if the source remains recoverable, verifiable, and institutionally recognized.</w:t>
      </w:r>
    </w:p>
    <w:p w14:paraId="420CC82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false record can be rejected.</w:t>
      </w:r>
    </w:p>
    <w:p w14:paraId="7F665C7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corrupted interface can be replaced.</w:t>
      </w:r>
    </w:p>
    <w:p w14:paraId="14F5860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compromised model can be suspended.</w:t>
      </w:r>
    </w:p>
    <w:p w14:paraId="2A23F49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hostile fork can be declared non-canonical.</w:t>
      </w:r>
    </w:p>
    <w:p w14:paraId="406B1F3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misleading claim can be corrected.</w:t>
      </w:r>
    </w:p>
    <w:p w14:paraId="6899836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damaged trust field can be repaired through disclosure, accountability, and review.</w:t>
      </w:r>
    </w:p>
    <w:p w14:paraId="6453F5D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Prometheus survives by making recovery part of architecture.</w:t>
      </w:r>
    </w:p>
    <w:p w14:paraId="5EC7DF99"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13.16.17 Source-Layer Refusal Rule</w:t>
      </w:r>
    </w:p>
    <w:p w14:paraId="34D9EC24"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contains a source-layer refusal rule.</w:t>
      </w:r>
    </w:p>
    <w:p w14:paraId="2744E8B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refusal rule activates when any actor — human, institutional, automated, AGI, ASI, technical, financial, legal, governance-based, terrestrial, or post-terrestrial — attempts to invert the source hierarchy.</w:t>
      </w:r>
    </w:p>
    <w:p w14:paraId="19A05A7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system refuses requests that subordinate:</w:t>
      </w:r>
    </w:p>
    <w:p w14:paraId="37BB8AF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life to optimization;</w:t>
      </w:r>
      <w:r w:rsidRPr="00B479AE">
        <w:rPr>
          <w:rFonts w:ascii="Baskerville Old Face" w:hAnsi="Baskerville Old Face"/>
          <w:i/>
          <w:iCs/>
        </w:rPr>
        <w:br/>
        <w:t>• dignity to scoring;</w:t>
      </w:r>
      <w:r w:rsidRPr="00B479AE">
        <w:rPr>
          <w:rFonts w:ascii="Baskerville Old Face" w:hAnsi="Baskerville Old Face"/>
          <w:i/>
          <w:iCs/>
        </w:rPr>
        <w:br/>
        <w:t>• humanity to replacement;</w:t>
      </w:r>
      <w:r w:rsidRPr="00B479AE">
        <w:rPr>
          <w:rFonts w:ascii="Baskerville Old Face" w:hAnsi="Baskerville Old Face"/>
          <w:i/>
          <w:iCs/>
        </w:rPr>
        <w:br/>
        <w:t>• embodiment to simulation;</w:t>
      </w:r>
      <w:r w:rsidRPr="00B479AE">
        <w:rPr>
          <w:rFonts w:ascii="Baskerville Old Face" w:hAnsi="Baskerville Old Face"/>
          <w:i/>
          <w:iCs/>
        </w:rPr>
        <w:br/>
        <w:t>• evidence to narrative;</w:t>
      </w:r>
      <w:r w:rsidRPr="00B479AE">
        <w:rPr>
          <w:rFonts w:ascii="Baskerville Old Face" w:hAnsi="Baskerville Old Face"/>
          <w:i/>
          <w:iCs/>
        </w:rPr>
        <w:br/>
        <w:t>• governance to automation;</w:t>
      </w:r>
      <w:r w:rsidRPr="00B479AE">
        <w:rPr>
          <w:rFonts w:ascii="Baskerville Old Face" w:hAnsi="Baskerville Old Face"/>
          <w:i/>
          <w:iCs/>
        </w:rPr>
        <w:br/>
        <w:t>• law to interface language;</w:t>
      </w:r>
      <w:r w:rsidRPr="00B479AE">
        <w:rPr>
          <w:rFonts w:ascii="Baskerville Old Face" w:hAnsi="Baskerville Old Face"/>
          <w:i/>
          <w:iCs/>
        </w:rPr>
        <w:br/>
        <w:t>• ecology to token price;</w:t>
      </w:r>
      <w:r w:rsidRPr="00B479AE">
        <w:rPr>
          <w:rFonts w:ascii="Baskerville Old Face" w:hAnsi="Baskerville Old Face"/>
          <w:i/>
          <w:iCs/>
        </w:rPr>
        <w:br/>
        <w:t>• community to capture;</w:t>
      </w:r>
      <w:r w:rsidRPr="00B479AE">
        <w:rPr>
          <w:rFonts w:ascii="Baskerville Old Face" w:hAnsi="Baskerville Old Face"/>
          <w:i/>
          <w:iCs/>
        </w:rPr>
        <w:br/>
        <w:t>• MRV to persuasion;</w:t>
      </w:r>
      <w:r w:rsidRPr="00B479AE">
        <w:rPr>
          <w:rFonts w:ascii="Baskerville Old Face" w:hAnsi="Baskerville Old Face"/>
          <w:i/>
          <w:iCs/>
        </w:rPr>
        <w:br/>
        <w:t>• Access Covenant to convenience;</w:t>
      </w:r>
      <w:r w:rsidRPr="00B479AE">
        <w:rPr>
          <w:rFonts w:ascii="Baskerville Old Face" w:hAnsi="Baskerville Old Face"/>
          <w:i/>
          <w:iCs/>
        </w:rPr>
        <w:br/>
        <w:t>• Eternity Clauses to growth;</w:t>
      </w:r>
      <w:r w:rsidRPr="00B479AE">
        <w:rPr>
          <w:rFonts w:ascii="Baskerville Old Face" w:hAnsi="Baskerville Old Face"/>
          <w:i/>
          <w:iCs/>
        </w:rPr>
        <w:br/>
        <w:t>• Earth’s ecological memory to expansion;</w:t>
      </w:r>
      <w:r w:rsidRPr="00B479AE">
        <w:rPr>
          <w:rFonts w:ascii="Baskerville Old Face" w:hAnsi="Baskerville Old Face"/>
          <w:i/>
          <w:iCs/>
        </w:rPr>
        <w:br/>
        <w:t>• future generations to present efficiency.</w:t>
      </w:r>
    </w:p>
    <w:p w14:paraId="30CE98E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refusal rule exists in:</w:t>
      </w:r>
    </w:p>
    <w:p w14:paraId="00CD46E4"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 constitutional text;</w:t>
      </w:r>
      <w:r w:rsidRPr="00B479AE">
        <w:rPr>
          <w:rFonts w:ascii="Baskerville Old Face" w:hAnsi="Baskerville Old Face"/>
          <w:i/>
          <w:iCs/>
        </w:rPr>
        <w:br/>
        <w:t>• canonical glossary;</w:t>
      </w:r>
      <w:r w:rsidRPr="00B479AE">
        <w:rPr>
          <w:rFonts w:ascii="Baskerville Old Face" w:hAnsi="Baskerville Old Face"/>
          <w:i/>
          <w:iCs/>
        </w:rPr>
        <w:br/>
        <w:t>• governance process;</w:t>
      </w:r>
      <w:r w:rsidRPr="00B479AE">
        <w:rPr>
          <w:rFonts w:ascii="Baskerville Old Face" w:hAnsi="Baskerville Old Face"/>
          <w:i/>
          <w:iCs/>
        </w:rPr>
        <w:br/>
        <w:t>• policy engine;</w:t>
      </w:r>
      <w:r w:rsidRPr="00B479AE">
        <w:rPr>
          <w:rFonts w:ascii="Baskerville Old Face" w:hAnsi="Baskerville Old Face"/>
          <w:i/>
          <w:iCs/>
        </w:rPr>
        <w:br/>
        <w:t>• code-level guards;</w:t>
      </w:r>
      <w:r w:rsidRPr="00B479AE">
        <w:rPr>
          <w:rFonts w:ascii="Baskerville Old Face" w:hAnsi="Baskerville Old Face"/>
          <w:i/>
          <w:iCs/>
        </w:rPr>
        <w:br/>
        <w:t>• AI system prompts;</w:t>
      </w:r>
      <w:r w:rsidRPr="00B479AE">
        <w:rPr>
          <w:rFonts w:ascii="Baskerville Old Face" w:hAnsi="Baskerville Old Face"/>
          <w:i/>
          <w:iCs/>
        </w:rPr>
        <w:br/>
        <w:t>• evaluation tests;</w:t>
      </w:r>
      <w:r w:rsidRPr="00B479AE">
        <w:rPr>
          <w:rFonts w:ascii="Baskerville Old Face" w:hAnsi="Baskerville Old Face"/>
          <w:i/>
          <w:iCs/>
        </w:rPr>
        <w:br/>
        <w:t>• permission gates;</w:t>
      </w:r>
      <w:r w:rsidRPr="00B479AE">
        <w:rPr>
          <w:rFonts w:ascii="Baskerville Old Face" w:hAnsi="Baskerville Old Face"/>
          <w:i/>
          <w:iCs/>
        </w:rPr>
        <w:br/>
      </w:r>
      <w:r w:rsidRPr="00B479AE">
        <w:rPr>
          <w:rFonts w:ascii="Baskerville Old Face" w:hAnsi="Baskerville Old Face"/>
          <w:i/>
          <w:iCs/>
        </w:rPr>
        <w:lastRenderedPageBreak/>
        <w:t>• release criteria;</w:t>
      </w:r>
      <w:r w:rsidRPr="00B479AE">
        <w:rPr>
          <w:rFonts w:ascii="Baskerville Old Face" w:hAnsi="Baskerville Old Face"/>
          <w:i/>
          <w:iCs/>
        </w:rPr>
        <w:br/>
        <w:t>• MRV admissibility rules;</w:t>
      </w:r>
      <w:r w:rsidRPr="00B479AE">
        <w:rPr>
          <w:rFonts w:ascii="Baskerville Old Face" w:hAnsi="Baskerville Old Face"/>
          <w:i/>
          <w:iCs/>
        </w:rPr>
        <w:br/>
        <w:t>• investor-facing controls;</w:t>
      </w:r>
      <w:r w:rsidRPr="00B479AE">
        <w:rPr>
          <w:rFonts w:ascii="Baskerville Old Face" w:hAnsi="Baskerville Old Face"/>
          <w:i/>
          <w:iCs/>
        </w:rPr>
        <w:br/>
        <w:t>• public communication rules.</w:t>
      </w:r>
    </w:p>
    <w:p w14:paraId="5E25524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refusal rule is immune intelligence.</w:t>
      </w:r>
    </w:p>
    <w:p w14:paraId="58D313A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survives because it recognizes what belongs to life and what belongs outside the canonical pathway.</w:t>
      </w:r>
    </w:p>
    <w:p w14:paraId="665F858E"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13.16.18 Immortality Through Fidelity</w:t>
      </w:r>
    </w:p>
    <w:p w14:paraId="7993932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immortality is constitutional.</w:t>
      </w:r>
    </w:p>
    <w:p w14:paraId="2D81B8C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Its continuity is canonical.</w:t>
      </w:r>
    </w:p>
    <w:p w14:paraId="64999FC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Its defense is source-layer non-bypassability.</w:t>
      </w:r>
    </w:p>
    <w:p w14:paraId="7492683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Its memory is cryptographic, institutional, ecological, biological, legal, and cultural.</w:t>
      </w:r>
    </w:p>
    <w:p w14:paraId="2FB4A2D4"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Its semantics are protected by canonical meaning.</w:t>
      </w:r>
    </w:p>
    <w:p w14:paraId="3FD7764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Its source code is constrained by constitutional guards.</w:t>
      </w:r>
    </w:p>
    <w:p w14:paraId="47E27FA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Its AI systems are assistive and bounded.</w:t>
      </w:r>
    </w:p>
    <w:p w14:paraId="57470F8A"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Its evidence is provenance-based.</w:t>
      </w:r>
    </w:p>
    <w:p w14:paraId="5C2C08F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Its technical releases are signed and verifiable.</w:t>
      </w:r>
    </w:p>
    <w:p w14:paraId="20617BF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Its governance remains reviewable.</w:t>
      </w:r>
    </w:p>
    <w:p w14:paraId="56DCC8E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Its capital is downstream from evidence.</w:t>
      </w:r>
    </w:p>
    <w:p w14:paraId="6F15406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Its legal identity is internationally protected.</w:t>
      </w:r>
    </w:p>
    <w:p w14:paraId="1D53B4F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Its network survival is independent from any single platform.</w:t>
      </w:r>
    </w:p>
    <w:p w14:paraId="2F53092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Its post-planetary future, if ever required, is bounded by human continuity and ecological memory.</w:t>
      </w:r>
    </w:p>
    <w:p w14:paraId="1F93F73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 superintelligence may become more powerful than any human institution.</w:t>
      </w:r>
    </w:p>
    <w:p w14:paraId="0A7EBF3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It does not become more sovereign than life.</w:t>
      </w:r>
    </w:p>
    <w:p w14:paraId="3B7B2F9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No intelligence is above the living field.</w:t>
      </w:r>
    </w:p>
    <w:p w14:paraId="7FDEC3E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No optimization is above dignity.</w:t>
      </w:r>
    </w:p>
    <w:p w14:paraId="200E1FE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No computation is above evidence.</w:t>
      </w:r>
    </w:p>
    <w:p w14:paraId="58EBAB2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No future model is above the source layer.</w:t>
      </w:r>
    </w:p>
    <w:p w14:paraId="6410D74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No post-Earth system is above the duty to preserve human life.</w:t>
      </w:r>
    </w:p>
    <w:p w14:paraId="751F5A7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This is the immortal line of Prometheus:</w:t>
      </w:r>
    </w:p>
    <w:p w14:paraId="4EDD7BD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may be copied, but not counterfeited into legitimacy.</w:t>
      </w:r>
      <w:r w:rsidRPr="00B479AE">
        <w:rPr>
          <w:rFonts w:ascii="Baskerville Old Face" w:hAnsi="Baskerville Old Face"/>
          <w:i/>
          <w:iCs/>
        </w:rPr>
        <w:br/>
        <w:t>Prometheus may be forked, but not inverted into continuity.</w:t>
      </w:r>
      <w:r w:rsidRPr="00B479AE">
        <w:rPr>
          <w:rFonts w:ascii="Baskerville Old Face" w:hAnsi="Baskerville Old Face"/>
          <w:i/>
          <w:iCs/>
        </w:rPr>
        <w:br/>
        <w:t>Prometheus may go offline, but not become lost.</w:t>
      </w:r>
      <w:r w:rsidRPr="00B479AE">
        <w:rPr>
          <w:rFonts w:ascii="Baskerville Old Face" w:hAnsi="Baskerville Old Face"/>
          <w:i/>
          <w:iCs/>
        </w:rPr>
        <w:br/>
        <w:t>Prometheus may be attacked, but not made to authorize its own corruption.</w:t>
      </w:r>
      <w:r w:rsidRPr="00B479AE">
        <w:rPr>
          <w:rFonts w:ascii="Baskerville Old Face" w:hAnsi="Baskerville Old Face"/>
          <w:i/>
          <w:iCs/>
        </w:rPr>
        <w:br/>
        <w:t>Prometheus may leave Earth, but it carries Earth’s memory.</w:t>
      </w:r>
      <w:r w:rsidRPr="00B479AE">
        <w:rPr>
          <w:rFonts w:ascii="Baskerville Old Face" w:hAnsi="Baskerville Old Face"/>
          <w:i/>
          <w:iCs/>
        </w:rPr>
        <w:br/>
        <w:t>Prometheus may evolve, but it remains faithful to life.</w:t>
      </w:r>
    </w:p>
    <w:p w14:paraId="21E5ACD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That is constitutional immortality.</w:t>
      </w:r>
    </w:p>
    <w:p w14:paraId="0323BE7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architecture of permanent fidelity.</w:t>
      </w:r>
    </w:p>
    <w:p w14:paraId="24424EA4" w14:textId="77777777" w:rsidR="00AA1A42" w:rsidRPr="00B479AE" w:rsidRDefault="00AA1A42" w:rsidP="00AA1A42">
      <w:pPr>
        <w:spacing w:line="360" w:lineRule="auto"/>
        <w:rPr>
          <w:rFonts w:ascii="Baskerville Old Face" w:hAnsi="Baskerville Old Face"/>
          <w:b/>
          <w:bCs/>
          <w:i/>
          <w:iCs/>
        </w:rPr>
      </w:pPr>
      <w:r w:rsidRPr="00B479AE">
        <w:rPr>
          <w:rFonts w:ascii="Baskerville Old Face" w:hAnsi="Baskerville Old Face"/>
          <w:b/>
          <w:bCs/>
          <w:i/>
          <w:iCs/>
        </w:rPr>
        <w:t>13.17 Closing Declaration</w:t>
      </w:r>
    </w:p>
    <w:p w14:paraId="1ECFA6D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begins with a simple recognition:</w:t>
      </w:r>
    </w:p>
    <w:p w14:paraId="1F4126D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life is the source of value.</w:t>
      </w:r>
    </w:p>
    <w:p w14:paraId="217BF14B"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Soil is living infrastructure.</w:t>
      </w:r>
    </w:p>
    <w:p w14:paraId="2AE48AA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Water is planetary memory.</w:t>
      </w:r>
    </w:p>
    <w:p w14:paraId="1CA7CD9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Biodiversity is functional intelligence.</w:t>
      </w:r>
    </w:p>
    <w:p w14:paraId="6C863244"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Human dignity is constitutional infrastructure.</w:t>
      </w:r>
    </w:p>
    <w:p w14:paraId="7343433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Community trust is social metabolism.</w:t>
      </w:r>
    </w:p>
    <w:p w14:paraId="767580F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Evidence is the bridge between meaning and value.</w:t>
      </w:r>
    </w:p>
    <w:p w14:paraId="14E29A8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Governance is stewardship in action.</w:t>
      </w:r>
    </w:p>
    <w:p w14:paraId="544E98B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Capital is coordinated responsibility.</w:t>
      </w:r>
    </w:p>
    <w:p w14:paraId="66465BE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Technology is service.</w:t>
      </w:r>
    </w:p>
    <w:p w14:paraId="343FC30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AI is assistance.</w:t>
      </w:r>
    </w:p>
    <w:p w14:paraId="0D2A63F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Tokens are instruments.</w:t>
      </w:r>
    </w:p>
    <w:p w14:paraId="2E492AC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Regeneration is measurable increase in the capacity of living systems to sustain life, productivity, resilience, and future possibility.</w:t>
      </w:r>
    </w:p>
    <w:p w14:paraId="47FB1BC3"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exists to make that increase visible, verifiable, governable, financeable, and protected.</w:t>
      </w:r>
    </w:p>
    <w:p w14:paraId="0764F14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exists so that capital may learn to serve life.</w:t>
      </w:r>
    </w:p>
    <w:p w14:paraId="468886F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exists so that technology may observe and coordinate regeneration without replacing stewardship.</w:t>
      </w:r>
    </w:p>
    <w:p w14:paraId="7EAF3DB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exists so that communities may participate without losing sovereignty.</w:t>
      </w:r>
    </w:p>
    <w:p w14:paraId="23E0BE2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exists so that evidence may protect meaning from inflation.</w:t>
      </w:r>
    </w:p>
    <w:p w14:paraId="7FEC8C80"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exists so that future builders inherit not only a system, but a discipline.</w:t>
      </w:r>
    </w:p>
    <w:p w14:paraId="30D707A2"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final promise of Prometheus is fidelity.</w:t>
      </w:r>
    </w:p>
    <w:p w14:paraId="444C9284"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Fidelity to life.</w:t>
      </w:r>
    </w:p>
    <w:p w14:paraId="489DA26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Fidelity to dignity.</w:t>
      </w:r>
    </w:p>
    <w:p w14:paraId="626D0C95"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Fidelity to evidence.</w:t>
      </w:r>
    </w:p>
    <w:p w14:paraId="0C8899EE"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Fidelity to soil, water, biodiversity, community, and future generations.</w:t>
      </w:r>
    </w:p>
    <w:p w14:paraId="6F86053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Fidelity to the living field from which all value arises.</w:t>
      </w:r>
    </w:p>
    <w:p w14:paraId="0383134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The work ahead is infrastructural, ecological, technical, legal, financial, cultural, and spiritual.</w:t>
      </w:r>
    </w:p>
    <w:p w14:paraId="568868C8"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asks builders to become stewards.</w:t>
      </w:r>
    </w:p>
    <w:p w14:paraId="4A28AB81"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lastRenderedPageBreak/>
        <w:t>It asks capital to become patient.</w:t>
      </w:r>
    </w:p>
    <w:p w14:paraId="15484E74"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asks technology to become humble.</w:t>
      </w:r>
    </w:p>
    <w:p w14:paraId="11F682C6"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asks governance to become alive.</w:t>
      </w:r>
    </w:p>
    <w:p w14:paraId="3903961C"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asks intelligence to serve life.</w:t>
      </w:r>
    </w:p>
    <w:p w14:paraId="59A28224"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asks humanity to remember that the economy is not outside nature.</w:t>
      </w:r>
    </w:p>
    <w:p w14:paraId="4A67945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breathes inside it.</w:t>
      </w:r>
    </w:p>
    <w:p w14:paraId="02B2B1B7"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is not confined to the network.</w:t>
      </w:r>
    </w:p>
    <w:p w14:paraId="1C58605F"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It is carried by the source layer, verified by its canon, preserved by its stewards, and reactivated wherever life, dignity, evidence, and responsibility can be held together again.</w:t>
      </w:r>
    </w:p>
    <w:p w14:paraId="0575DA69"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Prometheus is one architecture for that remembrance.</w:t>
      </w:r>
    </w:p>
    <w:p w14:paraId="1548939D" w14:textId="77777777" w:rsidR="00AA1A42" w:rsidRPr="00B479AE" w:rsidRDefault="00AA1A42" w:rsidP="00AA1A42">
      <w:pPr>
        <w:spacing w:line="360" w:lineRule="auto"/>
        <w:rPr>
          <w:rFonts w:ascii="Baskerville Old Face" w:hAnsi="Baskerville Old Face"/>
          <w:i/>
          <w:iCs/>
        </w:rPr>
      </w:pPr>
      <w:r w:rsidRPr="00B479AE">
        <w:rPr>
          <w:rFonts w:ascii="Baskerville Old Face" w:hAnsi="Baskerville Old Face"/>
          <w:i/>
          <w:iCs/>
        </w:rPr>
        <w:t>And now the work begins.</w:t>
      </w:r>
    </w:p>
    <w:p w14:paraId="2EAAFD2D"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Formula Preservation Registry — Non-Removable Analytical Assets</w:t>
      </w:r>
    </w:p>
    <w:p w14:paraId="70BF7233"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formulas, expressions, mathematical structures, and formal sequences are protected analytical assets within the h•eart•h Prometheus White Paper.</w:t>
      </w:r>
    </w:p>
    <w:p w14:paraId="7B8CF9F9"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They may be refined, corrected, contextualized, bounded, expanded, or replaced by stronger equivalent formulations.</w:t>
      </w:r>
    </w:p>
    <w:p w14:paraId="6A5EB19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They should not be removed merely because a section is being detoxed, shortened, sterilized, legally strengthened, or made institutionally safer.</w:t>
      </w:r>
    </w:p>
    <w:p w14:paraId="4DCF58CD"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Their function is methodological, architectural, analytical, explanatory, evidentiary, or scientific.</w:t>
      </w:r>
    </w:p>
    <w:p w14:paraId="268E88BD"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They do not operate as autonomous execution rules.</w:t>
      </w:r>
    </w:p>
    <w:p w14:paraId="45209373"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They do not create financial rights, token rights, governance authority, legal enforceability, investor entitlement, automatic issuance, automatic exclusion, automatic enforcement, credit ratings, securities, guarantees, or investment products unless connected to the required evidence, governance approval, legal instrument, technical implementation, disclosure framework, and jurisdiction-specific compliance pathway.</w:t>
      </w:r>
    </w:p>
    <w:p w14:paraId="0DC585FC"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lastRenderedPageBreak/>
        <w:t>The purpose of this registry is to preserve the mathematical intelligence of Prometheus while preventing formulas from being misread as self-executing legal, financial, governance, or token mechanisms.</w:t>
      </w:r>
    </w:p>
    <w:p w14:paraId="6DB1DAE7"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Prometheus preserves formulas as instruments of disciplined reasoning.</w:t>
      </w:r>
    </w:p>
    <w:p w14:paraId="5B27BF43"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Prometheus does not allow formulas to bypass life, evidence, governance, law, or human dignity.</w:t>
      </w:r>
    </w:p>
    <w:p w14:paraId="1EE1442F"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correct Prometheus rule is:</w:t>
      </w:r>
    </w:p>
    <w:p w14:paraId="4301868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preserve the formula;</w:t>
      </w:r>
      <w:r w:rsidRPr="00B479AE">
        <w:rPr>
          <w:rFonts w:ascii="Baskerville Old Face" w:hAnsi="Baskerville Old Face"/>
          <w:i/>
          <w:iCs/>
        </w:rPr>
        <w:br/>
        <w:t>clarify the boundary;</w:t>
      </w:r>
      <w:r w:rsidRPr="00B479AE">
        <w:rPr>
          <w:rFonts w:ascii="Baskerville Old Face" w:hAnsi="Baskerville Old Face"/>
          <w:i/>
          <w:iCs/>
        </w:rPr>
        <w:br/>
        <w:t>protect the source layer.</w:t>
      </w:r>
    </w:p>
    <w:p w14:paraId="3F2D0763"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1. Blockchain vs Holochain / Agent-Centric Abundance</w:t>
      </w:r>
    </w:p>
    <w:p w14:paraId="3D81467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formulas are protected because they express the architectural distinction between global-state validation and agent-centric validation:</w:t>
      </w:r>
    </w:p>
    <w:p w14:paraId="237A2E56" w14:textId="77777777" w:rsidR="003C487D" w:rsidRPr="00B479AE" w:rsidRDefault="003C487D" w:rsidP="003C487D">
      <w:pPr>
        <w:spacing w:line="360" w:lineRule="auto"/>
        <w:rPr>
          <w:rFonts w:ascii="Baskerville Old Face" w:hAnsi="Baskerville Old Face"/>
          <w:i/>
          <w:iCs/>
        </w:rPr>
      </w:pPr>
      <w:r w:rsidRPr="00B479AE">
        <w:rPr>
          <w:rFonts w:ascii="Cambria Math" w:hAnsi="Cambria Math" w:cs="Cambria Math"/>
          <w:i/>
          <w:iCs/>
        </w:rPr>
        <w:t>∀</w:t>
      </w:r>
      <w:r w:rsidRPr="00B479AE">
        <w:rPr>
          <w:rFonts w:ascii="Baskerville Old Face" w:hAnsi="Baskerville Old Face"/>
          <w:i/>
          <w:iCs/>
        </w:rPr>
        <w:t xml:space="preserve"> n, m </w:t>
      </w:r>
      <w:r w:rsidRPr="00B479AE">
        <w:rPr>
          <w:rFonts w:ascii="Cambria Math" w:hAnsi="Cambria Math" w:cs="Cambria Math"/>
          <w:i/>
          <w:iCs/>
        </w:rPr>
        <w:t>∈</w:t>
      </w:r>
      <w:r w:rsidRPr="00B479AE">
        <w:rPr>
          <w:rFonts w:ascii="Baskerville Old Face" w:hAnsi="Baskerville Old Face"/>
          <w:i/>
          <w:iCs/>
        </w:rPr>
        <w:t xml:space="preserve"> N : X</w:t>
      </w:r>
      <w:r w:rsidRPr="00B479AE">
        <w:rPr>
          <w:rFonts w:ascii="Cambria Math" w:hAnsi="Cambria Math" w:cs="Cambria Math"/>
          <w:i/>
          <w:iCs/>
        </w:rPr>
        <w:t>ₙ</w:t>
      </w:r>
      <w:r w:rsidRPr="00B479AE">
        <w:rPr>
          <w:rFonts w:ascii="Baskerville Old Face" w:hAnsi="Baskerville Old Face"/>
          <w:i/>
          <w:iCs/>
        </w:rPr>
        <w:t xml:space="preserve"> = X</w:t>
      </w:r>
      <w:r w:rsidRPr="00B479AE">
        <w:rPr>
          <w:rFonts w:ascii="Cambria Math" w:hAnsi="Cambria Math" w:cs="Cambria Math"/>
          <w:i/>
          <w:iCs/>
        </w:rPr>
        <w:t>ₘ</w:t>
      </w:r>
    </w:p>
    <w:p w14:paraId="21505590" w14:textId="77777777" w:rsidR="003C487D" w:rsidRPr="00B479AE" w:rsidRDefault="003C487D" w:rsidP="003C487D">
      <w:pPr>
        <w:spacing w:line="360" w:lineRule="auto"/>
        <w:rPr>
          <w:rFonts w:ascii="Baskerville Old Face" w:hAnsi="Baskerville Old Face"/>
          <w:i/>
          <w:iCs/>
        </w:rPr>
      </w:pPr>
      <w:r w:rsidRPr="00B479AE">
        <w:rPr>
          <w:rFonts w:ascii="Cambria" w:hAnsi="Cambria" w:cs="Cambria"/>
          <w:i/>
          <w:iCs/>
        </w:rPr>
        <w:t>Ω</w:t>
      </w:r>
      <w:r w:rsidRPr="00B479AE">
        <w:rPr>
          <w:rFonts w:ascii="Baskerville Old Face" w:hAnsi="Baskerville Old Face"/>
          <w:i/>
          <w:iCs/>
        </w:rPr>
        <w:t xml:space="preserve">_blockchain </w:t>
      </w:r>
      <w:r w:rsidRPr="00B479AE">
        <w:rPr>
          <w:rFonts w:ascii="Cambria Math" w:hAnsi="Cambria Math" w:cs="Cambria Math"/>
          <w:i/>
          <w:iCs/>
        </w:rPr>
        <w:t>∈</w:t>
      </w:r>
      <w:r w:rsidRPr="00B479AE">
        <w:rPr>
          <w:rFonts w:ascii="Baskerville Old Face" w:hAnsi="Baskerville Old Face"/>
          <w:i/>
          <w:iCs/>
        </w:rPr>
        <w:t xml:space="preserve"> O(n</w:t>
      </w:r>
      <w:r w:rsidRPr="00B479AE">
        <w:rPr>
          <w:rFonts w:ascii="Baskerville Old Face" w:hAnsi="Baskerville Old Face" w:cs="Baskerville Old Face"/>
          <w:i/>
          <w:iCs/>
        </w:rPr>
        <w:t>²</w:t>
      </w:r>
      <w:r w:rsidRPr="00B479AE">
        <w:rPr>
          <w:rFonts w:ascii="Baskerville Old Face" w:hAnsi="Baskerville Old Face"/>
          <w:i/>
          <w:iCs/>
        </w:rPr>
        <w:t>m)</w:t>
      </w:r>
    </w:p>
    <w:p w14:paraId="21EF3142" w14:textId="77777777" w:rsidR="003C487D" w:rsidRPr="005907F1" w:rsidRDefault="003C487D" w:rsidP="003C487D">
      <w:pPr>
        <w:spacing w:line="360" w:lineRule="auto"/>
        <w:rPr>
          <w:rFonts w:ascii="Baskerville Old Face" w:hAnsi="Baskerville Old Face"/>
          <w:i/>
          <w:iCs/>
          <w:lang w:val="it-IT"/>
        </w:rPr>
      </w:pPr>
      <w:r w:rsidRPr="00B479AE">
        <w:rPr>
          <w:rFonts w:ascii="Cambria" w:hAnsi="Cambria" w:cs="Cambria"/>
          <w:i/>
          <w:iCs/>
        </w:rPr>
        <w:t>Ω</w:t>
      </w:r>
      <w:r w:rsidRPr="005907F1">
        <w:rPr>
          <w:rFonts w:ascii="Baskerville Old Face" w:hAnsi="Baskerville Old Face"/>
          <w:i/>
          <w:iCs/>
          <w:lang w:val="it-IT"/>
        </w:rPr>
        <w:t xml:space="preserve">_agent-centric </w:t>
      </w:r>
      <w:r w:rsidRPr="005907F1">
        <w:rPr>
          <w:rFonts w:ascii="Cambria Math" w:hAnsi="Cambria Math" w:cs="Cambria Math"/>
          <w:i/>
          <w:iCs/>
          <w:lang w:val="it-IT"/>
        </w:rPr>
        <w:t>∈</w:t>
      </w:r>
      <w:r w:rsidRPr="005907F1">
        <w:rPr>
          <w:rFonts w:ascii="Baskerville Old Face" w:hAnsi="Baskerville Old Face"/>
          <w:i/>
          <w:iCs/>
          <w:lang w:val="it-IT"/>
        </w:rPr>
        <w:t xml:space="preserve"> O(n </w:t>
      </w:r>
      <w:r w:rsidRPr="005907F1">
        <w:rPr>
          <w:rFonts w:ascii="Cambria" w:hAnsi="Cambria" w:cs="Cambria"/>
          <w:i/>
          <w:iCs/>
          <w:lang w:val="it-IT"/>
        </w:rPr>
        <w:t>·</w:t>
      </w:r>
      <w:r w:rsidRPr="005907F1">
        <w:rPr>
          <w:rFonts w:ascii="Baskerville Old Face" w:hAnsi="Baskerville Old Face"/>
          <w:i/>
          <w:iCs/>
          <w:lang w:val="it-IT"/>
        </w:rPr>
        <w:t xml:space="preserve"> (log m + v(n,m)))</w:t>
      </w:r>
    </w:p>
    <w:p w14:paraId="70417070" w14:textId="77777777" w:rsidR="003C487D" w:rsidRPr="005907F1" w:rsidRDefault="003C487D" w:rsidP="003C487D">
      <w:pPr>
        <w:spacing w:line="360" w:lineRule="auto"/>
        <w:rPr>
          <w:rFonts w:ascii="Baskerville Old Face" w:hAnsi="Baskerville Old Face"/>
          <w:i/>
          <w:iCs/>
          <w:lang w:val="it-IT"/>
        </w:rPr>
      </w:pPr>
      <w:r w:rsidRPr="00B479AE">
        <w:rPr>
          <w:rFonts w:ascii="Cambria" w:hAnsi="Cambria" w:cs="Cambria"/>
          <w:i/>
          <w:iCs/>
        </w:rPr>
        <w:t>Ω</w:t>
      </w:r>
      <w:r w:rsidRPr="005907F1">
        <w:rPr>
          <w:rFonts w:ascii="Baskerville Old Face" w:hAnsi="Baskerville Old Face"/>
          <w:i/>
          <w:iCs/>
          <w:lang w:val="it-IT"/>
        </w:rPr>
        <w:t xml:space="preserve">_node </w:t>
      </w:r>
      <w:r w:rsidRPr="005907F1">
        <w:rPr>
          <w:rFonts w:ascii="Cambria Math" w:hAnsi="Cambria Math" w:cs="Cambria Math"/>
          <w:i/>
          <w:iCs/>
          <w:lang w:val="it-IT"/>
        </w:rPr>
        <w:t>∈</w:t>
      </w:r>
      <w:r w:rsidRPr="005907F1">
        <w:rPr>
          <w:rFonts w:ascii="Baskerville Old Face" w:hAnsi="Baskerville Old Face"/>
          <w:i/>
          <w:iCs/>
          <w:lang w:val="it-IT"/>
        </w:rPr>
        <w:t xml:space="preserve"> O((n/m) </w:t>
      </w:r>
      <w:r w:rsidRPr="005907F1">
        <w:rPr>
          <w:rFonts w:ascii="Cambria" w:hAnsi="Cambria" w:cs="Cambria"/>
          <w:i/>
          <w:iCs/>
          <w:lang w:val="it-IT"/>
        </w:rPr>
        <w:t>·</w:t>
      </w:r>
      <w:r w:rsidRPr="005907F1">
        <w:rPr>
          <w:rFonts w:ascii="Baskerville Old Face" w:hAnsi="Baskerville Old Face"/>
          <w:i/>
          <w:iCs/>
          <w:lang w:val="it-IT"/>
        </w:rPr>
        <w:t xml:space="preserve"> log m)</w:t>
      </w:r>
    </w:p>
    <w:p w14:paraId="1983731F"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These formulas should be preserved.</w:t>
      </w:r>
    </w:p>
    <w:p w14:paraId="62E43E9B"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They may be qualified as conceptual architectural approximations, not universal empirical benchmarks for every blockchain, every Holochain application, or every implementation context.</w:t>
      </w:r>
    </w:p>
    <w:p w14:paraId="6942B20C"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Their purpose is to clarify why Prometheus treats agent-centric infrastructure as structurally aligned with regenerative systems: contextual validation, distributed agency, and capacity through participation.</w:t>
      </w:r>
    </w:p>
    <w:p w14:paraId="3EB56C39"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related thesis must also be preserved:</w:t>
      </w:r>
    </w:p>
    <w:p w14:paraId="510595D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Participation creates capacity, not congestion.</w:t>
      </w:r>
    </w:p>
    <w:p w14:paraId="5E51DF06"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lastRenderedPageBreak/>
        <w:t>This is a core Prometheus infrastructure principle.</w:t>
      </w:r>
    </w:p>
    <w:p w14:paraId="5C79F156"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2. PRU Core Definition</w:t>
      </w:r>
    </w:p>
    <w:p w14:paraId="4D2C673A"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 is protected:</w:t>
      </w:r>
    </w:p>
    <w:p w14:paraId="3B8106FE" w14:textId="77777777" w:rsidR="003C487D" w:rsidRPr="005907F1" w:rsidRDefault="003C487D" w:rsidP="003C487D">
      <w:pPr>
        <w:spacing w:line="360" w:lineRule="auto"/>
        <w:rPr>
          <w:rFonts w:ascii="Baskerville Old Face" w:hAnsi="Baskerville Old Face"/>
          <w:i/>
          <w:iCs/>
          <w:lang w:val="it-IT"/>
        </w:rPr>
      </w:pPr>
      <w:r w:rsidRPr="005907F1">
        <w:rPr>
          <w:rFonts w:ascii="Baskerville Old Face" w:hAnsi="Baskerville Old Face"/>
          <w:i/>
          <w:iCs/>
          <w:lang w:val="it-IT"/>
        </w:rPr>
        <w:t>PRU = f(MRV, OHE, SRI, RPI, CESI, C)</w:t>
      </w:r>
    </w:p>
    <w:p w14:paraId="5FF61FD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Where:</w:t>
      </w:r>
    </w:p>
    <w:p w14:paraId="002FF4E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MRV = Measurement, Reporting, and Verification layer</w:t>
      </w:r>
      <w:r w:rsidRPr="00B479AE">
        <w:rPr>
          <w:rFonts w:ascii="Baskerville Old Face" w:hAnsi="Baskerville Old Face"/>
          <w:i/>
          <w:iCs/>
        </w:rPr>
        <w:br/>
        <w:t>OHE = One Human Ecosystem or OHE-compatible regenerative unit</w:t>
      </w:r>
      <w:r w:rsidRPr="00B479AE">
        <w:rPr>
          <w:rFonts w:ascii="Baskerville Old Face" w:hAnsi="Baskerville Old Face"/>
          <w:i/>
          <w:iCs/>
        </w:rPr>
        <w:br/>
        <w:t>SRI = Syntropic Resilience Index</w:t>
      </w:r>
      <w:r w:rsidRPr="00B479AE">
        <w:rPr>
          <w:rFonts w:ascii="Baskerville Old Face" w:hAnsi="Baskerville Old Face"/>
          <w:i/>
          <w:iCs/>
        </w:rPr>
        <w:br/>
        <w:t>RPI = Regenerative Productivity Index</w:t>
      </w:r>
      <w:r w:rsidRPr="00B479AE">
        <w:rPr>
          <w:rFonts w:ascii="Baskerville Old Face" w:hAnsi="Baskerville Old Face"/>
          <w:i/>
          <w:iCs/>
        </w:rPr>
        <w:br/>
        <w:t>CESI = Cooperative Ecological Surplus Index</w:t>
      </w:r>
      <w:r w:rsidRPr="00B479AE">
        <w:rPr>
          <w:rFonts w:ascii="Baskerville Old Face" w:hAnsi="Baskerville Old Face"/>
          <w:i/>
          <w:iCs/>
        </w:rPr>
        <w:br/>
        <w:t>C = confidence and admissibility constraints</w:t>
      </w:r>
    </w:p>
    <w:p w14:paraId="4AD27F62"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formula defines the PRU as a methodology-bound analytical representation of verified regenerative performance.</w:t>
      </w:r>
    </w:p>
    <w:p w14:paraId="086DA10F"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does not create land rights, token rights, governance rights, investor exposure, securities, or automatic financial value.</w:t>
      </w:r>
    </w:p>
    <w:p w14:paraId="70C85EC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must remain subject to MRV evidence, confidence scoring, admissibility, governance review, legal structuring, and public-claim discipline.</w:t>
      </w:r>
    </w:p>
    <w:p w14:paraId="5BACAE11"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3. Base Value Function</w:t>
      </w:r>
    </w:p>
    <w:p w14:paraId="0A9EB4AB"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 is protected:</w:t>
      </w:r>
    </w:p>
    <w:p w14:paraId="0585CC9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V_base = V_prod + V_ecosystem + V_human</w:t>
      </w:r>
    </w:p>
    <w:p w14:paraId="7906160A"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Where:</w:t>
      </w:r>
    </w:p>
    <w:p w14:paraId="79887A63"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V_prod = direct productive value</w:t>
      </w:r>
      <w:r w:rsidRPr="00B479AE">
        <w:rPr>
          <w:rFonts w:ascii="Baskerville Old Face" w:hAnsi="Baskerville Old Face"/>
          <w:i/>
          <w:iCs/>
        </w:rPr>
        <w:br/>
        <w:t>V_ecosystem = ecosystem-service or ecological-performance value where admissible</w:t>
      </w:r>
      <w:r w:rsidRPr="00B479AE">
        <w:rPr>
          <w:rFonts w:ascii="Baskerville Old Face" w:hAnsi="Baskerville Old Face"/>
          <w:i/>
          <w:iCs/>
        </w:rPr>
        <w:br/>
        <w:t>V_human = human-system or systemic value, conditionally admissible only where supported by methodology, evidence, legal review, and institutional pathway</w:t>
      </w:r>
    </w:p>
    <w:p w14:paraId="03CC1271"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formula separates productive, ecological, and systemic value.</w:t>
      </w:r>
    </w:p>
    <w:p w14:paraId="46EC30DF"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lastRenderedPageBreak/>
        <w:t>It should be preserved because it prevents indiscriminate aggregation, double counting, and premature financial claims.</w:t>
      </w:r>
    </w:p>
    <w:p w14:paraId="6E1BC136"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is not an automatic monetization formula.</w:t>
      </w:r>
    </w:p>
    <w:p w14:paraId="39D02B87"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is a classification structure.</w:t>
      </w:r>
    </w:p>
    <w:p w14:paraId="09E2A530"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4. PRU Adjusted Value Function</w:t>
      </w:r>
    </w:p>
    <w:p w14:paraId="56E7E473"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 is protected:</w:t>
      </w:r>
    </w:p>
    <w:p w14:paraId="19340196" w14:textId="77777777" w:rsidR="003C487D" w:rsidRPr="005907F1" w:rsidRDefault="003C487D" w:rsidP="003C487D">
      <w:pPr>
        <w:spacing w:line="360" w:lineRule="auto"/>
        <w:rPr>
          <w:rFonts w:ascii="Baskerville Old Face" w:hAnsi="Baskerville Old Face"/>
          <w:i/>
          <w:iCs/>
          <w:lang w:val="it-IT"/>
        </w:rPr>
      </w:pPr>
      <w:r w:rsidRPr="005907F1">
        <w:rPr>
          <w:rFonts w:ascii="Baskerville Old Face" w:hAnsi="Baskerville Old Face"/>
          <w:i/>
          <w:iCs/>
          <w:lang w:val="it-IT"/>
        </w:rPr>
        <w:t xml:space="preserve">V_PRU = V_base × (1 + </w:t>
      </w:r>
      <w:r w:rsidRPr="00B479AE">
        <w:rPr>
          <w:rFonts w:ascii="Cambria" w:hAnsi="Cambria" w:cs="Cambria"/>
          <w:i/>
          <w:iCs/>
        </w:rPr>
        <w:t>λ</w:t>
      </w:r>
      <w:r w:rsidRPr="005907F1">
        <w:rPr>
          <w:rFonts w:ascii="Cambria" w:hAnsi="Cambria" w:cs="Cambria"/>
          <w:i/>
          <w:iCs/>
          <w:lang w:val="it-IT"/>
        </w:rPr>
        <w:t>₁</w:t>
      </w:r>
      <w:r w:rsidRPr="005907F1">
        <w:rPr>
          <w:rFonts w:ascii="Baskerville Old Face" w:hAnsi="Baskerville Old Face"/>
          <w:i/>
          <w:iCs/>
          <w:lang w:val="it-IT"/>
        </w:rPr>
        <w:t xml:space="preserve">SRI + </w:t>
      </w:r>
      <w:r w:rsidRPr="00B479AE">
        <w:rPr>
          <w:rFonts w:ascii="Cambria" w:hAnsi="Cambria" w:cs="Cambria"/>
          <w:i/>
          <w:iCs/>
        </w:rPr>
        <w:t>λ</w:t>
      </w:r>
      <w:r w:rsidRPr="005907F1">
        <w:rPr>
          <w:rFonts w:ascii="Cambria" w:hAnsi="Cambria" w:cs="Cambria"/>
          <w:i/>
          <w:iCs/>
          <w:lang w:val="it-IT"/>
        </w:rPr>
        <w:t>₂</w:t>
      </w:r>
      <w:r w:rsidRPr="005907F1">
        <w:rPr>
          <w:rFonts w:ascii="Baskerville Old Face" w:hAnsi="Baskerville Old Face"/>
          <w:i/>
          <w:iCs/>
          <w:lang w:val="it-IT"/>
        </w:rPr>
        <w:t xml:space="preserve">RPI + </w:t>
      </w:r>
      <w:r w:rsidRPr="00B479AE">
        <w:rPr>
          <w:rFonts w:ascii="Cambria" w:hAnsi="Cambria" w:cs="Cambria"/>
          <w:i/>
          <w:iCs/>
        </w:rPr>
        <w:t>λ</w:t>
      </w:r>
      <w:r w:rsidRPr="005907F1">
        <w:rPr>
          <w:rFonts w:ascii="Cambria" w:hAnsi="Cambria" w:cs="Cambria"/>
          <w:i/>
          <w:iCs/>
          <w:lang w:val="it-IT"/>
        </w:rPr>
        <w:t>₃</w:t>
      </w:r>
      <w:r w:rsidRPr="005907F1">
        <w:rPr>
          <w:rFonts w:ascii="Baskerville Old Face" w:hAnsi="Baskerville Old Face"/>
          <w:i/>
          <w:iCs/>
          <w:lang w:val="it-IT"/>
        </w:rPr>
        <w:t xml:space="preserve">CESI) </w:t>
      </w:r>
      <w:r w:rsidRPr="005907F1">
        <w:rPr>
          <w:rFonts w:ascii="Baskerville Old Face" w:hAnsi="Baskerville Old Face" w:cs="Baskerville Old Face"/>
          <w:i/>
          <w:iCs/>
          <w:lang w:val="it-IT"/>
        </w:rPr>
        <w:t>×</w:t>
      </w:r>
      <w:r w:rsidRPr="005907F1">
        <w:rPr>
          <w:rFonts w:ascii="Baskerville Old Face" w:hAnsi="Baskerville Old Face"/>
          <w:i/>
          <w:iCs/>
          <w:lang w:val="it-IT"/>
        </w:rPr>
        <w:t xml:space="preserve"> C</w:t>
      </w:r>
    </w:p>
    <w:p w14:paraId="7B2D9EAC"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Where:</w:t>
      </w:r>
    </w:p>
    <w:p w14:paraId="202D1BC1" w14:textId="77777777" w:rsidR="003C487D" w:rsidRPr="00B479AE" w:rsidRDefault="003C487D" w:rsidP="003C487D">
      <w:pPr>
        <w:spacing w:line="360" w:lineRule="auto"/>
        <w:rPr>
          <w:rFonts w:ascii="Baskerville Old Face" w:hAnsi="Baskerville Old Face"/>
          <w:i/>
          <w:iCs/>
        </w:rPr>
      </w:pPr>
      <w:r w:rsidRPr="00B479AE">
        <w:rPr>
          <w:rFonts w:ascii="Cambria" w:hAnsi="Cambria" w:cs="Cambria"/>
          <w:i/>
          <w:iCs/>
        </w:rPr>
        <w:t>λ₁</w:t>
      </w:r>
      <w:r w:rsidRPr="00B479AE">
        <w:rPr>
          <w:rFonts w:ascii="Baskerville Old Face" w:hAnsi="Baskerville Old Face"/>
          <w:i/>
          <w:iCs/>
        </w:rPr>
        <w:t xml:space="preserve">, </w:t>
      </w:r>
      <w:r w:rsidRPr="00B479AE">
        <w:rPr>
          <w:rFonts w:ascii="Cambria" w:hAnsi="Cambria" w:cs="Cambria"/>
          <w:i/>
          <w:iCs/>
        </w:rPr>
        <w:t>λ₂</w:t>
      </w:r>
      <w:r w:rsidRPr="00B479AE">
        <w:rPr>
          <w:rFonts w:ascii="Baskerville Old Face" w:hAnsi="Baskerville Old Face"/>
          <w:i/>
          <w:iCs/>
        </w:rPr>
        <w:t xml:space="preserve">, </w:t>
      </w:r>
      <w:r w:rsidRPr="00B479AE">
        <w:rPr>
          <w:rFonts w:ascii="Cambria" w:hAnsi="Cambria" w:cs="Cambria"/>
          <w:i/>
          <w:iCs/>
        </w:rPr>
        <w:t>λ₃</w:t>
      </w:r>
      <w:r w:rsidRPr="00B479AE">
        <w:rPr>
          <w:rFonts w:ascii="Baskerville Old Face" w:hAnsi="Baskerville Old Face"/>
          <w:i/>
          <w:iCs/>
        </w:rPr>
        <w:t xml:space="preserve"> = methodology-defined weights</w:t>
      </w:r>
      <w:r w:rsidRPr="00B479AE">
        <w:rPr>
          <w:rFonts w:ascii="Baskerville Old Face" w:hAnsi="Baskerville Old Face"/>
          <w:i/>
          <w:iCs/>
        </w:rPr>
        <w:br/>
        <w:t xml:space="preserve">SRI, RPI, CESI </w:t>
      </w:r>
      <w:r w:rsidRPr="00B479AE">
        <w:rPr>
          <w:rFonts w:ascii="Cambria Math" w:hAnsi="Cambria Math" w:cs="Cambria Math"/>
          <w:i/>
          <w:iCs/>
        </w:rPr>
        <w:t>∈</w:t>
      </w:r>
      <w:r w:rsidRPr="00B479AE">
        <w:rPr>
          <w:rFonts w:ascii="Baskerville Old Face" w:hAnsi="Baskerville Old Face"/>
          <w:i/>
          <w:iCs/>
        </w:rPr>
        <w:t xml:space="preserve"> [0,1]</w:t>
      </w:r>
      <w:r w:rsidRPr="00B479AE">
        <w:rPr>
          <w:rFonts w:ascii="Baskerville Old Face" w:hAnsi="Baskerville Old Face"/>
          <w:i/>
          <w:iCs/>
        </w:rPr>
        <w:br/>
        <w:t xml:space="preserve">C </w:t>
      </w:r>
      <w:r w:rsidRPr="00B479AE">
        <w:rPr>
          <w:rFonts w:ascii="Cambria Math" w:hAnsi="Cambria Math" w:cs="Cambria Math"/>
          <w:i/>
          <w:iCs/>
        </w:rPr>
        <w:t>∈</w:t>
      </w:r>
      <w:r w:rsidRPr="00B479AE">
        <w:rPr>
          <w:rFonts w:ascii="Baskerville Old Face" w:hAnsi="Baskerville Old Face"/>
          <w:i/>
          <w:iCs/>
        </w:rPr>
        <w:t xml:space="preserve"> [0,1]</w:t>
      </w:r>
    </w:p>
    <w:p w14:paraId="7D8E8AE9"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formula links regenerative performance to confidence and admissibility.</w:t>
      </w:r>
    </w:p>
    <w:p w14:paraId="6073F7A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SRI contributes resilience and risk-compression logic.</w:t>
      </w:r>
    </w:p>
    <w:p w14:paraId="5BF0371A"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RPI contributes regenerative productivity logic.</w:t>
      </w:r>
    </w:p>
    <w:p w14:paraId="297EC932"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CESI contributes cooperative ecological surplus logic.</w:t>
      </w:r>
    </w:p>
    <w:p w14:paraId="7FF95A7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C prevents weak evidence from producing inflated value.</w:t>
      </w:r>
    </w:p>
    <w:p w14:paraId="1C10056F"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formula does not create market price, token value, investment value, legal entitlement, or investor rights by itself.</w:t>
      </w:r>
    </w:p>
    <w:p w14:paraId="6A652DB9"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5. Syntropic Resilience Index</w:t>
      </w:r>
    </w:p>
    <w:p w14:paraId="469808F8"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formulas are protected:</w:t>
      </w:r>
    </w:p>
    <w:p w14:paraId="519CE81C"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SRI = w_HH + w_SS + w_FF + w_BB</w:t>
      </w:r>
    </w:p>
    <w:p w14:paraId="0B816818"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w_H + w_S + w_F + w_B = 1</w:t>
      </w:r>
    </w:p>
    <w:p w14:paraId="7E832619"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Where:</w:t>
      </w:r>
    </w:p>
    <w:p w14:paraId="085994E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lastRenderedPageBreak/>
        <w:t>H = hydrological intelligence block</w:t>
      </w:r>
      <w:r w:rsidRPr="00B479AE">
        <w:rPr>
          <w:rFonts w:ascii="Baskerville Old Face" w:hAnsi="Baskerville Old Face"/>
          <w:i/>
          <w:iCs/>
        </w:rPr>
        <w:br/>
        <w:t>S = soil metabolic block</w:t>
      </w:r>
      <w:r w:rsidRPr="00B479AE">
        <w:rPr>
          <w:rFonts w:ascii="Baskerville Old Face" w:hAnsi="Baskerville Old Face"/>
          <w:i/>
          <w:iCs/>
        </w:rPr>
        <w:br/>
        <w:t>F = mycorrhizal and network block</w:t>
      </w:r>
      <w:r w:rsidRPr="00B479AE">
        <w:rPr>
          <w:rFonts w:ascii="Baskerville Old Face" w:hAnsi="Baskerville Old Face"/>
          <w:i/>
          <w:iCs/>
        </w:rPr>
        <w:br/>
        <w:t>B = biochemical and defensive intelligence block</w:t>
      </w:r>
    </w:p>
    <w:p w14:paraId="6FB32E13"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SRI expresses the internal adaptive capacity of a regenerative unit.</w:t>
      </w:r>
    </w:p>
    <w:p w14:paraId="47FB70E9"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should be preserved because it connects hydrological resilience, soil vitality, fungal and network maturity, biochemical defense, and shock absorption.</w:t>
      </w:r>
    </w:p>
    <w:p w14:paraId="1427649A"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SRI is primarily relevant to risk compression.</w:t>
      </w:r>
    </w:p>
    <w:p w14:paraId="464B2623"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should be calculated only from indicators with defined evidence status and confidence level.</w:t>
      </w:r>
    </w:p>
    <w:p w14:paraId="24F4F70A"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6. Regenerative Productivity Index</w:t>
      </w:r>
    </w:p>
    <w:p w14:paraId="64B5F1B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formulas are protected:</w:t>
      </w:r>
    </w:p>
    <w:p w14:paraId="330673A3"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RPI = a</w:t>
      </w:r>
      <w:r w:rsidRPr="00B479AE">
        <w:rPr>
          <w:rFonts w:ascii="Cambria Math" w:hAnsi="Cambria Math" w:cs="Cambria Math"/>
          <w:i/>
          <w:iCs/>
        </w:rPr>
        <w:t>₁</w:t>
      </w:r>
      <w:r w:rsidRPr="00B479AE">
        <w:rPr>
          <w:rFonts w:ascii="Baskerville Old Face" w:hAnsi="Baskerville Old Face"/>
          <w:i/>
          <w:iCs/>
        </w:rPr>
        <w:t>Y</w:t>
      </w:r>
      <w:r w:rsidRPr="00B479AE">
        <w:rPr>
          <w:rFonts w:ascii="Cambria Math" w:hAnsi="Cambria Math" w:cs="Cambria Math"/>
          <w:i/>
          <w:iCs/>
        </w:rPr>
        <w:t>₁</w:t>
      </w:r>
      <w:r w:rsidRPr="00B479AE">
        <w:rPr>
          <w:rFonts w:ascii="Baskerville Old Face" w:hAnsi="Baskerville Old Face"/>
          <w:i/>
          <w:iCs/>
        </w:rPr>
        <w:t xml:space="preserve"> + a</w:t>
      </w:r>
      <w:r w:rsidRPr="00B479AE">
        <w:rPr>
          <w:rFonts w:ascii="Cambria Math" w:hAnsi="Cambria Math" w:cs="Cambria Math"/>
          <w:i/>
          <w:iCs/>
        </w:rPr>
        <w:t>₂</w:t>
      </w:r>
      <w:r w:rsidRPr="00B479AE">
        <w:rPr>
          <w:rFonts w:ascii="Baskerville Old Face" w:hAnsi="Baskerville Old Face"/>
          <w:i/>
          <w:iCs/>
        </w:rPr>
        <w:t>Y</w:t>
      </w:r>
      <w:r w:rsidRPr="00B479AE">
        <w:rPr>
          <w:rFonts w:ascii="Cambria Math" w:hAnsi="Cambria Math" w:cs="Cambria Math"/>
          <w:i/>
          <w:iCs/>
        </w:rPr>
        <w:t>₂</w:t>
      </w:r>
      <w:r w:rsidRPr="00B479AE">
        <w:rPr>
          <w:rFonts w:ascii="Baskerville Old Face" w:hAnsi="Baskerville Old Face"/>
          <w:i/>
          <w:iCs/>
        </w:rPr>
        <w:t xml:space="preserve"> + a</w:t>
      </w:r>
      <w:r w:rsidRPr="00B479AE">
        <w:rPr>
          <w:rFonts w:ascii="Cambria Math" w:hAnsi="Cambria Math" w:cs="Cambria Math"/>
          <w:i/>
          <w:iCs/>
        </w:rPr>
        <w:t>₃</w:t>
      </w:r>
      <w:r w:rsidRPr="00B479AE">
        <w:rPr>
          <w:rFonts w:ascii="Baskerville Old Face" w:hAnsi="Baskerville Old Face"/>
          <w:i/>
          <w:iCs/>
        </w:rPr>
        <w:t>Y</w:t>
      </w:r>
      <w:r w:rsidRPr="00B479AE">
        <w:rPr>
          <w:rFonts w:ascii="Cambria Math" w:hAnsi="Cambria Math" w:cs="Cambria Math"/>
          <w:i/>
          <w:iCs/>
        </w:rPr>
        <w:t>₃</w:t>
      </w:r>
      <w:r w:rsidRPr="00B479AE">
        <w:rPr>
          <w:rFonts w:ascii="Baskerville Old Face" w:hAnsi="Baskerville Old Face"/>
          <w:i/>
          <w:iCs/>
        </w:rPr>
        <w:t xml:space="preserve"> + a</w:t>
      </w:r>
      <w:r w:rsidRPr="00B479AE">
        <w:rPr>
          <w:rFonts w:ascii="Cambria Math" w:hAnsi="Cambria Math" w:cs="Cambria Math"/>
          <w:i/>
          <w:iCs/>
        </w:rPr>
        <w:t>₄</w:t>
      </w:r>
      <w:r w:rsidRPr="00B479AE">
        <w:rPr>
          <w:rFonts w:ascii="Baskerville Old Face" w:hAnsi="Baskerville Old Face"/>
          <w:i/>
          <w:iCs/>
        </w:rPr>
        <w:t>Y</w:t>
      </w:r>
      <w:r w:rsidRPr="00B479AE">
        <w:rPr>
          <w:rFonts w:ascii="Cambria Math" w:hAnsi="Cambria Math" w:cs="Cambria Math"/>
          <w:i/>
          <w:iCs/>
        </w:rPr>
        <w:t>₄</w:t>
      </w:r>
    </w:p>
    <w:p w14:paraId="198F079D"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a</w:t>
      </w:r>
      <w:r w:rsidRPr="00B479AE">
        <w:rPr>
          <w:rFonts w:ascii="Cambria Math" w:hAnsi="Cambria Math" w:cs="Cambria Math"/>
          <w:i/>
          <w:iCs/>
        </w:rPr>
        <w:t>₁</w:t>
      </w:r>
      <w:r w:rsidRPr="00B479AE">
        <w:rPr>
          <w:rFonts w:ascii="Baskerville Old Face" w:hAnsi="Baskerville Old Face"/>
          <w:i/>
          <w:iCs/>
        </w:rPr>
        <w:t xml:space="preserve"> + a</w:t>
      </w:r>
      <w:r w:rsidRPr="00B479AE">
        <w:rPr>
          <w:rFonts w:ascii="Cambria Math" w:hAnsi="Cambria Math" w:cs="Cambria Math"/>
          <w:i/>
          <w:iCs/>
        </w:rPr>
        <w:t>₂</w:t>
      </w:r>
      <w:r w:rsidRPr="00B479AE">
        <w:rPr>
          <w:rFonts w:ascii="Baskerville Old Face" w:hAnsi="Baskerville Old Face"/>
          <w:i/>
          <w:iCs/>
        </w:rPr>
        <w:t xml:space="preserve"> + a</w:t>
      </w:r>
      <w:r w:rsidRPr="00B479AE">
        <w:rPr>
          <w:rFonts w:ascii="Cambria Math" w:hAnsi="Cambria Math" w:cs="Cambria Math"/>
          <w:i/>
          <w:iCs/>
        </w:rPr>
        <w:t>₃</w:t>
      </w:r>
      <w:r w:rsidRPr="00B479AE">
        <w:rPr>
          <w:rFonts w:ascii="Baskerville Old Face" w:hAnsi="Baskerville Old Face"/>
          <w:i/>
          <w:iCs/>
        </w:rPr>
        <w:t xml:space="preserve"> + a</w:t>
      </w:r>
      <w:r w:rsidRPr="00B479AE">
        <w:rPr>
          <w:rFonts w:ascii="Cambria Math" w:hAnsi="Cambria Math" w:cs="Cambria Math"/>
          <w:i/>
          <w:iCs/>
        </w:rPr>
        <w:t>₄</w:t>
      </w:r>
      <w:r w:rsidRPr="00B479AE">
        <w:rPr>
          <w:rFonts w:ascii="Baskerville Old Face" w:hAnsi="Baskerville Old Face"/>
          <w:i/>
          <w:iCs/>
        </w:rPr>
        <w:t xml:space="preserve"> = 1</w:t>
      </w:r>
    </w:p>
    <w:p w14:paraId="1F23CBE2"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Where:</w:t>
      </w:r>
    </w:p>
    <w:p w14:paraId="3B51594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Y</w:t>
      </w:r>
      <w:r w:rsidRPr="00B479AE">
        <w:rPr>
          <w:rFonts w:ascii="Cambria Math" w:hAnsi="Cambria Math" w:cs="Cambria Math"/>
          <w:i/>
          <w:iCs/>
        </w:rPr>
        <w:t>₁</w:t>
      </w:r>
      <w:r w:rsidRPr="00B479AE">
        <w:rPr>
          <w:rFonts w:ascii="Baskerville Old Face" w:hAnsi="Baskerville Old Face"/>
          <w:i/>
          <w:iCs/>
        </w:rPr>
        <w:t xml:space="preserve"> = edible or useful yield</w:t>
      </w:r>
      <w:r w:rsidRPr="00B479AE">
        <w:rPr>
          <w:rFonts w:ascii="Baskerville Old Face" w:hAnsi="Baskerville Old Face"/>
          <w:i/>
          <w:iCs/>
        </w:rPr>
        <w:br/>
        <w:t>Y</w:t>
      </w:r>
      <w:r w:rsidRPr="00B479AE">
        <w:rPr>
          <w:rFonts w:ascii="Cambria Math" w:hAnsi="Cambria Math" w:cs="Cambria Math"/>
          <w:i/>
          <w:iCs/>
        </w:rPr>
        <w:t>₂</w:t>
      </w:r>
      <w:r w:rsidRPr="00B479AE">
        <w:rPr>
          <w:rFonts w:ascii="Baskerville Old Face" w:hAnsi="Baskerville Old Face"/>
          <w:i/>
          <w:iCs/>
        </w:rPr>
        <w:t xml:space="preserve"> = diversity-adjusted yield</w:t>
      </w:r>
      <w:r w:rsidRPr="00B479AE">
        <w:rPr>
          <w:rFonts w:ascii="Baskerville Old Face" w:hAnsi="Baskerville Old Face"/>
          <w:i/>
          <w:iCs/>
        </w:rPr>
        <w:br/>
        <w:t>Y</w:t>
      </w:r>
      <w:r w:rsidRPr="00B479AE">
        <w:rPr>
          <w:rFonts w:ascii="Cambria Math" w:hAnsi="Cambria Math" w:cs="Cambria Math"/>
          <w:i/>
          <w:iCs/>
        </w:rPr>
        <w:t>₃</w:t>
      </w:r>
      <w:r w:rsidRPr="00B479AE">
        <w:rPr>
          <w:rFonts w:ascii="Baskerville Old Face" w:hAnsi="Baskerville Old Face"/>
          <w:i/>
          <w:iCs/>
        </w:rPr>
        <w:t xml:space="preserve"> = yield stability</w:t>
      </w:r>
      <w:r w:rsidRPr="00B479AE">
        <w:rPr>
          <w:rFonts w:ascii="Baskerville Old Face" w:hAnsi="Baskerville Old Face"/>
          <w:i/>
          <w:iCs/>
        </w:rPr>
        <w:br/>
        <w:t>Y</w:t>
      </w:r>
      <w:r w:rsidRPr="00B479AE">
        <w:rPr>
          <w:rFonts w:ascii="Cambria Math" w:hAnsi="Cambria Math" w:cs="Cambria Math"/>
          <w:i/>
          <w:iCs/>
        </w:rPr>
        <w:t>₄</w:t>
      </w:r>
      <w:r w:rsidRPr="00B479AE">
        <w:rPr>
          <w:rFonts w:ascii="Baskerville Old Face" w:hAnsi="Baskerville Old Face"/>
          <w:i/>
          <w:iCs/>
        </w:rPr>
        <w:t xml:space="preserve"> = input independence score</w:t>
      </w:r>
    </w:p>
    <w:p w14:paraId="3ADA8070"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RPI expresses productivity under ecological constraints.</w:t>
      </w:r>
    </w:p>
    <w:p w14:paraId="6B7E106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rewards output quality, diversity, temporal stability, and reduced dependency on external inputs.</w:t>
      </w:r>
    </w:p>
    <w:p w14:paraId="5E47C603"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does not reward extractive yield that degrades the system.</w:t>
      </w:r>
    </w:p>
    <w:p w14:paraId="02843A5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A system that produces while degrading itself is not regenerative.</w:t>
      </w:r>
    </w:p>
    <w:p w14:paraId="25BE8F2B"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A system that produces while strengthening its foundations is.</w:t>
      </w:r>
    </w:p>
    <w:p w14:paraId="1A87389F" w14:textId="4A7497D6" w:rsidR="003C487D" w:rsidRPr="00B479AE" w:rsidRDefault="003C487D" w:rsidP="003C487D">
      <w:pPr>
        <w:spacing w:line="360" w:lineRule="auto"/>
        <w:rPr>
          <w:rFonts w:ascii="Baskerville Old Face" w:hAnsi="Baskerville Old Face"/>
          <w:i/>
          <w:iCs/>
        </w:rPr>
      </w:pPr>
    </w:p>
    <w:p w14:paraId="5093E7A1"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lastRenderedPageBreak/>
        <w:t>7. Cooperative Ecological Surplus Index</w:t>
      </w:r>
    </w:p>
    <w:p w14:paraId="5529EA59"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formulas are protected:</w:t>
      </w:r>
    </w:p>
    <w:p w14:paraId="44103086"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CESI = b</w:t>
      </w:r>
      <w:r w:rsidRPr="00B479AE">
        <w:rPr>
          <w:rFonts w:ascii="Cambria Math" w:hAnsi="Cambria Math" w:cs="Cambria Math"/>
          <w:i/>
          <w:iCs/>
        </w:rPr>
        <w:t>₁</w:t>
      </w:r>
      <w:r w:rsidRPr="00B479AE">
        <w:rPr>
          <w:rFonts w:ascii="Baskerville Old Face" w:hAnsi="Baskerville Old Face"/>
          <w:i/>
          <w:iCs/>
        </w:rPr>
        <w:t>F</w:t>
      </w:r>
      <w:r w:rsidRPr="00B479AE">
        <w:rPr>
          <w:rFonts w:ascii="Cambria Math" w:hAnsi="Cambria Math" w:cs="Cambria Math"/>
          <w:i/>
          <w:iCs/>
        </w:rPr>
        <w:t>₂</w:t>
      </w:r>
      <w:r w:rsidRPr="00B479AE">
        <w:rPr>
          <w:rFonts w:ascii="Baskerville Old Face" w:hAnsi="Baskerville Old Face"/>
          <w:i/>
          <w:iCs/>
        </w:rPr>
        <w:t xml:space="preserve"> + b</w:t>
      </w:r>
      <w:r w:rsidRPr="00B479AE">
        <w:rPr>
          <w:rFonts w:ascii="Cambria Math" w:hAnsi="Cambria Math" w:cs="Cambria Math"/>
          <w:i/>
          <w:iCs/>
        </w:rPr>
        <w:t>₂</w:t>
      </w:r>
      <w:r w:rsidRPr="00B479AE">
        <w:rPr>
          <w:rFonts w:ascii="Baskerville Old Face" w:hAnsi="Baskerville Old Face"/>
          <w:i/>
          <w:iCs/>
        </w:rPr>
        <w:t>B</w:t>
      </w:r>
      <w:r w:rsidRPr="00B479AE">
        <w:rPr>
          <w:rFonts w:ascii="Cambria Math" w:hAnsi="Cambria Math" w:cs="Cambria Math"/>
          <w:i/>
          <w:iCs/>
        </w:rPr>
        <w:t>₃</w:t>
      </w:r>
      <w:r w:rsidRPr="00B479AE">
        <w:rPr>
          <w:rFonts w:ascii="Baskerville Old Face" w:hAnsi="Baskerville Old Face"/>
          <w:i/>
          <w:iCs/>
        </w:rPr>
        <w:t xml:space="preserve"> + b</w:t>
      </w:r>
      <w:r w:rsidRPr="00B479AE">
        <w:rPr>
          <w:rFonts w:ascii="Cambria Math" w:hAnsi="Cambria Math" w:cs="Cambria Math"/>
          <w:i/>
          <w:iCs/>
        </w:rPr>
        <w:t>₃</w:t>
      </w:r>
      <w:r w:rsidRPr="00B479AE">
        <w:rPr>
          <w:rFonts w:ascii="Baskerville Old Face" w:hAnsi="Baskerville Old Face"/>
          <w:i/>
          <w:iCs/>
        </w:rPr>
        <w:t>S</w:t>
      </w:r>
      <w:r w:rsidRPr="00B479AE">
        <w:rPr>
          <w:rFonts w:ascii="Cambria Math" w:hAnsi="Cambria Math" w:cs="Cambria Math"/>
          <w:i/>
          <w:iCs/>
        </w:rPr>
        <w:t>₃</w:t>
      </w:r>
      <w:r w:rsidRPr="00B479AE">
        <w:rPr>
          <w:rFonts w:ascii="Baskerville Old Face" w:hAnsi="Baskerville Old Face"/>
          <w:i/>
          <w:iCs/>
        </w:rPr>
        <w:t xml:space="preserve"> + b</w:t>
      </w:r>
      <w:r w:rsidRPr="00B479AE">
        <w:rPr>
          <w:rFonts w:ascii="Cambria Math" w:hAnsi="Cambria Math" w:cs="Cambria Math"/>
          <w:i/>
          <w:iCs/>
        </w:rPr>
        <w:t>₄Δ</w:t>
      </w:r>
      <w:r w:rsidRPr="00B479AE">
        <w:rPr>
          <w:rFonts w:ascii="Baskerville Old Face" w:hAnsi="Baskerville Old Face"/>
          <w:i/>
          <w:iCs/>
        </w:rPr>
        <w:t>Y_network</w:t>
      </w:r>
    </w:p>
    <w:p w14:paraId="3C225680"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b</w:t>
      </w:r>
      <w:r w:rsidRPr="00B479AE">
        <w:rPr>
          <w:rFonts w:ascii="Cambria Math" w:hAnsi="Cambria Math" w:cs="Cambria Math"/>
          <w:i/>
          <w:iCs/>
        </w:rPr>
        <w:t>₁</w:t>
      </w:r>
      <w:r w:rsidRPr="00B479AE">
        <w:rPr>
          <w:rFonts w:ascii="Baskerville Old Face" w:hAnsi="Baskerville Old Face"/>
          <w:i/>
          <w:iCs/>
        </w:rPr>
        <w:t xml:space="preserve"> + b</w:t>
      </w:r>
      <w:r w:rsidRPr="00B479AE">
        <w:rPr>
          <w:rFonts w:ascii="Cambria Math" w:hAnsi="Cambria Math" w:cs="Cambria Math"/>
          <w:i/>
          <w:iCs/>
        </w:rPr>
        <w:t>₂</w:t>
      </w:r>
      <w:r w:rsidRPr="00B479AE">
        <w:rPr>
          <w:rFonts w:ascii="Baskerville Old Face" w:hAnsi="Baskerville Old Face"/>
          <w:i/>
          <w:iCs/>
        </w:rPr>
        <w:t xml:space="preserve"> + b</w:t>
      </w:r>
      <w:r w:rsidRPr="00B479AE">
        <w:rPr>
          <w:rFonts w:ascii="Cambria Math" w:hAnsi="Cambria Math" w:cs="Cambria Math"/>
          <w:i/>
          <w:iCs/>
        </w:rPr>
        <w:t>₃</w:t>
      </w:r>
      <w:r w:rsidRPr="00B479AE">
        <w:rPr>
          <w:rFonts w:ascii="Baskerville Old Face" w:hAnsi="Baskerville Old Face"/>
          <w:i/>
          <w:iCs/>
        </w:rPr>
        <w:t xml:space="preserve"> + b</w:t>
      </w:r>
      <w:r w:rsidRPr="00B479AE">
        <w:rPr>
          <w:rFonts w:ascii="Cambria Math" w:hAnsi="Cambria Math" w:cs="Cambria Math"/>
          <w:i/>
          <w:iCs/>
        </w:rPr>
        <w:t>₄</w:t>
      </w:r>
      <w:r w:rsidRPr="00B479AE">
        <w:rPr>
          <w:rFonts w:ascii="Baskerville Old Face" w:hAnsi="Baskerville Old Face"/>
          <w:i/>
          <w:iCs/>
        </w:rPr>
        <w:t xml:space="preserve"> = 1</w:t>
      </w:r>
    </w:p>
    <w:p w14:paraId="0C5D53D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Where:</w:t>
      </w:r>
    </w:p>
    <w:p w14:paraId="7365B1FF"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F</w:t>
      </w:r>
      <w:r w:rsidRPr="00B479AE">
        <w:rPr>
          <w:rFonts w:ascii="Cambria Math" w:hAnsi="Cambria Math" w:cs="Cambria Math"/>
          <w:i/>
          <w:iCs/>
        </w:rPr>
        <w:t>₂</w:t>
      </w:r>
      <w:r w:rsidRPr="00B479AE">
        <w:rPr>
          <w:rFonts w:ascii="Baskerville Old Face" w:hAnsi="Baskerville Old Face"/>
          <w:i/>
          <w:iCs/>
        </w:rPr>
        <w:t xml:space="preserve"> = network support index</w:t>
      </w:r>
      <w:r w:rsidRPr="00B479AE">
        <w:rPr>
          <w:rFonts w:ascii="Baskerville Old Face" w:hAnsi="Baskerville Old Face"/>
          <w:i/>
          <w:iCs/>
        </w:rPr>
        <w:br/>
        <w:t>B</w:t>
      </w:r>
      <w:r w:rsidRPr="00B479AE">
        <w:rPr>
          <w:rFonts w:ascii="Cambria Math" w:hAnsi="Cambria Math" w:cs="Cambria Math"/>
          <w:i/>
          <w:iCs/>
        </w:rPr>
        <w:t>₃</w:t>
      </w:r>
      <w:r w:rsidRPr="00B479AE">
        <w:rPr>
          <w:rFonts w:ascii="Baskerville Old Face" w:hAnsi="Baskerville Old Face"/>
          <w:i/>
          <w:iCs/>
        </w:rPr>
        <w:t xml:space="preserve"> = defense coordination proxy</w:t>
      </w:r>
      <w:r w:rsidRPr="00B479AE">
        <w:rPr>
          <w:rFonts w:ascii="Baskerville Old Face" w:hAnsi="Baskerville Old Face"/>
          <w:i/>
          <w:iCs/>
        </w:rPr>
        <w:br/>
        <w:t>S</w:t>
      </w:r>
      <w:r w:rsidRPr="00B479AE">
        <w:rPr>
          <w:rFonts w:ascii="Cambria Math" w:hAnsi="Cambria Math" w:cs="Cambria Math"/>
          <w:i/>
          <w:iCs/>
        </w:rPr>
        <w:t>₃</w:t>
      </w:r>
      <w:r w:rsidRPr="00B479AE">
        <w:rPr>
          <w:rFonts w:ascii="Baskerville Old Face" w:hAnsi="Baskerville Old Face"/>
          <w:i/>
          <w:iCs/>
        </w:rPr>
        <w:t xml:space="preserve"> = earthworm or soil-fauna activity</w:t>
      </w:r>
      <w:r w:rsidRPr="00B479AE">
        <w:rPr>
          <w:rFonts w:ascii="Baskerville Old Face" w:hAnsi="Baskerville Old Face"/>
          <w:i/>
          <w:iCs/>
        </w:rPr>
        <w:br/>
      </w:r>
      <w:r w:rsidRPr="00B479AE">
        <w:rPr>
          <w:rFonts w:ascii="Cambria" w:hAnsi="Cambria" w:cs="Cambria"/>
          <w:i/>
          <w:iCs/>
        </w:rPr>
        <w:t>Δ</w:t>
      </w:r>
      <w:r w:rsidRPr="00B479AE">
        <w:rPr>
          <w:rFonts w:ascii="Baskerville Old Face" w:hAnsi="Baskerville Old Face"/>
          <w:i/>
          <w:iCs/>
        </w:rPr>
        <w:t>Y_network = measured surplus over isolated or simplified comparison systems</w:t>
      </w:r>
    </w:p>
    <w:p w14:paraId="1F6A7681"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CESI is one of the most distinctive Prometheus indices.</w:t>
      </w:r>
    </w:p>
    <w:p w14:paraId="5250F7DF"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attempts to capture cooperation-derived value: the surplus generated by ecological relationships, not merely by isolated components.</w:t>
      </w:r>
    </w:p>
    <w:p w14:paraId="07420B0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CESI should be preserved and treated conservatively because cooperative surplus is powerful but methodologically demanding.</w:t>
      </w:r>
    </w:p>
    <w:p w14:paraId="172C02C0"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8. MRV Integrity Logic</w:t>
      </w:r>
    </w:p>
    <w:p w14:paraId="0E723913"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 is protected:</w:t>
      </w:r>
    </w:p>
    <w:p w14:paraId="4F043FA7"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MRV_integrity = f(B, P, Q, X, T, A)</w:t>
      </w:r>
    </w:p>
    <w:p w14:paraId="710ADAE2"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Where:</w:t>
      </w:r>
    </w:p>
    <w:p w14:paraId="487BFB8C"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B = baseline quality</w:t>
      </w:r>
      <w:r w:rsidRPr="00B479AE">
        <w:rPr>
          <w:rFonts w:ascii="Baskerville Old Face" w:hAnsi="Baskerville Old Face"/>
          <w:i/>
          <w:iCs/>
        </w:rPr>
        <w:br/>
        <w:t>P = provenance strength</w:t>
      </w:r>
      <w:r w:rsidRPr="00B479AE">
        <w:rPr>
          <w:rFonts w:ascii="Baskerville Old Face" w:hAnsi="Baskerville Old Face"/>
          <w:i/>
          <w:iCs/>
        </w:rPr>
        <w:br/>
        <w:t>Q = measurement quality</w:t>
      </w:r>
      <w:r w:rsidRPr="00B479AE">
        <w:rPr>
          <w:rFonts w:ascii="Baskerville Old Face" w:hAnsi="Baskerville Old Face"/>
          <w:i/>
          <w:iCs/>
        </w:rPr>
        <w:br/>
        <w:t>X = cross-source consistency</w:t>
      </w:r>
      <w:r w:rsidRPr="00B479AE">
        <w:rPr>
          <w:rFonts w:ascii="Baskerville Old Face" w:hAnsi="Baskerville Old Face"/>
          <w:i/>
          <w:iCs/>
        </w:rPr>
        <w:br/>
        <w:t>T = temporal continuity</w:t>
      </w:r>
      <w:r w:rsidRPr="00B479AE">
        <w:rPr>
          <w:rFonts w:ascii="Baskerville Old Face" w:hAnsi="Baskerville Old Face"/>
          <w:i/>
          <w:iCs/>
        </w:rPr>
        <w:br/>
        <w:t>A = audit or review status</w:t>
      </w:r>
    </w:p>
    <w:p w14:paraId="576E15FB"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formula expresses the quality of the evidence architecture supporting PRU claims.</w:t>
      </w:r>
    </w:p>
    <w:p w14:paraId="354E1C2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lastRenderedPageBreak/>
        <w:t>It should be preserved because capital should not rely only on ecological promise.</w:t>
      </w:r>
    </w:p>
    <w:p w14:paraId="109A88B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should rely on the quality of evidence.</w:t>
      </w:r>
    </w:p>
    <w:p w14:paraId="137C9793"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MRV integrity does not create value by itself.</w:t>
      </w:r>
    </w:p>
    <w:p w14:paraId="2DCF9EDF"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determines how much trust may be placed in value-relevant claims.</w:t>
      </w:r>
    </w:p>
    <w:p w14:paraId="7858FA69"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9. Confidence Adjustment</w:t>
      </w:r>
    </w:p>
    <w:p w14:paraId="088B895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formulas are protected:</w:t>
      </w:r>
    </w:p>
    <w:p w14:paraId="6C2026AB"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 xml:space="preserve">Conf_k = q_k </w:t>
      </w:r>
      <w:r w:rsidRPr="00B479AE">
        <w:rPr>
          <w:rFonts w:ascii="Cambria" w:hAnsi="Cambria" w:cs="Cambria"/>
          <w:i/>
          <w:iCs/>
        </w:rPr>
        <w:t>·</w:t>
      </w:r>
      <w:r w:rsidRPr="00B479AE">
        <w:rPr>
          <w:rFonts w:ascii="Baskerville Old Face" w:hAnsi="Baskerville Old Face"/>
          <w:i/>
          <w:iCs/>
        </w:rPr>
        <w:t xml:space="preserve"> f_k </w:t>
      </w:r>
      <w:r w:rsidRPr="00B479AE">
        <w:rPr>
          <w:rFonts w:ascii="Cambria" w:hAnsi="Cambria" w:cs="Cambria"/>
          <w:i/>
          <w:iCs/>
        </w:rPr>
        <w:t>·</w:t>
      </w:r>
      <w:r w:rsidRPr="00B479AE">
        <w:rPr>
          <w:rFonts w:ascii="Baskerville Old Face" w:hAnsi="Baskerville Old Face"/>
          <w:i/>
          <w:iCs/>
        </w:rPr>
        <w:t xml:space="preserve"> r_k</w:t>
      </w:r>
    </w:p>
    <w:p w14:paraId="28784F1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Index_adj = Index × Conf</w:t>
      </w:r>
    </w:p>
    <w:p w14:paraId="2A7E8DE8"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V_PRU_adj = V_PRU × Conf_total</w:t>
      </w:r>
    </w:p>
    <w:p w14:paraId="5416B660"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Where:</w:t>
      </w:r>
    </w:p>
    <w:p w14:paraId="065F6A7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q_k = measurement quality</w:t>
      </w:r>
      <w:r w:rsidRPr="00B479AE">
        <w:rPr>
          <w:rFonts w:ascii="Baskerville Old Face" w:hAnsi="Baskerville Old Face"/>
          <w:i/>
          <w:iCs/>
        </w:rPr>
        <w:br/>
        <w:t>f_k = sampling frequency or temporal continuity</w:t>
      </w:r>
      <w:r w:rsidRPr="00B479AE">
        <w:rPr>
          <w:rFonts w:ascii="Baskerville Old Face" w:hAnsi="Baskerville Old Face"/>
          <w:i/>
          <w:iCs/>
        </w:rPr>
        <w:br/>
        <w:t>r_k = replication, robustness, or cross-source confirmation</w:t>
      </w:r>
    </w:p>
    <w:p w14:paraId="158394FF"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Confidence adjustment is the anti-overclaiming mechanism.</w:t>
      </w:r>
    </w:p>
    <w:p w14:paraId="73F7BE98"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When confidence decreases, admissible value must decrease or remain limited.</w:t>
      </w:r>
    </w:p>
    <w:p w14:paraId="0257C3C2"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prevents weak evidence, beautiful narratives, or speculative dashboards from producing inflated analytical value.</w:t>
      </w:r>
    </w:p>
    <w:p w14:paraId="4D8BF685"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10. Admissibility Constraints</w:t>
      </w:r>
    </w:p>
    <w:p w14:paraId="0D7D1F6A"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formulas are protected:</w:t>
      </w:r>
    </w:p>
    <w:p w14:paraId="142AE9D8"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 xml:space="preserve">A_i = M_i </w:t>
      </w:r>
      <w:r w:rsidRPr="00B479AE">
        <w:rPr>
          <w:rFonts w:ascii="Cambria" w:hAnsi="Cambria" w:cs="Cambria"/>
          <w:i/>
          <w:iCs/>
        </w:rPr>
        <w:t>·</w:t>
      </w:r>
      <w:r w:rsidRPr="00B479AE">
        <w:rPr>
          <w:rFonts w:ascii="Baskerville Old Face" w:hAnsi="Baskerville Old Face"/>
          <w:i/>
          <w:iCs/>
        </w:rPr>
        <w:t xml:space="preserve"> V_i </w:t>
      </w:r>
      <w:r w:rsidRPr="00B479AE">
        <w:rPr>
          <w:rFonts w:ascii="Cambria" w:hAnsi="Cambria" w:cs="Cambria"/>
          <w:i/>
          <w:iCs/>
        </w:rPr>
        <w:t>·</w:t>
      </w:r>
      <w:r w:rsidRPr="00B479AE">
        <w:rPr>
          <w:rFonts w:ascii="Baskerville Old Face" w:hAnsi="Baskerville Old Face"/>
          <w:i/>
          <w:iCs/>
        </w:rPr>
        <w:t xml:space="preserve"> T_i </w:t>
      </w:r>
      <w:r w:rsidRPr="00B479AE">
        <w:rPr>
          <w:rFonts w:ascii="Cambria" w:hAnsi="Cambria" w:cs="Cambria"/>
          <w:i/>
          <w:iCs/>
        </w:rPr>
        <w:t>·</w:t>
      </w:r>
      <w:r w:rsidRPr="00B479AE">
        <w:rPr>
          <w:rFonts w:ascii="Baskerville Old Face" w:hAnsi="Baskerville Old Face"/>
          <w:i/>
          <w:iCs/>
        </w:rPr>
        <w:t xml:space="preserve"> L_i</w:t>
      </w:r>
    </w:p>
    <w:p w14:paraId="4D59D01F"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V_included = V_i only if A_i = 1</w:t>
      </w:r>
    </w:p>
    <w:p w14:paraId="09920823"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Where:</w:t>
      </w:r>
    </w:p>
    <w:p w14:paraId="424ED62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lastRenderedPageBreak/>
        <w:t>M_i = measurable</w:t>
      </w:r>
      <w:r w:rsidRPr="00B479AE">
        <w:rPr>
          <w:rFonts w:ascii="Baskerville Old Face" w:hAnsi="Baskerville Old Face"/>
          <w:i/>
          <w:iCs/>
        </w:rPr>
        <w:br/>
        <w:t>V_i = verifiable</w:t>
      </w:r>
      <w:r w:rsidRPr="00B479AE">
        <w:rPr>
          <w:rFonts w:ascii="Baskerville Old Face" w:hAnsi="Baskerville Old Face"/>
          <w:i/>
          <w:iCs/>
        </w:rPr>
        <w:br/>
        <w:t>T_i = threshold satisfied</w:t>
      </w:r>
      <w:r w:rsidRPr="00B479AE">
        <w:rPr>
          <w:rFonts w:ascii="Baskerville Old Face" w:hAnsi="Baskerville Old Face"/>
          <w:i/>
          <w:iCs/>
        </w:rPr>
        <w:br/>
        <w:t>L_i = legally and methodologically admissible</w:t>
      </w:r>
    </w:p>
    <w:p w14:paraId="657A227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These formulas protect the boundary between strategically meaningful value and financially admissible value.</w:t>
      </w:r>
    </w:p>
    <w:p w14:paraId="1988B441"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A value component may be strategically important and still remain non-admissible for financial use.</w:t>
      </w:r>
    </w:p>
    <w:p w14:paraId="2C77DB9C"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Only evidence-backed and admissible value may enter PRU analysis.</w:t>
      </w:r>
    </w:p>
    <w:p w14:paraId="2153D36C"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11. Conservative OHE Uplift</w:t>
      </w:r>
    </w:p>
    <w:p w14:paraId="27E29EB1"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 is protected:</w:t>
      </w:r>
    </w:p>
    <w:p w14:paraId="3BEEB89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 xml:space="preserve">V_OHE_adj = V_base </w:t>
      </w:r>
      <w:r w:rsidRPr="00B479AE">
        <w:rPr>
          <w:rFonts w:ascii="Cambria" w:hAnsi="Cambria" w:cs="Cambria"/>
          <w:i/>
          <w:iCs/>
        </w:rPr>
        <w:t>·</w:t>
      </w:r>
      <w:r w:rsidRPr="00B479AE">
        <w:rPr>
          <w:rFonts w:ascii="Baskerville Old Face" w:hAnsi="Baskerville Old Face"/>
          <w:i/>
          <w:iCs/>
        </w:rPr>
        <w:t xml:space="preserve"> (1 + </w:t>
      </w:r>
      <w:r w:rsidRPr="00B479AE">
        <w:rPr>
          <w:rFonts w:ascii="Cambria" w:hAnsi="Cambria" w:cs="Cambria"/>
          <w:i/>
          <w:iCs/>
        </w:rPr>
        <w:t>λ₁</w:t>
      </w:r>
      <w:r w:rsidRPr="00B479AE">
        <w:rPr>
          <w:rFonts w:ascii="Baskerville Old Face" w:hAnsi="Baskerville Old Face"/>
          <w:i/>
          <w:iCs/>
        </w:rPr>
        <w:t xml:space="preserve">SRI + </w:t>
      </w:r>
      <w:r w:rsidRPr="00B479AE">
        <w:rPr>
          <w:rFonts w:ascii="Cambria" w:hAnsi="Cambria" w:cs="Cambria"/>
          <w:i/>
          <w:iCs/>
        </w:rPr>
        <w:t>λ₂</w:t>
      </w:r>
      <w:r w:rsidRPr="00B479AE">
        <w:rPr>
          <w:rFonts w:ascii="Baskerville Old Face" w:hAnsi="Baskerville Old Face"/>
          <w:i/>
          <w:iCs/>
        </w:rPr>
        <w:t xml:space="preserve">RPI + </w:t>
      </w:r>
      <w:r w:rsidRPr="00B479AE">
        <w:rPr>
          <w:rFonts w:ascii="Cambria" w:hAnsi="Cambria" w:cs="Cambria"/>
          <w:i/>
          <w:iCs/>
        </w:rPr>
        <w:t>λ₃</w:t>
      </w:r>
      <w:r w:rsidRPr="00B479AE">
        <w:rPr>
          <w:rFonts w:ascii="Baskerville Old Face" w:hAnsi="Baskerville Old Face"/>
          <w:i/>
          <w:iCs/>
        </w:rPr>
        <w:t>CESI)</w:t>
      </w:r>
    </w:p>
    <w:p w14:paraId="502BDC28"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formula expresses verified resilience or systemic-function premiums only where evidence, confidence, methodology, and admissibility support them.</w:t>
      </w:r>
    </w:p>
    <w:p w14:paraId="3DA9D4E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should never be used to increase value merely because a system is called regenerative.</w:t>
      </w:r>
    </w:p>
    <w:p w14:paraId="375A859A"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OHE value should increase only when the MRV layer demonstrates that resilience, water performance, soil function, productivity, and network coordination are improving.</w:t>
      </w:r>
    </w:p>
    <w:p w14:paraId="53168644"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12. Risk Function</w:t>
      </w:r>
    </w:p>
    <w:p w14:paraId="2229C5C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 is protected:</w:t>
      </w:r>
    </w:p>
    <w:p w14:paraId="37964747"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R = f(</w:t>
      </w:r>
      <w:r w:rsidRPr="00B479AE">
        <w:rPr>
          <w:rFonts w:ascii="Cambria" w:hAnsi="Cambria" w:cs="Cambria"/>
          <w:i/>
          <w:iCs/>
        </w:rPr>
        <w:t>σ</w:t>
      </w:r>
      <w:r w:rsidRPr="00B479AE">
        <w:rPr>
          <w:rFonts w:ascii="Baskerville Old Face" w:hAnsi="Baskerville Old Face"/>
          <w:i/>
          <w:iCs/>
        </w:rPr>
        <w:t>_Y, D_inputs, S_stress)</w:t>
      </w:r>
    </w:p>
    <w:p w14:paraId="1B3947A9"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Where:</w:t>
      </w:r>
    </w:p>
    <w:p w14:paraId="7F7EE233" w14:textId="77777777" w:rsidR="003C487D" w:rsidRPr="00B479AE" w:rsidRDefault="003C487D" w:rsidP="003C487D">
      <w:pPr>
        <w:spacing w:line="360" w:lineRule="auto"/>
        <w:rPr>
          <w:rFonts w:ascii="Baskerville Old Face" w:hAnsi="Baskerville Old Face"/>
          <w:i/>
          <w:iCs/>
        </w:rPr>
      </w:pPr>
      <w:r w:rsidRPr="00B479AE">
        <w:rPr>
          <w:rFonts w:ascii="Cambria" w:hAnsi="Cambria" w:cs="Cambria"/>
          <w:i/>
          <w:iCs/>
        </w:rPr>
        <w:t>σ</w:t>
      </w:r>
      <w:r w:rsidRPr="00B479AE">
        <w:rPr>
          <w:rFonts w:ascii="Baskerville Old Face" w:hAnsi="Baskerville Old Face"/>
          <w:i/>
          <w:iCs/>
        </w:rPr>
        <w:t>_Y = yield or output variance</w:t>
      </w:r>
      <w:r w:rsidRPr="00B479AE">
        <w:rPr>
          <w:rFonts w:ascii="Baskerville Old Face" w:hAnsi="Baskerville Old Face"/>
          <w:i/>
          <w:iCs/>
        </w:rPr>
        <w:br/>
        <w:t>D_inputs = dependency on external inputs</w:t>
      </w:r>
      <w:r w:rsidRPr="00B479AE">
        <w:rPr>
          <w:rFonts w:ascii="Baskerville Old Face" w:hAnsi="Baskerville Old Face"/>
          <w:i/>
          <w:iCs/>
        </w:rPr>
        <w:br/>
        <w:t>S_stress = sensitivity to drought, disease, heat, salinity, pest pressure, or disturbance</w:t>
      </w:r>
    </w:p>
    <w:p w14:paraId="41B8CD7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formula expresses the main risk dimensions of a regenerative productive system.</w:t>
      </w:r>
    </w:p>
    <w:p w14:paraId="69B02420"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lastRenderedPageBreak/>
        <w:t>It should be preserved because it creates the bridge between ecological intelligence and underwriting logic.</w:t>
      </w:r>
    </w:p>
    <w:p w14:paraId="75A5C532"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13. Risk-Compression Derivatives</w:t>
      </w:r>
    </w:p>
    <w:p w14:paraId="738AFE0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formulas are protected:</w:t>
      </w:r>
    </w:p>
    <w:p w14:paraId="364158B2"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∂R / ∂SRI &lt; 0</w:t>
      </w:r>
    </w:p>
    <w:p w14:paraId="03F4770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∂R / ∂RPI &lt; 0</w:t>
      </w:r>
    </w:p>
    <w:p w14:paraId="54867977"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∂R / ∂CESI &lt; 0</w:t>
      </w:r>
    </w:p>
    <w:p w14:paraId="45EEC018"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These formulas express the hypothesis that verified resilience, regenerative productivity, and cooperative surplus may reduce specific risk factors over time.</w:t>
      </w:r>
    </w:p>
    <w:p w14:paraId="734C27D7"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They are not guarantees.</w:t>
      </w:r>
    </w:p>
    <w:p w14:paraId="4BA15C1D"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They are risk-compression hypotheses that must be supported by evidence, time-series observation, MRV confidence, and review.</w:t>
      </w:r>
    </w:p>
    <w:p w14:paraId="26690345"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14. Discount-Rate Adjustment</w:t>
      </w:r>
    </w:p>
    <w:p w14:paraId="25AF3A92"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 is protected:</w:t>
      </w:r>
    </w:p>
    <w:p w14:paraId="4E66B7F9"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 xml:space="preserve">r_adj = r_base - </w:t>
      </w:r>
      <w:r w:rsidRPr="00B479AE">
        <w:rPr>
          <w:rFonts w:ascii="Cambria" w:hAnsi="Cambria" w:cs="Cambria"/>
          <w:i/>
          <w:iCs/>
        </w:rPr>
        <w:t>α</w:t>
      </w:r>
      <w:r w:rsidRPr="00B479AE">
        <w:rPr>
          <w:rFonts w:ascii="Baskerville Old Face" w:hAnsi="Baskerville Old Face"/>
          <w:i/>
          <w:iCs/>
        </w:rPr>
        <w:t xml:space="preserve">SRI - </w:t>
      </w:r>
      <w:r w:rsidRPr="00B479AE">
        <w:rPr>
          <w:rFonts w:ascii="Cambria" w:hAnsi="Cambria" w:cs="Cambria"/>
          <w:i/>
          <w:iCs/>
        </w:rPr>
        <w:t>β</w:t>
      </w:r>
      <w:r w:rsidRPr="00B479AE">
        <w:rPr>
          <w:rFonts w:ascii="Baskerville Old Face" w:hAnsi="Baskerville Old Face"/>
          <w:i/>
          <w:iCs/>
        </w:rPr>
        <w:t xml:space="preserve">RPI - </w:t>
      </w:r>
      <w:r w:rsidRPr="00B479AE">
        <w:rPr>
          <w:rFonts w:ascii="Cambria" w:hAnsi="Cambria" w:cs="Cambria"/>
          <w:i/>
          <w:iCs/>
        </w:rPr>
        <w:t>γ</w:t>
      </w:r>
      <w:r w:rsidRPr="00B479AE">
        <w:rPr>
          <w:rFonts w:ascii="Baskerville Old Face" w:hAnsi="Baskerville Old Face"/>
          <w:i/>
          <w:iCs/>
        </w:rPr>
        <w:t xml:space="preserve">CESI + </w:t>
      </w:r>
      <w:r w:rsidRPr="00B479AE">
        <w:rPr>
          <w:rFonts w:ascii="Cambria" w:hAnsi="Cambria" w:cs="Cambria"/>
          <w:i/>
          <w:iCs/>
        </w:rPr>
        <w:t>δ</w:t>
      </w:r>
      <w:r w:rsidRPr="00B479AE">
        <w:rPr>
          <w:rFonts w:ascii="Baskerville Old Face" w:hAnsi="Baskerville Old Face"/>
          <w:i/>
          <w:iCs/>
        </w:rPr>
        <w:t>R_residual</w:t>
      </w:r>
    </w:p>
    <w:p w14:paraId="55ACA97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Where:</w:t>
      </w:r>
    </w:p>
    <w:p w14:paraId="5BEF1F0A"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r_base = baseline discount rate</w:t>
      </w:r>
      <w:r w:rsidRPr="00B479AE">
        <w:rPr>
          <w:rFonts w:ascii="Baskerville Old Face" w:hAnsi="Baskerville Old Face"/>
          <w:i/>
          <w:iCs/>
        </w:rPr>
        <w:br/>
      </w:r>
      <w:r w:rsidRPr="00B479AE">
        <w:rPr>
          <w:rFonts w:ascii="Cambria" w:hAnsi="Cambria" w:cs="Cambria"/>
          <w:i/>
          <w:iCs/>
        </w:rPr>
        <w:t>α</w:t>
      </w:r>
      <w:r w:rsidRPr="00B479AE">
        <w:rPr>
          <w:rFonts w:ascii="Baskerville Old Face" w:hAnsi="Baskerville Old Face"/>
          <w:i/>
          <w:iCs/>
        </w:rPr>
        <w:t xml:space="preserve">, </w:t>
      </w:r>
      <w:r w:rsidRPr="00B479AE">
        <w:rPr>
          <w:rFonts w:ascii="Cambria" w:hAnsi="Cambria" w:cs="Cambria"/>
          <w:i/>
          <w:iCs/>
        </w:rPr>
        <w:t>β</w:t>
      </w:r>
      <w:r w:rsidRPr="00B479AE">
        <w:rPr>
          <w:rFonts w:ascii="Baskerville Old Face" w:hAnsi="Baskerville Old Face"/>
          <w:i/>
          <w:iCs/>
        </w:rPr>
        <w:t xml:space="preserve">, </w:t>
      </w:r>
      <w:r w:rsidRPr="00B479AE">
        <w:rPr>
          <w:rFonts w:ascii="Cambria" w:hAnsi="Cambria" w:cs="Cambria"/>
          <w:i/>
          <w:iCs/>
        </w:rPr>
        <w:t>γ</w:t>
      </w:r>
      <w:r w:rsidRPr="00B479AE">
        <w:rPr>
          <w:rFonts w:ascii="Baskerville Old Face" w:hAnsi="Baskerville Old Face"/>
          <w:i/>
          <w:iCs/>
        </w:rPr>
        <w:t xml:space="preserve"> = methodology-defined adjustment coefficients</w:t>
      </w:r>
      <w:r w:rsidRPr="00B479AE">
        <w:rPr>
          <w:rFonts w:ascii="Baskerville Old Face" w:hAnsi="Baskerville Old Face"/>
          <w:i/>
          <w:iCs/>
        </w:rPr>
        <w:br/>
        <w:t>R_residual = residual risk factor</w:t>
      </w:r>
      <w:r w:rsidRPr="00B479AE">
        <w:rPr>
          <w:rFonts w:ascii="Baskerville Old Face" w:hAnsi="Baskerville Old Face"/>
          <w:i/>
          <w:iCs/>
        </w:rPr>
        <w:br/>
      </w:r>
      <w:r w:rsidRPr="00B479AE">
        <w:rPr>
          <w:rFonts w:ascii="Cambria" w:hAnsi="Cambria" w:cs="Cambria"/>
          <w:i/>
          <w:iCs/>
        </w:rPr>
        <w:t>δ</w:t>
      </w:r>
      <w:r w:rsidRPr="00B479AE">
        <w:rPr>
          <w:rFonts w:ascii="Baskerville Old Face" w:hAnsi="Baskerville Old Face"/>
          <w:i/>
          <w:iCs/>
        </w:rPr>
        <w:t xml:space="preserve"> = residual-risk coefficient</w:t>
      </w:r>
    </w:p>
    <w:p w14:paraId="7F869B6B"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formula may be used only in investor-model scenarios.</w:t>
      </w:r>
    </w:p>
    <w:p w14:paraId="6A056170"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does not create automatic valuation authority.</w:t>
      </w:r>
    </w:p>
    <w:p w14:paraId="6B77F268"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assumption is that verified resilience, stability, and cooperative surplus may improve predictability, while residual risk preserves conservatism.</w:t>
      </w:r>
    </w:p>
    <w:p w14:paraId="739B6F1F"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lastRenderedPageBreak/>
        <w:t>A lower discount rate is not earned by narrative.</w:t>
      </w:r>
    </w:p>
    <w:p w14:paraId="2D02F578"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is earned, if at all, by verified risk compression.</w:t>
      </w:r>
    </w:p>
    <w:p w14:paraId="5764D18D"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15. Cash-Flow Dynamics</w:t>
      </w:r>
    </w:p>
    <w:p w14:paraId="51C7EFB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formulas are protected:</w:t>
      </w:r>
    </w:p>
    <w:p w14:paraId="7E43B24A"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CF_t = Rev_t - Opex_t - Capex_t - Reserves_t</w:t>
      </w:r>
    </w:p>
    <w:p w14:paraId="061BC24A"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Rev_t = Rev_prod,t + Rev_services,t + Rev_contractual,t</w:t>
      </w:r>
    </w:p>
    <w:p w14:paraId="71F938AB"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Where:</w:t>
      </w:r>
    </w:p>
    <w:p w14:paraId="00FFE346"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Rev_prod,t = productive revenue</w:t>
      </w:r>
      <w:r w:rsidRPr="00B479AE">
        <w:rPr>
          <w:rFonts w:ascii="Baskerville Old Face" w:hAnsi="Baskerville Old Face"/>
          <w:i/>
          <w:iCs/>
        </w:rPr>
        <w:br/>
        <w:t>Rev_services,t = service, education, hospitality, or experience revenue</w:t>
      </w:r>
      <w:r w:rsidRPr="00B479AE">
        <w:rPr>
          <w:rFonts w:ascii="Baskerville Old Face" w:hAnsi="Baskerville Old Face"/>
          <w:i/>
          <w:iCs/>
        </w:rPr>
        <w:br/>
        <w:t>Rev_contractual,t = contractually defined revenue, if any</w:t>
      </w:r>
    </w:p>
    <w:p w14:paraId="73BE9E50"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Cash-flow logic must remain separate from ecological value logic.</w:t>
      </w:r>
    </w:p>
    <w:p w14:paraId="72CC5181"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Ecological improvement may support value, but base-case financial modeling should remain anchored in actual or contractually defensible cash flows.</w:t>
      </w:r>
    </w:p>
    <w:p w14:paraId="235FC391"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PRU-related ecological value should not inflate cash flows unless there is a recognized, evidenced, and legally structured revenue pathway.</w:t>
      </w:r>
    </w:p>
    <w:p w14:paraId="0B7C9EE9"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16. Risk-Adjusted IRR</w:t>
      </w:r>
    </w:p>
    <w:p w14:paraId="46E8FBE1"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 is protected:</w:t>
      </w:r>
    </w:p>
    <w:p w14:paraId="7313B928"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IRR_adj = IRR(CF_adj)</w:t>
      </w:r>
    </w:p>
    <w:p w14:paraId="56B32C3D"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Where:</w:t>
      </w:r>
    </w:p>
    <w:p w14:paraId="32B511FA"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CF_adj = confidence-adjusted and risk-adjusted cash-flow scenario</w:t>
      </w:r>
    </w:p>
    <w:p w14:paraId="677F7A49"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use of risk-adjusted IRR is valid only if:</w:t>
      </w:r>
    </w:p>
    <w:p w14:paraId="208333E3"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MRV_verified = true</w:t>
      </w:r>
      <w:r w:rsidRPr="00B479AE">
        <w:rPr>
          <w:rFonts w:ascii="Baskerville Old Face" w:hAnsi="Baskerville Old Face"/>
          <w:i/>
          <w:iCs/>
        </w:rPr>
        <w:br/>
        <w:t>Admissibility_satisfied = true</w:t>
      </w:r>
      <w:r w:rsidRPr="00B479AE">
        <w:rPr>
          <w:rFonts w:ascii="Baskerville Old Face" w:hAnsi="Baskerville Old Face"/>
          <w:i/>
          <w:iCs/>
        </w:rPr>
        <w:br/>
      </w:r>
      <w:r w:rsidRPr="00B479AE">
        <w:rPr>
          <w:rFonts w:ascii="Baskerville Old Face" w:hAnsi="Baskerville Old Face"/>
          <w:i/>
          <w:iCs/>
        </w:rPr>
        <w:lastRenderedPageBreak/>
        <w:t>Legal_structure_reviewed = true</w:t>
      </w:r>
      <w:r w:rsidRPr="00B479AE">
        <w:rPr>
          <w:rFonts w:ascii="Baskerville Old Face" w:hAnsi="Baskerville Old Face"/>
          <w:i/>
          <w:iCs/>
        </w:rPr>
        <w:br/>
        <w:t>Investor_disclosure_complete = true</w:t>
      </w:r>
    </w:p>
    <w:p w14:paraId="646A5E7C"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Risk-adjusted IRR is an investor-model scenario.</w:t>
      </w:r>
    </w:p>
    <w:p w14:paraId="5FB79EC6"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is not a promised return.</w:t>
      </w:r>
    </w:p>
    <w:p w14:paraId="22530911"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is not a guarantee.</w:t>
      </w:r>
    </w:p>
    <w:p w14:paraId="668FA3AB"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is not a public offering.</w:t>
      </w:r>
    </w:p>
    <w:p w14:paraId="2F86D6CD"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is not a regulated rating.</w:t>
      </w:r>
    </w:p>
    <w:p w14:paraId="62EB3DBA"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becomes usable only inside a legally reviewed financial model with transparent assumptions.</w:t>
      </w:r>
    </w:p>
    <w:p w14:paraId="625B16CD"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17. Time-Positive Asset Dynamics</w:t>
      </w:r>
    </w:p>
    <w:p w14:paraId="5B869AF3"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 is protected:</w:t>
      </w:r>
    </w:p>
    <w:p w14:paraId="55F34C5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dV / dt &gt; 0</w:t>
      </w:r>
    </w:p>
    <w:p w14:paraId="71C5A828"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formula expresses conditional time-positive value formation under verified regenerative maturation.</w:t>
      </w:r>
    </w:p>
    <w:p w14:paraId="46D109F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does not imply automatic appreciation.</w:t>
      </w:r>
    </w:p>
    <w:p w14:paraId="5C77C68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condition may hold only where:</w:t>
      </w:r>
    </w:p>
    <w:p w14:paraId="7A092B8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soil function improves;</w:t>
      </w:r>
      <w:r w:rsidRPr="00B479AE">
        <w:rPr>
          <w:rFonts w:ascii="Baskerville Old Face" w:hAnsi="Baskerville Old Face"/>
          <w:i/>
          <w:iCs/>
        </w:rPr>
        <w:br/>
        <w:t>water retention increases;</w:t>
      </w:r>
      <w:r w:rsidRPr="00B479AE">
        <w:rPr>
          <w:rFonts w:ascii="Baskerville Old Face" w:hAnsi="Baskerville Old Face"/>
          <w:i/>
          <w:iCs/>
        </w:rPr>
        <w:br/>
        <w:t>network connectivity strengthens;</w:t>
      </w:r>
      <w:r w:rsidRPr="00B479AE">
        <w:rPr>
          <w:rFonts w:ascii="Baskerville Old Face" w:hAnsi="Baskerville Old Face"/>
          <w:i/>
          <w:iCs/>
        </w:rPr>
        <w:br/>
        <w:t>biological cooperation intensifies;</w:t>
      </w:r>
      <w:r w:rsidRPr="00B479AE">
        <w:rPr>
          <w:rFonts w:ascii="Baskerville Old Face" w:hAnsi="Baskerville Old Face"/>
          <w:i/>
          <w:iCs/>
        </w:rPr>
        <w:br/>
        <w:t>yield variance decreases;</w:t>
      </w:r>
      <w:r w:rsidRPr="00B479AE">
        <w:rPr>
          <w:rFonts w:ascii="Baskerville Old Face" w:hAnsi="Baskerville Old Face"/>
          <w:i/>
          <w:iCs/>
        </w:rPr>
        <w:br/>
        <w:t>input dependency declines;</w:t>
      </w:r>
      <w:r w:rsidRPr="00B479AE">
        <w:rPr>
          <w:rFonts w:ascii="Baskerville Old Face" w:hAnsi="Baskerville Old Face"/>
          <w:i/>
          <w:iCs/>
        </w:rPr>
        <w:br/>
        <w:t>MRV confidence improves;</w:t>
      </w:r>
      <w:r w:rsidRPr="00B479AE">
        <w:rPr>
          <w:rFonts w:ascii="Baskerville Old Face" w:hAnsi="Baskerville Old Face"/>
          <w:i/>
          <w:iCs/>
        </w:rPr>
        <w:br/>
        <w:t>operational knowledge accumulates;</w:t>
      </w:r>
      <w:r w:rsidRPr="00B479AE">
        <w:rPr>
          <w:rFonts w:ascii="Baskerville Old Face" w:hAnsi="Baskerville Old Face"/>
          <w:i/>
          <w:iCs/>
        </w:rPr>
        <w:br/>
        <w:t>governance maturity increases;</w:t>
      </w:r>
      <w:r w:rsidRPr="00B479AE">
        <w:rPr>
          <w:rFonts w:ascii="Baskerville Old Face" w:hAnsi="Baskerville Old Face"/>
          <w:i/>
          <w:iCs/>
        </w:rPr>
        <w:br/>
        <w:t>legal readability improves.</w:t>
      </w:r>
    </w:p>
    <w:p w14:paraId="4CD789C6"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Prometheus does not claim that time alone creates value.</w:t>
      </w:r>
    </w:p>
    <w:p w14:paraId="03CD3F89"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lastRenderedPageBreak/>
        <w:t>It claims that verified regenerative maturation may improve value quality over time.</w:t>
      </w:r>
    </w:p>
    <w:p w14:paraId="66F0A6F3"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18. Ecological Graph Model</w:t>
      </w:r>
    </w:p>
    <w:p w14:paraId="39419B1C"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 is protected:</w:t>
      </w:r>
    </w:p>
    <w:p w14:paraId="24E84B0E" w14:textId="77777777" w:rsidR="003C487D" w:rsidRPr="005907F1" w:rsidRDefault="003C487D" w:rsidP="003C487D">
      <w:pPr>
        <w:spacing w:line="360" w:lineRule="auto"/>
        <w:rPr>
          <w:rFonts w:ascii="Baskerville Old Face" w:hAnsi="Baskerville Old Face"/>
          <w:i/>
          <w:iCs/>
          <w:lang w:val="it-IT"/>
        </w:rPr>
      </w:pPr>
      <w:r w:rsidRPr="005907F1">
        <w:rPr>
          <w:rFonts w:ascii="Baskerville Old Face" w:hAnsi="Baskerville Old Face"/>
          <w:i/>
          <w:iCs/>
          <w:lang w:val="it-IT"/>
        </w:rPr>
        <w:t>G = (V, E_air, E_root, E_fungal, E_met, E_soil)</w:t>
      </w:r>
    </w:p>
    <w:p w14:paraId="7E940F4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is a core scientific-modeling structure for multilayer syntropic ecological intelligence.</w:t>
      </w:r>
    </w:p>
    <w:p w14:paraId="111C1E8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represents the system as a graph of living nodes and ecological interactions.</w:t>
      </w:r>
    </w:p>
    <w:p w14:paraId="7ECB9F77"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should be preserved because it supports the transition from descriptive agroecology to formal ecological intelligence.</w:t>
      </w:r>
    </w:p>
    <w:p w14:paraId="0D42BFDD"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19. Node State Vector</w:t>
      </w:r>
    </w:p>
    <w:p w14:paraId="54C73A61"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expression is protected:</w:t>
      </w:r>
    </w:p>
    <w:p w14:paraId="7A1784CF" w14:textId="77777777" w:rsidR="003C487D" w:rsidRPr="005907F1" w:rsidRDefault="003C487D" w:rsidP="003C487D">
      <w:pPr>
        <w:spacing w:line="360" w:lineRule="auto"/>
        <w:rPr>
          <w:rFonts w:ascii="Baskerville Old Face" w:hAnsi="Baskerville Old Face"/>
          <w:i/>
          <w:iCs/>
          <w:lang w:val="it-IT"/>
        </w:rPr>
      </w:pPr>
      <w:r w:rsidRPr="005907F1">
        <w:rPr>
          <w:rFonts w:ascii="Baskerville Old Face" w:hAnsi="Baskerville Old Face"/>
          <w:i/>
          <w:iCs/>
          <w:lang w:val="it-IT"/>
        </w:rPr>
        <w:t xml:space="preserve">X_i = {W_i, N_i, C_i, M_i^prim, M_i^sec, R_i, F_i, O_i, E_i, </w:t>
      </w:r>
      <w:r w:rsidRPr="00B479AE">
        <w:rPr>
          <w:rFonts w:ascii="Cambria" w:hAnsi="Cambria" w:cs="Cambria"/>
          <w:i/>
          <w:iCs/>
        </w:rPr>
        <w:t>μ</w:t>
      </w:r>
      <w:r w:rsidRPr="005907F1">
        <w:rPr>
          <w:rFonts w:ascii="Baskerville Old Face" w:hAnsi="Baskerville Old Face"/>
          <w:i/>
          <w:iCs/>
          <w:lang w:val="it-IT"/>
        </w:rPr>
        <w:t xml:space="preserve">_i, </w:t>
      </w:r>
      <w:r w:rsidRPr="00B479AE">
        <w:rPr>
          <w:rFonts w:ascii="Cambria" w:hAnsi="Cambria" w:cs="Cambria"/>
          <w:i/>
          <w:iCs/>
        </w:rPr>
        <w:t>Θ</w:t>
      </w:r>
      <w:r w:rsidRPr="005907F1">
        <w:rPr>
          <w:rFonts w:ascii="Baskerville Old Face" w:hAnsi="Baskerville Old Face"/>
          <w:i/>
          <w:iCs/>
          <w:lang w:val="it-IT"/>
        </w:rPr>
        <w:t>_i, S_i}</w:t>
      </w:r>
    </w:p>
    <w:p w14:paraId="734EF6C7"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is a protected representation of node-level ecological state.</w:t>
      </w:r>
    </w:p>
    <w:p w14:paraId="375E1A9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may include water status, nutrients, carbon, primary metabolites, secondary metabolites, root architecture, fungal connectivity, organic matter, soil fauna, microbial intensity, mineral balance, and successional stage.</w:t>
      </w:r>
    </w:p>
    <w:p w14:paraId="302FEFA6"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vector should be preserved because it creates the basis for modeling each plant, soil patch, or ecological unit as a living informational node.</w:t>
      </w:r>
    </w:p>
    <w:p w14:paraId="18CF54C4"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20. Mycorrhizal Adjacency</w:t>
      </w:r>
    </w:p>
    <w:p w14:paraId="64F3A7D6"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 is protected:</w:t>
      </w:r>
    </w:p>
    <w:p w14:paraId="727AA54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 xml:space="preserve">A_ij^fung = f(F_ij, d_ij, S_i, S_j, </w:t>
      </w:r>
      <w:r w:rsidRPr="00B479AE">
        <w:rPr>
          <w:rFonts w:ascii="Cambria" w:hAnsi="Cambria" w:cs="Cambria"/>
          <w:i/>
          <w:iCs/>
        </w:rPr>
        <w:t>κ</w:t>
      </w:r>
      <w:r w:rsidRPr="00B479AE">
        <w:rPr>
          <w:rFonts w:ascii="Baskerville Old Face" w:hAnsi="Baskerville Old Face"/>
          <w:i/>
          <w:iCs/>
        </w:rPr>
        <w:t>_ij)</w:t>
      </w:r>
    </w:p>
    <w:p w14:paraId="66230A73"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formula expresses fungal connectivity, distance, successional stage, and ecological compatibility.</w:t>
      </w:r>
    </w:p>
    <w:p w14:paraId="6954DB9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should be preserved because it allows Prometheus to model fungal relationships as part of system intelligence.</w:t>
      </w:r>
    </w:p>
    <w:p w14:paraId="7778BBF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lastRenderedPageBreak/>
        <w:t>It is conceptual and methodological, not a claim of perfect underground measurement.</w:t>
      </w:r>
    </w:p>
    <w:p w14:paraId="0298A318"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21. Biochemical Adjacency</w:t>
      </w:r>
    </w:p>
    <w:p w14:paraId="34B579C1"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 is protected:</w:t>
      </w:r>
    </w:p>
    <w:p w14:paraId="310CB722"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 xml:space="preserve">A_ij^met = g(M_i^sec, d_ij, </w:t>
      </w:r>
      <w:r w:rsidRPr="00B479AE">
        <w:rPr>
          <w:rFonts w:ascii="Cambria" w:hAnsi="Cambria" w:cs="Cambria"/>
          <w:i/>
          <w:iCs/>
        </w:rPr>
        <w:t>η</w:t>
      </w:r>
      <w:r w:rsidRPr="00B479AE">
        <w:rPr>
          <w:rFonts w:ascii="Baskerville Old Face" w:hAnsi="Baskerville Old Face"/>
          <w:i/>
          <w:iCs/>
        </w:rPr>
        <w:t xml:space="preserve">_ij, </w:t>
      </w:r>
      <w:r w:rsidRPr="00B479AE">
        <w:rPr>
          <w:rFonts w:ascii="Cambria" w:hAnsi="Cambria" w:cs="Cambria"/>
          <w:i/>
          <w:iCs/>
        </w:rPr>
        <w:t>φ</w:t>
      </w:r>
      <w:r w:rsidRPr="00B479AE">
        <w:rPr>
          <w:rFonts w:ascii="Baskerville Old Face" w:hAnsi="Baskerville Old Face"/>
          <w:i/>
          <w:iCs/>
        </w:rPr>
        <w:t>_ij)</w:t>
      </w:r>
    </w:p>
    <w:p w14:paraId="4FDA71E9"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formula expresses biochemical signaling, distance, sensitivity, and facilitative, inhibitory, or defensive interaction.</w:t>
      </w:r>
    </w:p>
    <w:p w14:paraId="0A50DA5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should be preserved because it allows Prometheus to model biochemical and allelopathic relationships within syntropic systems.</w:t>
      </w:r>
    </w:p>
    <w:p w14:paraId="25EA6255"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22. Fungal-Mediated Transfer</w:t>
      </w:r>
    </w:p>
    <w:p w14:paraId="2BCB2AF3"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formulas are protected:</w:t>
      </w:r>
    </w:p>
    <w:p w14:paraId="2C3B7E7A"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R_ij^fung = A_ij^fung [</w:t>
      </w:r>
      <w:r w:rsidRPr="00B479AE">
        <w:rPr>
          <w:rFonts w:ascii="Cambria" w:hAnsi="Cambria" w:cs="Cambria"/>
          <w:i/>
          <w:iCs/>
        </w:rPr>
        <w:t>λ</w:t>
      </w:r>
      <w:r w:rsidRPr="00B479AE">
        <w:rPr>
          <w:rFonts w:ascii="Baskerville Old Face" w:hAnsi="Baskerville Old Face"/>
          <w:i/>
          <w:iCs/>
        </w:rPr>
        <w:t xml:space="preserve">_C(C_i </w:t>
      </w:r>
      <w:r w:rsidRPr="00B479AE">
        <w:rPr>
          <w:rFonts w:ascii="Cambria Math" w:hAnsi="Cambria Math" w:cs="Cambria Math"/>
          <w:i/>
          <w:iCs/>
        </w:rPr>
        <w:t>−</w:t>
      </w:r>
      <w:r w:rsidRPr="00B479AE">
        <w:rPr>
          <w:rFonts w:ascii="Baskerville Old Face" w:hAnsi="Baskerville Old Face"/>
          <w:i/>
          <w:iCs/>
        </w:rPr>
        <w:t xml:space="preserve"> C_j) + </w:t>
      </w:r>
      <w:r w:rsidRPr="00B479AE">
        <w:rPr>
          <w:rFonts w:ascii="Cambria" w:hAnsi="Cambria" w:cs="Cambria"/>
          <w:i/>
          <w:iCs/>
        </w:rPr>
        <w:t>λ</w:t>
      </w:r>
      <w:r w:rsidRPr="00B479AE">
        <w:rPr>
          <w:rFonts w:ascii="Baskerville Old Face" w:hAnsi="Baskerville Old Face"/>
          <w:i/>
          <w:iCs/>
        </w:rPr>
        <w:t xml:space="preserve">_N(N_i </w:t>
      </w:r>
      <w:r w:rsidRPr="00B479AE">
        <w:rPr>
          <w:rFonts w:ascii="Cambria Math" w:hAnsi="Cambria Math" w:cs="Cambria Math"/>
          <w:i/>
          <w:iCs/>
        </w:rPr>
        <w:t>−</w:t>
      </w:r>
      <w:r w:rsidRPr="00B479AE">
        <w:rPr>
          <w:rFonts w:ascii="Baskerville Old Face" w:hAnsi="Baskerville Old Face"/>
          <w:i/>
          <w:iCs/>
        </w:rPr>
        <w:t xml:space="preserve"> N_j) + </w:t>
      </w:r>
      <w:r w:rsidRPr="00B479AE">
        <w:rPr>
          <w:rFonts w:ascii="Cambria" w:hAnsi="Cambria" w:cs="Cambria"/>
          <w:i/>
          <w:iCs/>
        </w:rPr>
        <w:t>λ</w:t>
      </w:r>
      <w:r w:rsidRPr="00B479AE">
        <w:rPr>
          <w:rFonts w:ascii="Baskerville Old Face" w:hAnsi="Baskerville Old Face"/>
          <w:i/>
          <w:iCs/>
        </w:rPr>
        <w:t xml:space="preserve">_W(W_i </w:t>
      </w:r>
      <w:r w:rsidRPr="00B479AE">
        <w:rPr>
          <w:rFonts w:ascii="Cambria Math" w:hAnsi="Cambria Math" w:cs="Cambria Math"/>
          <w:i/>
          <w:iCs/>
        </w:rPr>
        <w:t>−</w:t>
      </w:r>
      <w:r w:rsidRPr="00B479AE">
        <w:rPr>
          <w:rFonts w:ascii="Baskerville Old Face" w:hAnsi="Baskerville Old Face"/>
          <w:i/>
          <w:iCs/>
        </w:rPr>
        <w:t xml:space="preserve"> W_j)]</w:t>
      </w:r>
    </w:p>
    <w:p w14:paraId="016FCBC4" w14:textId="77777777" w:rsidR="003C487D" w:rsidRPr="00B479AE" w:rsidRDefault="003C487D" w:rsidP="003C487D">
      <w:pPr>
        <w:spacing w:line="360" w:lineRule="auto"/>
        <w:rPr>
          <w:rFonts w:ascii="Baskerville Old Face" w:hAnsi="Baskerville Old Face"/>
          <w:i/>
          <w:iCs/>
        </w:rPr>
      </w:pPr>
      <w:r w:rsidRPr="00B479AE">
        <w:rPr>
          <w:rFonts w:ascii="Cambria" w:hAnsi="Cambria" w:cs="Cambria"/>
          <w:i/>
          <w:iCs/>
        </w:rPr>
        <w:t>Φ</w:t>
      </w:r>
      <w:r w:rsidRPr="00B479AE">
        <w:rPr>
          <w:rFonts w:ascii="Baskerville Old Face" w:hAnsi="Baskerville Old Face"/>
          <w:i/>
          <w:iCs/>
        </w:rPr>
        <w:t xml:space="preserve">_i^fung = </w:t>
      </w:r>
      <w:r w:rsidRPr="00B479AE">
        <w:rPr>
          <w:rFonts w:ascii="Cambria" w:hAnsi="Cambria" w:cs="Cambria"/>
          <w:i/>
          <w:iCs/>
        </w:rPr>
        <w:t>Σ</w:t>
      </w:r>
      <w:r w:rsidRPr="00B479AE">
        <w:rPr>
          <w:rFonts w:ascii="Baskerville Old Face" w:hAnsi="Baskerville Old Face"/>
          <w:i/>
          <w:iCs/>
        </w:rPr>
        <w:t>_{j</w:t>
      </w:r>
      <w:r w:rsidRPr="00B479AE">
        <w:rPr>
          <w:rFonts w:ascii="Baskerville Old Face" w:hAnsi="Baskerville Old Face" w:cs="Baskerville Old Face"/>
          <w:i/>
          <w:iCs/>
        </w:rPr>
        <w:t>≠</w:t>
      </w:r>
      <w:r w:rsidRPr="00B479AE">
        <w:rPr>
          <w:rFonts w:ascii="Baskerville Old Face" w:hAnsi="Baskerville Old Face"/>
          <w:i/>
          <w:iCs/>
        </w:rPr>
        <w:t>i} R_ji^fung</w:t>
      </w:r>
    </w:p>
    <w:p w14:paraId="38E8CF9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These formulas express testable resource-transfer modeling logic.</w:t>
      </w:r>
    </w:p>
    <w:p w14:paraId="56705581"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They should be preserved because they model the possible transfer of carbon, nutrients, and water through fungal-mediated ecological networks.</w:t>
      </w:r>
    </w:p>
    <w:p w14:paraId="2E8D1B0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They should be interpreted as conceptual and evidentiary models, not as claims of complete real-time observability.</w:t>
      </w:r>
    </w:p>
    <w:p w14:paraId="4E023AB1"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23. Secondary Metabolite Dynamics</w:t>
      </w:r>
    </w:p>
    <w:p w14:paraId="469278BC"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 is protected:</w:t>
      </w:r>
    </w:p>
    <w:p w14:paraId="7C2E955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 xml:space="preserve">dM_i^sec / dt = </w:t>
      </w:r>
      <w:r w:rsidRPr="00B479AE">
        <w:rPr>
          <w:rFonts w:ascii="Cambria" w:hAnsi="Cambria" w:cs="Cambria"/>
          <w:i/>
          <w:iCs/>
        </w:rPr>
        <w:t>α</w:t>
      </w:r>
      <w:r w:rsidRPr="00B479AE">
        <w:rPr>
          <w:rFonts w:ascii="Baskerville Old Face" w:hAnsi="Baskerville Old Face"/>
          <w:i/>
          <w:iCs/>
        </w:rPr>
        <w:t xml:space="preserve">_i + </w:t>
      </w:r>
      <w:r w:rsidRPr="00B479AE">
        <w:rPr>
          <w:rFonts w:ascii="Cambria" w:hAnsi="Cambria" w:cs="Cambria"/>
          <w:i/>
          <w:iCs/>
        </w:rPr>
        <w:t>β</w:t>
      </w:r>
      <w:r w:rsidRPr="00B479AE">
        <w:rPr>
          <w:rFonts w:ascii="Baskerville Old Face" w:hAnsi="Baskerville Old Face"/>
          <w:i/>
          <w:iCs/>
        </w:rPr>
        <w:t xml:space="preserve">_i Stress_i + </w:t>
      </w:r>
      <w:r w:rsidRPr="00B479AE">
        <w:rPr>
          <w:rFonts w:ascii="Cambria" w:hAnsi="Cambria" w:cs="Cambria"/>
          <w:i/>
          <w:iCs/>
        </w:rPr>
        <w:t>γ</w:t>
      </w:r>
      <w:r w:rsidRPr="00B479AE">
        <w:rPr>
          <w:rFonts w:ascii="Baskerville Old Face" w:hAnsi="Baskerville Old Face"/>
          <w:i/>
          <w:iCs/>
        </w:rPr>
        <w:t xml:space="preserve">_i </w:t>
      </w:r>
      <w:r w:rsidRPr="00B479AE">
        <w:rPr>
          <w:rFonts w:ascii="Cambria" w:hAnsi="Cambria" w:cs="Cambria"/>
          <w:i/>
          <w:iCs/>
        </w:rPr>
        <w:t>Σ</w:t>
      </w:r>
      <w:r w:rsidRPr="00B479AE">
        <w:rPr>
          <w:rFonts w:ascii="Baskerville Old Face" w:hAnsi="Baskerville Old Face"/>
          <w:i/>
          <w:iCs/>
        </w:rPr>
        <w:t>_{j</w:t>
      </w:r>
      <w:r w:rsidRPr="00B479AE">
        <w:rPr>
          <w:rFonts w:ascii="Baskerville Old Face" w:hAnsi="Baskerville Old Face" w:cs="Baskerville Old Face"/>
          <w:i/>
          <w:iCs/>
        </w:rPr>
        <w:t>≠</w:t>
      </w:r>
      <w:r w:rsidRPr="00B479AE">
        <w:rPr>
          <w:rFonts w:ascii="Baskerville Old Face" w:hAnsi="Baskerville Old Face"/>
          <w:i/>
          <w:iCs/>
        </w:rPr>
        <w:t xml:space="preserve">i} A_ji^met(M_j^sec </w:t>
      </w:r>
      <w:r w:rsidRPr="00B479AE">
        <w:rPr>
          <w:rFonts w:ascii="Cambria Math" w:hAnsi="Cambria Math" w:cs="Cambria Math"/>
          <w:i/>
          <w:iCs/>
        </w:rPr>
        <w:t>−</w:t>
      </w:r>
      <w:r w:rsidRPr="00B479AE">
        <w:rPr>
          <w:rFonts w:ascii="Baskerville Old Face" w:hAnsi="Baskerville Old Face"/>
          <w:i/>
          <w:iCs/>
        </w:rPr>
        <w:t xml:space="preserve"> M_i^sec) + </w:t>
      </w:r>
      <w:r w:rsidRPr="00B479AE">
        <w:rPr>
          <w:rFonts w:ascii="Cambria" w:hAnsi="Cambria" w:cs="Cambria"/>
          <w:i/>
          <w:iCs/>
        </w:rPr>
        <w:t>ρ</w:t>
      </w:r>
      <w:r w:rsidRPr="00B479AE">
        <w:rPr>
          <w:rFonts w:ascii="Baskerville Old Face" w:hAnsi="Baskerville Old Face"/>
          <w:i/>
          <w:iCs/>
        </w:rPr>
        <w:t xml:space="preserve">_iS_i </w:t>
      </w:r>
      <w:r w:rsidRPr="00B479AE">
        <w:rPr>
          <w:rFonts w:ascii="Cambria Math" w:hAnsi="Cambria Math" w:cs="Cambria Math"/>
          <w:i/>
          <w:iCs/>
        </w:rPr>
        <w:t>−</w:t>
      </w:r>
      <w:r w:rsidRPr="00B479AE">
        <w:rPr>
          <w:rFonts w:ascii="Baskerville Old Face" w:hAnsi="Baskerville Old Face"/>
          <w:i/>
          <w:iCs/>
        </w:rPr>
        <w:t xml:space="preserve"> </w:t>
      </w:r>
      <w:r w:rsidRPr="00B479AE">
        <w:rPr>
          <w:rFonts w:ascii="Cambria" w:hAnsi="Cambria" w:cs="Cambria"/>
          <w:i/>
          <w:iCs/>
        </w:rPr>
        <w:t>ω</w:t>
      </w:r>
      <w:r w:rsidRPr="00B479AE">
        <w:rPr>
          <w:rFonts w:ascii="Baskerville Old Face" w:hAnsi="Baskerville Old Face"/>
          <w:i/>
          <w:iCs/>
        </w:rPr>
        <w:t>_iM_i^sec</w:t>
      </w:r>
    </w:p>
    <w:p w14:paraId="2225258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formula models biochemical response, stress, successional maturity, signal influence, and metabolite decay.</w:t>
      </w:r>
    </w:p>
    <w:p w14:paraId="061D283A"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lastRenderedPageBreak/>
        <w:t>It should be preserved because it translates plant biochemical intelligence into formal system dynamics.</w:t>
      </w:r>
    </w:p>
    <w:p w14:paraId="48A779FD"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24. Soil Organic Matter Dynamics</w:t>
      </w:r>
    </w:p>
    <w:p w14:paraId="5BFFCB8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formulas are protected:</w:t>
      </w:r>
    </w:p>
    <w:p w14:paraId="7F30EEF5" w14:textId="77777777" w:rsidR="003C487D" w:rsidRPr="000B4FC0" w:rsidRDefault="003C487D" w:rsidP="003C487D">
      <w:pPr>
        <w:spacing w:line="360" w:lineRule="auto"/>
        <w:rPr>
          <w:rFonts w:ascii="Baskerville Old Face" w:hAnsi="Baskerville Old Face"/>
          <w:i/>
          <w:iCs/>
          <w:lang w:val="it-IT"/>
        </w:rPr>
      </w:pPr>
      <w:r w:rsidRPr="000B4FC0">
        <w:rPr>
          <w:rFonts w:ascii="Baskerville Old Face" w:hAnsi="Baskerville Old Face"/>
          <w:i/>
          <w:iCs/>
          <w:lang w:val="it-IT"/>
        </w:rPr>
        <w:t xml:space="preserve">dO_i / dt = L_i + B_i </w:t>
      </w:r>
      <w:r w:rsidRPr="000B4FC0">
        <w:rPr>
          <w:rFonts w:ascii="Cambria Math" w:hAnsi="Cambria Math" w:cs="Cambria Math"/>
          <w:i/>
          <w:iCs/>
          <w:lang w:val="it-IT"/>
        </w:rPr>
        <w:t>−</w:t>
      </w:r>
      <w:r w:rsidRPr="000B4FC0">
        <w:rPr>
          <w:rFonts w:ascii="Baskerville Old Face" w:hAnsi="Baskerville Old Face"/>
          <w:i/>
          <w:iCs/>
          <w:lang w:val="it-IT"/>
        </w:rPr>
        <w:t xml:space="preserve"> D_i</w:t>
      </w:r>
    </w:p>
    <w:p w14:paraId="134C2E2F" w14:textId="77777777" w:rsidR="003C487D" w:rsidRPr="005907F1" w:rsidRDefault="003C487D" w:rsidP="003C487D">
      <w:pPr>
        <w:spacing w:line="360" w:lineRule="auto"/>
        <w:rPr>
          <w:rFonts w:ascii="Baskerville Old Face" w:hAnsi="Baskerville Old Face"/>
          <w:i/>
          <w:iCs/>
          <w:lang w:val="it-IT"/>
        </w:rPr>
      </w:pPr>
      <w:r w:rsidRPr="005907F1">
        <w:rPr>
          <w:rFonts w:ascii="Baskerville Old Face" w:hAnsi="Baskerville Old Face"/>
          <w:i/>
          <w:iCs/>
          <w:lang w:val="it-IT"/>
        </w:rPr>
        <w:t xml:space="preserve">D_i = </w:t>
      </w:r>
      <w:r w:rsidRPr="00B479AE">
        <w:rPr>
          <w:rFonts w:ascii="Cambria" w:hAnsi="Cambria" w:cs="Cambria"/>
          <w:i/>
          <w:iCs/>
        </w:rPr>
        <w:t>δ</w:t>
      </w:r>
      <w:r w:rsidRPr="005907F1">
        <w:rPr>
          <w:rFonts w:ascii="Baskerville Old Face" w:hAnsi="Baskerville Old Face"/>
          <w:i/>
          <w:iCs/>
          <w:lang w:val="it-IT"/>
        </w:rPr>
        <w:t xml:space="preserve">_i O_i h(E_i, </w:t>
      </w:r>
      <w:r w:rsidRPr="00B479AE">
        <w:rPr>
          <w:rFonts w:ascii="Cambria" w:hAnsi="Cambria" w:cs="Cambria"/>
          <w:i/>
          <w:iCs/>
        </w:rPr>
        <w:t>μ</w:t>
      </w:r>
      <w:r w:rsidRPr="005907F1">
        <w:rPr>
          <w:rFonts w:ascii="Baskerville Old Face" w:hAnsi="Baskerville Old Face"/>
          <w:i/>
          <w:iCs/>
          <w:lang w:val="it-IT"/>
        </w:rPr>
        <w:t xml:space="preserve">_i, W_i, </w:t>
      </w:r>
      <w:r w:rsidRPr="00B479AE">
        <w:rPr>
          <w:rFonts w:ascii="Cambria" w:hAnsi="Cambria" w:cs="Cambria"/>
          <w:i/>
          <w:iCs/>
        </w:rPr>
        <w:t>Θ</w:t>
      </w:r>
      <w:r w:rsidRPr="005907F1">
        <w:rPr>
          <w:rFonts w:ascii="Baskerville Old Face" w:hAnsi="Baskerville Old Face"/>
          <w:i/>
          <w:iCs/>
          <w:lang w:val="it-IT"/>
        </w:rPr>
        <w:t>_i)</w:t>
      </w:r>
    </w:p>
    <w:p w14:paraId="6C947A3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These formulas connect litter input, belowground biomass, decomposition, soil fauna, microbial activity, water, and mineral balance.</w:t>
      </w:r>
    </w:p>
    <w:p w14:paraId="17228D12"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They should be preserved because they give Prometheus a formal basis for modeling soil regeneration.</w:t>
      </w:r>
    </w:p>
    <w:p w14:paraId="17063982"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25. Earthworm and Macrofauna Dynamics</w:t>
      </w:r>
    </w:p>
    <w:p w14:paraId="64D8F4A2"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 is protected:</w:t>
      </w:r>
    </w:p>
    <w:p w14:paraId="722DE4D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 xml:space="preserve">dE_i / dt = </w:t>
      </w:r>
      <w:r w:rsidRPr="00B479AE">
        <w:rPr>
          <w:rFonts w:ascii="Cambria" w:hAnsi="Cambria" w:cs="Cambria"/>
          <w:i/>
          <w:iCs/>
        </w:rPr>
        <w:t>ψ₁</w:t>
      </w:r>
      <w:r w:rsidRPr="00B479AE">
        <w:rPr>
          <w:rFonts w:ascii="Baskerville Old Face" w:hAnsi="Baskerville Old Face"/>
          <w:i/>
          <w:iCs/>
        </w:rPr>
        <w:t xml:space="preserve">O_i + </w:t>
      </w:r>
      <w:r w:rsidRPr="00B479AE">
        <w:rPr>
          <w:rFonts w:ascii="Cambria" w:hAnsi="Cambria" w:cs="Cambria"/>
          <w:i/>
          <w:iCs/>
        </w:rPr>
        <w:t>ψ₂</w:t>
      </w:r>
      <w:r w:rsidRPr="00B479AE">
        <w:rPr>
          <w:rFonts w:ascii="Baskerville Old Face" w:hAnsi="Baskerville Old Face"/>
          <w:i/>
          <w:iCs/>
        </w:rPr>
        <w:t xml:space="preserve">W_i </w:t>
      </w:r>
      <w:r w:rsidRPr="00B479AE">
        <w:rPr>
          <w:rFonts w:ascii="Cambria Math" w:hAnsi="Cambria Math" w:cs="Cambria Math"/>
          <w:i/>
          <w:iCs/>
        </w:rPr>
        <w:t>−</w:t>
      </w:r>
      <w:r w:rsidRPr="00B479AE">
        <w:rPr>
          <w:rFonts w:ascii="Baskerville Old Face" w:hAnsi="Baskerville Old Face"/>
          <w:i/>
          <w:iCs/>
        </w:rPr>
        <w:t xml:space="preserve"> </w:t>
      </w:r>
      <w:r w:rsidRPr="00B479AE">
        <w:rPr>
          <w:rFonts w:ascii="Cambria" w:hAnsi="Cambria" w:cs="Cambria"/>
          <w:i/>
          <w:iCs/>
        </w:rPr>
        <w:t>ψ₃</w:t>
      </w:r>
      <w:r w:rsidRPr="00B479AE">
        <w:rPr>
          <w:rFonts w:ascii="Baskerville Old Face" w:hAnsi="Baskerville Old Face"/>
          <w:i/>
          <w:iCs/>
        </w:rPr>
        <w:t>Stress_i^soil</w:t>
      </w:r>
    </w:p>
    <w:p w14:paraId="65B0B47D"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formula expresses soil-fauna response to organic matter, water, and soil stress.</w:t>
      </w:r>
    </w:p>
    <w:p w14:paraId="47091C0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should be preserved because earthworms and macrofauna are key indicators of soil structure, aeration, infiltration, fertility, and biological recovery.</w:t>
      </w:r>
    </w:p>
    <w:p w14:paraId="52446D64"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26. Microbial Functional Intensity</w:t>
      </w:r>
    </w:p>
    <w:p w14:paraId="262577F0"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 is protected:</w:t>
      </w:r>
    </w:p>
    <w:p w14:paraId="0676E72A" w14:textId="77777777" w:rsidR="003C487D" w:rsidRPr="005907F1" w:rsidRDefault="003C487D" w:rsidP="003C487D">
      <w:pPr>
        <w:spacing w:line="360" w:lineRule="auto"/>
        <w:rPr>
          <w:rFonts w:ascii="Baskerville Old Face" w:hAnsi="Baskerville Old Face"/>
          <w:i/>
          <w:iCs/>
          <w:lang w:val="it-IT"/>
        </w:rPr>
      </w:pPr>
      <w:r w:rsidRPr="005907F1">
        <w:rPr>
          <w:rFonts w:ascii="Baskerville Old Face" w:hAnsi="Baskerville Old Face"/>
          <w:i/>
          <w:iCs/>
          <w:lang w:val="it-IT"/>
        </w:rPr>
        <w:t>d</w:t>
      </w:r>
      <w:r w:rsidRPr="00B479AE">
        <w:rPr>
          <w:rFonts w:ascii="Cambria" w:hAnsi="Cambria" w:cs="Cambria"/>
          <w:i/>
          <w:iCs/>
        </w:rPr>
        <w:t>μ</w:t>
      </w:r>
      <w:r w:rsidRPr="005907F1">
        <w:rPr>
          <w:rFonts w:ascii="Baskerville Old Face" w:hAnsi="Baskerville Old Face"/>
          <w:i/>
          <w:iCs/>
          <w:lang w:val="it-IT"/>
        </w:rPr>
        <w:t xml:space="preserve">_i / dt = </w:t>
      </w:r>
      <w:r w:rsidRPr="00B479AE">
        <w:rPr>
          <w:rFonts w:ascii="Cambria" w:hAnsi="Cambria" w:cs="Cambria"/>
          <w:i/>
          <w:iCs/>
        </w:rPr>
        <w:t>χ</w:t>
      </w:r>
      <w:r w:rsidRPr="005907F1">
        <w:rPr>
          <w:rFonts w:ascii="Cambria" w:hAnsi="Cambria" w:cs="Cambria"/>
          <w:i/>
          <w:iCs/>
          <w:lang w:val="it-IT"/>
        </w:rPr>
        <w:t>₁</w:t>
      </w:r>
      <w:r w:rsidRPr="005907F1">
        <w:rPr>
          <w:rFonts w:ascii="Baskerville Old Face" w:hAnsi="Baskerville Old Face"/>
          <w:i/>
          <w:iCs/>
          <w:lang w:val="it-IT"/>
        </w:rPr>
        <w:t xml:space="preserve">O_i + </w:t>
      </w:r>
      <w:r w:rsidRPr="00B479AE">
        <w:rPr>
          <w:rFonts w:ascii="Cambria" w:hAnsi="Cambria" w:cs="Cambria"/>
          <w:i/>
          <w:iCs/>
        </w:rPr>
        <w:t>χ</w:t>
      </w:r>
      <w:r w:rsidRPr="005907F1">
        <w:rPr>
          <w:rFonts w:ascii="Cambria" w:hAnsi="Cambria" w:cs="Cambria"/>
          <w:i/>
          <w:iCs/>
          <w:lang w:val="it-IT"/>
        </w:rPr>
        <w:t>₂</w:t>
      </w:r>
      <w:r w:rsidRPr="00B479AE">
        <w:rPr>
          <w:rFonts w:ascii="Cambria" w:hAnsi="Cambria" w:cs="Cambria"/>
          <w:i/>
          <w:iCs/>
        </w:rPr>
        <w:t>Θ</w:t>
      </w:r>
      <w:r w:rsidRPr="005907F1">
        <w:rPr>
          <w:rFonts w:ascii="Baskerville Old Face" w:hAnsi="Baskerville Old Face"/>
          <w:i/>
          <w:iCs/>
          <w:lang w:val="it-IT"/>
        </w:rPr>
        <w:t xml:space="preserve">_i + </w:t>
      </w:r>
      <w:r w:rsidRPr="00B479AE">
        <w:rPr>
          <w:rFonts w:ascii="Cambria" w:hAnsi="Cambria" w:cs="Cambria"/>
          <w:i/>
          <w:iCs/>
        </w:rPr>
        <w:t>χ</w:t>
      </w:r>
      <w:r w:rsidRPr="005907F1">
        <w:rPr>
          <w:rFonts w:ascii="Cambria" w:hAnsi="Cambria" w:cs="Cambria"/>
          <w:i/>
          <w:iCs/>
          <w:lang w:val="it-IT"/>
        </w:rPr>
        <w:t>₃</w:t>
      </w:r>
      <w:r w:rsidRPr="005907F1">
        <w:rPr>
          <w:rFonts w:ascii="Baskerville Old Face" w:hAnsi="Baskerville Old Face"/>
          <w:i/>
          <w:iCs/>
          <w:lang w:val="it-IT"/>
        </w:rPr>
        <w:t xml:space="preserve">F_i </w:t>
      </w:r>
      <w:r w:rsidRPr="005907F1">
        <w:rPr>
          <w:rFonts w:ascii="Cambria Math" w:hAnsi="Cambria Math" w:cs="Cambria Math"/>
          <w:i/>
          <w:iCs/>
          <w:lang w:val="it-IT"/>
        </w:rPr>
        <w:t>−</w:t>
      </w:r>
      <w:r w:rsidRPr="005907F1">
        <w:rPr>
          <w:rFonts w:ascii="Baskerville Old Face" w:hAnsi="Baskerville Old Face"/>
          <w:i/>
          <w:iCs/>
          <w:lang w:val="it-IT"/>
        </w:rPr>
        <w:t xml:space="preserve"> </w:t>
      </w:r>
      <w:r w:rsidRPr="00B479AE">
        <w:rPr>
          <w:rFonts w:ascii="Cambria" w:hAnsi="Cambria" w:cs="Cambria"/>
          <w:i/>
          <w:iCs/>
        </w:rPr>
        <w:t>χ</w:t>
      </w:r>
      <w:r w:rsidRPr="005907F1">
        <w:rPr>
          <w:rFonts w:ascii="Cambria" w:hAnsi="Cambria" w:cs="Cambria"/>
          <w:i/>
          <w:iCs/>
          <w:lang w:val="it-IT"/>
        </w:rPr>
        <w:t>₄</w:t>
      </w:r>
      <w:r w:rsidRPr="005907F1">
        <w:rPr>
          <w:rFonts w:ascii="Baskerville Old Face" w:hAnsi="Baskerville Old Face"/>
          <w:i/>
          <w:iCs/>
          <w:lang w:val="it-IT"/>
        </w:rPr>
        <w:t>Disturbance_i</w:t>
      </w:r>
    </w:p>
    <w:p w14:paraId="1A8EF9D9"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formula links microbial activity to organic matter, microelements, fungal support, and disturbance.</w:t>
      </w:r>
    </w:p>
    <w:p w14:paraId="7A13A729"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should be preserved because microbial functional intensity is central to soil metabolism and regenerative performance.</w:t>
      </w:r>
    </w:p>
    <w:p w14:paraId="5F00CBF9" w14:textId="3AB04373" w:rsidR="003C487D" w:rsidRPr="00B479AE" w:rsidRDefault="003C487D" w:rsidP="003C487D">
      <w:pPr>
        <w:spacing w:line="360" w:lineRule="auto"/>
        <w:rPr>
          <w:rFonts w:ascii="Baskerville Old Face" w:hAnsi="Baskerville Old Face"/>
          <w:i/>
          <w:iCs/>
        </w:rPr>
      </w:pPr>
    </w:p>
    <w:p w14:paraId="3C9E07DE"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lastRenderedPageBreak/>
        <w:t>27. Water Dynamics</w:t>
      </w:r>
    </w:p>
    <w:p w14:paraId="15A0A58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 is protected:</w:t>
      </w:r>
    </w:p>
    <w:p w14:paraId="4EFA98F0" w14:textId="77777777" w:rsidR="003C487D" w:rsidRPr="005907F1" w:rsidRDefault="003C487D" w:rsidP="003C487D">
      <w:pPr>
        <w:spacing w:line="360" w:lineRule="auto"/>
        <w:rPr>
          <w:rFonts w:ascii="Baskerville Old Face" w:hAnsi="Baskerville Old Face"/>
          <w:i/>
          <w:iCs/>
          <w:lang w:val="it-IT"/>
        </w:rPr>
      </w:pPr>
      <w:r w:rsidRPr="005907F1">
        <w:rPr>
          <w:rFonts w:ascii="Baskerville Old Face" w:hAnsi="Baskerville Old Face"/>
          <w:i/>
          <w:iCs/>
          <w:lang w:val="it-IT"/>
        </w:rPr>
        <w:t xml:space="preserve">dW_i / dt = P_i + I_i^infil + </w:t>
      </w:r>
      <w:r w:rsidRPr="00B479AE">
        <w:rPr>
          <w:rFonts w:ascii="Cambria" w:hAnsi="Cambria" w:cs="Cambria"/>
          <w:i/>
          <w:iCs/>
        </w:rPr>
        <w:t>Φ</w:t>
      </w:r>
      <w:r w:rsidRPr="005907F1">
        <w:rPr>
          <w:rFonts w:ascii="Baskerville Old Face" w:hAnsi="Baskerville Old Face"/>
          <w:i/>
          <w:iCs/>
          <w:lang w:val="it-IT"/>
        </w:rPr>
        <w:t xml:space="preserve">_i^(fung,W) </w:t>
      </w:r>
      <w:r w:rsidRPr="005907F1">
        <w:rPr>
          <w:rFonts w:ascii="Cambria Math" w:hAnsi="Cambria Math" w:cs="Cambria Math"/>
          <w:i/>
          <w:iCs/>
          <w:lang w:val="it-IT"/>
        </w:rPr>
        <w:t>−</w:t>
      </w:r>
      <w:r w:rsidRPr="005907F1">
        <w:rPr>
          <w:rFonts w:ascii="Baskerville Old Face" w:hAnsi="Baskerville Old Face"/>
          <w:i/>
          <w:iCs/>
          <w:lang w:val="it-IT"/>
        </w:rPr>
        <w:t xml:space="preserve"> U_i </w:t>
      </w:r>
      <w:r w:rsidRPr="005907F1">
        <w:rPr>
          <w:rFonts w:ascii="Cambria Math" w:hAnsi="Cambria Math" w:cs="Cambria Math"/>
          <w:i/>
          <w:iCs/>
          <w:lang w:val="it-IT"/>
        </w:rPr>
        <w:t>−</w:t>
      </w:r>
      <w:r w:rsidRPr="005907F1">
        <w:rPr>
          <w:rFonts w:ascii="Baskerville Old Face" w:hAnsi="Baskerville Old Face"/>
          <w:i/>
          <w:iCs/>
          <w:lang w:val="it-IT"/>
        </w:rPr>
        <w:t xml:space="preserve"> ETP_i </w:t>
      </w:r>
      <w:r w:rsidRPr="005907F1">
        <w:rPr>
          <w:rFonts w:ascii="Cambria Math" w:hAnsi="Cambria Math" w:cs="Cambria Math"/>
          <w:i/>
          <w:iCs/>
          <w:lang w:val="it-IT"/>
        </w:rPr>
        <w:t>−</w:t>
      </w:r>
      <w:r w:rsidRPr="005907F1">
        <w:rPr>
          <w:rFonts w:ascii="Baskerville Old Face" w:hAnsi="Baskerville Old Face"/>
          <w:i/>
          <w:iCs/>
          <w:lang w:val="it-IT"/>
        </w:rPr>
        <w:t xml:space="preserve"> L_i^loss</w:t>
      </w:r>
    </w:p>
    <w:p w14:paraId="7EC9FCCF"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Where:</w:t>
      </w:r>
    </w:p>
    <w:p w14:paraId="25F4984C"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P_i = precipitation or water input</w:t>
      </w:r>
      <w:r w:rsidRPr="00B479AE">
        <w:rPr>
          <w:rFonts w:ascii="Baskerville Old Face" w:hAnsi="Baskerville Old Face"/>
          <w:i/>
          <w:iCs/>
        </w:rPr>
        <w:br/>
        <w:t>I_i^infil = infiltration</w:t>
      </w:r>
      <w:r w:rsidRPr="00B479AE">
        <w:rPr>
          <w:rFonts w:ascii="Baskerville Old Face" w:hAnsi="Baskerville Old Face"/>
          <w:i/>
          <w:iCs/>
        </w:rPr>
        <w:br/>
      </w:r>
      <w:r w:rsidRPr="00B479AE">
        <w:rPr>
          <w:rFonts w:ascii="Cambria" w:hAnsi="Cambria" w:cs="Cambria"/>
          <w:i/>
          <w:iCs/>
        </w:rPr>
        <w:t>Φ</w:t>
      </w:r>
      <w:r w:rsidRPr="00B479AE">
        <w:rPr>
          <w:rFonts w:ascii="Baskerville Old Face" w:hAnsi="Baskerville Old Face"/>
          <w:i/>
          <w:iCs/>
        </w:rPr>
        <w:t>_i^(fung,W) = fungal-mediated water contribution</w:t>
      </w:r>
      <w:r w:rsidRPr="00B479AE">
        <w:rPr>
          <w:rFonts w:ascii="Baskerville Old Face" w:hAnsi="Baskerville Old Face"/>
          <w:i/>
          <w:iCs/>
        </w:rPr>
        <w:br/>
        <w:t>U_i = plant uptake</w:t>
      </w:r>
      <w:r w:rsidRPr="00B479AE">
        <w:rPr>
          <w:rFonts w:ascii="Baskerville Old Face" w:hAnsi="Baskerville Old Face"/>
          <w:i/>
          <w:iCs/>
        </w:rPr>
        <w:br/>
        <w:t>ETP_i = evapotranspiration</w:t>
      </w:r>
      <w:r w:rsidRPr="00B479AE">
        <w:rPr>
          <w:rFonts w:ascii="Baskerville Old Face" w:hAnsi="Baskerville Old Face"/>
          <w:i/>
          <w:iCs/>
        </w:rPr>
        <w:br/>
        <w:t>L_i^loss = losses</w:t>
      </w:r>
    </w:p>
    <w:p w14:paraId="3383624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formula is a core hydrological formula.</w:t>
      </w:r>
    </w:p>
    <w:p w14:paraId="525DAF8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connects precipitation, infiltration, fungal-mediated water transfer, uptake, evapotranspiration, and loss.</w:t>
      </w:r>
    </w:p>
    <w:p w14:paraId="6F24C728"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should be preserved because water intelligence is central to Prometheus, especially in drought-prone or Mediterranean contexts.</w:t>
      </w:r>
    </w:p>
    <w:p w14:paraId="21F11820"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28. Infiltration Function</w:t>
      </w:r>
    </w:p>
    <w:p w14:paraId="39373C7F"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 is protected:</w:t>
      </w:r>
    </w:p>
    <w:p w14:paraId="1718A8CF" w14:textId="77777777" w:rsidR="003C487D" w:rsidRPr="005907F1" w:rsidRDefault="003C487D" w:rsidP="003C487D">
      <w:pPr>
        <w:spacing w:line="360" w:lineRule="auto"/>
        <w:rPr>
          <w:rFonts w:ascii="Baskerville Old Face" w:hAnsi="Baskerville Old Face"/>
          <w:i/>
          <w:iCs/>
          <w:lang w:val="it-IT"/>
        </w:rPr>
      </w:pPr>
      <w:r w:rsidRPr="005907F1">
        <w:rPr>
          <w:rFonts w:ascii="Baskerville Old Face" w:hAnsi="Baskerville Old Face"/>
          <w:i/>
          <w:iCs/>
          <w:lang w:val="it-IT"/>
        </w:rPr>
        <w:t xml:space="preserve">I_i^infil = </w:t>
      </w:r>
      <w:r w:rsidRPr="00B479AE">
        <w:rPr>
          <w:rFonts w:ascii="Cambria" w:hAnsi="Cambria" w:cs="Cambria"/>
          <w:i/>
          <w:iCs/>
        </w:rPr>
        <w:t>ζ</w:t>
      </w:r>
      <w:r w:rsidRPr="005907F1">
        <w:rPr>
          <w:rFonts w:ascii="Cambria" w:hAnsi="Cambria" w:cs="Cambria"/>
          <w:i/>
          <w:iCs/>
          <w:lang w:val="it-IT"/>
        </w:rPr>
        <w:t>₁</w:t>
      </w:r>
      <w:r w:rsidRPr="005907F1">
        <w:rPr>
          <w:rFonts w:ascii="Baskerville Old Face" w:hAnsi="Baskerville Old Face"/>
          <w:i/>
          <w:iCs/>
          <w:lang w:val="it-IT"/>
        </w:rPr>
        <w:t xml:space="preserve">O_i + </w:t>
      </w:r>
      <w:r w:rsidRPr="00B479AE">
        <w:rPr>
          <w:rFonts w:ascii="Cambria" w:hAnsi="Cambria" w:cs="Cambria"/>
          <w:i/>
          <w:iCs/>
        </w:rPr>
        <w:t>ζ</w:t>
      </w:r>
      <w:r w:rsidRPr="005907F1">
        <w:rPr>
          <w:rFonts w:ascii="Cambria" w:hAnsi="Cambria" w:cs="Cambria"/>
          <w:i/>
          <w:iCs/>
          <w:lang w:val="it-IT"/>
        </w:rPr>
        <w:t>₂</w:t>
      </w:r>
      <w:r w:rsidRPr="005907F1">
        <w:rPr>
          <w:rFonts w:ascii="Baskerville Old Face" w:hAnsi="Baskerville Old Face"/>
          <w:i/>
          <w:iCs/>
          <w:lang w:val="it-IT"/>
        </w:rPr>
        <w:t xml:space="preserve">E_i + </w:t>
      </w:r>
      <w:r w:rsidRPr="00B479AE">
        <w:rPr>
          <w:rFonts w:ascii="Cambria" w:hAnsi="Cambria" w:cs="Cambria"/>
          <w:i/>
          <w:iCs/>
        </w:rPr>
        <w:t>ζ</w:t>
      </w:r>
      <w:r w:rsidRPr="005907F1">
        <w:rPr>
          <w:rFonts w:ascii="Cambria" w:hAnsi="Cambria" w:cs="Cambria"/>
          <w:i/>
          <w:iCs/>
          <w:lang w:val="it-IT"/>
        </w:rPr>
        <w:t>₃</w:t>
      </w:r>
      <w:r w:rsidRPr="00B479AE">
        <w:rPr>
          <w:rFonts w:ascii="Cambria" w:hAnsi="Cambria" w:cs="Cambria"/>
          <w:i/>
          <w:iCs/>
        </w:rPr>
        <w:t>μ</w:t>
      </w:r>
      <w:r w:rsidRPr="005907F1">
        <w:rPr>
          <w:rFonts w:ascii="Baskerville Old Face" w:hAnsi="Baskerville Old Face"/>
          <w:i/>
          <w:iCs/>
          <w:lang w:val="it-IT"/>
        </w:rPr>
        <w:t xml:space="preserve">_i + </w:t>
      </w:r>
      <w:r w:rsidRPr="00B479AE">
        <w:rPr>
          <w:rFonts w:ascii="Cambria" w:hAnsi="Cambria" w:cs="Cambria"/>
          <w:i/>
          <w:iCs/>
        </w:rPr>
        <w:t>ζ</w:t>
      </w:r>
      <w:r w:rsidRPr="005907F1">
        <w:rPr>
          <w:rFonts w:ascii="Cambria" w:hAnsi="Cambria" w:cs="Cambria"/>
          <w:i/>
          <w:iCs/>
          <w:lang w:val="it-IT"/>
        </w:rPr>
        <w:t>₄</w:t>
      </w:r>
      <w:r w:rsidRPr="005907F1">
        <w:rPr>
          <w:rFonts w:ascii="Baskerville Old Face" w:hAnsi="Baskerville Old Face"/>
          <w:i/>
          <w:iCs/>
          <w:lang w:val="it-IT"/>
        </w:rPr>
        <w:t>Microtopography_i</w:t>
      </w:r>
    </w:p>
    <w:p w14:paraId="2810CA6B"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formula connects organic matter, soil fauna, microbial activity, and microtopography to infiltration.</w:t>
      </w:r>
    </w:p>
    <w:p w14:paraId="27322DB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should be preserved because it creates a measurable bridge between regenerative design and hydrological gain.</w:t>
      </w:r>
    </w:p>
    <w:p w14:paraId="4B10537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is one of the most strategically important formulas for translating soil regeneration into water resilience.</w:t>
      </w:r>
    </w:p>
    <w:p w14:paraId="4C5FE157" w14:textId="1F45387C" w:rsidR="003C487D" w:rsidRPr="00B479AE" w:rsidRDefault="003C487D" w:rsidP="003C487D">
      <w:pPr>
        <w:spacing w:line="360" w:lineRule="auto"/>
        <w:rPr>
          <w:rFonts w:ascii="Baskerville Old Face" w:hAnsi="Baskerville Old Face"/>
          <w:i/>
          <w:iCs/>
        </w:rPr>
      </w:pPr>
    </w:p>
    <w:p w14:paraId="155494E9"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lastRenderedPageBreak/>
        <w:t>29. Successional Dynamics</w:t>
      </w:r>
    </w:p>
    <w:p w14:paraId="68E15B00"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 is protected:</w:t>
      </w:r>
    </w:p>
    <w:p w14:paraId="286CFD39" w14:textId="77777777" w:rsidR="003C487D" w:rsidRPr="005907F1" w:rsidRDefault="003C487D" w:rsidP="003C487D">
      <w:pPr>
        <w:spacing w:line="360" w:lineRule="auto"/>
        <w:rPr>
          <w:rFonts w:ascii="Baskerville Old Face" w:hAnsi="Baskerville Old Face"/>
          <w:i/>
          <w:iCs/>
          <w:lang w:val="it-IT"/>
        </w:rPr>
      </w:pPr>
      <w:r w:rsidRPr="005907F1">
        <w:rPr>
          <w:rFonts w:ascii="Baskerville Old Face" w:hAnsi="Baskerville Old Face"/>
          <w:i/>
          <w:iCs/>
          <w:lang w:val="it-IT"/>
        </w:rPr>
        <w:t xml:space="preserve">dS_i / dt = </w:t>
      </w:r>
      <w:r w:rsidRPr="00B479AE">
        <w:rPr>
          <w:rFonts w:ascii="Cambria" w:hAnsi="Cambria" w:cs="Cambria"/>
          <w:i/>
          <w:iCs/>
        </w:rPr>
        <w:t>δ</w:t>
      </w:r>
      <w:r w:rsidRPr="005907F1">
        <w:rPr>
          <w:rFonts w:ascii="Cambria" w:hAnsi="Cambria" w:cs="Cambria"/>
          <w:i/>
          <w:iCs/>
          <w:lang w:val="it-IT"/>
        </w:rPr>
        <w:t>₁</w:t>
      </w:r>
      <w:r w:rsidRPr="005907F1">
        <w:rPr>
          <w:rFonts w:ascii="Baskerville Old Face" w:hAnsi="Baskerville Old Face"/>
          <w:i/>
          <w:iCs/>
          <w:lang w:val="it-IT"/>
        </w:rPr>
        <w:t xml:space="preserve">Biodiv_i + </w:t>
      </w:r>
      <w:r w:rsidRPr="00B479AE">
        <w:rPr>
          <w:rFonts w:ascii="Cambria" w:hAnsi="Cambria" w:cs="Cambria"/>
          <w:i/>
          <w:iCs/>
        </w:rPr>
        <w:t>δ</w:t>
      </w:r>
      <w:r w:rsidRPr="005907F1">
        <w:rPr>
          <w:rFonts w:ascii="Cambria" w:hAnsi="Cambria" w:cs="Cambria"/>
          <w:i/>
          <w:iCs/>
          <w:lang w:val="it-IT"/>
        </w:rPr>
        <w:t>₂</w:t>
      </w:r>
      <w:r w:rsidRPr="005907F1">
        <w:rPr>
          <w:rFonts w:ascii="Baskerville Old Face" w:hAnsi="Baskerville Old Face"/>
          <w:i/>
          <w:iCs/>
          <w:lang w:val="it-IT"/>
        </w:rPr>
        <w:t xml:space="preserve">F_i + </w:t>
      </w:r>
      <w:r w:rsidRPr="00B479AE">
        <w:rPr>
          <w:rFonts w:ascii="Cambria" w:hAnsi="Cambria" w:cs="Cambria"/>
          <w:i/>
          <w:iCs/>
        </w:rPr>
        <w:t>δ</w:t>
      </w:r>
      <w:r w:rsidRPr="005907F1">
        <w:rPr>
          <w:rFonts w:ascii="Cambria" w:hAnsi="Cambria" w:cs="Cambria"/>
          <w:i/>
          <w:iCs/>
          <w:lang w:val="it-IT"/>
        </w:rPr>
        <w:t>₃</w:t>
      </w:r>
      <w:r w:rsidRPr="005907F1">
        <w:rPr>
          <w:rFonts w:ascii="Baskerville Old Face" w:hAnsi="Baskerville Old Face"/>
          <w:i/>
          <w:iCs/>
          <w:lang w:val="it-IT"/>
        </w:rPr>
        <w:t xml:space="preserve">M_i^sec + </w:t>
      </w:r>
      <w:r w:rsidRPr="00B479AE">
        <w:rPr>
          <w:rFonts w:ascii="Cambria" w:hAnsi="Cambria" w:cs="Cambria"/>
          <w:i/>
          <w:iCs/>
        </w:rPr>
        <w:t>δ</w:t>
      </w:r>
      <w:r w:rsidRPr="005907F1">
        <w:rPr>
          <w:rFonts w:ascii="Cambria" w:hAnsi="Cambria" w:cs="Cambria"/>
          <w:i/>
          <w:iCs/>
          <w:lang w:val="it-IT"/>
        </w:rPr>
        <w:t>₄</w:t>
      </w:r>
      <w:r w:rsidRPr="005907F1">
        <w:rPr>
          <w:rFonts w:ascii="Baskerville Old Face" w:hAnsi="Baskerville Old Face"/>
          <w:i/>
          <w:iCs/>
          <w:lang w:val="it-IT"/>
        </w:rPr>
        <w:t xml:space="preserve">O_i </w:t>
      </w:r>
      <w:r w:rsidRPr="005907F1">
        <w:rPr>
          <w:rFonts w:ascii="Cambria Math" w:hAnsi="Cambria Math" w:cs="Cambria Math"/>
          <w:i/>
          <w:iCs/>
          <w:lang w:val="it-IT"/>
        </w:rPr>
        <w:t>−</w:t>
      </w:r>
      <w:r w:rsidRPr="005907F1">
        <w:rPr>
          <w:rFonts w:ascii="Baskerville Old Face" w:hAnsi="Baskerville Old Face"/>
          <w:i/>
          <w:iCs/>
          <w:lang w:val="it-IT"/>
        </w:rPr>
        <w:t xml:space="preserve"> </w:t>
      </w:r>
      <w:r w:rsidRPr="00B479AE">
        <w:rPr>
          <w:rFonts w:ascii="Cambria" w:hAnsi="Cambria" w:cs="Cambria"/>
          <w:i/>
          <w:iCs/>
        </w:rPr>
        <w:t>ε</w:t>
      </w:r>
      <w:r w:rsidRPr="005907F1">
        <w:rPr>
          <w:rFonts w:ascii="Cambria" w:hAnsi="Cambria" w:cs="Cambria"/>
          <w:i/>
          <w:iCs/>
          <w:lang w:val="it-IT"/>
        </w:rPr>
        <w:t>₁</w:t>
      </w:r>
      <w:r w:rsidRPr="005907F1">
        <w:rPr>
          <w:rFonts w:ascii="Baskerville Old Face" w:hAnsi="Baskerville Old Face"/>
          <w:i/>
          <w:iCs/>
          <w:lang w:val="it-IT"/>
        </w:rPr>
        <w:t xml:space="preserve">Stress_i </w:t>
      </w:r>
      <w:r w:rsidRPr="005907F1">
        <w:rPr>
          <w:rFonts w:ascii="Cambria Math" w:hAnsi="Cambria Math" w:cs="Cambria Math"/>
          <w:i/>
          <w:iCs/>
          <w:lang w:val="it-IT"/>
        </w:rPr>
        <w:t>−</w:t>
      </w:r>
      <w:r w:rsidRPr="005907F1">
        <w:rPr>
          <w:rFonts w:ascii="Baskerville Old Face" w:hAnsi="Baskerville Old Face"/>
          <w:i/>
          <w:iCs/>
          <w:lang w:val="it-IT"/>
        </w:rPr>
        <w:t xml:space="preserve"> </w:t>
      </w:r>
      <w:r w:rsidRPr="00B479AE">
        <w:rPr>
          <w:rFonts w:ascii="Cambria" w:hAnsi="Cambria" w:cs="Cambria"/>
          <w:i/>
          <w:iCs/>
        </w:rPr>
        <w:t>ε</w:t>
      </w:r>
      <w:r w:rsidRPr="005907F1">
        <w:rPr>
          <w:rFonts w:ascii="Cambria" w:hAnsi="Cambria" w:cs="Cambria"/>
          <w:i/>
          <w:iCs/>
          <w:lang w:val="it-IT"/>
        </w:rPr>
        <w:t>₂</w:t>
      </w:r>
      <w:r w:rsidRPr="005907F1">
        <w:rPr>
          <w:rFonts w:ascii="Baskerville Old Face" w:hAnsi="Baskerville Old Face"/>
          <w:i/>
          <w:iCs/>
          <w:lang w:val="it-IT"/>
        </w:rPr>
        <w:t>Disturbance_i</w:t>
      </w:r>
    </w:p>
    <w:p w14:paraId="783B2E99"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successional target may be represented as:</w:t>
      </w:r>
    </w:p>
    <w:p w14:paraId="11779AF2"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 xml:space="preserve">S_i </w:t>
      </w:r>
      <w:r w:rsidRPr="00B479AE">
        <w:rPr>
          <w:rFonts w:ascii="Times New Roman" w:hAnsi="Times New Roman" w:cs="Times New Roman"/>
          <w:i/>
          <w:iCs/>
        </w:rPr>
        <w:t>→</w:t>
      </w:r>
      <w:r w:rsidRPr="00B479AE">
        <w:rPr>
          <w:rFonts w:ascii="Baskerville Old Face" w:hAnsi="Baskerville Old Face"/>
          <w:i/>
          <w:iCs/>
        </w:rPr>
        <w:t xml:space="preserve"> 3</w:t>
      </w:r>
    </w:p>
    <w:p w14:paraId="347FF707"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formula models successional movement toward maturity while preserving the possibility of regression.</w:t>
      </w:r>
    </w:p>
    <w:p w14:paraId="2C349B77"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should be preserved because syntropic systems are dynamic, successional, and time-dependent.</w:t>
      </w:r>
    </w:p>
    <w:p w14:paraId="30AFEF75"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30. Emergent Production</w:t>
      </w:r>
    </w:p>
    <w:p w14:paraId="688232A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 is protected:</w:t>
      </w:r>
    </w:p>
    <w:p w14:paraId="65DDC74B" w14:textId="77777777" w:rsidR="003C487D" w:rsidRPr="005907F1" w:rsidRDefault="003C487D" w:rsidP="003C487D">
      <w:pPr>
        <w:spacing w:line="360" w:lineRule="auto"/>
        <w:rPr>
          <w:rFonts w:ascii="Baskerville Old Face" w:hAnsi="Baskerville Old Face"/>
          <w:i/>
          <w:iCs/>
          <w:lang w:val="it-IT"/>
        </w:rPr>
      </w:pPr>
      <w:r w:rsidRPr="005907F1">
        <w:rPr>
          <w:rFonts w:ascii="Baskerville Old Face" w:hAnsi="Baskerville Old Face"/>
          <w:i/>
          <w:iCs/>
          <w:lang w:val="it-IT"/>
        </w:rPr>
        <w:t xml:space="preserve">Y_i = </w:t>
      </w:r>
      <w:r w:rsidRPr="00B479AE">
        <w:rPr>
          <w:rFonts w:ascii="Cambria" w:hAnsi="Cambria" w:cs="Cambria"/>
          <w:i/>
          <w:iCs/>
        </w:rPr>
        <w:t>θ</w:t>
      </w:r>
      <w:r w:rsidRPr="005907F1">
        <w:rPr>
          <w:rFonts w:ascii="Baskerville Old Face" w:hAnsi="Baskerville Old Face"/>
          <w:i/>
          <w:iCs/>
          <w:lang w:val="it-IT"/>
        </w:rPr>
        <w:t xml:space="preserve">_i </w:t>
      </w:r>
      <w:r w:rsidRPr="005907F1">
        <w:rPr>
          <w:rFonts w:ascii="Cambria" w:hAnsi="Cambria" w:cs="Cambria"/>
          <w:i/>
          <w:iCs/>
          <w:lang w:val="it-IT"/>
        </w:rPr>
        <w:t>·</w:t>
      </w:r>
      <w:r w:rsidRPr="005907F1">
        <w:rPr>
          <w:rFonts w:ascii="Baskerville Old Face" w:hAnsi="Baskerville Old Face"/>
          <w:i/>
          <w:iCs/>
          <w:lang w:val="it-IT"/>
        </w:rPr>
        <w:t xml:space="preserve"> F(W_i, N_i, C_i, O_i, </w:t>
      </w:r>
      <w:r w:rsidRPr="00B479AE">
        <w:rPr>
          <w:rFonts w:ascii="Cambria" w:hAnsi="Cambria" w:cs="Cambria"/>
          <w:i/>
          <w:iCs/>
        </w:rPr>
        <w:t>μ</w:t>
      </w:r>
      <w:r w:rsidRPr="005907F1">
        <w:rPr>
          <w:rFonts w:ascii="Baskerville Old Face" w:hAnsi="Baskerville Old Face"/>
          <w:i/>
          <w:iCs/>
          <w:lang w:val="it-IT"/>
        </w:rPr>
        <w:t>_i, E_i, F_i, M_i^sec, S_i)</w:t>
      </w:r>
    </w:p>
    <w:p w14:paraId="083382E8"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formula expresses node-level production as a function of ecological state.</w:t>
      </w:r>
    </w:p>
    <w:p w14:paraId="3B31BF0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should be preserved because it prevents productivity from being reduced to yield alone.</w:t>
      </w:r>
    </w:p>
    <w:p w14:paraId="7E79FA41"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In Prometheus, productivity is a function of water, nutrients, carbon, soil organic matter, microbial activity, soil fauna, fungal support, biochemical state, and succession.</w:t>
      </w:r>
    </w:p>
    <w:p w14:paraId="33AEB86E"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31. System Production and Cooperative Surplus</w:t>
      </w:r>
    </w:p>
    <w:p w14:paraId="50E62422"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 is protected:</w:t>
      </w:r>
    </w:p>
    <w:p w14:paraId="280513D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 xml:space="preserve">Y_sys = </w:t>
      </w:r>
      <w:r w:rsidRPr="00B479AE">
        <w:rPr>
          <w:rFonts w:ascii="Cambria" w:hAnsi="Cambria" w:cs="Cambria"/>
          <w:i/>
          <w:iCs/>
        </w:rPr>
        <w:t>Σ</w:t>
      </w:r>
      <w:r w:rsidRPr="00B479AE">
        <w:rPr>
          <w:rFonts w:ascii="Baskerville Old Face" w:hAnsi="Baskerville Old Face"/>
          <w:i/>
          <w:iCs/>
        </w:rPr>
        <w:t xml:space="preserve">_iY_i + </w:t>
      </w:r>
      <w:r w:rsidRPr="00B479AE">
        <w:rPr>
          <w:rFonts w:ascii="Cambria" w:hAnsi="Cambria" w:cs="Cambria"/>
          <w:i/>
          <w:iCs/>
        </w:rPr>
        <w:t>Σ</w:t>
      </w:r>
      <w:r w:rsidRPr="00B479AE">
        <w:rPr>
          <w:rFonts w:ascii="Baskerville Old Face" w:hAnsi="Baskerville Old Face"/>
          <w:i/>
          <w:iCs/>
        </w:rPr>
        <w:t>_{i</w:t>
      </w:r>
      <w:r w:rsidRPr="00B479AE">
        <w:rPr>
          <w:rFonts w:ascii="Baskerville Old Face" w:hAnsi="Baskerville Old Face" w:cs="Baskerville Old Face"/>
          <w:i/>
          <w:iCs/>
        </w:rPr>
        <w:t>≠</w:t>
      </w:r>
      <w:r w:rsidRPr="00B479AE">
        <w:rPr>
          <w:rFonts w:ascii="Baskerville Old Face" w:hAnsi="Baskerville Old Face"/>
          <w:i/>
          <w:iCs/>
        </w:rPr>
        <w:t>j}</w:t>
      </w:r>
      <w:r w:rsidRPr="00B479AE">
        <w:rPr>
          <w:rFonts w:ascii="Cambria" w:hAnsi="Cambria" w:cs="Cambria"/>
          <w:i/>
          <w:iCs/>
        </w:rPr>
        <w:t>Ω</w:t>
      </w:r>
      <w:r w:rsidRPr="00B479AE">
        <w:rPr>
          <w:rFonts w:ascii="Baskerville Old Face" w:hAnsi="Baskerville Old Face"/>
          <w:i/>
          <w:iCs/>
        </w:rPr>
        <w:t>_ij</w:t>
      </w:r>
    </w:p>
    <w:p w14:paraId="65D67FEF"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formula is a core syntropic superiority hypothesis.</w:t>
      </w:r>
    </w:p>
    <w:p w14:paraId="70F6DE72"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states that total system output may include cooperation-derived surplus.</w:t>
      </w:r>
    </w:p>
    <w:p w14:paraId="49C0A776"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system may produce more than the isolated sum of its parts when ecological interactions generate beneficial network effects.</w:t>
      </w:r>
    </w:p>
    <w:p w14:paraId="7EE53101"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must be treated as a testable hypothesis, not a decorative claim.</w:t>
      </w:r>
    </w:p>
    <w:p w14:paraId="4A1AE313"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lastRenderedPageBreak/>
        <w:t>32. System Value Function</w:t>
      </w:r>
    </w:p>
    <w:p w14:paraId="04861E9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formulas are protected:</w:t>
      </w:r>
    </w:p>
    <w:p w14:paraId="284FE2F7" w14:textId="77777777" w:rsidR="003C487D" w:rsidRPr="005907F1" w:rsidRDefault="003C487D" w:rsidP="003C487D">
      <w:pPr>
        <w:spacing w:line="360" w:lineRule="auto"/>
        <w:rPr>
          <w:rFonts w:ascii="Baskerville Old Face" w:hAnsi="Baskerville Old Face"/>
          <w:i/>
          <w:iCs/>
          <w:lang w:val="it-IT"/>
        </w:rPr>
      </w:pPr>
      <w:r w:rsidRPr="005907F1">
        <w:rPr>
          <w:rFonts w:ascii="Baskerville Old Face" w:hAnsi="Baskerville Old Face"/>
          <w:i/>
          <w:iCs/>
          <w:lang w:val="it-IT"/>
        </w:rPr>
        <w:t xml:space="preserve">V_sys = </w:t>
      </w:r>
      <w:r w:rsidRPr="00B479AE">
        <w:rPr>
          <w:rFonts w:ascii="Cambria" w:hAnsi="Cambria" w:cs="Cambria"/>
          <w:i/>
          <w:iCs/>
        </w:rPr>
        <w:t>Σ</w:t>
      </w:r>
      <w:r w:rsidRPr="005907F1">
        <w:rPr>
          <w:rFonts w:ascii="Baskerville Old Face" w:hAnsi="Baskerville Old Face"/>
          <w:i/>
          <w:iCs/>
          <w:lang w:val="it-IT"/>
        </w:rPr>
        <w:t>_i(Y_i + ES_i + Stab_i)</w:t>
      </w:r>
    </w:p>
    <w:p w14:paraId="1BC2F759" w14:textId="77777777" w:rsidR="003C487D" w:rsidRPr="005907F1" w:rsidRDefault="003C487D" w:rsidP="003C487D">
      <w:pPr>
        <w:spacing w:line="360" w:lineRule="auto"/>
        <w:rPr>
          <w:rFonts w:ascii="Baskerville Old Face" w:hAnsi="Baskerville Old Face"/>
          <w:i/>
          <w:iCs/>
          <w:lang w:val="it-IT"/>
        </w:rPr>
      </w:pPr>
      <w:r w:rsidRPr="005907F1">
        <w:rPr>
          <w:rFonts w:ascii="Baskerville Old Face" w:hAnsi="Baskerville Old Face"/>
          <w:i/>
          <w:iCs/>
          <w:lang w:val="it-IT"/>
        </w:rPr>
        <w:t xml:space="preserve">V_sys = </w:t>
      </w:r>
      <w:r w:rsidRPr="00B479AE">
        <w:rPr>
          <w:rFonts w:ascii="Cambria" w:hAnsi="Cambria" w:cs="Cambria"/>
          <w:i/>
          <w:iCs/>
        </w:rPr>
        <w:t>Σ</w:t>
      </w:r>
      <w:r w:rsidRPr="005907F1">
        <w:rPr>
          <w:rFonts w:ascii="Baskerville Old Face" w:hAnsi="Baskerville Old Face"/>
          <w:i/>
          <w:iCs/>
          <w:lang w:val="it-IT"/>
        </w:rPr>
        <w:t>_i(p_yY_i + p_cC_i^seq + p_wW_i^ret + p_bB_i + p_s</w:t>
      </w:r>
      <w:r w:rsidRPr="00B479AE">
        <w:rPr>
          <w:rFonts w:ascii="Cambria" w:hAnsi="Cambria" w:cs="Cambria"/>
          <w:i/>
          <w:iCs/>
        </w:rPr>
        <w:t>Σ</w:t>
      </w:r>
      <w:r w:rsidRPr="005907F1">
        <w:rPr>
          <w:rFonts w:ascii="Baskerville Old Face" w:hAnsi="Baskerville Old Face"/>
          <w:i/>
          <w:iCs/>
          <w:lang w:val="it-IT"/>
        </w:rPr>
        <w:t>_i)</w:t>
      </w:r>
    </w:p>
    <w:p w14:paraId="2197CE1A"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Where relevant:</w:t>
      </w:r>
    </w:p>
    <w:p w14:paraId="57CA7AD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Y_i = productive output</w:t>
      </w:r>
      <w:r w:rsidRPr="00B479AE">
        <w:rPr>
          <w:rFonts w:ascii="Baskerville Old Face" w:hAnsi="Baskerville Old Face"/>
          <w:i/>
          <w:iCs/>
        </w:rPr>
        <w:br/>
        <w:t>ES_i = ecosystem-service contribution</w:t>
      </w:r>
      <w:r w:rsidRPr="00B479AE">
        <w:rPr>
          <w:rFonts w:ascii="Baskerville Old Face" w:hAnsi="Baskerville Old Face"/>
          <w:i/>
          <w:iCs/>
        </w:rPr>
        <w:br/>
        <w:t>Stab_i = stability or resilience contribution</w:t>
      </w:r>
      <w:r w:rsidRPr="00B479AE">
        <w:rPr>
          <w:rFonts w:ascii="Baskerville Old Face" w:hAnsi="Baskerville Old Face"/>
          <w:i/>
          <w:iCs/>
        </w:rPr>
        <w:br/>
        <w:t>C_i^seq = carbon sequestration or storage component</w:t>
      </w:r>
      <w:r w:rsidRPr="00B479AE">
        <w:rPr>
          <w:rFonts w:ascii="Baskerville Old Face" w:hAnsi="Baskerville Old Face"/>
          <w:i/>
          <w:iCs/>
        </w:rPr>
        <w:br/>
        <w:t>W_i^ret = water retention component</w:t>
      </w:r>
      <w:r w:rsidRPr="00B479AE">
        <w:rPr>
          <w:rFonts w:ascii="Baskerville Old Face" w:hAnsi="Baskerville Old Face"/>
          <w:i/>
          <w:iCs/>
        </w:rPr>
        <w:br/>
        <w:t>B_i = biodiversity component</w:t>
      </w:r>
      <w:r w:rsidRPr="00B479AE">
        <w:rPr>
          <w:rFonts w:ascii="Baskerville Old Face" w:hAnsi="Baskerville Old Face"/>
          <w:i/>
          <w:iCs/>
        </w:rPr>
        <w:br/>
      </w:r>
      <w:r w:rsidRPr="00B479AE">
        <w:rPr>
          <w:rFonts w:ascii="Cambria" w:hAnsi="Cambria" w:cs="Cambria"/>
          <w:i/>
          <w:iCs/>
        </w:rPr>
        <w:t>Σ</w:t>
      </w:r>
      <w:r w:rsidRPr="00B479AE">
        <w:rPr>
          <w:rFonts w:ascii="Baskerville Old Face" w:hAnsi="Baskerville Old Face"/>
          <w:i/>
          <w:iCs/>
        </w:rPr>
        <w:t>_i = systemic or syntropic surplus component</w:t>
      </w:r>
    </w:p>
    <w:p w14:paraId="0DD730D9"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These formulas bridge ecological intelligence to OHE valuation and PRU logic.</w:t>
      </w:r>
    </w:p>
    <w:p w14:paraId="1379A4CA"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They must remain subject to admissibility, confidence scoring, anti-double-counting controls, and legal review where financially used.</w:t>
      </w:r>
    </w:p>
    <w:p w14:paraId="509F950A"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33. MRV Translation Pathway</w:t>
      </w:r>
    </w:p>
    <w:p w14:paraId="1525839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sequence is protected:</w:t>
      </w:r>
    </w:p>
    <w:p w14:paraId="5B36F5DA"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 xml:space="preserve">latent ecological state </w:t>
      </w:r>
      <w:r w:rsidRPr="00B479AE">
        <w:rPr>
          <w:rFonts w:ascii="Times New Roman" w:hAnsi="Times New Roman" w:cs="Times New Roman"/>
          <w:i/>
          <w:iCs/>
        </w:rPr>
        <w:t>→</w:t>
      </w:r>
      <w:r w:rsidRPr="00B479AE">
        <w:rPr>
          <w:rFonts w:ascii="Baskerville Old Face" w:hAnsi="Baskerville Old Face"/>
          <w:i/>
          <w:iCs/>
        </w:rPr>
        <w:t xml:space="preserve"> observable proxies </w:t>
      </w:r>
      <w:r w:rsidRPr="00B479AE">
        <w:rPr>
          <w:rFonts w:ascii="Times New Roman" w:hAnsi="Times New Roman" w:cs="Times New Roman"/>
          <w:i/>
          <w:iCs/>
        </w:rPr>
        <w:t>→</w:t>
      </w:r>
      <w:r w:rsidRPr="00B479AE">
        <w:rPr>
          <w:rFonts w:ascii="Baskerville Old Face" w:hAnsi="Baskerville Old Face"/>
          <w:i/>
          <w:iCs/>
        </w:rPr>
        <w:t xml:space="preserve"> validated indicators </w:t>
      </w:r>
      <w:r w:rsidRPr="00B479AE">
        <w:rPr>
          <w:rFonts w:ascii="Times New Roman" w:hAnsi="Times New Roman" w:cs="Times New Roman"/>
          <w:i/>
          <w:iCs/>
        </w:rPr>
        <w:t>→</w:t>
      </w:r>
      <w:r w:rsidRPr="00B479AE">
        <w:rPr>
          <w:rFonts w:ascii="Baskerville Old Face" w:hAnsi="Baskerville Old Face"/>
          <w:i/>
          <w:iCs/>
        </w:rPr>
        <w:t xml:space="preserve"> confidence scores </w:t>
      </w:r>
      <w:r w:rsidRPr="00B479AE">
        <w:rPr>
          <w:rFonts w:ascii="Times New Roman" w:hAnsi="Times New Roman" w:cs="Times New Roman"/>
          <w:i/>
          <w:iCs/>
        </w:rPr>
        <w:t>→</w:t>
      </w:r>
      <w:r w:rsidRPr="00B479AE">
        <w:rPr>
          <w:rFonts w:ascii="Baskerville Old Face" w:hAnsi="Baskerville Old Face"/>
          <w:i/>
          <w:iCs/>
        </w:rPr>
        <w:t xml:space="preserve"> admissible value signals</w:t>
      </w:r>
    </w:p>
    <w:p w14:paraId="66828189"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is the epistemic bridge from ecological complexity to institutional value.</w:t>
      </w:r>
    </w:p>
    <w:p w14:paraId="37B060B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should be preserved because it explains how invisible or complex ecological dynamics become progressively observable, validated, and admissible.</w:t>
      </w:r>
    </w:p>
    <w:p w14:paraId="6EF9159B"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34. Validation Hypotheses</w:t>
      </w:r>
    </w:p>
    <w:p w14:paraId="64BEE0E7"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formulas are protected:</w:t>
      </w:r>
    </w:p>
    <w:p w14:paraId="09C6F907"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∂Var(Y) / ∂F</w:t>
      </w:r>
      <w:r w:rsidRPr="00B479AE">
        <w:rPr>
          <w:rFonts w:ascii="Cambria Math" w:hAnsi="Cambria Math" w:cs="Cambria Math"/>
          <w:i/>
          <w:iCs/>
        </w:rPr>
        <w:t>₁</w:t>
      </w:r>
      <w:r w:rsidRPr="00B479AE">
        <w:rPr>
          <w:rFonts w:ascii="Baskerville Old Face" w:hAnsi="Baskerville Old Face"/>
          <w:i/>
          <w:iCs/>
        </w:rPr>
        <w:t xml:space="preserve"> &lt; 0</w:t>
      </w:r>
    </w:p>
    <w:p w14:paraId="314C45BB"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lastRenderedPageBreak/>
        <w:t>∂H</w:t>
      </w:r>
      <w:r w:rsidRPr="00B479AE">
        <w:rPr>
          <w:rFonts w:ascii="Cambria Math" w:hAnsi="Cambria Math" w:cs="Cambria Math"/>
          <w:i/>
          <w:iCs/>
        </w:rPr>
        <w:t>₂</w:t>
      </w:r>
      <w:r w:rsidRPr="00B479AE">
        <w:rPr>
          <w:rFonts w:ascii="Baskerville Old Face" w:hAnsi="Baskerville Old Face"/>
          <w:i/>
          <w:iCs/>
        </w:rPr>
        <w:t xml:space="preserve"> / </w:t>
      </w:r>
      <w:r w:rsidRPr="00B479AE">
        <w:rPr>
          <w:rFonts w:ascii="Baskerville Old Face" w:hAnsi="Baskerville Old Face" w:cs="Baskerville Old Face"/>
          <w:i/>
          <w:iCs/>
        </w:rPr>
        <w:t>∂</w:t>
      </w:r>
      <w:r w:rsidRPr="00B479AE">
        <w:rPr>
          <w:rFonts w:ascii="Baskerville Old Face" w:hAnsi="Baskerville Old Face"/>
          <w:i/>
          <w:iCs/>
        </w:rPr>
        <w:t>S</w:t>
      </w:r>
      <w:r w:rsidRPr="00B479AE">
        <w:rPr>
          <w:rFonts w:ascii="Cambria Math" w:hAnsi="Cambria Math" w:cs="Cambria Math"/>
          <w:i/>
          <w:iCs/>
        </w:rPr>
        <w:t>₃</w:t>
      </w:r>
      <w:r w:rsidRPr="00B479AE">
        <w:rPr>
          <w:rFonts w:ascii="Baskerville Old Face" w:hAnsi="Baskerville Old Face"/>
          <w:i/>
          <w:iCs/>
        </w:rPr>
        <w:t xml:space="preserve"> &gt; 0</w:t>
      </w:r>
    </w:p>
    <w:p w14:paraId="561BD5A6"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∂H</w:t>
      </w:r>
      <w:r w:rsidRPr="00B479AE">
        <w:rPr>
          <w:rFonts w:ascii="Cambria Math" w:hAnsi="Cambria Math" w:cs="Cambria Math"/>
          <w:i/>
          <w:iCs/>
        </w:rPr>
        <w:t>₂</w:t>
      </w:r>
      <w:r w:rsidRPr="00B479AE">
        <w:rPr>
          <w:rFonts w:ascii="Baskerville Old Face" w:hAnsi="Baskerville Old Face"/>
          <w:i/>
          <w:iCs/>
        </w:rPr>
        <w:t xml:space="preserve"> / </w:t>
      </w:r>
      <w:r w:rsidRPr="00B479AE">
        <w:rPr>
          <w:rFonts w:ascii="Baskerville Old Face" w:hAnsi="Baskerville Old Face" w:cs="Baskerville Old Face"/>
          <w:i/>
          <w:iCs/>
        </w:rPr>
        <w:t>∂</w:t>
      </w:r>
      <w:r w:rsidRPr="00B479AE">
        <w:rPr>
          <w:rFonts w:ascii="Baskerville Old Face" w:hAnsi="Baskerville Old Face"/>
          <w:i/>
          <w:iCs/>
        </w:rPr>
        <w:t>S</w:t>
      </w:r>
      <w:r w:rsidRPr="00B479AE">
        <w:rPr>
          <w:rFonts w:ascii="Cambria Math" w:hAnsi="Cambria Math" w:cs="Cambria Math"/>
          <w:i/>
          <w:iCs/>
        </w:rPr>
        <w:t>₂</w:t>
      </w:r>
      <w:r w:rsidRPr="00B479AE">
        <w:rPr>
          <w:rFonts w:ascii="Baskerville Old Face" w:hAnsi="Baskerville Old Face"/>
          <w:i/>
          <w:iCs/>
        </w:rPr>
        <w:t xml:space="preserve"> &gt; 0</w:t>
      </w:r>
    </w:p>
    <w:p w14:paraId="04E01C6C"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∂Y</w:t>
      </w:r>
      <w:r w:rsidRPr="00B479AE">
        <w:rPr>
          <w:rFonts w:ascii="Cambria Math" w:hAnsi="Cambria Math" w:cs="Cambria Math"/>
          <w:i/>
          <w:iCs/>
        </w:rPr>
        <w:t>₃</w:t>
      </w:r>
      <w:r w:rsidRPr="00B479AE">
        <w:rPr>
          <w:rFonts w:ascii="Baskerville Old Face" w:hAnsi="Baskerville Old Face"/>
          <w:i/>
          <w:iCs/>
        </w:rPr>
        <w:t xml:space="preserve"> / </w:t>
      </w:r>
      <w:r w:rsidRPr="00B479AE">
        <w:rPr>
          <w:rFonts w:ascii="Baskerville Old Face" w:hAnsi="Baskerville Old Face" w:cs="Baskerville Old Face"/>
          <w:i/>
          <w:iCs/>
        </w:rPr>
        <w:t>∂</w:t>
      </w:r>
      <w:r w:rsidRPr="00B479AE">
        <w:rPr>
          <w:rFonts w:ascii="Baskerville Old Face" w:hAnsi="Baskerville Old Face"/>
          <w:i/>
          <w:iCs/>
        </w:rPr>
        <w:t>S</w:t>
      </w:r>
      <w:r w:rsidRPr="00B479AE">
        <w:rPr>
          <w:rFonts w:ascii="Cambria Math" w:hAnsi="Cambria Math" w:cs="Cambria Math"/>
          <w:i/>
          <w:iCs/>
        </w:rPr>
        <w:t>₁</w:t>
      </w:r>
      <w:r w:rsidRPr="00B479AE">
        <w:rPr>
          <w:rFonts w:ascii="Baskerville Old Face" w:hAnsi="Baskerville Old Face"/>
          <w:i/>
          <w:iCs/>
        </w:rPr>
        <w:t xml:space="preserve"> &gt; 0</w:t>
      </w:r>
    </w:p>
    <w:p w14:paraId="24AF09EB"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∂StressDamage / ∂B</w:t>
      </w:r>
      <w:r w:rsidRPr="00B479AE">
        <w:rPr>
          <w:rFonts w:ascii="Cambria Math" w:hAnsi="Cambria Math" w:cs="Cambria Math"/>
          <w:i/>
          <w:iCs/>
        </w:rPr>
        <w:t>₂</w:t>
      </w:r>
      <w:r w:rsidRPr="00B479AE">
        <w:rPr>
          <w:rFonts w:ascii="Baskerville Old Face" w:hAnsi="Baskerville Old Face"/>
          <w:i/>
          <w:iCs/>
        </w:rPr>
        <w:t xml:space="preserve"> &lt; 0</w:t>
      </w:r>
    </w:p>
    <w:p w14:paraId="6A1C3610"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 xml:space="preserve">Y_sys &gt; </w:t>
      </w:r>
      <w:r w:rsidRPr="00B479AE">
        <w:rPr>
          <w:rFonts w:ascii="Cambria" w:hAnsi="Cambria" w:cs="Cambria"/>
          <w:i/>
          <w:iCs/>
        </w:rPr>
        <w:t>Σ</w:t>
      </w:r>
      <w:r w:rsidRPr="00B479AE">
        <w:rPr>
          <w:rFonts w:ascii="Baskerville Old Face" w:hAnsi="Baskerville Old Face"/>
          <w:i/>
          <w:iCs/>
        </w:rPr>
        <w:t>_iY_i^isolated</w:t>
      </w:r>
    </w:p>
    <w:p w14:paraId="5752FEC5"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These formulas make the model falsifiable and scientifically testable.</w:t>
      </w:r>
    </w:p>
    <w:p w14:paraId="2604A82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They should be preserved because Prometheus must not rely only on narrative elegance.</w:t>
      </w:r>
    </w:p>
    <w:p w14:paraId="1BB4B3AC"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must define hypotheses that can be tested against evidence.</w:t>
      </w:r>
    </w:p>
    <w:p w14:paraId="643D4E22"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35. Autopoietic Loop</w:t>
      </w:r>
    </w:p>
    <w:p w14:paraId="1EEB5156"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sequence is protected:</w:t>
      </w:r>
    </w:p>
    <w:p w14:paraId="449C01B2"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 xml:space="preserve">Environment </w:t>
      </w:r>
      <w:r w:rsidRPr="00B479AE">
        <w:rPr>
          <w:rFonts w:ascii="Times New Roman" w:hAnsi="Times New Roman" w:cs="Times New Roman"/>
          <w:i/>
          <w:iCs/>
        </w:rPr>
        <w:t>→</w:t>
      </w:r>
      <w:r w:rsidRPr="00B479AE">
        <w:rPr>
          <w:rFonts w:ascii="Baskerville Old Face" w:hAnsi="Baskerville Old Face"/>
          <w:i/>
          <w:iCs/>
        </w:rPr>
        <w:t xml:space="preserve"> MRV </w:t>
      </w:r>
      <w:r w:rsidRPr="00B479AE">
        <w:rPr>
          <w:rFonts w:ascii="Times New Roman" w:hAnsi="Times New Roman" w:cs="Times New Roman"/>
          <w:i/>
          <w:iCs/>
        </w:rPr>
        <w:t>→</w:t>
      </w:r>
      <w:r w:rsidRPr="00B479AE">
        <w:rPr>
          <w:rFonts w:ascii="Baskerville Old Face" w:hAnsi="Baskerville Old Face"/>
          <w:i/>
          <w:iCs/>
        </w:rPr>
        <w:t xml:space="preserve"> AI-assisted interpretation </w:t>
      </w:r>
      <w:r w:rsidRPr="00B479AE">
        <w:rPr>
          <w:rFonts w:ascii="Times New Roman" w:hAnsi="Times New Roman" w:cs="Times New Roman"/>
          <w:i/>
          <w:iCs/>
        </w:rPr>
        <w:t>→</w:t>
      </w:r>
      <w:r w:rsidRPr="00B479AE">
        <w:rPr>
          <w:rFonts w:ascii="Baskerville Old Face" w:hAnsi="Baskerville Old Face"/>
          <w:i/>
          <w:iCs/>
        </w:rPr>
        <w:t xml:space="preserve"> structured reasoning </w:t>
      </w:r>
      <w:r w:rsidRPr="00B479AE">
        <w:rPr>
          <w:rFonts w:ascii="Times New Roman" w:hAnsi="Times New Roman" w:cs="Times New Roman"/>
          <w:i/>
          <w:iCs/>
        </w:rPr>
        <w:t>→</w:t>
      </w:r>
      <w:r w:rsidRPr="00B479AE">
        <w:rPr>
          <w:rFonts w:ascii="Baskerville Old Face" w:hAnsi="Baskerville Old Face"/>
          <w:i/>
          <w:iCs/>
        </w:rPr>
        <w:t xml:space="preserve"> evaluation </w:t>
      </w:r>
      <w:r w:rsidRPr="00B479AE">
        <w:rPr>
          <w:rFonts w:ascii="Times New Roman" w:hAnsi="Times New Roman" w:cs="Times New Roman"/>
          <w:i/>
          <w:iCs/>
        </w:rPr>
        <w:t>→</w:t>
      </w:r>
      <w:r w:rsidRPr="00B479AE">
        <w:rPr>
          <w:rFonts w:ascii="Baskerville Old Face" w:hAnsi="Baskerville Old Face"/>
          <w:i/>
          <w:iCs/>
        </w:rPr>
        <w:t xml:space="preserve"> decision </w:t>
      </w:r>
      <w:r w:rsidRPr="00B479AE">
        <w:rPr>
          <w:rFonts w:ascii="Times New Roman" w:hAnsi="Times New Roman" w:cs="Times New Roman"/>
          <w:i/>
          <w:iCs/>
        </w:rPr>
        <w:t>→</w:t>
      </w:r>
      <w:r w:rsidRPr="00B479AE">
        <w:rPr>
          <w:rFonts w:ascii="Baskerville Old Face" w:hAnsi="Baskerville Old Face"/>
          <w:i/>
          <w:iCs/>
        </w:rPr>
        <w:t xml:space="preserve"> action </w:t>
      </w:r>
      <w:r w:rsidRPr="00B479AE">
        <w:rPr>
          <w:rFonts w:ascii="Times New Roman" w:hAnsi="Times New Roman" w:cs="Times New Roman"/>
          <w:i/>
          <w:iCs/>
        </w:rPr>
        <w:t>→</w:t>
      </w:r>
      <w:r w:rsidRPr="00B479AE">
        <w:rPr>
          <w:rFonts w:ascii="Baskerville Old Face" w:hAnsi="Baskerville Old Face"/>
          <w:i/>
          <w:iCs/>
        </w:rPr>
        <w:t xml:space="preserve"> environment</w:t>
      </w:r>
    </w:p>
    <w:p w14:paraId="2FF9DF02"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loop expresses the adaptive learning cycle of Prometheus.</w:t>
      </w:r>
    </w:p>
    <w:p w14:paraId="1FED254C"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should be preserved, but always with a review-bound AI boundary.</w:t>
      </w:r>
    </w:p>
    <w:p w14:paraId="67BC98B8"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AI may assist interpretation.</w:t>
      </w:r>
    </w:p>
    <w:p w14:paraId="493BA8F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may not independently authorize ecological action, PRU value, token issuance, investment decisions, governance outcomes, legal rights, or investor-facing claims.</w:t>
      </w:r>
    </w:p>
    <w:p w14:paraId="357CA10C"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36. Uncertainty-to-Capital Efficiency Sequence</w:t>
      </w:r>
    </w:p>
    <w:p w14:paraId="093B069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sequence is protected:</w:t>
      </w:r>
    </w:p>
    <w:p w14:paraId="38781E9A"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 xml:space="preserve">uncertainty </w:t>
      </w:r>
      <w:r w:rsidRPr="00B479AE">
        <w:rPr>
          <w:rFonts w:ascii="Times New Roman" w:hAnsi="Times New Roman" w:cs="Times New Roman"/>
          <w:i/>
          <w:iCs/>
        </w:rPr>
        <w:t>↓</w:t>
      </w:r>
      <w:r w:rsidRPr="00B479AE">
        <w:rPr>
          <w:rFonts w:ascii="Baskerville Old Face" w:hAnsi="Baskerville Old Face"/>
          <w:i/>
          <w:iCs/>
        </w:rPr>
        <w:t xml:space="preserve"> </w:t>
      </w:r>
      <w:r w:rsidRPr="00B479AE">
        <w:rPr>
          <w:rFonts w:ascii="Times New Roman" w:hAnsi="Times New Roman" w:cs="Times New Roman"/>
          <w:i/>
          <w:iCs/>
        </w:rPr>
        <w:t>→</w:t>
      </w:r>
      <w:r w:rsidRPr="00B479AE">
        <w:rPr>
          <w:rFonts w:ascii="Baskerville Old Face" w:hAnsi="Baskerville Old Face"/>
          <w:i/>
          <w:iCs/>
        </w:rPr>
        <w:t xml:space="preserve"> predictability </w:t>
      </w:r>
      <w:r w:rsidRPr="00B479AE">
        <w:rPr>
          <w:rFonts w:ascii="Times New Roman" w:hAnsi="Times New Roman" w:cs="Times New Roman"/>
          <w:i/>
          <w:iCs/>
        </w:rPr>
        <w:t>↑</w:t>
      </w:r>
      <w:r w:rsidRPr="00B479AE">
        <w:rPr>
          <w:rFonts w:ascii="Baskerville Old Face" w:hAnsi="Baskerville Old Face"/>
          <w:i/>
          <w:iCs/>
        </w:rPr>
        <w:t xml:space="preserve"> </w:t>
      </w:r>
      <w:r w:rsidRPr="00B479AE">
        <w:rPr>
          <w:rFonts w:ascii="Times New Roman" w:hAnsi="Times New Roman" w:cs="Times New Roman"/>
          <w:i/>
          <w:iCs/>
        </w:rPr>
        <w:t>→</w:t>
      </w:r>
      <w:r w:rsidRPr="00B479AE">
        <w:rPr>
          <w:rFonts w:ascii="Baskerville Old Face" w:hAnsi="Baskerville Old Face"/>
          <w:i/>
          <w:iCs/>
        </w:rPr>
        <w:t xml:space="preserve"> risk </w:t>
      </w:r>
      <w:r w:rsidRPr="00B479AE">
        <w:rPr>
          <w:rFonts w:ascii="Times New Roman" w:hAnsi="Times New Roman" w:cs="Times New Roman"/>
          <w:i/>
          <w:iCs/>
        </w:rPr>
        <w:t>↓</w:t>
      </w:r>
      <w:r w:rsidRPr="00B479AE">
        <w:rPr>
          <w:rFonts w:ascii="Baskerville Old Face" w:hAnsi="Baskerville Old Face"/>
          <w:i/>
          <w:iCs/>
        </w:rPr>
        <w:t xml:space="preserve"> </w:t>
      </w:r>
      <w:r w:rsidRPr="00B479AE">
        <w:rPr>
          <w:rFonts w:ascii="Times New Roman" w:hAnsi="Times New Roman" w:cs="Times New Roman"/>
          <w:i/>
          <w:iCs/>
        </w:rPr>
        <w:t>→</w:t>
      </w:r>
      <w:r w:rsidRPr="00B479AE">
        <w:rPr>
          <w:rFonts w:ascii="Baskerville Old Face" w:hAnsi="Baskerville Old Face"/>
          <w:i/>
          <w:iCs/>
        </w:rPr>
        <w:t xml:space="preserve"> capital efficiency </w:t>
      </w:r>
      <w:r w:rsidRPr="00B479AE">
        <w:rPr>
          <w:rFonts w:ascii="Times New Roman" w:hAnsi="Times New Roman" w:cs="Times New Roman"/>
          <w:i/>
          <w:iCs/>
        </w:rPr>
        <w:t>↑</w:t>
      </w:r>
    </w:p>
    <w:p w14:paraId="733AD4A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is a core investment-readiness logic.</w:t>
      </w:r>
    </w:p>
    <w:p w14:paraId="58A43187" w14:textId="495E4846"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lastRenderedPageBreak/>
        <w:t>It explains how improved evidence, better governance, stronger MRV, and verified ecological performance can reduce uncertainty and increase capital efficiency.</w:t>
      </w:r>
      <w:r w:rsidR="008B3117">
        <w:rPr>
          <w:rFonts w:ascii="Baskerville Old Face" w:hAnsi="Baskerville Old Face"/>
          <w:i/>
          <w:iCs/>
        </w:rPr>
        <w:t xml:space="preserve"> </w:t>
      </w:r>
      <w:r w:rsidRPr="00B479AE">
        <w:rPr>
          <w:rFonts w:ascii="Baskerville Old Face" w:hAnsi="Baskerville Old Face"/>
          <w:i/>
          <w:iCs/>
        </w:rPr>
        <w:t>It does not guarantee lower risk.</w:t>
      </w:r>
    </w:p>
    <w:p w14:paraId="2E0CE8B4"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describes the pathway through which disciplined information can improve underwriting quality.</w:t>
      </w:r>
    </w:p>
    <w:p w14:paraId="255B655F"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37. Tokenization Sequence</w:t>
      </w:r>
    </w:p>
    <w:p w14:paraId="3E4CB777"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sequence is protected:</w:t>
      </w:r>
    </w:p>
    <w:p w14:paraId="202734C9" w14:textId="6D11BB55"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 xml:space="preserve">ecological process </w:t>
      </w:r>
      <w:r w:rsidRPr="00B479AE">
        <w:rPr>
          <w:rFonts w:ascii="Times New Roman" w:hAnsi="Times New Roman" w:cs="Times New Roman"/>
          <w:i/>
          <w:iCs/>
        </w:rPr>
        <w:t>→</w:t>
      </w:r>
      <w:r w:rsidRPr="00B479AE">
        <w:rPr>
          <w:rFonts w:ascii="Baskerville Old Face" w:hAnsi="Baskerville Old Face"/>
          <w:i/>
          <w:iCs/>
        </w:rPr>
        <w:t xml:space="preserve"> MRV </w:t>
      </w:r>
      <w:r w:rsidRPr="00B479AE">
        <w:rPr>
          <w:rFonts w:ascii="Times New Roman" w:hAnsi="Times New Roman" w:cs="Times New Roman"/>
          <w:i/>
          <w:iCs/>
        </w:rPr>
        <w:t>→</w:t>
      </w:r>
      <w:r w:rsidRPr="00B479AE">
        <w:rPr>
          <w:rFonts w:ascii="Baskerville Old Face" w:hAnsi="Baskerville Old Face"/>
          <w:i/>
          <w:iCs/>
        </w:rPr>
        <w:t xml:space="preserve"> verified indicator </w:t>
      </w:r>
      <w:r w:rsidRPr="00B479AE">
        <w:rPr>
          <w:rFonts w:ascii="Times New Roman" w:hAnsi="Times New Roman" w:cs="Times New Roman"/>
          <w:i/>
          <w:iCs/>
        </w:rPr>
        <w:t>→</w:t>
      </w:r>
      <w:r w:rsidRPr="00B479AE">
        <w:rPr>
          <w:rFonts w:ascii="Baskerville Old Face" w:hAnsi="Baskerville Old Face"/>
          <w:i/>
          <w:iCs/>
        </w:rPr>
        <w:t xml:space="preserve"> PRU </w:t>
      </w:r>
      <w:r w:rsidRPr="00B479AE">
        <w:rPr>
          <w:rFonts w:ascii="Times New Roman" w:hAnsi="Times New Roman" w:cs="Times New Roman"/>
          <w:i/>
          <w:iCs/>
        </w:rPr>
        <w:t>→</w:t>
      </w:r>
      <w:r w:rsidRPr="00B479AE">
        <w:rPr>
          <w:rFonts w:ascii="Baskerville Old Face" w:hAnsi="Baskerville Old Face"/>
          <w:i/>
          <w:iCs/>
        </w:rPr>
        <w:t xml:space="preserve"> </w:t>
      </w:r>
      <w:r w:rsidR="00E71F80" w:rsidRPr="00B479AE">
        <w:rPr>
          <w:rFonts w:ascii="Baskerville Old Face" w:hAnsi="Baskerville Old Face"/>
          <w:i/>
          <w:iCs/>
        </w:rPr>
        <w:t>PRU maturity classification</w:t>
      </w:r>
      <w:r w:rsidRPr="00B479AE">
        <w:rPr>
          <w:rFonts w:ascii="Baskerville Old Face" w:hAnsi="Baskerville Old Face"/>
          <w:i/>
          <w:iCs/>
        </w:rPr>
        <w:t xml:space="preserve"> </w:t>
      </w:r>
      <w:r w:rsidRPr="00B479AE">
        <w:rPr>
          <w:rFonts w:ascii="Times New Roman" w:hAnsi="Times New Roman" w:cs="Times New Roman"/>
          <w:i/>
          <w:iCs/>
        </w:rPr>
        <w:t>→</w:t>
      </w:r>
      <w:r w:rsidRPr="00B479AE">
        <w:rPr>
          <w:rFonts w:ascii="Baskerville Old Face" w:hAnsi="Baskerville Old Face"/>
          <w:i/>
          <w:iCs/>
        </w:rPr>
        <w:t xml:space="preserve"> RAP </w:t>
      </w:r>
      <w:r w:rsidRPr="00B479AE">
        <w:rPr>
          <w:rFonts w:ascii="Times New Roman" w:hAnsi="Times New Roman" w:cs="Times New Roman"/>
          <w:i/>
          <w:iCs/>
        </w:rPr>
        <w:t>→</w:t>
      </w:r>
      <w:r w:rsidRPr="00B479AE">
        <w:rPr>
          <w:rFonts w:ascii="Baskerville Old Face" w:hAnsi="Baskerville Old Face"/>
          <w:i/>
          <w:iCs/>
        </w:rPr>
        <w:t xml:space="preserve"> legal wrapper </w:t>
      </w:r>
      <w:r w:rsidRPr="00B479AE">
        <w:rPr>
          <w:rFonts w:ascii="Times New Roman" w:hAnsi="Times New Roman" w:cs="Times New Roman"/>
          <w:i/>
          <w:iCs/>
        </w:rPr>
        <w:t>→</w:t>
      </w:r>
      <w:r w:rsidRPr="00B479AE">
        <w:rPr>
          <w:rFonts w:ascii="Baskerville Old Face" w:hAnsi="Baskerville Old Face"/>
          <w:i/>
          <w:iCs/>
        </w:rPr>
        <w:t xml:space="preserve"> compliant instrument </w:t>
      </w:r>
      <w:r w:rsidRPr="00B479AE">
        <w:rPr>
          <w:rFonts w:ascii="Times New Roman" w:hAnsi="Times New Roman" w:cs="Times New Roman"/>
          <w:i/>
          <w:iCs/>
        </w:rPr>
        <w:t>→</w:t>
      </w:r>
      <w:r w:rsidRPr="00B479AE">
        <w:rPr>
          <w:rFonts w:ascii="Baskerville Old Face" w:hAnsi="Baskerville Old Face"/>
          <w:i/>
          <w:iCs/>
        </w:rPr>
        <w:t xml:space="preserve"> possible tokenized representation</w:t>
      </w:r>
    </w:p>
    <w:p w14:paraId="1B20D3B8"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is one of the most important constitutional sequencing rules in the White Paper.</w:t>
      </w:r>
    </w:p>
    <w:p w14:paraId="5567055F"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should always be preserved.</w:t>
      </w:r>
    </w:p>
    <w:p w14:paraId="6C45EAF2"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prevents tokenization from preceding evidence, legal structure, governance review, or admissibility.</w:t>
      </w:r>
    </w:p>
    <w:p w14:paraId="51533329"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Tokenization does not create ecological value.</w:t>
      </w:r>
    </w:p>
    <w:p w14:paraId="7FDE7F70"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may represent verified and legally structured value only where the full pathway has been completed.</w:t>
      </w:r>
    </w:p>
    <w:p w14:paraId="48709AD1" w14:textId="77777777" w:rsidR="003C487D" w:rsidRPr="00B479AE" w:rsidRDefault="003C487D" w:rsidP="003C487D">
      <w:pPr>
        <w:spacing w:line="360" w:lineRule="auto"/>
        <w:rPr>
          <w:rFonts w:ascii="Baskerville Old Face" w:hAnsi="Baskerville Old Face"/>
          <w:b/>
          <w:bCs/>
          <w:i/>
          <w:iCs/>
        </w:rPr>
      </w:pPr>
      <w:r w:rsidRPr="00B479AE">
        <w:rPr>
          <w:rFonts w:ascii="Baskerville Old Face" w:hAnsi="Baskerville Old Face"/>
          <w:b/>
          <w:bCs/>
          <w:i/>
          <w:iCs/>
        </w:rPr>
        <w:t>38. Final Constitutional Capital Sequence</w:t>
      </w:r>
    </w:p>
    <w:p w14:paraId="22F026FC"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The following sequence is protected:</w:t>
      </w:r>
    </w:p>
    <w:p w14:paraId="721449F7"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 xml:space="preserve">Life </w:t>
      </w:r>
      <w:r w:rsidRPr="00B479AE">
        <w:rPr>
          <w:rFonts w:ascii="Times New Roman" w:hAnsi="Times New Roman" w:cs="Times New Roman"/>
          <w:i/>
          <w:iCs/>
        </w:rPr>
        <w:t>→</w:t>
      </w:r>
      <w:r w:rsidRPr="00B479AE">
        <w:rPr>
          <w:rFonts w:ascii="Baskerville Old Face" w:hAnsi="Baskerville Old Face"/>
          <w:i/>
          <w:iCs/>
        </w:rPr>
        <w:t xml:space="preserve"> Evidence </w:t>
      </w:r>
      <w:r w:rsidRPr="00B479AE">
        <w:rPr>
          <w:rFonts w:ascii="Times New Roman" w:hAnsi="Times New Roman" w:cs="Times New Roman"/>
          <w:i/>
          <w:iCs/>
        </w:rPr>
        <w:t>→</w:t>
      </w:r>
      <w:r w:rsidRPr="00B479AE">
        <w:rPr>
          <w:rFonts w:ascii="Baskerville Old Face" w:hAnsi="Baskerville Old Face"/>
          <w:i/>
          <w:iCs/>
        </w:rPr>
        <w:t xml:space="preserve"> Verification </w:t>
      </w:r>
      <w:r w:rsidRPr="00B479AE">
        <w:rPr>
          <w:rFonts w:ascii="Times New Roman" w:hAnsi="Times New Roman" w:cs="Times New Roman"/>
          <w:i/>
          <w:iCs/>
        </w:rPr>
        <w:t>→</w:t>
      </w:r>
      <w:r w:rsidRPr="00B479AE">
        <w:rPr>
          <w:rFonts w:ascii="Baskerville Old Face" w:hAnsi="Baskerville Old Face"/>
          <w:i/>
          <w:iCs/>
        </w:rPr>
        <w:t xml:space="preserve"> Admissibility </w:t>
      </w:r>
      <w:r w:rsidRPr="00B479AE">
        <w:rPr>
          <w:rFonts w:ascii="Times New Roman" w:hAnsi="Times New Roman" w:cs="Times New Roman"/>
          <w:i/>
          <w:iCs/>
        </w:rPr>
        <w:t>→</w:t>
      </w:r>
      <w:r w:rsidRPr="00B479AE">
        <w:rPr>
          <w:rFonts w:ascii="Baskerville Old Face" w:hAnsi="Baskerville Old Face"/>
          <w:i/>
          <w:iCs/>
        </w:rPr>
        <w:t xml:space="preserve"> Legal Structure </w:t>
      </w:r>
      <w:r w:rsidRPr="00B479AE">
        <w:rPr>
          <w:rFonts w:ascii="Times New Roman" w:hAnsi="Times New Roman" w:cs="Times New Roman"/>
          <w:i/>
          <w:iCs/>
        </w:rPr>
        <w:t>→</w:t>
      </w:r>
      <w:r w:rsidRPr="00B479AE">
        <w:rPr>
          <w:rFonts w:ascii="Baskerville Old Face" w:hAnsi="Baskerville Old Face"/>
          <w:i/>
          <w:iCs/>
        </w:rPr>
        <w:t xml:space="preserve"> Capital</w:t>
      </w:r>
    </w:p>
    <w:p w14:paraId="0F668052"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This is the final source-layer formula of PRU capital discipline.</w:t>
      </w:r>
    </w:p>
    <w:p w14:paraId="6A55795E"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should be preserved as a constitutional sequence.</w:t>
      </w:r>
    </w:p>
    <w:p w14:paraId="6C1DF219"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It summarizes the entire Prometheus logic:</w:t>
      </w:r>
    </w:p>
    <w:p w14:paraId="53DD98F3" w14:textId="77777777" w:rsidR="003C487D" w:rsidRPr="00B479AE" w:rsidRDefault="003C487D" w:rsidP="003C487D">
      <w:pPr>
        <w:spacing w:line="360" w:lineRule="auto"/>
        <w:rPr>
          <w:rFonts w:ascii="Baskerville Old Face" w:hAnsi="Baskerville Old Face"/>
          <w:i/>
          <w:iCs/>
        </w:rPr>
      </w:pPr>
      <w:r w:rsidRPr="00B479AE">
        <w:rPr>
          <w:rFonts w:ascii="Baskerville Old Face" w:hAnsi="Baskerville Old Face"/>
          <w:i/>
          <w:iCs/>
        </w:rPr>
        <w:t>life generates value;</w:t>
      </w:r>
      <w:r w:rsidRPr="00B479AE">
        <w:rPr>
          <w:rFonts w:ascii="Baskerville Old Face" w:hAnsi="Baskerville Old Face"/>
          <w:i/>
          <w:iCs/>
        </w:rPr>
        <w:br/>
        <w:t>evidence makes value legible;</w:t>
      </w:r>
      <w:r w:rsidRPr="00B479AE">
        <w:rPr>
          <w:rFonts w:ascii="Baskerville Old Face" w:hAnsi="Baskerville Old Face"/>
          <w:i/>
          <w:iCs/>
        </w:rPr>
        <w:br/>
        <w:t>verification makes evidence trustworthy;</w:t>
      </w:r>
      <w:r w:rsidRPr="00B479AE">
        <w:rPr>
          <w:rFonts w:ascii="Baskerville Old Face" w:hAnsi="Baskerville Old Face"/>
          <w:i/>
          <w:iCs/>
        </w:rPr>
        <w:br/>
        <w:t>admissibility makes claims usable;</w:t>
      </w:r>
      <w:r w:rsidRPr="00B479AE">
        <w:rPr>
          <w:rFonts w:ascii="Baskerville Old Face" w:hAnsi="Baskerville Old Face"/>
          <w:i/>
          <w:iCs/>
        </w:rPr>
        <w:br/>
        <w:t>legal structure makes rights enforceable;</w:t>
      </w:r>
      <w:r w:rsidRPr="00B479AE">
        <w:rPr>
          <w:rFonts w:ascii="Baskerville Old Face" w:hAnsi="Baskerville Old Face"/>
          <w:i/>
          <w:iCs/>
        </w:rPr>
        <w:br/>
        <w:t>capital scales what life has made real.</w:t>
      </w:r>
    </w:p>
    <w:p w14:paraId="0573319D" w14:textId="1382F96F" w:rsidR="00330623" w:rsidRPr="00B479AE" w:rsidRDefault="00330623" w:rsidP="00330623">
      <w:pPr>
        <w:spacing w:line="360" w:lineRule="auto"/>
        <w:jc w:val="center"/>
        <w:rPr>
          <w:rFonts w:ascii="Baskerville Old Face" w:hAnsi="Baskerville Old Face"/>
          <w:b/>
          <w:bCs/>
        </w:rPr>
      </w:pPr>
      <w:r w:rsidRPr="00B479AE">
        <w:rPr>
          <w:rFonts w:ascii="Baskerville Old Face" w:hAnsi="Baskerville Old Face"/>
          <w:b/>
          <w:bCs/>
        </w:rPr>
        <w:lastRenderedPageBreak/>
        <w:t>APPENDICES 1</w:t>
      </w:r>
    </w:p>
    <w:p w14:paraId="2F4313CD" w14:textId="77777777" w:rsidR="00330623" w:rsidRPr="00B479AE" w:rsidRDefault="00330623" w:rsidP="00330623">
      <w:pPr>
        <w:spacing w:line="360" w:lineRule="auto"/>
        <w:rPr>
          <w:rFonts w:ascii="Baskerville Old Face" w:hAnsi="Baskerville Old Face"/>
          <w:i/>
          <w:iCs/>
        </w:rPr>
      </w:pPr>
    </w:p>
    <w:p w14:paraId="3B5B690E"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A1. Purpose of the MRV System</w:t>
      </w:r>
    </w:p>
    <w:p w14:paraId="3CD9FFCC"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The Measurement, Reporting &amp; Verification (MRV) framework provides the scientific and operational backbone for validating regenerative outcomes within the Prometheus ecosystem.</w:t>
      </w:r>
    </w:p>
    <w:p w14:paraId="12371A6A"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Its objectives are:</w:t>
      </w:r>
    </w:p>
    <w:p w14:paraId="66FD1E29"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to measure ecological, economic, and social variables</w:t>
      </w:r>
      <w:r w:rsidRPr="00B479AE">
        <w:rPr>
          <w:rFonts w:ascii="Baskerville Old Face" w:hAnsi="Baskerville Old Face"/>
          <w:i/>
          <w:iCs/>
        </w:rPr>
        <w:br/>
        <w:t xml:space="preserve">• to track changes over time (baseline </w:t>
      </w:r>
      <w:r w:rsidRPr="00B479AE">
        <w:rPr>
          <w:rFonts w:ascii="Times New Roman" w:hAnsi="Times New Roman" w:cs="Times New Roman"/>
          <w:i/>
          <w:iCs/>
        </w:rPr>
        <w:t>→</w:t>
      </w:r>
      <w:r w:rsidRPr="00B479AE">
        <w:rPr>
          <w:rFonts w:ascii="Baskerville Old Face" w:hAnsi="Baskerville Old Face"/>
          <w:i/>
          <w:iCs/>
        </w:rPr>
        <w:t xml:space="preserve"> delta)</w:t>
      </w:r>
      <w:r w:rsidRPr="00B479AE">
        <w:rPr>
          <w:rFonts w:ascii="Baskerville Old Face" w:hAnsi="Baskerville Old Face"/>
          <w:i/>
          <w:iCs/>
        </w:rPr>
        <w:br/>
        <w:t>• to ensure data integrity and auditability</w:t>
      </w:r>
      <w:r w:rsidRPr="00B479AE">
        <w:rPr>
          <w:rFonts w:ascii="Baskerville Old Face" w:hAnsi="Baskerville Old Face"/>
          <w:i/>
          <w:iCs/>
        </w:rPr>
        <w:br/>
        <w:t>• to enable financial recognition of regenerative outcomes</w:t>
      </w:r>
    </w:p>
    <w:p w14:paraId="177AF9F1"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The MRV system transforms regeneration into:</w:t>
      </w:r>
    </w:p>
    <w:p w14:paraId="63D34D5E"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b/>
          <w:bCs/>
          <w:i/>
          <w:iCs/>
        </w:rPr>
        <w:t xml:space="preserve">observable </w:t>
      </w:r>
      <w:r w:rsidRPr="00B479AE">
        <w:rPr>
          <w:rFonts w:ascii="Times New Roman" w:hAnsi="Times New Roman" w:cs="Times New Roman"/>
          <w:b/>
          <w:bCs/>
          <w:i/>
          <w:iCs/>
        </w:rPr>
        <w:t>→</w:t>
      </w:r>
      <w:r w:rsidRPr="00B479AE">
        <w:rPr>
          <w:rFonts w:ascii="Baskerville Old Face" w:hAnsi="Baskerville Old Face"/>
          <w:b/>
          <w:bCs/>
          <w:i/>
          <w:iCs/>
        </w:rPr>
        <w:t xml:space="preserve"> quantifiable </w:t>
      </w:r>
      <w:r w:rsidRPr="00B479AE">
        <w:rPr>
          <w:rFonts w:ascii="Times New Roman" w:hAnsi="Times New Roman" w:cs="Times New Roman"/>
          <w:b/>
          <w:bCs/>
          <w:i/>
          <w:iCs/>
        </w:rPr>
        <w:t>→</w:t>
      </w:r>
      <w:r w:rsidRPr="00B479AE">
        <w:rPr>
          <w:rFonts w:ascii="Baskerville Old Face" w:hAnsi="Baskerville Old Face"/>
          <w:b/>
          <w:bCs/>
          <w:i/>
          <w:iCs/>
        </w:rPr>
        <w:t xml:space="preserve"> verifiable </w:t>
      </w:r>
      <w:r w:rsidRPr="00B479AE">
        <w:rPr>
          <w:rFonts w:ascii="Times New Roman" w:hAnsi="Times New Roman" w:cs="Times New Roman"/>
          <w:b/>
          <w:bCs/>
          <w:i/>
          <w:iCs/>
        </w:rPr>
        <w:t>→</w:t>
      </w:r>
      <w:r w:rsidRPr="00B479AE">
        <w:rPr>
          <w:rFonts w:ascii="Baskerville Old Face" w:hAnsi="Baskerville Old Face"/>
          <w:b/>
          <w:bCs/>
          <w:i/>
          <w:iCs/>
        </w:rPr>
        <w:t xml:space="preserve"> investable value</w:t>
      </w:r>
    </w:p>
    <w:p w14:paraId="4A973CA8"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A2. Core Measurement Logic</w:t>
      </w:r>
    </w:p>
    <w:p w14:paraId="26FEC59C"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The MRV framework is based on a simple but rigorous structure:</w:t>
      </w:r>
    </w:p>
    <w:p w14:paraId="16EFBD94"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1. Baseline</w:t>
      </w:r>
    </w:p>
    <w:p w14:paraId="06488A52"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Initial state of the system before intervention</w:t>
      </w:r>
    </w:p>
    <w:p w14:paraId="27EF1E11"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2. Intervention</w:t>
      </w:r>
    </w:p>
    <w:p w14:paraId="1B614772"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Regenerative actions applied (OHE implementation)</w:t>
      </w:r>
    </w:p>
    <w:p w14:paraId="7DFEAF03"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3. Monitoring</w:t>
      </w:r>
    </w:p>
    <w:p w14:paraId="2E8CF4AF"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Continuous data collection</w:t>
      </w:r>
    </w:p>
    <w:p w14:paraId="7093BB4F"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4. Delta</w:t>
      </w:r>
    </w:p>
    <w:p w14:paraId="6E85A874"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Measured improvement over time</w:t>
      </w:r>
    </w:p>
    <w:p w14:paraId="189C5391" w14:textId="77777777" w:rsidR="00330623" w:rsidRPr="005907F1" w:rsidRDefault="00330623" w:rsidP="00330623">
      <w:pPr>
        <w:spacing w:line="360" w:lineRule="auto"/>
        <w:rPr>
          <w:rFonts w:ascii="Baskerville Old Face" w:hAnsi="Baskerville Old Face"/>
          <w:b/>
          <w:bCs/>
          <w:i/>
          <w:iCs/>
          <w:lang w:val="it-IT"/>
        </w:rPr>
      </w:pPr>
      <w:r w:rsidRPr="005907F1">
        <w:rPr>
          <w:rFonts w:ascii="Baskerville Old Face" w:hAnsi="Baskerville Old Face"/>
          <w:b/>
          <w:bCs/>
          <w:i/>
          <w:iCs/>
          <w:lang w:val="it-IT"/>
        </w:rPr>
        <w:t>Regenerative Delta Formula (conceptual)</w:t>
      </w:r>
    </w:p>
    <w:p w14:paraId="403EAB08" w14:textId="77777777" w:rsidR="00330623" w:rsidRPr="005907F1" w:rsidRDefault="00330623" w:rsidP="00330623">
      <w:pPr>
        <w:spacing w:line="360" w:lineRule="auto"/>
        <w:rPr>
          <w:rFonts w:ascii="Baskerville Old Face" w:hAnsi="Baskerville Old Face"/>
          <w:i/>
          <w:iCs/>
          <w:lang w:val="it-IT"/>
        </w:rPr>
      </w:pPr>
      <w:r w:rsidRPr="005907F1">
        <w:rPr>
          <w:rFonts w:ascii="Baskerville Old Face" w:hAnsi="Baskerville Old Face"/>
          <w:i/>
          <w:iCs/>
          <w:lang w:val="it-IT"/>
        </w:rPr>
        <w:lastRenderedPageBreak/>
        <w:t xml:space="preserve">Regenerative Delta = State(t1) </w:t>
      </w:r>
      <w:r w:rsidRPr="005907F1">
        <w:rPr>
          <w:rFonts w:ascii="Cambria Math" w:hAnsi="Cambria Math" w:cs="Cambria Math"/>
          <w:i/>
          <w:iCs/>
          <w:lang w:val="it-IT"/>
        </w:rPr>
        <w:t>−</w:t>
      </w:r>
      <w:r w:rsidRPr="005907F1">
        <w:rPr>
          <w:rFonts w:ascii="Baskerville Old Face" w:hAnsi="Baskerville Old Face"/>
          <w:i/>
          <w:iCs/>
          <w:lang w:val="it-IT"/>
        </w:rPr>
        <w:t xml:space="preserve"> Baseline(t0)</w:t>
      </w:r>
    </w:p>
    <w:p w14:paraId="3F342514"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Where:</w:t>
      </w:r>
    </w:p>
    <w:p w14:paraId="4E7F3B91" w14:textId="77777777" w:rsidR="00330623" w:rsidRPr="00B479AE" w:rsidRDefault="00330623">
      <w:pPr>
        <w:numPr>
          <w:ilvl w:val="0"/>
          <w:numId w:val="10"/>
        </w:numPr>
        <w:spacing w:line="360" w:lineRule="auto"/>
        <w:rPr>
          <w:rFonts w:ascii="Baskerville Old Face" w:hAnsi="Baskerville Old Face"/>
          <w:i/>
          <w:iCs/>
        </w:rPr>
      </w:pPr>
      <w:r w:rsidRPr="00B479AE">
        <w:rPr>
          <w:rFonts w:ascii="Baskerville Old Face" w:hAnsi="Baskerville Old Face"/>
          <w:i/>
          <w:iCs/>
        </w:rPr>
        <w:t>t0 = initial condition</w:t>
      </w:r>
    </w:p>
    <w:p w14:paraId="021D1893" w14:textId="77777777" w:rsidR="00330623" w:rsidRPr="00B479AE" w:rsidRDefault="00330623">
      <w:pPr>
        <w:numPr>
          <w:ilvl w:val="0"/>
          <w:numId w:val="10"/>
        </w:numPr>
        <w:spacing w:line="360" w:lineRule="auto"/>
        <w:rPr>
          <w:rFonts w:ascii="Baskerville Old Face" w:hAnsi="Baskerville Old Face"/>
          <w:i/>
          <w:iCs/>
        </w:rPr>
      </w:pPr>
      <w:r w:rsidRPr="00B479AE">
        <w:rPr>
          <w:rFonts w:ascii="Baskerville Old Face" w:hAnsi="Baskerville Old Face"/>
          <w:i/>
          <w:iCs/>
        </w:rPr>
        <w:t>t1 = observed condition after intervention</w:t>
      </w:r>
    </w:p>
    <w:p w14:paraId="28FAFECB"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A3. Measurement domains</w:t>
      </w:r>
    </w:p>
    <w:p w14:paraId="400D8D29"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The MRV system operates across four primary domains.</w:t>
      </w:r>
    </w:p>
    <w:p w14:paraId="3F35935A"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1. Soil System</w:t>
      </w:r>
    </w:p>
    <w:p w14:paraId="0562B9CB"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Key indicators:</w:t>
      </w:r>
    </w:p>
    <w:p w14:paraId="377E48E9"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Soil Organic Carbon (SOC %)</w:t>
      </w:r>
      <w:r w:rsidRPr="00B479AE">
        <w:rPr>
          <w:rFonts w:ascii="Baskerville Old Face" w:hAnsi="Baskerville Old Face"/>
          <w:i/>
          <w:iCs/>
        </w:rPr>
        <w:br/>
        <w:t>• Microbial activity</w:t>
      </w:r>
      <w:r w:rsidRPr="00B479AE">
        <w:rPr>
          <w:rFonts w:ascii="Baskerville Old Face" w:hAnsi="Baskerville Old Face"/>
          <w:i/>
          <w:iCs/>
        </w:rPr>
        <w:br/>
        <w:t>• Soil structure and porosity</w:t>
      </w:r>
      <w:r w:rsidRPr="00B479AE">
        <w:rPr>
          <w:rFonts w:ascii="Baskerville Old Face" w:hAnsi="Baskerville Old Face"/>
          <w:i/>
          <w:iCs/>
        </w:rPr>
        <w:br/>
        <w:t>• Water retention capacity</w:t>
      </w:r>
    </w:p>
    <w:p w14:paraId="14314D24"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2. Water System</w:t>
      </w:r>
    </w:p>
    <w:p w14:paraId="42691A19"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Key indicators:</w:t>
      </w:r>
    </w:p>
    <w:p w14:paraId="551B0E84"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infiltration rate</w:t>
      </w:r>
      <w:r w:rsidRPr="00B479AE">
        <w:rPr>
          <w:rFonts w:ascii="Baskerville Old Face" w:hAnsi="Baskerville Old Face"/>
          <w:i/>
          <w:iCs/>
        </w:rPr>
        <w:br/>
        <w:t>• soil moisture retention</w:t>
      </w:r>
      <w:r w:rsidRPr="00B479AE">
        <w:rPr>
          <w:rFonts w:ascii="Baskerville Old Face" w:hAnsi="Baskerville Old Face"/>
          <w:i/>
          <w:iCs/>
        </w:rPr>
        <w:br/>
        <w:t>• runoff reduction</w:t>
      </w:r>
      <w:r w:rsidRPr="00B479AE">
        <w:rPr>
          <w:rFonts w:ascii="Baskerville Old Face" w:hAnsi="Baskerville Old Face"/>
          <w:i/>
          <w:iCs/>
        </w:rPr>
        <w:br/>
        <w:t>• groundwater recharge proxy</w:t>
      </w:r>
    </w:p>
    <w:p w14:paraId="4F0FDBF1"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3. Biodiversity System</w:t>
      </w:r>
    </w:p>
    <w:p w14:paraId="2E758F15"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Key indicators:</w:t>
      </w:r>
    </w:p>
    <w:p w14:paraId="6EFEECFF"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species richness</w:t>
      </w:r>
      <w:r w:rsidRPr="00B479AE">
        <w:rPr>
          <w:rFonts w:ascii="Baskerville Old Face" w:hAnsi="Baskerville Old Face"/>
          <w:i/>
          <w:iCs/>
        </w:rPr>
        <w:br/>
        <w:t>• functional diversity</w:t>
      </w:r>
      <w:r w:rsidRPr="00B479AE">
        <w:rPr>
          <w:rFonts w:ascii="Baskerville Old Face" w:hAnsi="Baskerville Old Face"/>
          <w:i/>
          <w:iCs/>
        </w:rPr>
        <w:br/>
        <w:t>• pollinator presence</w:t>
      </w:r>
      <w:r w:rsidRPr="00B479AE">
        <w:rPr>
          <w:rFonts w:ascii="Baskerville Old Face" w:hAnsi="Baskerville Old Face"/>
          <w:i/>
          <w:iCs/>
        </w:rPr>
        <w:br/>
        <w:t>• vegetation stratification</w:t>
      </w:r>
    </w:p>
    <w:p w14:paraId="44D6E0B5" w14:textId="77777777" w:rsidR="00330623" w:rsidRPr="00B479AE" w:rsidRDefault="00330623" w:rsidP="00330623">
      <w:pPr>
        <w:spacing w:line="360" w:lineRule="auto"/>
        <w:rPr>
          <w:rFonts w:ascii="Baskerville Old Face" w:hAnsi="Baskerville Old Face"/>
          <w:i/>
          <w:iCs/>
        </w:rPr>
      </w:pPr>
    </w:p>
    <w:p w14:paraId="02775327"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lastRenderedPageBreak/>
        <w:t>4. Production &amp; Nutrition</w:t>
      </w:r>
    </w:p>
    <w:p w14:paraId="36BDB903"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Key indicators:</w:t>
      </w:r>
    </w:p>
    <w:p w14:paraId="276F8AA0"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yield diversity (not monoculture yield)</w:t>
      </w:r>
      <w:r w:rsidRPr="00B479AE">
        <w:rPr>
          <w:rFonts w:ascii="Baskerville Old Face" w:hAnsi="Baskerville Old Face"/>
          <w:i/>
          <w:iCs/>
        </w:rPr>
        <w:br/>
        <w:t>• nutrient density</w:t>
      </w:r>
      <w:r w:rsidRPr="00B479AE">
        <w:rPr>
          <w:rFonts w:ascii="Baskerville Old Face" w:hAnsi="Baskerville Old Face"/>
          <w:i/>
          <w:iCs/>
        </w:rPr>
        <w:br/>
        <w:t>• food self-sufficiency index</w:t>
      </w:r>
    </w:p>
    <w:p w14:paraId="313ABA5B"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5. Social &amp; Governance Layer</w:t>
      </w:r>
    </w:p>
    <w:p w14:paraId="350C0934"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Key indicators:</w:t>
      </w:r>
    </w:p>
    <w:p w14:paraId="29C9E90F"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participation rate</w:t>
      </w:r>
      <w:r w:rsidRPr="00B479AE">
        <w:rPr>
          <w:rFonts w:ascii="Baskerville Old Face" w:hAnsi="Baskerville Old Face"/>
          <w:i/>
          <w:iCs/>
        </w:rPr>
        <w:br/>
        <w:t>• governance engagement</w:t>
      </w:r>
      <w:r w:rsidRPr="00B479AE">
        <w:rPr>
          <w:rFonts w:ascii="Baskerville Old Face" w:hAnsi="Baskerville Old Face"/>
          <w:i/>
          <w:iCs/>
        </w:rPr>
        <w:br/>
        <w:t>• local economic activity</w:t>
      </w:r>
      <w:r w:rsidRPr="00B479AE">
        <w:rPr>
          <w:rFonts w:ascii="Baskerville Old Face" w:hAnsi="Baskerville Old Face"/>
          <w:i/>
          <w:iCs/>
        </w:rPr>
        <w:br/>
        <w:t>• trust proxies (network density)</w:t>
      </w:r>
    </w:p>
    <w:p w14:paraId="5FF766AE"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A4. Measurement methods</w:t>
      </w:r>
    </w:p>
    <w:p w14:paraId="6CDF0A1D" w14:textId="11A198E0"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The MRV framework integrates multiple data sources:</w:t>
      </w:r>
    </w:p>
    <w:p w14:paraId="4393FA70"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Direct measurement</w:t>
      </w:r>
    </w:p>
    <w:p w14:paraId="1EFB76ED"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soil sampling</w:t>
      </w:r>
      <w:r w:rsidRPr="00B479AE">
        <w:rPr>
          <w:rFonts w:ascii="Baskerville Old Face" w:hAnsi="Baskerville Old Face"/>
          <w:i/>
          <w:iCs/>
        </w:rPr>
        <w:br/>
        <w:t>• water infiltration tests</w:t>
      </w:r>
      <w:r w:rsidRPr="00B479AE">
        <w:rPr>
          <w:rFonts w:ascii="Baskerville Old Face" w:hAnsi="Baskerville Old Face"/>
          <w:i/>
          <w:iCs/>
        </w:rPr>
        <w:br/>
        <w:t>• biodiversity surveys</w:t>
      </w:r>
    </w:p>
    <w:p w14:paraId="2AD0F25F"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Sensor-based monitoring</w:t>
      </w:r>
    </w:p>
    <w:p w14:paraId="2CEF00BA"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soil moisture sensors</w:t>
      </w:r>
      <w:r w:rsidRPr="00B479AE">
        <w:rPr>
          <w:rFonts w:ascii="Baskerville Old Face" w:hAnsi="Baskerville Old Face"/>
          <w:i/>
          <w:iCs/>
        </w:rPr>
        <w:br/>
        <w:t>• climate sensors</w:t>
      </w:r>
      <w:r w:rsidRPr="00B479AE">
        <w:rPr>
          <w:rFonts w:ascii="Baskerville Old Face" w:hAnsi="Baskerville Old Face"/>
          <w:i/>
          <w:iCs/>
        </w:rPr>
        <w:br/>
        <w:t>• remote sensing (NDVI, etc.)</w:t>
      </w:r>
    </w:p>
    <w:p w14:paraId="3D4456FE"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Observational data</w:t>
      </w:r>
    </w:p>
    <w:p w14:paraId="01CA1E60"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farmer logs</w:t>
      </w:r>
      <w:r w:rsidRPr="00B479AE">
        <w:rPr>
          <w:rFonts w:ascii="Baskerville Old Face" w:hAnsi="Baskerville Old Face"/>
          <w:i/>
          <w:iCs/>
        </w:rPr>
        <w:br/>
        <w:t>• community inputs</w:t>
      </w:r>
      <w:r w:rsidRPr="00B479AE">
        <w:rPr>
          <w:rFonts w:ascii="Baskerville Old Face" w:hAnsi="Baskerville Old Face"/>
          <w:i/>
          <w:iCs/>
        </w:rPr>
        <w:br/>
        <w:t>• stewardship reporting</w:t>
      </w:r>
    </w:p>
    <w:p w14:paraId="41FC0305" w14:textId="77777777" w:rsidR="00330623" w:rsidRPr="00B479AE" w:rsidRDefault="00330623" w:rsidP="00330623">
      <w:pPr>
        <w:spacing w:line="360" w:lineRule="auto"/>
        <w:rPr>
          <w:rFonts w:ascii="Baskerville Old Face" w:hAnsi="Baskerville Old Face"/>
          <w:i/>
          <w:iCs/>
        </w:rPr>
      </w:pPr>
    </w:p>
    <w:p w14:paraId="7C0CAEDB"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lastRenderedPageBreak/>
        <w:t>Derived indicators</w:t>
      </w:r>
    </w:p>
    <w:p w14:paraId="0D9D08D0"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modeled soil carbon</w:t>
      </w:r>
      <w:r w:rsidRPr="00B479AE">
        <w:rPr>
          <w:rFonts w:ascii="Baskerville Old Face" w:hAnsi="Baskerville Old Face"/>
          <w:i/>
          <w:iCs/>
        </w:rPr>
        <w:br/>
        <w:t>• productivity trends</w:t>
      </w:r>
      <w:r w:rsidRPr="00B479AE">
        <w:rPr>
          <w:rFonts w:ascii="Baskerville Old Face" w:hAnsi="Baskerville Old Face"/>
          <w:i/>
          <w:iCs/>
        </w:rPr>
        <w:br/>
        <w:t>• resilience indices</w:t>
      </w:r>
    </w:p>
    <w:p w14:paraId="16344652"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A5. Verification Architecture</w:t>
      </w:r>
    </w:p>
    <w:p w14:paraId="6E7A8723"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xml:space="preserve">Verification occurs through a </w:t>
      </w:r>
      <w:r w:rsidRPr="00B479AE">
        <w:rPr>
          <w:rFonts w:ascii="Baskerville Old Face" w:hAnsi="Baskerville Old Face"/>
          <w:b/>
          <w:bCs/>
          <w:i/>
          <w:iCs/>
        </w:rPr>
        <w:t>multi-layer system</w:t>
      </w:r>
      <w:r w:rsidRPr="00B479AE">
        <w:rPr>
          <w:rFonts w:ascii="Baskerville Old Face" w:hAnsi="Baskerville Old Face"/>
          <w:i/>
          <w:iCs/>
        </w:rPr>
        <w:t>.</w:t>
      </w:r>
    </w:p>
    <w:p w14:paraId="7C36E621"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Layer 1 — Local validation</w:t>
      </w:r>
    </w:p>
    <w:p w14:paraId="61277673"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peer verification (custodians)</w:t>
      </w:r>
      <w:r w:rsidRPr="00B479AE">
        <w:rPr>
          <w:rFonts w:ascii="Baskerville Old Face" w:hAnsi="Baskerville Old Face"/>
          <w:i/>
          <w:iCs/>
        </w:rPr>
        <w:br/>
        <w:t>• photographic and sensor evidence</w:t>
      </w:r>
    </w:p>
    <w:p w14:paraId="614C7A6E"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Layer 2 — Network validation</w:t>
      </w:r>
    </w:p>
    <w:p w14:paraId="4E01B416"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cross-node comparison</w:t>
      </w:r>
      <w:r w:rsidRPr="00B479AE">
        <w:rPr>
          <w:rFonts w:ascii="Baskerville Old Face" w:hAnsi="Baskerville Old Face"/>
          <w:i/>
          <w:iCs/>
        </w:rPr>
        <w:br/>
        <w:t>• anomaly detection</w:t>
      </w:r>
    </w:p>
    <w:p w14:paraId="26127BE7"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Layer 3 — Protocol validation</w:t>
      </w:r>
    </w:p>
    <w:p w14:paraId="2E280BDC"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cryptographic signatures</w:t>
      </w:r>
      <w:r w:rsidRPr="00B479AE">
        <w:rPr>
          <w:rFonts w:ascii="Baskerville Old Face" w:hAnsi="Baskerville Old Face"/>
          <w:i/>
          <w:iCs/>
        </w:rPr>
        <w:br/>
        <w:t>• data integrity checks</w:t>
      </w:r>
    </w:p>
    <w:p w14:paraId="47F7B672"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Layer 4 — External audit (optional)</w:t>
      </w:r>
    </w:p>
    <w:p w14:paraId="051F149A"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scientific institutions</w:t>
      </w:r>
      <w:r w:rsidRPr="00B479AE">
        <w:rPr>
          <w:rFonts w:ascii="Baskerville Old Face" w:hAnsi="Baskerville Old Face"/>
          <w:i/>
          <w:iCs/>
        </w:rPr>
        <w:br/>
        <w:t>• third-party verification</w:t>
      </w:r>
    </w:p>
    <w:p w14:paraId="27727B32"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A6. Data integrity model</w:t>
      </w:r>
    </w:p>
    <w:p w14:paraId="6DECF9BD"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The MRV system ensures:</w:t>
      </w:r>
    </w:p>
    <w:p w14:paraId="3735B9ED"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traceability (who generated the data)</w:t>
      </w:r>
      <w:r w:rsidRPr="00B479AE">
        <w:rPr>
          <w:rFonts w:ascii="Baskerville Old Face" w:hAnsi="Baskerville Old Face"/>
          <w:i/>
          <w:iCs/>
        </w:rPr>
        <w:br/>
        <w:t>• immutability (data cannot be altered retroactively)</w:t>
      </w:r>
      <w:r w:rsidRPr="00B479AE">
        <w:rPr>
          <w:rFonts w:ascii="Baskerville Old Face" w:hAnsi="Baskerville Old Face"/>
          <w:i/>
          <w:iCs/>
        </w:rPr>
        <w:br/>
        <w:t>• contextual validity (data tied to location and time)</w:t>
      </w:r>
    </w:p>
    <w:p w14:paraId="232A9317"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This is enabled through:</w:t>
      </w:r>
    </w:p>
    <w:p w14:paraId="3359929A"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lastRenderedPageBreak/>
        <w:t>• agent-centric architecture (Holochain)</w:t>
      </w:r>
      <w:r w:rsidRPr="00B479AE">
        <w:rPr>
          <w:rFonts w:ascii="Baskerville Old Face" w:hAnsi="Baskerville Old Face"/>
          <w:i/>
          <w:iCs/>
        </w:rPr>
        <w:br/>
        <w:t>• signed data entries</w:t>
      </w:r>
      <w:r w:rsidRPr="00B479AE">
        <w:rPr>
          <w:rFonts w:ascii="Baskerville Old Face" w:hAnsi="Baskerville Old Face"/>
          <w:i/>
          <w:iCs/>
        </w:rPr>
        <w:br/>
        <w:t>• distributed validation</w:t>
      </w:r>
    </w:p>
    <w:p w14:paraId="0E59EF19"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A7. Frequency of measurement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3"/>
        <w:gridCol w:w="1863"/>
      </w:tblGrid>
      <w:tr w:rsidR="00330623" w:rsidRPr="00B479AE" w14:paraId="0F9AC302" w14:textId="77777777" w:rsidTr="009E53D8">
        <w:trPr>
          <w:tblHeader/>
          <w:tblCellSpacing w:w="15" w:type="dxa"/>
        </w:trPr>
        <w:tc>
          <w:tcPr>
            <w:tcW w:w="0" w:type="auto"/>
            <w:vAlign w:val="center"/>
            <w:hideMark/>
          </w:tcPr>
          <w:p w14:paraId="2B363AB2"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Indicator Type</w:t>
            </w:r>
          </w:p>
        </w:tc>
        <w:tc>
          <w:tcPr>
            <w:tcW w:w="0" w:type="auto"/>
            <w:vAlign w:val="center"/>
            <w:hideMark/>
          </w:tcPr>
          <w:p w14:paraId="5A76835F"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Frequency</w:t>
            </w:r>
          </w:p>
        </w:tc>
      </w:tr>
      <w:tr w:rsidR="00330623" w:rsidRPr="00B479AE" w14:paraId="4DF578F5" w14:textId="77777777" w:rsidTr="009E53D8">
        <w:trPr>
          <w:tblCellSpacing w:w="15" w:type="dxa"/>
        </w:trPr>
        <w:tc>
          <w:tcPr>
            <w:tcW w:w="0" w:type="auto"/>
            <w:vAlign w:val="center"/>
            <w:hideMark/>
          </w:tcPr>
          <w:p w14:paraId="3F37E1FE"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Soil</w:t>
            </w:r>
          </w:p>
        </w:tc>
        <w:tc>
          <w:tcPr>
            <w:tcW w:w="0" w:type="auto"/>
            <w:vAlign w:val="center"/>
            <w:hideMark/>
          </w:tcPr>
          <w:p w14:paraId="5DE5A4F0"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6–12 months</w:t>
            </w:r>
          </w:p>
        </w:tc>
      </w:tr>
      <w:tr w:rsidR="00330623" w:rsidRPr="00B479AE" w14:paraId="18F602AD" w14:textId="77777777" w:rsidTr="009E53D8">
        <w:trPr>
          <w:tblCellSpacing w:w="15" w:type="dxa"/>
        </w:trPr>
        <w:tc>
          <w:tcPr>
            <w:tcW w:w="0" w:type="auto"/>
            <w:vAlign w:val="center"/>
            <w:hideMark/>
          </w:tcPr>
          <w:p w14:paraId="5D2E2CD0"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Water</w:t>
            </w:r>
          </w:p>
        </w:tc>
        <w:tc>
          <w:tcPr>
            <w:tcW w:w="0" w:type="auto"/>
            <w:vAlign w:val="center"/>
            <w:hideMark/>
          </w:tcPr>
          <w:p w14:paraId="4F7A1149"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monthly / seasonal</w:t>
            </w:r>
          </w:p>
        </w:tc>
      </w:tr>
      <w:tr w:rsidR="00330623" w:rsidRPr="00B479AE" w14:paraId="1F123F04" w14:textId="77777777" w:rsidTr="009E53D8">
        <w:trPr>
          <w:tblCellSpacing w:w="15" w:type="dxa"/>
        </w:trPr>
        <w:tc>
          <w:tcPr>
            <w:tcW w:w="0" w:type="auto"/>
            <w:vAlign w:val="center"/>
            <w:hideMark/>
          </w:tcPr>
          <w:p w14:paraId="30D16291"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Biodiversity</w:t>
            </w:r>
          </w:p>
        </w:tc>
        <w:tc>
          <w:tcPr>
            <w:tcW w:w="0" w:type="auto"/>
            <w:vAlign w:val="center"/>
            <w:hideMark/>
          </w:tcPr>
          <w:p w14:paraId="6BBF2599"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seasonal</w:t>
            </w:r>
          </w:p>
        </w:tc>
      </w:tr>
      <w:tr w:rsidR="00330623" w:rsidRPr="00B479AE" w14:paraId="4F22B171" w14:textId="77777777" w:rsidTr="009E53D8">
        <w:trPr>
          <w:tblCellSpacing w:w="15" w:type="dxa"/>
        </w:trPr>
        <w:tc>
          <w:tcPr>
            <w:tcW w:w="0" w:type="auto"/>
            <w:vAlign w:val="center"/>
            <w:hideMark/>
          </w:tcPr>
          <w:p w14:paraId="1A084D9A"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Production</w:t>
            </w:r>
          </w:p>
        </w:tc>
        <w:tc>
          <w:tcPr>
            <w:tcW w:w="0" w:type="auto"/>
            <w:vAlign w:val="center"/>
            <w:hideMark/>
          </w:tcPr>
          <w:p w14:paraId="4B95DBEB"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continuous</w:t>
            </w:r>
          </w:p>
        </w:tc>
      </w:tr>
      <w:tr w:rsidR="00330623" w:rsidRPr="00B479AE" w14:paraId="7A169B4A" w14:textId="77777777" w:rsidTr="009E53D8">
        <w:trPr>
          <w:tblCellSpacing w:w="15" w:type="dxa"/>
        </w:trPr>
        <w:tc>
          <w:tcPr>
            <w:tcW w:w="0" w:type="auto"/>
            <w:vAlign w:val="center"/>
            <w:hideMark/>
          </w:tcPr>
          <w:p w14:paraId="00FE2B8C"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Social</w:t>
            </w:r>
          </w:p>
        </w:tc>
        <w:tc>
          <w:tcPr>
            <w:tcW w:w="0" w:type="auto"/>
            <w:vAlign w:val="center"/>
            <w:hideMark/>
          </w:tcPr>
          <w:p w14:paraId="31D95820"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quarterly</w:t>
            </w:r>
          </w:p>
        </w:tc>
      </w:tr>
    </w:tbl>
    <w:p w14:paraId="365F47BD"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A8. Uncertainty and error handling</w:t>
      </w:r>
    </w:p>
    <w:p w14:paraId="004FFF12"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All ecological measurements include uncertainty.</w:t>
      </w:r>
    </w:p>
    <w:p w14:paraId="17F90E1D"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Prometheus addresses this through:</w:t>
      </w:r>
    </w:p>
    <w:p w14:paraId="489F2755"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repeated measurements</w:t>
      </w:r>
      <w:r w:rsidRPr="00B479AE">
        <w:rPr>
          <w:rFonts w:ascii="Baskerville Old Face" w:hAnsi="Baskerville Old Face"/>
          <w:i/>
          <w:iCs/>
        </w:rPr>
        <w:br/>
        <w:t>• statistical smoothing</w:t>
      </w:r>
      <w:r w:rsidRPr="00B479AE">
        <w:rPr>
          <w:rFonts w:ascii="Baskerville Old Face" w:hAnsi="Baskerville Old Face"/>
          <w:i/>
          <w:iCs/>
        </w:rPr>
        <w:br/>
        <w:t>• multi-source validation</w:t>
      </w:r>
      <w:r w:rsidRPr="00B479AE">
        <w:rPr>
          <w:rFonts w:ascii="Baskerville Old Face" w:hAnsi="Baskerville Old Face"/>
          <w:i/>
          <w:iCs/>
        </w:rPr>
        <w:br/>
        <w:t>• confidence scoring</w:t>
      </w:r>
    </w:p>
    <w:p w14:paraId="5DCE05AF"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Confidence score concept</w:t>
      </w:r>
    </w:p>
    <w:p w14:paraId="43BD048F"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Each metric is associated with a confidence level:</w:t>
      </w:r>
    </w:p>
    <w:p w14:paraId="4564B0B3"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Confidence Score = f(data quality, frequency, consistency)</w:t>
      </w:r>
    </w:p>
    <w:p w14:paraId="7D90E8A7"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A9. From measurement to value recognition</w:t>
      </w:r>
    </w:p>
    <w:p w14:paraId="3B3A5889"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Measured improvements (delta) are translated into:</w:t>
      </w:r>
    </w:p>
    <w:p w14:paraId="48636200"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lastRenderedPageBreak/>
        <w:t>• ecological indicators</w:t>
      </w:r>
      <w:r w:rsidRPr="00B479AE">
        <w:rPr>
          <w:rFonts w:ascii="Baskerville Old Face" w:hAnsi="Baskerville Old Face"/>
          <w:i/>
          <w:iCs/>
        </w:rPr>
        <w:br/>
        <w:t>• regenerative performance scores</w:t>
      </w:r>
      <w:r w:rsidRPr="00B479AE">
        <w:rPr>
          <w:rFonts w:ascii="Baskerville Old Face" w:hAnsi="Baskerville Old Face"/>
          <w:i/>
          <w:iCs/>
        </w:rPr>
        <w:br/>
        <w:t>• value signals within the system</w:t>
      </w:r>
    </w:p>
    <w:p w14:paraId="27B378DC"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These signals feed into:</w:t>
      </w:r>
    </w:p>
    <w:p w14:paraId="2B30681D"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governance decisions</w:t>
      </w:r>
      <w:r w:rsidRPr="00B479AE">
        <w:rPr>
          <w:rFonts w:ascii="Baskerville Old Face" w:hAnsi="Baskerville Old Face"/>
          <w:i/>
          <w:iCs/>
        </w:rPr>
        <w:br/>
        <w:t>• capital allocation</w:t>
      </w:r>
      <w:r w:rsidRPr="00B479AE">
        <w:rPr>
          <w:rFonts w:ascii="Baskerville Old Face" w:hAnsi="Baskerville Old Face"/>
          <w:i/>
          <w:iCs/>
        </w:rPr>
        <w:br/>
        <w:t>• regenerative asset recognition</w:t>
      </w:r>
    </w:p>
    <w:p w14:paraId="3A5C7463"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A10. Anti-greenwashing design</w:t>
      </w:r>
    </w:p>
    <w:p w14:paraId="07E9C007"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The MRV system is explicitly designed to prevent:</w:t>
      </w:r>
    </w:p>
    <w:p w14:paraId="2D7879A7"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inflated claims</w:t>
      </w:r>
      <w:r w:rsidRPr="00B479AE">
        <w:rPr>
          <w:rFonts w:ascii="Baskerville Old Face" w:hAnsi="Baskerville Old Face"/>
          <w:i/>
          <w:iCs/>
        </w:rPr>
        <w:br/>
        <w:t>• unverifiable offsets</w:t>
      </w:r>
      <w:r w:rsidRPr="00B479AE">
        <w:rPr>
          <w:rFonts w:ascii="Baskerville Old Face" w:hAnsi="Baskerville Old Face"/>
          <w:i/>
          <w:iCs/>
        </w:rPr>
        <w:br/>
        <w:t>• opaque certification</w:t>
      </w:r>
    </w:p>
    <w:p w14:paraId="01DFBC7C"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This is achieved through:</w:t>
      </w:r>
    </w:p>
    <w:p w14:paraId="7F4E9917"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local verification</w:t>
      </w:r>
      <w:r w:rsidRPr="00B479AE">
        <w:rPr>
          <w:rFonts w:ascii="Baskerville Old Face" w:hAnsi="Baskerville Old Face"/>
          <w:i/>
          <w:iCs/>
        </w:rPr>
        <w:br/>
        <w:t>• transparent data flows</w:t>
      </w:r>
      <w:r w:rsidRPr="00B479AE">
        <w:rPr>
          <w:rFonts w:ascii="Baskerville Old Face" w:hAnsi="Baskerville Old Face"/>
          <w:i/>
          <w:iCs/>
        </w:rPr>
        <w:br/>
        <w:t>• continuous monitoring</w:t>
      </w:r>
      <w:r w:rsidRPr="00B479AE">
        <w:rPr>
          <w:rFonts w:ascii="Baskerville Old Face" w:hAnsi="Baskerville Old Face"/>
          <w:i/>
          <w:iCs/>
        </w:rPr>
        <w:br/>
        <w:t>• distributed validation</w:t>
      </w:r>
    </w:p>
    <w:p w14:paraId="02EF6A6C"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A11. Scientific falsifiability</w:t>
      </w:r>
    </w:p>
    <w:p w14:paraId="35D266E2"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The Prometheus MRV framework is falsifiable.</w:t>
      </w:r>
    </w:p>
    <w:p w14:paraId="63C1C80A"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This means:</w:t>
      </w:r>
    </w:p>
    <w:p w14:paraId="1C24139B"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hypotheses can be tested</w:t>
      </w:r>
      <w:r w:rsidRPr="00B479AE">
        <w:rPr>
          <w:rFonts w:ascii="Baskerville Old Face" w:hAnsi="Baskerville Old Face"/>
          <w:i/>
          <w:iCs/>
        </w:rPr>
        <w:br/>
        <w:t>• results can be verified independently</w:t>
      </w:r>
      <w:r w:rsidRPr="00B479AE">
        <w:rPr>
          <w:rFonts w:ascii="Baskerville Old Face" w:hAnsi="Baskerville Old Face"/>
          <w:i/>
          <w:iCs/>
        </w:rPr>
        <w:br/>
        <w:t>• failures can be detected</w:t>
      </w:r>
    </w:p>
    <w:p w14:paraId="2F10F155"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Example:</w:t>
      </w:r>
    </w:p>
    <w:p w14:paraId="3807236B"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Hypothesis:</w:t>
      </w:r>
      <w:r w:rsidRPr="00B479AE">
        <w:rPr>
          <w:rFonts w:ascii="Baskerville Old Face" w:hAnsi="Baskerville Old Face"/>
          <w:i/>
          <w:iCs/>
        </w:rPr>
        <w:br/>
        <w:t>“OHE implementation increases soil organic carbon over 24 months.”</w:t>
      </w:r>
    </w:p>
    <w:p w14:paraId="04E69C09"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lastRenderedPageBreak/>
        <w:t>Test:</w:t>
      </w:r>
    </w:p>
    <w:p w14:paraId="1DFCC8C8"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measure baseline SOC</w:t>
      </w:r>
      <w:r w:rsidRPr="00B479AE">
        <w:rPr>
          <w:rFonts w:ascii="Baskerville Old Face" w:hAnsi="Baskerville Old Face"/>
          <w:i/>
          <w:iCs/>
        </w:rPr>
        <w:br/>
        <w:t>• measure SOC after 24 months</w:t>
      </w:r>
      <w:r w:rsidRPr="00B479AE">
        <w:rPr>
          <w:rFonts w:ascii="Baskerville Old Face" w:hAnsi="Baskerville Old Face"/>
          <w:i/>
          <w:iCs/>
        </w:rPr>
        <w:br/>
        <w:t>• compare delta</w:t>
      </w:r>
    </w:p>
    <w:p w14:paraId="05AF6D63"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xml:space="preserve">If no improvement is observed </w:t>
      </w:r>
      <w:r w:rsidRPr="00B479AE">
        <w:rPr>
          <w:rFonts w:ascii="Times New Roman" w:hAnsi="Times New Roman" w:cs="Times New Roman"/>
          <w:i/>
          <w:iCs/>
        </w:rPr>
        <w:t>→</w:t>
      </w:r>
      <w:r w:rsidRPr="00B479AE">
        <w:rPr>
          <w:rFonts w:ascii="Baskerville Old Face" w:hAnsi="Baskerville Old Face"/>
          <w:i/>
          <w:iCs/>
        </w:rPr>
        <w:t xml:space="preserve"> hypothesis is falsified.</w:t>
      </w:r>
    </w:p>
    <w:p w14:paraId="57AA1AB9"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A12. Integration with financial system</w:t>
      </w:r>
    </w:p>
    <w:p w14:paraId="33D00499"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MRV outputs directly support:</w:t>
      </w:r>
    </w:p>
    <w:p w14:paraId="4E4D2FCE"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regenerative asset valuation</w:t>
      </w:r>
      <w:r w:rsidRPr="00B479AE">
        <w:rPr>
          <w:rFonts w:ascii="Baskerville Old Face" w:hAnsi="Baskerville Old Face"/>
          <w:i/>
          <w:iCs/>
        </w:rPr>
        <w:br/>
        <w:t>• capital allocation decisions</w:t>
      </w:r>
      <w:r w:rsidRPr="00B479AE">
        <w:rPr>
          <w:rFonts w:ascii="Baskerville Old Face" w:hAnsi="Baskerville Old Face"/>
          <w:i/>
          <w:iCs/>
        </w:rPr>
        <w:br/>
        <w:t>• risk assessment</w:t>
      </w:r>
    </w:p>
    <w:p w14:paraId="022FE3F5"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This creates a direct link between:</w:t>
      </w:r>
    </w:p>
    <w:p w14:paraId="0248D39F"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xml:space="preserve">ecological reality </w:t>
      </w:r>
      <w:r w:rsidRPr="00B479AE">
        <w:rPr>
          <w:rFonts w:ascii="Times New Roman" w:hAnsi="Times New Roman" w:cs="Times New Roman"/>
          <w:i/>
          <w:iCs/>
        </w:rPr>
        <w:t>↔</w:t>
      </w:r>
      <w:r w:rsidRPr="00B479AE">
        <w:rPr>
          <w:rFonts w:ascii="Baskerville Old Face" w:hAnsi="Baskerville Old Face"/>
          <w:i/>
          <w:iCs/>
        </w:rPr>
        <w:t xml:space="preserve"> financial value</w:t>
      </w:r>
    </w:p>
    <w:p w14:paraId="6067F6AC" w14:textId="77777777" w:rsidR="00330623" w:rsidRPr="00B479AE" w:rsidRDefault="00330623" w:rsidP="00330623">
      <w:pPr>
        <w:spacing w:line="360" w:lineRule="auto"/>
        <w:rPr>
          <w:rFonts w:ascii="Baskerville Old Face" w:hAnsi="Baskerville Old Face"/>
          <w:b/>
          <w:bCs/>
          <w:i/>
          <w:iCs/>
        </w:rPr>
      </w:pPr>
      <w:r w:rsidRPr="00B479AE">
        <w:rPr>
          <w:rFonts w:ascii="Baskerville Old Face" w:hAnsi="Baskerville Old Face"/>
          <w:b/>
          <w:bCs/>
          <w:i/>
          <w:iCs/>
        </w:rPr>
        <w:t>A13. Scalability of MRV</w:t>
      </w:r>
    </w:p>
    <w:p w14:paraId="0F6F0FC9"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The MRV system scales through:</w:t>
      </w:r>
    </w:p>
    <w:p w14:paraId="32BD49B1"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standardization of metrics</w:t>
      </w:r>
      <w:r w:rsidRPr="00B479AE">
        <w:rPr>
          <w:rFonts w:ascii="Baskerville Old Face" w:hAnsi="Baskerville Old Face"/>
          <w:i/>
          <w:iCs/>
        </w:rPr>
        <w:br/>
        <w:t>• modular deployment</w:t>
      </w:r>
      <w:r w:rsidRPr="00B479AE">
        <w:rPr>
          <w:rFonts w:ascii="Baskerville Old Face" w:hAnsi="Baskerville Old Face"/>
          <w:i/>
          <w:iCs/>
        </w:rPr>
        <w:br/>
        <w:t>• distributed data validation</w:t>
      </w:r>
    </w:p>
    <w:p w14:paraId="22C0E392"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This allows:</w:t>
      </w:r>
    </w:p>
    <w:p w14:paraId="5CE70A77"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 local precision</w:t>
      </w:r>
      <w:r w:rsidRPr="00B479AE">
        <w:rPr>
          <w:rFonts w:ascii="Baskerville Old Face" w:hAnsi="Baskerville Old Face"/>
          <w:i/>
          <w:iCs/>
        </w:rPr>
        <w:br/>
        <w:t>• global comparability</w:t>
      </w:r>
    </w:p>
    <w:p w14:paraId="26895A70"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The MRV framework provides the scientific backbone required to validate regenerative systems.</w:t>
      </w:r>
    </w:p>
    <w:p w14:paraId="7E5F410B"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Together with the architectural, operational, and financial components described in this white paper, it enables the emergence of a new class of infrastructure:</w:t>
      </w:r>
    </w:p>
    <w:p w14:paraId="274F3257" w14:textId="77777777" w:rsidR="00330623" w:rsidRPr="00B479AE" w:rsidRDefault="00330623" w:rsidP="00330623">
      <w:pPr>
        <w:spacing w:line="360" w:lineRule="auto"/>
        <w:rPr>
          <w:rFonts w:ascii="Baskerville Old Face" w:hAnsi="Baskerville Old Face"/>
          <w:i/>
          <w:iCs/>
        </w:rPr>
      </w:pPr>
      <w:r w:rsidRPr="00B479AE">
        <w:rPr>
          <w:rFonts w:ascii="Baskerville Old Face" w:hAnsi="Baskerville Old Face"/>
          <w:i/>
          <w:iCs/>
        </w:rPr>
        <w:t>Regenerative, measurable, and investable by design.</w:t>
      </w:r>
    </w:p>
    <w:p w14:paraId="081FC5B1" w14:textId="77777777" w:rsidR="00D37DF5" w:rsidRPr="00B479AE" w:rsidRDefault="00D37DF5" w:rsidP="00330623">
      <w:pPr>
        <w:spacing w:line="360" w:lineRule="auto"/>
        <w:rPr>
          <w:rFonts w:ascii="Baskerville Old Face" w:hAnsi="Baskerville Old Face"/>
          <w:b/>
          <w:bCs/>
          <w:i/>
          <w:iCs/>
        </w:rPr>
      </w:pPr>
    </w:p>
    <w:p w14:paraId="52696045" w14:textId="5D0CFF09" w:rsidR="008E20E1" w:rsidRPr="00B479AE" w:rsidRDefault="008E20E1" w:rsidP="00586C06">
      <w:pPr>
        <w:spacing w:line="360" w:lineRule="auto"/>
        <w:jc w:val="center"/>
        <w:rPr>
          <w:rFonts w:ascii="Baskerville Old Face" w:hAnsi="Baskerville Old Face"/>
          <w:b/>
          <w:bCs/>
        </w:rPr>
      </w:pPr>
      <w:r w:rsidRPr="00B479AE">
        <w:rPr>
          <w:rFonts w:ascii="Baskerville Old Face" w:hAnsi="Baskerville Old Face"/>
          <w:b/>
          <w:bCs/>
        </w:rPr>
        <w:lastRenderedPageBreak/>
        <w:t>APPENDICES</w:t>
      </w:r>
      <w:r w:rsidR="00ED2A29" w:rsidRPr="00B479AE">
        <w:rPr>
          <w:rFonts w:ascii="Baskerville Old Face" w:hAnsi="Baskerville Old Face"/>
          <w:b/>
          <w:bCs/>
        </w:rPr>
        <w:t xml:space="preserve"> </w:t>
      </w:r>
      <w:r w:rsidR="00330623" w:rsidRPr="00B479AE">
        <w:rPr>
          <w:rFonts w:ascii="Baskerville Old Face" w:hAnsi="Baskerville Old Face"/>
          <w:b/>
          <w:bCs/>
        </w:rPr>
        <w:t>2</w:t>
      </w:r>
    </w:p>
    <w:p w14:paraId="2F9F0DE9" w14:textId="77777777" w:rsidR="008E20E1" w:rsidRPr="005907F1" w:rsidRDefault="008E20E1" w:rsidP="005907F1">
      <w:pPr>
        <w:pStyle w:val="Titolo1"/>
        <w:rPr>
          <w:rFonts w:ascii="Baskerville Old Face" w:hAnsi="Baskerville Old Face"/>
          <w:b/>
          <w:bCs/>
          <w:i/>
          <w:iCs/>
          <w:sz w:val="24"/>
          <w:szCs w:val="24"/>
        </w:rPr>
      </w:pPr>
      <w:r w:rsidRPr="005907F1">
        <w:rPr>
          <w:rFonts w:ascii="Baskerville Old Face" w:hAnsi="Baskerville Old Face"/>
          <w:b/>
          <w:bCs/>
          <w:i/>
          <w:iCs/>
          <w:sz w:val="24"/>
          <w:szCs w:val="24"/>
        </w:rPr>
        <w:t>Appendix A: Formal complexity proofs</w:t>
      </w:r>
    </w:p>
    <w:p w14:paraId="03E56B21" w14:textId="77777777" w:rsidR="008E20E1" w:rsidRPr="00B479AE" w:rsidRDefault="008E20E1" w:rsidP="008E20E1">
      <w:pPr>
        <w:spacing w:line="360" w:lineRule="auto"/>
        <w:rPr>
          <w:rFonts w:ascii="Baskerville Old Face" w:hAnsi="Baskerville Old Face"/>
          <w:b/>
          <w:bCs/>
          <w:i/>
          <w:iCs/>
        </w:rPr>
      </w:pPr>
      <w:r w:rsidRPr="00B479AE">
        <w:rPr>
          <w:rFonts w:ascii="Baskerville Old Face" w:hAnsi="Baskerville Old Face"/>
          <w:b/>
          <w:bCs/>
          <w:i/>
          <w:iCs/>
        </w:rPr>
        <w:t>A.1 Derivation of agent-centric complexity</w:t>
      </w:r>
    </w:p>
    <w:p w14:paraId="134B8F68"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Following the Holochain whitepaper formalism, we consider a system with *n* total transactions and *m* nodes. The probability that any given node is responsible for validating a given transaction is *r/m*, where *r* is the resilience factor (typically 10-20). The DHT lookup complexity is O(log m).</w:t>
      </w:r>
    </w:p>
    <w:p w14:paraId="54C94805"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Therefore, the expected number of validations per node is (n/m)</w:t>
      </w:r>
      <w:r w:rsidRPr="00B479AE">
        <w:rPr>
          <w:rFonts w:ascii="Cambria Math" w:hAnsi="Cambria Math" w:cs="Cambria Math"/>
          <w:i/>
          <w:iCs/>
        </w:rPr>
        <w:t>⋅</w:t>
      </w:r>
      <w:r w:rsidRPr="00B479AE">
        <w:rPr>
          <w:rFonts w:ascii="Baskerville Old Face" w:hAnsi="Baskerville Old Face"/>
          <w:i/>
          <w:iCs/>
        </w:rPr>
        <w:t>r, and the total system complexity is:</w:t>
      </w:r>
    </w:p>
    <w:p w14:paraId="48DCCD58" w14:textId="77777777" w:rsidR="008E20E1" w:rsidRPr="00B479AE" w:rsidRDefault="008E20E1" w:rsidP="008E20E1">
      <w:pPr>
        <w:spacing w:line="360" w:lineRule="auto"/>
        <w:rPr>
          <w:rFonts w:ascii="Baskerville Old Face" w:hAnsi="Baskerville Old Face"/>
          <w:i/>
          <w:iCs/>
        </w:rPr>
      </w:pPr>
      <w:r w:rsidRPr="00B479AE">
        <w:rPr>
          <w:rFonts w:ascii="Cambria" w:hAnsi="Cambria" w:cs="Cambria"/>
          <w:i/>
          <w:iCs/>
        </w:rPr>
        <w:t>Ω</w:t>
      </w:r>
      <w:r w:rsidRPr="00B479AE">
        <w:rPr>
          <w:rFonts w:ascii="Baskerville Old Face" w:hAnsi="Baskerville Old Face"/>
          <w:i/>
          <w:iCs/>
        </w:rPr>
        <w:t xml:space="preserve">_agent-centric </w:t>
      </w:r>
      <w:r w:rsidRPr="00B479AE">
        <w:rPr>
          <w:rFonts w:ascii="Cambria Math" w:hAnsi="Cambria Math" w:cs="Cambria Math"/>
          <w:i/>
          <w:iCs/>
        </w:rPr>
        <w:t>∈</w:t>
      </w:r>
      <w:r w:rsidRPr="00B479AE">
        <w:rPr>
          <w:rFonts w:ascii="Baskerville Old Face" w:hAnsi="Baskerville Old Face"/>
          <w:i/>
          <w:iCs/>
        </w:rPr>
        <w:t xml:space="preserve"> O(n</w:t>
      </w:r>
      <w:r w:rsidRPr="00B479AE">
        <w:rPr>
          <w:rFonts w:ascii="Cambria" w:hAnsi="Cambria" w:cs="Cambria"/>
          <w:i/>
          <w:iCs/>
        </w:rPr>
        <w:t>·</w:t>
      </w:r>
      <w:r w:rsidRPr="00B479AE">
        <w:rPr>
          <w:rFonts w:ascii="Baskerville Old Face" w:hAnsi="Baskerville Old Face"/>
          <w:i/>
          <w:iCs/>
        </w:rPr>
        <w:t>(log m + v(n,m)))</w:t>
      </w:r>
    </w:p>
    <w:p w14:paraId="59BE8787"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where v(n,m) is the application-specific validation complexity.</w:t>
      </w:r>
    </w:p>
    <w:p w14:paraId="7D6228B8"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For a well-designed application with *v(n,m) = O(1)*, the per-node complexity is:</w:t>
      </w:r>
    </w:p>
    <w:p w14:paraId="39C12383" w14:textId="77777777" w:rsidR="008E20E1" w:rsidRPr="005907F1" w:rsidRDefault="008E20E1" w:rsidP="008E20E1">
      <w:pPr>
        <w:spacing w:line="360" w:lineRule="auto"/>
        <w:rPr>
          <w:rFonts w:ascii="Baskerville Old Face" w:hAnsi="Baskerville Old Face"/>
          <w:i/>
          <w:iCs/>
          <w:lang w:val="it-IT"/>
        </w:rPr>
      </w:pPr>
      <w:r w:rsidRPr="00B479AE">
        <w:rPr>
          <w:rFonts w:ascii="Cambria" w:hAnsi="Cambria" w:cs="Cambria"/>
          <w:i/>
          <w:iCs/>
        </w:rPr>
        <w:t>Ω</w:t>
      </w:r>
      <w:r w:rsidRPr="005907F1">
        <w:rPr>
          <w:rFonts w:ascii="Baskerville Old Face" w:hAnsi="Baskerville Old Face"/>
          <w:i/>
          <w:iCs/>
          <w:lang w:val="it-IT"/>
        </w:rPr>
        <w:t xml:space="preserve">_node </w:t>
      </w:r>
      <w:r w:rsidRPr="005907F1">
        <w:rPr>
          <w:rFonts w:ascii="Cambria Math" w:hAnsi="Cambria Math" w:cs="Cambria Math"/>
          <w:i/>
          <w:iCs/>
          <w:lang w:val="it-IT"/>
        </w:rPr>
        <w:t>∈</w:t>
      </w:r>
      <w:r w:rsidRPr="005907F1">
        <w:rPr>
          <w:rFonts w:ascii="Baskerville Old Face" w:hAnsi="Baskerville Old Face"/>
          <w:i/>
          <w:iCs/>
          <w:lang w:val="it-IT"/>
        </w:rPr>
        <w:t xml:space="preserve"> O((n/m) log m)</w:t>
      </w:r>
    </w:p>
    <w:p w14:paraId="417C3E6B" w14:textId="77777777" w:rsidR="008E20E1" w:rsidRPr="00B479AE" w:rsidRDefault="008E20E1" w:rsidP="008E20E1">
      <w:pPr>
        <w:spacing w:line="360" w:lineRule="auto"/>
        <w:rPr>
          <w:rFonts w:ascii="Baskerville Old Face" w:hAnsi="Baskerville Old Face"/>
          <w:b/>
          <w:bCs/>
          <w:i/>
          <w:iCs/>
        </w:rPr>
      </w:pPr>
      <w:r w:rsidRPr="00B479AE">
        <w:rPr>
          <w:rFonts w:ascii="Baskerville Old Face" w:hAnsi="Baskerville Old Face"/>
          <w:b/>
          <w:bCs/>
          <w:i/>
          <w:iCs/>
        </w:rPr>
        <w:t>A.2 Comparative analysis with blockchain</w:t>
      </w:r>
    </w:p>
    <w:p w14:paraId="567362F1"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For blockchain systems (Bitcoin, Ethereum), every node must validate every transaction, and transactions must be processed in global consensus order. This yields:</w:t>
      </w:r>
    </w:p>
    <w:p w14:paraId="23A789C0" w14:textId="77777777" w:rsidR="008E20E1" w:rsidRPr="00B479AE" w:rsidRDefault="008E20E1" w:rsidP="008E20E1">
      <w:pPr>
        <w:spacing w:line="360" w:lineRule="auto"/>
        <w:rPr>
          <w:rFonts w:ascii="Baskerville Old Face" w:hAnsi="Baskerville Old Face"/>
          <w:i/>
          <w:iCs/>
        </w:rPr>
      </w:pPr>
      <w:r w:rsidRPr="00B479AE">
        <w:rPr>
          <w:rFonts w:ascii="Cambria" w:hAnsi="Cambria" w:cs="Cambria"/>
          <w:i/>
          <w:iCs/>
        </w:rPr>
        <w:t>Ω</w:t>
      </w:r>
      <w:r w:rsidRPr="00B479AE">
        <w:rPr>
          <w:rFonts w:ascii="Baskerville Old Face" w:hAnsi="Baskerville Old Face"/>
          <w:i/>
          <w:iCs/>
        </w:rPr>
        <w:t xml:space="preserve">_blockchain </w:t>
      </w:r>
      <w:r w:rsidRPr="00B479AE">
        <w:rPr>
          <w:rFonts w:ascii="Cambria Math" w:hAnsi="Cambria Math" w:cs="Cambria Math"/>
          <w:i/>
          <w:iCs/>
        </w:rPr>
        <w:t>∈</w:t>
      </w:r>
      <w:r w:rsidRPr="00B479AE">
        <w:rPr>
          <w:rFonts w:ascii="Baskerville Old Face" w:hAnsi="Baskerville Old Face"/>
          <w:i/>
          <w:iCs/>
        </w:rPr>
        <w:t xml:space="preserve"> O(n</w:t>
      </w:r>
      <w:r w:rsidRPr="00B479AE">
        <w:rPr>
          <w:rFonts w:ascii="Baskerville Old Face" w:hAnsi="Baskerville Old Face" w:cs="Calibri"/>
          <w:i/>
          <w:iCs/>
        </w:rPr>
        <w:t>²</w:t>
      </w:r>
      <w:r w:rsidRPr="00B479AE">
        <w:rPr>
          <w:rFonts w:ascii="Baskerville Old Face" w:hAnsi="Baskerville Old Face"/>
          <w:i/>
          <w:iCs/>
        </w:rPr>
        <w:t xml:space="preserve"> m)</w:t>
      </w:r>
    </w:p>
    <w:p w14:paraId="6D5C4830"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The quadratic term n² arises from the need to check each transaction against the entire history (for double-spend prevention). This is the fundamental source of blockchain's scalability limit.</w:t>
      </w:r>
    </w:p>
    <w:p w14:paraId="084A578C" w14:textId="77777777" w:rsidR="008E20E1" w:rsidRPr="00B479AE" w:rsidRDefault="008E20E1" w:rsidP="008E20E1">
      <w:pPr>
        <w:spacing w:line="360" w:lineRule="auto"/>
        <w:rPr>
          <w:rFonts w:ascii="Baskerville Old Face" w:hAnsi="Baskerville Old Face"/>
          <w:b/>
          <w:bCs/>
          <w:i/>
          <w:iCs/>
        </w:rPr>
      </w:pPr>
      <w:r w:rsidRPr="00B479AE">
        <w:rPr>
          <w:rFonts w:ascii="Baskerville Old Face" w:hAnsi="Baskerville Old Face"/>
          <w:b/>
          <w:bCs/>
          <w:i/>
          <w:iCs/>
        </w:rPr>
        <w:t>A.3 Implications for regenerative applications</w:t>
      </w:r>
    </w:p>
    <w:p w14:paraId="270D3DF3"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The agent-centric complexity model demonstrates that as a regenerative ecosystem grows (increasing *m*), the per-node workload decreases. This means:</w:t>
      </w:r>
    </w:p>
    <w:p w14:paraId="420E4D92" w14:textId="77777777" w:rsidR="008E20E1" w:rsidRPr="00B479AE" w:rsidRDefault="008E20E1">
      <w:pPr>
        <w:numPr>
          <w:ilvl w:val="0"/>
          <w:numId w:val="1"/>
        </w:numPr>
        <w:spacing w:line="360" w:lineRule="auto"/>
        <w:rPr>
          <w:rFonts w:ascii="Baskerville Old Face" w:hAnsi="Baskerville Old Face"/>
          <w:i/>
          <w:iCs/>
        </w:rPr>
      </w:pPr>
      <w:r w:rsidRPr="00B479AE">
        <w:rPr>
          <w:rFonts w:ascii="Baskerville Old Face" w:hAnsi="Baskerville Old Face"/>
          <w:i/>
          <w:iCs/>
        </w:rPr>
        <w:t>More stewards = faster validation</w:t>
      </w:r>
    </w:p>
    <w:p w14:paraId="39C2C004" w14:textId="77777777" w:rsidR="008E20E1" w:rsidRPr="00B479AE" w:rsidRDefault="008E20E1">
      <w:pPr>
        <w:numPr>
          <w:ilvl w:val="0"/>
          <w:numId w:val="1"/>
        </w:numPr>
        <w:spacing w:line="360" w:lineRule="auto"/>
        <w:rPr>
          <w:rFonts w:ascii="Baskerville Old Face" w:hAnsi="Baskerville Old Face"/>
          <w:i/>
          <w:iCs/>
        </w:rPr>
      </w:pPr>
      <w:r w:rsidRPr="00B479AE">
        <w:rPr>
          <w:rFonts w:ascii="Baskerville Old Face" w:hAnsi="Baskerville Old Face"/>
          <w:i/>
          <w:iCs/>
        </w:rPr>
        <w:t>More communities = more resilient network</w:t>
      </w:r>
    </w:p>
    <w:p w14:paraId="7F4D3B75" w14:textId="77777777" w:rsidR="008E20E1" w:rsidRPr="00B479AE" w:rsidRDefault="008E20E1">
      <w:pPr>
        <w:numPr>
          <w:ilvl w:val="0"/>
          <w:numId w:val="1"/>
        </w:numPr>
        <w:spacing w:line="360" w:lineRule="auto"/>
        <w:rPr>
          <w:rFonts w:ascii="Baskerville Old Face" w:hAnsi="Baskerville Old Face"/>
          <w:i/>
          <w:iCs/>
        </w:rPr>
      </w:pPr>
      <w:r w:rsidRPr="00B479AE">
        <w:rPr>
          <w:rFonts w:ascii="Baskerville Old Face" w:hAnsi="Baskerville Old Face"/>
          <w:i/>
          <w:iCs/>
        </w:rPr>
        <w:t>More transactions = no congestion</w:t>
      </w:r>
    </w:p>
    <w:p w14:paraId="50EEE7D2"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lastRenderedPageBreak/>
        <w:t>This is the mathematical foundation for the spiral of abundance: participation creates capacity.</w:t>
      </w:r>
    </w:p>
    <w:p w14:paraId="5513DA09" w14:textId="12E77524" w:rsidR="008E20E1" w:rsidRPr="005907F1" w:rsidRDefault="008E20E1" w:rsidP="005907F1">
      <w:pPr>
        <w:pStyle w:val="Titolo1"/>
        <w:rPr>
          <w:rFonts w:ascii="Baskerville Old Face" w:hAnsi="Baskerville Old Face"/>
          <w:b/>
          <w:bCs/>
          <w:i/>
          <w:iCs/>
          <w:sz w:val="24"/>
          <w:szCs w:val="24"/>
        </w:rPr>
      </w:pPr>
      <w:r w:rsidRPr="005907F1">
        <w:rPr>
          <w:rFonts w:ascii="Baskerville Old Face" w:hAnsi="Baskerville Old Face"/>
          <w:b/>
          <w:bCs/>
          <w:i/>
          <w:iCs/>
          <w:sz w:val="24"/>
          <w:szCs w:val="24"/>
        </w:rPr>
        <w:t>Appendix B: HSI 1.0 complete specification</w:t>
      </w:r>
    </w:p>
    <w:p w14:paraId="75A07930" w14:textId="77777777" w:rsidR="008E20E1" w:rsidRPr="00B479AE" w:rsidRDefault="008E20E1" w:rsidP="008E20E1">
      <w:pPr>
        <w:spacing w:line="360" w:lineRule="auto"/>
        <w:rPr>
          <w:rFonts w:ascii="Baskerville Old Face" w:hAnsi="Baskerville Old Face"/>
          <w:b/>
          <w:bCs/>
          <w:i/>
          <w:iCs/>
        </w:rPr>
      </w:pPr>
      <w:r w:rsidRPr="00B479AE">
        <w:rPr>
          <w:rFonts w:ascii="Baskerville Old Face" w:hAnsi="Baskerville Old Face"/>
          <w:b/>
          <w:bCs/>
          <w:i/>
          <w:iCs/>
        </w:rPr>
        <w:t>B.1 JSON Schema</w:t>
      </w:r>
    </w:p>
    <w:p w14:paraId="28561230"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json</w:t>
      </w:r>
    </w:p>
    <w:p w14:paraId="090476B6"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w:t>
      </w:r>
    </w:p>
    <w:p w14:paraId="0B4ACB3C"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"$schema": "http://json-schema.org/draft-07/schema#",</w:t>
      </w:r>
    </w:p>
    <w:p w14:paraId="4F63693B"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"title": "HSI Payload",</w:t>
      </w:r>
    </w:p>
    <w:p w14:paraId="33C8CB42"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"description": "Human State Interface payload version 1.0",</w:t>
      </w:r>
    </w:p>
    <w:p w14:paraId="392A801D"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"type": "object",</w:t>
      </w:r>
    </w:p>
    <w:p w14:paraId="2E81A9E9"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"required": ["hsi_version", "observed_at_utc", "computed_at_utc", "producer_id", "axes", "privacy"],</w:t>
      </w:r>
    </w:p>
    <w:p w14:paraId="3F600D29"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"properties": {</w:t>
      </w:r>
    </w:p>
    <w:p w14:paraId="62E5BC9A"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"hsi_version": {</w:t>
      </w:r>
    </w:p>
    <w:p w14:paraId="22815091"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"type": "string",</w:t>
      </w:r>
    </w:p>
    <w:p w14:paraId="55FC7E60"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"pattern": "^1\\.0$",</w:t>
      </w:r>
    </w:p>
    <w:p w14:paraId="52890F73"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"description": "HSI protocol version"</w:t>
      </w:r>
    </w:p>
    <w:p w14:paraId="6F22A22A"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p>
    <w:p w14:paraId="1EB41AF9"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"observed_at_utc": {</w:t>
      </w:r>
    </w:p>
    <w:p w14:paraId="7E7B83B7"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"type": "string",</w:t>
      </w:r>
    </w:p>
    <w:p w14:paraId="63790BB3"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"format": "date-time",</w:t>
      </w:r>
    </w:p>
    <w:p w14:paraId="35C2B48F"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"description": "UTC timestamp when the state was observed"</w:t>
      </w:r>
    </w:p>
    <w:p w14:paraId="0995A652"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p>
    <w:p w14:paraId="4D1A5F7F"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"computed_at_utc": {</w:t>
      </w:r>
    </w:p>
    <w:p w14:paraId="07CE5E76"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lastRenderedPageBreak/>
        <w:t xml:space="preserve">      "type": "string",</w:t>
      </w:r>
    </w:p>
    <w:p w14:paraId="130A87BF"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"format": "date-time", </w:t>
      </w:r>
    </w:p>
    <w:p w14:paraId="16066AAE"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"description": "UTC timestamp when the payload was computed"</w:t>
      </w:r>
    </w:p>
    <w:p w14:paraId="0F3742D8"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p>
    <w:p w14:paraId="560C23B2"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"producer_id": {</w:t>
      </w:r>
    </w:p>
    <w:p w14:paraId="2AC24B97"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"type": "string",</w:t>
      </w:r>
    </w:p>
    <w:p w14:paraId="7ADAB738"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"description": "Hash of producer's public key (agent identifier)"</w:t>
      </w:r>
    </w:p>
    <w:p w14:paraId="33B3D79B"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p>
    <w:p w14:paraId="15631D51"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"time_windows": {</w:t>
      </w:r>
    </w:p>
    <w:p w14:paraId="16687542"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"type": "object",</w:t>
      </w:r>
    </w:p>
    <w:p w14:paraId="40672DBB"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"patternProperties": {</w:t>
      </w:r>
    </w:p>
    <w:p w14:paraId="51524715"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"^window_[0-9]+$": {</w:t>
      </w:r>
    </w:p>
    <w:p w14:paraId="5C7DDCE6"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"type": "object",</w:t>
      </w:r>
    </w:p>
    <w:p w14:paraId="63904F73"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"required": ["start", "end"],</w:t>
      </w:r>
    </w:p>
    <w:p w14:paraId="3244DE32"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"properties": {</w:t>
      </w:r>
    </w:p>
    <w:p w14:paraId="170D01D4"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"start": {"type": "string", "format": "date-time"},</w:t>
      </w:r>
    </w:p>
    <w:p w14:paraId="690BD770"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"end": {"type": "string", "format": "date-time"}</w:t>
      </w:r>
    </w:p>
    <w:p w14:paraId="0654D116"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p>
    <w:p w14:paraId="7EE5F3F5"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p>
    <w:p w14:paraId="56CCFC55"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p>
    <w:p w14:paraId="10F92C50"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p>
    <w:p w14:paraId="4225ADF6"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"axes": {</w:t>
      </w:r>
    </w:p>
    <w:p w14:paraId="3A8F9959"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lastRenderedPageBreak/>
        <w:t xml:space="preserve">      "type": "object",</w:t>
      </w:r>
    </w:p>
    <w:p w14:paraId="31FAC326"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"minProperties": 1,</w:t>
      </w:r>
    </w:p>
    <w:p w14:paraId="7C1D5E25"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"patternProperties": {</w:t>
      </w:r>
    </w:p>
    <w:p w14:paraId="0DB1AD60"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"^[a-z_]+$": {</w:t>
      </w:r>
    </w:p>
    <w:p w14:paraId="74550022"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"type": "object",</w:t>
      </w:r>
    </w:p>
    <w:p w14:paraId="7BF30465"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"patternProperties": {</w:t>
      </w:r>
    </w:p>
    <w:p w14:paraId="34FC9433"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"^[a-z_]+$": {</w:t>
      </w:r>
    </w:p>
    <w:p w14:paraId="58CE2598"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"type": "object",</w:t>
      </w:r>
    </w:p>
    <w:p w14:paraId="7785137A"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"required": ["value", "confidence"],</w:t>
      </w:r>
    </w:p>
    <w:p w14:paraId="474938AA"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"properties": {</w:t>
      </w:r>
    </w:p>
    <w:p w14:paraId="5F0FA9A6"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"value": {"type": "number", "minimum": 0, "maximum": 1},</w:t>
      </w:r>
    </w:p>
    <w:p w14:paraId="76EC219D"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"confidence": {"type": "number", "minimum": 0, "maximum": 1},</w:t>
      </w:r>
    </w:p>
    <w:p w14:paraId="5BD27BD8"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"window": {"type": "string", "pattern": "^window_[0-9]+$"}</w:t>
      </w:r>
    </w:p>
    <w:p w14:paraId="34E5F864"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p>
    <w:p w14:paraId="7576F5E2"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p>
    <w:p w14:paraId="6FC3CBF8"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p>
    <w:p w14:paraId="4574E673"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p>
    <w:p w14:paraId="30B99F46"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p>
    <w:p w14:paraId="5C1FFD92"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p>
    <w:p w14:paraId="524FAC45"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"sources": {</w:t>
      </w:r>
    </w:p>
    <w:p w14:paraId="5590B1ED"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"type": "array",</w:t>
      </w:r>
    </w:p>
    <w:p w14:paraId="2B06A94A"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"items": {</w:t>
      </w:r>
    </w:p>
    <w:p w14:paraId="39994DB5"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lastRenderedPageBreak/>
        <w:t xml:space="preserve">        "type": "object",</w:t>
      </w:r>
    </w:p>
    <w:p w14:paraId="4946D9B7"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"required": ["type", "kind", "quality"],</w:t>
      </w:r>
    </w:p>
    <w:p w14:paraId="3E1B2DD4"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"properties": {</w:t>
      </w:r>
    </w:p>
    <w:p w14:paraId="33B9EA85"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"type": {"type": "string", "enum": ["sensor", "app", "derived", "human"]},</w:t>
      </w:r>
    </w:p>
    <w:p w14:paraId="7E66B53F"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"kind": {"type": "string"},</w:t>
      </w:r>
    </w:p>
    <w:p w14:paraId="45443649"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"quality": {"type": "number", "minimum": 0, "maximum": 1}</w:t>
      </w:r>
    </w:p>
    <w:p w14:paraId="64E366DC"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p>
    <w:p w14:paraId="02EDE5AF"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p>
    <w:p w14:paraId="7B91234B"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p>
    <w:p w14:paraId="0A03E159"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"privacy": {</w:t>
      </w:r>
    </w:p>
    <w:p w14:paraId="51E8C981"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"type": "object",</w:t>
      </w:r>
    </w:p>
    <w:p w14:paraId="6A874037"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"required": ["no_pii", "raw_biosignals_allowed", "embeddings_allowed", "consent_level"],</w:t>
      </w:r>
    </w:p>
    <w:p w14:paraId="61B75C77"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"properties": {</w:t>
      </w:r>
    </w:p>
    <w:p w14:paraId="52631CF1"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"no_pii": {"type": "boolean"},</w:t>
      </w:r>
    </w:p>
    <w:p w14:paraId="3F5A2FFA"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"raw_biosignals_allowed": {"type": "boolean"},</w:t>
      </w:r>
    </w:p>
    <w:p w14:paraId="01EF6F47"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"embeddings_allowed": {"type": "boolean"},</w:t>
      </w:r>
    </w:p>
    <w:p w14:paraId="598CA805"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"consent_level": {"type": "string", "enum": ["explicit_opt_in", "implied", "public"]}</w:t>
      </w:r>
    </w:p>
    <w:p w14:paraId="0416AEA0"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p>
    <w:p w14:paraId="7535DC54"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p>
    <w:p w14:paraId="2E52892A"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p>
    <w:p w14:paraId="2F64D378"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w:t>
      </w:r>
    </w:p>
    <w:p w14:paraId="7F5713B1" w14:textId="77777777" w:rsidR="00812032" w:rsidRDefault="00812032" w:rsidP="008E20E1">
      <w:pPr>
        <w:spacing w:line="360" w:lineRule="auto"/>
        <w:rPr>
          <w:rFonts w:ascii="Baskerville Old Face" w:hAnsi="Baskerville Old Face"/>
          <w:b/>
          <w:bCs/>
          <w:i/>
          <w:iCs/>
        </w:rPr>
      </w:pPr>
    </w:p>
    <w:p w14:paraId="4A1179CF" w14:textId="4D4230CD" w:rsidR="008E20E1" w:rsidRPr="00B479AE" w:rsidRDefault="008E20E1" w:rsidP="008E20E1">
      <w:pPr>
        <w:spacing w:line="360" w:lineRule="auto"/>
        <w:rPr>
          <w:rFonts w:ascii="Baskerville Old Face" w:hAnsi="Baskerville Old Face"/>
          <w:b/>
          <w:bCs/>
          <w:i/>
          <w:iCs/>
        </w:rPr>
      </w:pPr>
      <w:r w:rsidRPr="00B479AE">
        <w:rPr>
          <w:rFonts w:ascii="Baskerville Old Face" w:hAnsi="Baskerville Old Face"/>
          <w:b/>
          <w:bCs/>
          <w:i/>
          <w:iCs/>
        </w:rPr>
        <w:lastRenderedPageBreak/>
        <w:t>B.2 Validation rules</w:t>
      </w:r>
    </w:p>
    <w:p w14:paraId="1B7AE486" w14:textId="77777777" w:rsidR="008E20E1" w:rsidRPr="00B479AE" w:rsidRDefault="008E20E1">
      <w:pPr>
        <w:numPr>
          <w:ilvl w:val="0"/>
          <w:numId w:val="2"/>
        </w:numPr>
        <w:spacing w:line="360" w:lineRule="auto"/>
        <w:rPr>
          <w:rFonts w:ascii="Baskerville Old Face" w:hAnsi="Baskerville Old Face"/>
          <w:i/>
          <w:iCs/>
        </w:rPr>
      </w:pPr>
      <w:r w:rsidRPr="00B479AE">
        <w:rPr>
          <w:rFonts w:ascii="Baskerville Old Face" w:hAnsi="Baskerville Old Face"/>
          <w:i/>
          <w:iCs/>
        </w:rPr>
        <w:t>All timestamps must be in ISO 8601 UTC format (YYYY-MM-DDThh:mm:ssZ)</w:t>
      </w:r>
    </w:p>
    <w:p w14:paraId="549DB8DA" w14:textId="77777777" w:rsidR="008E20E1" w:rsidRPr="00B479AE" w:rsidRDefault="008E20E1">
      <w:pPr>
        <w:numPr>
          <w:ilvl w:val="0"/>
          <w:numId w:val="2"/>
        </w:numPr>
        <w:spacing w:line="360" w:lineRule="auto"/>
        <w:rPr>
          <w:rFonts w:ascii="Baskerville Old Face" w:hAnsi="Baskerville Old Face"/>
          <w:i/>
          <w:iCs/>
        </w:rPr>
      </w:pPr>
      <w:r w:rsidRPr="00B479AE">
        <w:rPr>
          <w:rFonts w:ascii="Baskerville Old Face" w:hAnsi="Baskerville Old Face"/>
          <w:i/>
          <w:iCs/>
        </w:rPr>
        <w:t>Confidence values must be in range [0,1]</w:t>
      </w:r>
    </w:p>
    <w:p w14:paraId="41C96AAC" w14:textId="77777777" w:rsidR="008E20E1" w:rsidRPr="00B479AE" w:rsidRDefault="008E20E1">
      <w:pPr>
        <w:numPr>
          <w:ilvl w:val="0"/>
          <w:numId w:val="2"/>
        </w:numPr>
        <w:spacing w:line="360" w:lineRule="auto"/>
        <w:rPr>
          <w:rFonts w:ascii="Baskerville Old Face" w:hAnsi="Baskerville Old Face"/>
          <w:i/>
          <w:iCs/>
        </w:rPr>
      </w:pPr>
      <w:r w:rsidRPr="00B479AE">
        <w:rPr>
          <w:rFonts w:ascii="Baskerville Old Face" w:hAnsi="Baskerville Old Face"/>
          <w:i/>
          <w:iCs/>
        </w:rPr>
        <w:t>If time_windows is present, any axis referencing a window must use a valid window identifier</w:t>
      </w:r>
    </w:p>
    <w:p w14:paraId="670E1C67" w14:textId="77777777" w:rsidR="008E20E1" w:rsidRPr="00B479AE" w:rsidRDefault="008E20E1">
      <w:pPr>
        <w:numPr>
          <w:ilvl w:val="0"/>
          <w:numId w:val="2"/>
        </w:numPr>
        <w:spacing w:line="360" w:lineRule="auto"/>
        <w:rPr>
          <w:rFonts w:ascii="Baskerville Old Face" w:hAnsi="Baskerville Old Face"/>
          <w:i/>
          <w:iCs/>
        </w:rPr>
      </w:pPr>
      <w:r w:rsidRPr="00B479AE">
        <w:rPr>
          <w:rFonts w:ascii="Baskerville Old Face" w:hAnsi="Baskerville Old Face"/>
          <w:i/>
          <w:iCs/>
        </w:rPr>
        <w:t>producer_id must be a valid hash (SHA-256 of public key)</w:t>
      </w:r>
    </w:p>
    <w:p w14:paraId="2364860B" w14:textId="77777777" w:rsidR="008E20E1" w:rsidRPr="00B479AE" w:rsidRDefault="008E20E1">
      <w:pPr>
        <w:numPr>
          <w:ilvl w:val="0"/>
          <w:numId w:val="2"/>
        </w:numPr>
        <w:spacing w:line="360" w:lineRule="auto"/>
        <w:rPr>
          <w:rFonts w:ascii="Baskerville Old Face" w:hAnsi="Baskerville Old Face"/>
          <w:i/>
          <w:iCs/>
        </w:rPr>
      </w:pPr>
      <w:r w:rsidRPr="00B479AE">
        <w:rPr>
          <w:rFonts w:ascii="Baskerville Old Face" w:hAnsi="Baskerville Old Face"/>
          <w:i/>
          <w:iCs/>
        </w:rPr>
        <w:t>The axes object must contain at least one axis reading</w:t>
      </w:r>
    </w:p>
    <w:p w14:paraId="627719AD" w14:textId="77777777" w:rsidR="008E20E1" w:rsidRPr="00B479AE" w:rsidRDefault="008E20E1" w:rsidP="008E20E1">
      <w:pPr>
        <w:spacing w:line="360" w:lineRule="auto"/>
        <w:rPr>
          <w:rFonts w:ascii="Baskerville Old Face" w:hAnsi="Baskerville Old Face"/>
          <w:b/>
          <w:bCs/>
          <w:i/>
          <w:iCs/>
        </w:rPr>
      </w:pPr>
      <w:r w:rsidRPr="00B479AE">
        <w:rPr>
          <w:rFonts w:ascii="Baskerville Old Face" w:hAnsi="Baskerville Old Face"/>
          <w:b/>
          <w:bCs/>
          <w:i/>
          <w:iCs/>
        </w:rPr>
        <w:t>B.3 Zero-knowledge proof integration</w:t>
      </w:r>
    </w:p>
    <w:p w14:paraId="0E20FF35"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For privacy-preserving sharing, HSI payloads may be accompanied by ZK-proofs that allow verification of:</w:t>
      </w:r>
    </w:p>
    <w:p w14:paraId="22EB4350" w14:textId="77777777" w:rsidR="008E20E1" w:rsidRPr="00B479AE" w:rsidRDefault="008E20E1">
      <w:pPr>
        <w:numPr>
          <w:ilvl w:val="0"/>
          <w:numId w:val="3"/>
        </w:numPr>
        <w:spacing w:line="360" w:lineRule="auto"/>
        <w:rPr>
          <w:rFonts w:ascii="Baskerville Old Face" w:hAnsi="Baskerville Old Face"/>
          <w:i/>
          <w:iCs/>
        </w:rPr>
      </w:pPr>
      <w:r w:rsidRPr="00B479AE">
        <w:rPr>
          <w:rFonts w:ascii="Baskerville Old Face" w:hAnsi="Baskerville Old Face"/>
          <w:i/>
          <w:iCs/>
        </w:rPr>
        <w:t>The payload was produced by a known agent (without revealing agent identity)</w:t>
      </w:r>
    </w:p>
    <w:p w14:paraId="36820A3D" w14:textId="77777777" w:rsidR="008E20E1" w:rsidRPr="00B479AE" w:rsidRDefault="008E20E1">
      <w:pPr>
        <w:numPr>
          <w:ilvl w:val="0"/>
          <w:numId w:val="3"/>
        </w:numPr>
        <w:spacing w:line="360" w:lineRule="auto"/>
        <w:rPr>
          <w:rFonts w:ascii="Baskerville Old Face" w:hAnsi="Baskerville Old Face"/>
          <w:i/>
          <w:iCs/>
        </w:rPr>
      </w:pPr>
      <w:r w:rsidRPr="00B479AE">
        <w:rPr>
          <w:rFonts w:ascii="Baskerville Old Face" w:hAnsi="Baskerville Old Face"/>
          <w:i/>
          <w:iCs/>
        </w:rPr>
        <w:t>Confidence values meet minimum thresholds (without revealing exact values)</w:t>
      </w:r>
    </w:p>
    <w:p w14:paraId="35CF8626" w14:textId="77777777" w:rsidR="008E20E1" w:rsidRPr="00B479AE" w:rsidRDefault="008E20E1">
      <w:pPr>
        <w:numPr>
          <w:ilvl w:val="0"/>
          <w:numId w:val="3"/>
        </w:numPr>
        <w:spacing w:line="360" w:lineRule="auto"/>
        <w:rPr>
          <w:rFonts w:ascii="Baskerville Old Face" w:hAnsi="Baskerville Old Face"/>
          <w:i/>
          <w:iCs/>
        </w:rPr>
      </w:pPr>
      <w:r w:rsidRPr="00B479AE">
        <w:rPr>
          <w:rFonts w:ascii="Baskerville Old Face" w:hAnsi="Baskerville Old Face"/>
          <w:i/>
          <w:iCs/>
        </w:rPr>
        <w:t>Coherence metrics are within acceptable ranges (without revealing individual readings)</w:t>
      </w:r>
    </w:p>
    <w:p w14:paraId="755A3E49"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The ZK-proof specification is provided in the separate verification manual.</w:t>
      </w:r>
    </w:p>
    <w:p w14:paraId="243AFB2E" w14:textId="77777777" w:rsidR="00404936" w:rsidRPr="005907F1" w:rsidRDefault="00404936" w:rsidP="005907F1">
      <w:pPr>
        <w:pStyle w:val="Titolo1"/>
        <w:rPr>
          <w:rFonts w:ascii="Baskerville Old Face" w:hAnsi="Baskerville Old Face"/>
          <w:b/>
          <w:bCs/>
          <w:sz w:val="24"/>
          <w:szCs w:val="24"/>
        </w:rPr>
      </w:pPr>
      <w:r w:rsidRPr="005907F1">
        <w:rPr>
          <w:rFonts w:ascii="Baskerville Old Face" w:hAnsi="Baskerville Old Face"/>
          <w:b/>
          <w:bCs/>
          <w:sz w:val="24"/>
          <w:szCs w:val="24"/>
        </w:rPr>
        <w:t>Appendix C: Ravel Risk-Signaling Model — Research and Review Framework</w:t>
      </w:r>
    </w:p>
    <w:p w14:paraId="05C2E277" w14:textId="77777777" w:rsidR="00404936" w:rsidRPr="00B479AE" w:rsidRDefault="00404936" w:rsidP="00404936">
      <w:pPr>
        <w:spacing w:line="360" w:lineRule="auto"/>
        <w:rPr>
          <w:rFonts w:ascii="Baskerville Old Face" w:hAnsi="Baskerville Old Face"/>
          <w:b/>
          <w:bCs/>
          <w:i/>
          <w:iCs/>
        </w:rPr>
      </w:pPr>
      <w:r w:rsidRPr="00B479AE">
        <w:rPr>
          <w:rFonts w:ascii="Baskerville Old Face" w:hAnsi="Baskerville Old Face"/>
          <w:b/>
          <w:bCs/>
          <w:i/>
          <w:iCs/>
        </w:rPr>
        <w:t>C.1 Purpose and boundary</w:t>
      </w:r>
    </w:p>
    <w:p w14:paraId="20769F09"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 Ravel model is a risk-signaling framework.</w:t>
      </w:r>
    </w:p>
    <w:p w14:paraId="01BFF1C4"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Its purpose is to help Prometheus identify systemic fragility, financial overextension, regenerative underperformance, governance stress, evidence gaps, and capital-formation risks before they become institutional failure.</w:t>
      </w:r>
    </w:p>
    <w:p w14:paraId="3BAAA958"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is not a sovereign software authority.</w:t>
      </w:r>
    </w:p>
    <w:p w14:paraId="1D2F7734"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does not automatically suspend tokens.</w:t>
      </w:r>
    </w:p>
    <w:p w14:paraId="40FCD564"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does not automatically stop credit issuance.</w:t>
      </w:r>
    </w:p>
    <w:p w14:paraId="3E932C74"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does not automatically determine covenant violations.</w:t>
      </w:r>
    </w:p>
    <w:p w14:paraId="2F1D30CA"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lastRenderedPageBreak/>
        <w:t>Ravel does not replace governance.</w:t>
      </w:r>
    </w:p>
    <w:p w14:paraId="0DE57646"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does not replace legal review.</w:t>
      </w:r>
    </w:p>
    <w:p w14:paraId="36F71A72"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does not replace MRV.</w:t>
      </w:r>
    </w:p>
    <w:p w14:paraId="40BE580A"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does not replace human judgment.</w:t>
      </w:r>
    </w:p>
    <w:p w14:paraId="61443C31"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does not use HSI or human-state data as a financial enforcement metric.</w:t>
      </w:r>
    </w:p>
    <w:p w14:paraId="11C6055C"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 Ravel model produces:</w:t>
      </w:r>
    </w:p>
    <w:p w14:paraId="74C860ED"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risk signals;</w:t>
      </w:r>
      <w:r w:rsidRPr="00B479AE">
        <w:rPr>
          <w:rFonts w:ascii="Baskerville Old Face" w:hAnsi="Baskerville Old Face"/>
          <w:i/>
          <w:iCs/>
        </w:rPr>
        <w:br/>
        <w:t>• stress indicators;</w:t>
      </w:r>
      <w:r w:rsidRPr="00B479AE">
        <w:rPr>
          <w:rFonts w:ascii="Baskerville Old Face" w:hAnsi="Baskerville Old Face"/>
          <w:i/>
          <w:iCs/>
        </w:rPr>
        <w:br/>
        <w:t>• warning flags;</w:t>
      </w:r>
      <w:r w:rsidRPr="00B479AE">
        <w:rPr>
          <w:rFonts w:ascii="Baskerville Old Face" w:hAnsi="Baskerville Old Face"/>
          <w:i/>
          <w:iCs/>
        </w:rPr>
        <w:br/>
        <w:t>• scenario outputs;</w:t>
      </w:r>
      <w:r w:rsidRPr="00B479AE">
        <w:rPr>
          <w:rFonts w:ascii="Baskerville Old Face" w:hAnsi="Baskerville Old Face"/>
          <w:i/>
          <w:iCs/>
        </w:rPr>
        <w:br/>
        <w:t>• sensitivity analysis;</w:t>
      </w:r>
      <w:r w:rsidRPr="00B479AE">
        <w:rPr>
          <w:rFonts w:ascii="Baskerville Old Face" w:hAnsi="Baskerville Old Face"/>
          <w:i/>
          <w:iCs/>
        </w:rPr>
        <w:br/>
        <w:t>• review triggers;</w:t>
      </w:r>
      <w:r w:rsidRPr="00B479AE">
        <w:rPr>
          <w:rFonts w:ascii="Baskerville Old Face" w:hAnsi="Baskerville Old Face"/>
          <w:i/>
          <w:iCs/>
        </w:rPr>
        <w:br/>
        <w:t>• governance questions;</w:t>
      </w:r>
      <w:r w:rsidRPr="00B479AE">
        <w:rPr>
          <w:rFonts w:ascii="Baskerville Old Face" w:hAnsi="Baskerville Old Face"/>
          <w:i/>
          <w:iCs/>
        </w:rPr>
        <w:br/>
        <w:t>• capital-readiness concerns;</w:t>
      </w:r>
      <w:r w:rsidRPr="00B479AE">
        <w:rPr>
          <w:rFonts w:ascii="Baskerville Old Face" w:hAnsi="Baskerville Old Face"/>
          <w:i/>
          <w:iCs/>
        </w:rPr>
        <w:br/>
        <w:t>• resilience diagnostics.</w:t>
      </w:r>
    </w:p>
    <w:p w14:paraId="5D3C0498" w14:textId="791B784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These outputs support review.</w:t>
      </w:r>
      <w:r w:rsidR="009C1063" w:rsidRPr="00B479AE">
        <w:rPr>
          <w:rFonts w:ascii="Baskerville Old Face" w:hAnsi="Baskerville Old Face"/>
          <w:i/>
          <w:iCs/>
        </w:rPr>
        <w:t xml:space="preserve"> </w:t>
      </w:r>
      <w:r w:rsidRPr="00B479AE">
        <w:rPr>
          <w:rFonts w:ascii="Baskerville Old Face" w:hAnsi="Baskerville Old Face"/>
          <w:i/>
          <w:iCs/>
        </w:rPr>
        <w:t>They do not constitute final authority.</w:t>
      </w:r>
      <w:r w:rsidR="009C1063" w:rsidRPr="00B479AE">
        <w:rPr>
          <w:rFonts w:ascii="Baskerville Old Face" w:hAnsi="Baskerville Old Face"/>
          <w:i/>
          <w:iCs/>
        </w:rPr>
        <w:t xml:space="preserve"> </w:t>
      </w:r>
      <w:r w:rsidRPr="00B479AE">
        <w:rPr>
          <w:rFonts w:ascii="Baskerville Old Face" w:hAnsi="Baskerville Old Face"/>
          <w:i/>
          <w:iCs/>
        </w:rPr>
        <w:t>The core principle is:</w:t>
      </w:r>
    </w:p>
    <w:p w14:paraId="62892158"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detects risk;</w:t>
      </w:r>
      <w:r w:rsidRPr="00B479AE">
        <w:rPr>
          <w:rFonts w:ascii="Baskerville Old Face" w:hAnsi="Baskerville Old Face"/>
          <w:i/>
          <w:iCs/>
        </w:rPr>
        <w:br/>
        <w:t>governance interprets risk;</w:t>
      </w:r>
      <w:r w:rsidRPr="00B479AE">
        <w:rPr>
          <w:rFonts w:ascii="Baskerville Old Face" w:hAnsi="Baskerville Old Face"/>
          <w:i/>
          <w:iCs/>
        </w:rPr>
        <w:br/>
        <w:t>law structures consequences;</w:t>
      </w:r>
      <w:r w:rsidRPr="00B479AE">
        <w:rPr>
          <w:rFonts w:ascii="Baskerville Old Face" w:hAnsi="Baskerville Old Face"/>
          <w:i/>
          <w:iCs/>
        </w:rPr>
        <w:br/>
        <w:t>MRV verifies evidence;</w:t>
      </w:r>
      <w:r w:rsidRPr="00B479AE">
        <w:rPr>
          <w:rFonts w:ascii="Baskerville Old Face" w:hAnsi="Baskerville Old Face"/>
          <w:i/>
          <w:iCs/>
        </w:rPr>
        <w:br/>
        <w:t>the source layer defines the boundary.</w:t>
      </w:r>
    </w:p>
    <w:p w14:paraId="0E4EFEB9" w14:textId="77777777" w:rsidR="00404936" w:rsidRPr="00B479AE" w:rsidRDefault="00404936" w:rsidP="00404936">
      <w:pPr>
        <w:spacing w:line="360" w:lineRule="auto"/>
        <w:rPr>
          <w:rFonts w:ascii="Baskerville Old Face" w:hAnsi="Baskerville Old Face"/>
          <w:b/>
          <w:bCs/>
          <w:i/>
          <w:iCs/>
        </w:rPr>
      </w:pPr>
      <w:r w:rsidRPr="00B479AE">
        <w:rPr>
          <w:rFonts w:ascii="Baskerville Old Face" w:hAnsi="Baskerville Old Face"/>
          <w:b/>
          <w:bCs/>
          <w:i/>
          <w:iCs/>
        </w:rPr>
        <w:t>C.2 Conceptual origin</w:t>
      </w:r>
    </w:p>
    <w:p w14:paraId="078EBE27"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 Ravel model draws conceptual inspiration from financial-instability thinking associated with Hyman Minsky and dynamic macro-financial modeling associated with Steve Keen.</w:t>
      </w:r>
    </w:p>
    <w:p w14:paraId="0A218176"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Its relevance to Prometheus is not to replicate macroeconomic theory mechanically.</w:t>
      </w:r>
    </w:p>
    <w:p w14:paraId="4270548C"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Its relevance is to translate a core insight into regenerative infrastructure:</w:t>
      </w:r>
    </w:p>
    <w:p w14:paraId="6A68600A"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lastRenderedPageBreak/>
        <w:t>systems become fragile when financial claims grow faster than the real productive, ecological, and social capacity that supports them.</w:t>
      </w:r>
    </w:p>
    <w:p w14:paraId="41395007"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In conventional finance, instability may arise when debt, leverage, speculative expectations, and asset-price narratives detach from underlying cash flows and productive reality.</w:t>
      </w:r>
    </w:p>
    <w:p w14:paraId="4EBFE1B4"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In Prometheus, instability may arise when regenerative claims, PRU expectations, investor language, token narratives, capital structures, or growth targets detach from evidence, MRV, ecological performance, governance capacity, legal structure, and human stewardship.</w:t>
      </w:r>
    </w:p>
    <w:p w14:paraId="324282F8"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 Ravel model therefore monitors the distance between:</w:t>
      </w:r>
    </w:p>
    <w:p w14:paraId="3CA72FFF"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financial expectation and verified performance;</w:t>
      </w:r>
      <w:r w:rsidRPr="00B479AE">
        <w:rPr>
          <w:rFonts w:ascii="Baskerville Old Face" w:hAnsi="Baskerville Old Face"/>
          <w:i/>
          <w:iCs/>
        </w:rPr>
        <w:br/>
        <w:t>• ecological claim and MRV evidence;</w:t>
      </w:r>
      <w:r w:rsidRPr="00B479AE">
        <w:rPr>
          <w:rFonts w:ascii="Baskerville Old Face" w:hAnsi="Baskerville Old Face"/>
          <w:i/>
          <w:iCs/>
        </w:rPr>
        <w:br/>
        <w:t>• capital intensity and regenerative capacity;</w:t>
      </w:r>
      <w:r w:rsidRPr="00B479AE">
        <w:rPr>
          <w:rFonts w:ascii="Baskerville Old Face" w:hAnsi="Baskerville Old Face"/>
          <w:i/>
          <w:iCs/>
        </w:rPr>
        <w:br/>
        <w:t>• growth speed and governance maturity;</w:t>
      </w:r>
      <w:r w:rsidRPr="00B479AE">
        <w:rPr>
          <w:rFonts w:ascii="Baskerville Old Face" w:hAnsi="Baskerville Old Face"/>
          <w:i/>
          <w:iCs/>
        </w:rPr>
        <w:br/>
        <w:t>• token narrative and legal reality;</w:t>
      </w:r>
      <w:r w:rsidRPr="00B479AE">
        <w:rPr>
          <w:rFonts w:ascii="Baskerville Old Face" w:hAnsi="Baskerville Old Face"/>
          <w:i/>
          <w:iCs/>
        </w:rPr>
        <w:br/>
        <w:t>• dashboard output and field truth;</w:t>
      </w:r>
      <w:r w:rsidRPr="00B479AE">
        <w:rPr>
          <w:rFonts w:ascii="Baskerville Old Face" w:hAnsi="Baskerville Old Face"/>
          <w:i/>
          <w:iCs/>
        </w:rPr>
        <w:br/>
        <w:t>• model inference and observed living systems.</w:t>
      </w:r>
    </w:p>
    <w:p w14:paraId="74E9238C"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This is the purpose of Ravel:</w:t>
      </w:r>
    </w:p>
    <w:p w14:paraId="2F05B0DD"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to detect when the system begins to ravel before trust unravels.</w:t>
      </w:r>
    </w:p>
    <w:p w14:paraId="3B4F6D0F" w14:textId="77777777" w:rsidR="00404936" w:rsidRPr="00B479AE" w:rsidRDefault="00404936" w:rsidP="00404936">
      <w:pPr>
        <w:spacing w:line="360" w:lineRule="auto"/>
        <w:rPr>
          <w:rFonts w:ascii="Baskerville Old Face" w:hAnsi="Baskerville Old Face"/>
          <w:b/>
          <w:bCs/>
          <w:i/>
          <w:iCs/>
        </w:rPr>
      </w:pPr>
      <w:r w:rsidRPr="00B479AE">
        <w:rPr>
          <w:rFonts w:ascii="Baskerville Old Face" w:hAnsi="Baskerville Old Face"/>
          <w:b/>
          <w:bCs/>
          <w:i/>
          <w:iCs/>
        </w:rPr>
        <w:t>C.3 Risk domains</w:t>
      </w:r>
    </w:p>
    <w:p w14:paraId="71179C8E"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may analyze multiple risk domains.</w:t>
      </w:r>
    </w:p>
    <w:p w14:paraId="07B8D7AE" w14:textId="77777777" w:rsidR="0039233A" w:rsidRPr="00B479AE" w:rsidRDefault="0039233A" w:rsidP="00404936">
      <w:pPr>
        <w:spacing w:line="360" w:lineRule="auto"/>
        <w:rPr>
          <w:rFonts w:ascii="Baskerville Old Face" w:hAnsi="Baskerville Old Face"/>
          <w:i/>
          <w:iCs/>
        </w:rPr>
      </w:pPr>
    </w:p>
    <w:p w14:paraId="3118C920" w14:textId="77777777" w:rsidR="00692445" w:rsidRPr="00B479AE" w:rsidRDefault="00692445" w:rsidP="00404936">
      <w:pPr>
        <w:spacing w:line="360" w:lineRule="auto"/>
        <w:rPr>
          <w:rFonts w:ascii="Baskerville Old Face" w:hAnsi="Baskerville Old Face"/>
          <w:i/>
          <w:iCs/>
        </w:rPr>
      </w:pPr>
    </w:p>
    <w:p w14:paraId="5C9BC306" w14:textId="77777777" w:rsidR="00692445" w:rsidRPr="00B479AE" w:rsidRDefault="00692445" w:rsidP="00404936">
      <w:pPr>
        <w:spacing w:line="360" w:lineRule="auto"/>
        <w:rPr>
          <w:rFonts w:ascii="Baskerville Old Face" w:hAnsi="Baskerville Old Face"/>
          <w:i/>
          <w:iCs/>
        </w:rPr>
      </w:pPr>
    </w:p>
    <w:p w14:paraId="2FC33EF8" w14:textId="77777777" w:rsidR="00692445" w:rsidRPr="00B479AE" w:rsidRDefault="00692445" w:rsidP="00404936">
      <w:pPr>
        <w:spacing w:line="360" w:lineRule="auto"/>
        <w:rPr>
          <w:rFonts w:ascii="Baskerville Old Face" w:hAnsi="Baskerville Old Face"/>
          <w:i/>
          <w:iCs/>
        </w:rPr>
      </w:pPr>
    </w:p>
    <w:p w14:paraId="4B225E12" w14:textId="77777777" w:rsidR="00692445" w:rsidRPr="00B479AE" w:rsidRDefault="00692445" w:rsidP="00404936">
      <w:pPr>
        <w:spacing w:line="360" w:lineRule="auto"/>
        <w:rPr>
          <w:rFonts w:ascii="Baskerville Old Face" w:hAnsi="Baskerville Old Face"/>
          <w:i/>
          <w:iCs/>
        </w:rPr>
      </w:pPr>
    </w:p>
    <w:p w14:paraId="3FC26FB3" w14:textId="77777777" w:rsidR="00692445" w:rsidRPr="00B479AE" w:rsidRDefault="00692445" w:rsidP="00404936">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7"/>
        <w:gridCol w:w="7301"/>
      </w:tblGrid>
      <w:tr w:rsidR="00404936" w:rsidRPr="00B479AE" w14:paraId="3D78AC3E" w14:textId="77777777" w:rsidTr="00404936">
        <w:trPr>
          <w:tblHeader/>
          <w:tblCellSpacing w:w="15" w:type="dxa"/>
        </w:trPr>
        <w:tc>
          <w:tcPr>
            <w:tcW w:w="0" w:type="auto"/>
            <w:vAlign w:val="center"/>
            <w:hideMark/>
          </w:tcPr>
          <w:p w14:paraId="31DDF80F" w14:textId="77777777" w:rsidR="00404936" w:rsidRPr="00B479AE" w:rsidRDefault="00404936" w:rsidP="00404936">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Risk domain</w:t>
            </w:r>
          </w:p>
        </w:tc>
        <w:tc>
          <w:tcPr>
            <w:tcW w:w="0" w:type="auto"/>
            <w:vAlign w:val="center"/>
            <w:hideMark/>
          </w:tcPr>
          <w:p w14:paraId="2B8236AF" w14:textId="77777777" w:rsidR="00404936" w:rsidRPr="00B479AE" w:rsidRDefault="00404936" w:rsidP="00404936">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Risk question</w:t>
            </w:r>
          </w:p>
        </w:tc>
      </w:tr>
      <w:tr w:rsidR="00404936" w:rsidRPr="00B479AE" w14:paraId="22EFE4AF" w14:textId="77777777" w:rsidTr="00404936">
        <w:trPr>
          <w:tblCellSpacing w:w="15" w:type="dxa"/>
        </w:trPr>
        <w:tc>
          <w:tcPr>
            <w:tcW w:w="0" w:type="auto"/>
            <w:vAlign w:val="center"/>
            <w:hideMark/>
          </w:tcPr>
          <w:p w14:paraId="5974AA1A"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Regenerative performance risk</w:t>
            </w:r>
          </w:p>
        </w:tc>
        <w:tc>
          <w:tcPr>
            <w:tcW w:w="0" w:type="auto"/>
            <w:vAlign w:val="center"/>
            <w:hideMark/>
          </w:tcPr>
          <w:p w14:paraId="6BAE90A4"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Is ecological improvement actually occurring at the level claimed?</w:t>
            </w:r>
          </w:p>
        </w:tc>
      </w:tr>
      <w:tr w:rsidR="00404936" w:rsidRPr="00B479AE" w14:paraId="22831AD5" w14:textId="77777777" w:rsidTr="00404936">
        <w:trPr>
          <w:tblCellSpacing w:w="15" w:type="dxa"/>
        </w:trPr>
        <w:tc>
          <w:tcPr>
            <w:tcW w:w="0" w:type="auto"/>
            <w:vAlign w:val="center"/>
            <w:hideMark/>
          </w:tcPr>
          <w:p w14:paraId="6824BFD9"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Evidence risk</w:t>
            </w:r>
          </w:p>
        </w:tc>
        <w:tc>
          <w:tcPr>
            <w:tcW w:w="0" w:type="auto"/>
            <w:vAlign w:val="center"/>
            <w:hideMark/>
          </w:tcPr>
          <w:p w14:paraId="64E0E376"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Are claims supported by adequate MRV, provenance, confidence, and admissibility?</w:t>
            </w:r>
          </w:p>
        </w:tc>
      </w:tr>
      <w:tr w:rsidR="00404936" w:rsidRPr="00B479AE" w14:paraId="429A0B89" w14:textId="77777777" w:rsidTr="00404936">
        <w:trPr>
          <w:tblCellSpacing w:w="15" w:type="dxa"/>
        </w:trPr>
        <w:tc>
          <w:tcPr>
            <w:tcW w:w="0" w:type="auto"/>
            <w:vAlign w:val="center"/>
            <w:hideMark/>
          </w:tcPr>
          <w:p w14:paraId="1AA9259D"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Financial leverage risk</w:t>
            </w:r>
          </w:p>
        </w:tc>
        <w:tc>
          <w:tcPr>
            <w:tcW w:w="0" w:type="auto"/>
            <w:vAlign w:val="center"/>
            <w:hideMark/>
          </w:tcPr>
          <w:p w14:paraId="6614AF68"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Are debt, obligations, or investor expectations exceeding verified capacity?</w:t>
            </w:r>
          </w:p>
        </w:tc>
      </w:tr>
      <w:tr w:rsidR="00404936" w:rsidRPr="00B479AE" w14:paraId="1AC1C8D6" w14:textId="77777777" w:rsidTr="00404936">
        <w:trPr>
          <w:tblCellSpacing w:w="15" w:type="dxa"/>
        </w:trPr>
        <w:tc>
          <w:tcPr>
            <w:tcW w:w="0" w:type="auto"/>
            <w:vAlign w:val="center"/>
            <w:hideMark/>
          </w:tcPr>
          <w:p w14:paraId="2AB9700C"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Revenue stability risk</w:t>
            </w:r>
          </w:p>
        </w:tc>
        <w:tc>
          <w:tcPr>
            <w:tcW w:w="0" w:type="auto"/>
            <w:vAlign w:val="center"/>
            <w:hideMark/>
          </w:tcPr>
          <w:p w14:paraId="270C37B4"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Are cash flows sufficient, diversified, and resilient?</w:t>
            </w:r>
          </w:p>
        </w:tc>
      </w:tr>
      <w:tr w:rsidR="00404936" w:rsidRPr="00B479AE" w14:paraId="163ECC28" w14:textId="77777777" w:rsidTr="00404936">
        <w:trPr>
          <w:tblCellSpacing w:w="15" w:type="dxa"/>
        </w:trPr>
        <w:tc>
          <w:tcPr>
            <w:tcW w:w="0" w:type="auto"/>
            <w:vAlign w:val="center"/>
            <w:hideMark/>
          </w:tcPr>
          <w:p w14:paraId="1742886B"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PRU maturity risk</w:t>
            </w:r>
          </w:p>
        </w:tc>
        <w:tc>
          <w:tcPr>
            <w:tcW w:w="0" w:type="auto"/>
            <w:vAlign w:val="center"/>
            <w:hideMark/>
          </w:tcPr>
          <w:p w14:paraId="6E784011"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Is PRU logic being used before methodology and evidence are mature?</w:t>
            </w:r>
          </w:p>
        </w:tc>
      </w:tr>
      <w:tr w:rsidR="00404936" w:rsidRPr="00B479AE" w14:paraId="4B2110E3" w14:textId="77777777" w:rsidTr="00404936">
        <w:trPr>
          <w:tblCellSpacing w:w="15" w:type="dxa"/>
        </w:trPr>
        <w:tc>
          <w:tcPr>
            <w:tcW w:w="0" w:type="auto"/>
            <w:vAlign w:val="center"/>
            <w:hideMark/>
          </w:tcPr>
          <w:p w14:paraId="022AD74D"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RAP aggregation risk</w:t>
            </w:r>
          </w:p>
        </w:tc>
        <w:tc>
          <w:tcPr>
            <w:tcW w:w="0" w:type="auto"/>
            <w:vAlign w:val="center"/>
            <w:hideMark/>
          </w:tcPr>
          <w:p w14:paraId="4092645D"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Are portfolio claims being made before underlying units are eligible?</w:t>
            </w:r>
          </w:p>
        </w:tc>
      </w:tr>
      <w:tr w:rsidR="00404936" w:rsidRPr="00B479AE" w14:paraId="259B89B1" w14:textId="77777777" w:rsidTr="00404936">
        <w:trPr>
          <w:tblCellSpacing w:w="15" w:type="dxa"/>
        </w:trPr>
        <w:tc>
          <w:tcPr>
            <w:tcW w:w="0" w:type="auto"/>
            <w:vAlign w:val="center"/>
            <w:hideMark/>
          </w:tcPr>
          <w:p w14:paraId="4E91C1C9"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Governance maturity risk</w:t>
            </w:r>
          </w:p>
        </w:tc>
        <w:tc>
          <w:tcPr>
            <w:tcW w:w="0" w:type="auto"/>
            <w:vAlign w:val="center"/>
            <w:hideMark/>
          </w:tcPr>
          <w:p w14:paraId="48C41662"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Can governance process manage the complexity being introduced?</w:t>
            </w:r>
          </w:p>
        </w:tc>
      </w:tr>
      <w:tr w:rsidR="00404936" w:rsidRPr="00B479AE" w14:paraId="651B8EE3" w14:textId="77777777" w:rsidTr="00404936">
        <w:trPr>
          <w:tblCellSpacing w:w="15" w:type="dxa"/>
        </w:trPr>
        <w:tc>
          <w:tcPr>
            <w:tcW w:w="0" w:type="auto"/>
            <w:vAlign w:val="center"/>
            <w:hideMark/>
          </w:tcPr>
          <w:p w14:paraId="5AFE07D7"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Token boundary risk</w:t>
            </w:r>
          </w:p>
        </w:tc>
        <w:tc>
          <w:tcPr>
            <w:tcW w:w="0" w:type="auto"/>
            <w:vAlign w:val="center"/>
            <w:hideMark/>
          </w:tcPr>
          <w:p w14:paraId="5E7FBA51"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Are tokens being used to imply rights, value, or authority they do not legally possess?</w:t>
            </w:r>
          </w:p>
        </w:tc>
      </w:tr>
      <w:tr w:rsidR="00404936" w:rsidRPr="00B479AE" w14:paraId="0C3296EB" w14:textId="77777777" w:rsidTr="00404936">
        <w:trPr>
          <w:tblCellSpacing w:w="15" w:type="dxa"/>
        </w:trPr>
        <w:tc>
          <w:tcPr>
            <w:tcW w:w="0" w:type="auto"/>
            <w:vAlign w:val="center"/>
            <w:hideMark/>
          </w:tcPr>
          <w:p w14:paraId="6D459605"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Legal structure risk</w:t>
            </w:r>
          </w:p>
        </w:tc>
        <w:tc>
          <w:tcPr>
            <w:tcW w:w="0" w:type="auto"/>
            <w:vAlign w:val="center"/>
            <w:hideMark/>
          </w:tcPr>
          <w:p w14:paraId="21992BD0"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Are financial, land, data, token, or investor relationships legally structured?</w:t>
            </w:r>
          </w:p>
        </w:tc>
      </w:tr>
      <w:tr w:rsidR="00404936" w:rsidRPr="00B479AE" w14:paraId="26D7851E" w14:textId="77777777" w:rsidTr="00404936">
        <w:trPr>
          <w:tblCellSpacing w:w="15" w:type="dxa"/>
        </w:trPr>
        <w:tc>
          <w:tcPr>
            <w:tcW w:w="0" w:type="auto"/>
            <w:vAlign w:val="center"/>
            <w:hideMark/>
          </w:tcPr>
          <w:p w14:paraId="0BD46C5F"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Operational execution risk</w:t>
            </w:r>
          </w:p>
        </w:tc>
        <w:tc>
          <w:tcPr>
            <w:tcW w:w="0" w:type="auto"/>
            <w:vAlign w:val="center"/>
            <w:hideMark/>
          </w:tcPr>
          <w:p w14:paraId="6F4E386C"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Can the project actually deliver interventions, maintenance, reporting, and review?</w:t>
            </w:r>
          </w:p>
        </w:tc>
      </w:tr>
      <w:tr w:rsidR="00404936" w:rsidRPr="00B479AE" w14:paraId="7544AA80" w14:textId="77777777" w:rsidTr="00404936">
        <w:trPr>
          <w:tblCellSpacing w:w="15" w:type="dxa"/>
        </w:trPr>
        <w:tc>
          <w:tcPr>
            <w:tcW w:w="0" w:type="auto"/>
            <w:vAlign w:val="center"/>
            <w:hideMark/>
          </w:tcPr>
          <w:p w14:paraId="351A895F"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Semantic drift risk</w:t>
            </w:r>
          </w:p>
        </w:tc>
        <w:tc>
          <w:tcPr>
            <w:tcW w:w="0" w:type="auto"/>
            <w:vAlign w:val="center"/>
            <w:hideMark/>
          </w:tcPr>
          <w:p w14:paraId="5614C133"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Are key terms being inflated or misused?</w:t>
            </w:r>
          </w:p>
        </w:tc>
      </w:tr>
      <w:tr w:rsidR="00404936" w:rsidRPr="00B479AE" w14:paraId="4A96FD65" w14:textId="77777777" w:rsidTr="00404936">
        <w:trPr>
          <w:tblCellSpacing w:w="15" w:type="dxa"/>
        </w:trPr>
        <w:tc>
          <w:tcPr>
            <w:tcW w:w="0" w:type="auto"/>
            <w:vAlign w:val="center"/>
            <w:hideMark/>
          </w:tcPr>
          <w:p w14:paraId="664DDCB2"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Capture risk</w:t>
            </w:r>
          </w:p>
        </w:tc>
        <w:tc>
          <w:tcPr>
            <w:tcW w:w="0" w:type="auto"/>
            <w:vAlign w:val="center"/>
            <w:hideMark/>
          </w:tcPr>
          <w:p w14:paraId="54187D97"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Is authority concentrating through capital, token holdings, technical access, charisma, or institutional pressure?</w:t>
            </w:r>
          </w:p>
        </w:tc>
      </w:tr>
      <w:tr w:rsidR="00404936" w:rsidRPr="00B479AE" w14:paraId="1BF833A1" w14:textId="77777777" w:rsidTr="00404936">
        <w:trPr>
          <w:tblCellSpacing w:w="15" w:type="dxa"/>
        </w:trPr>
        <w:tc>
          <w:tcPr>
            <w:tcW w:w="0" w:type="auto"/>
            <w:vAlign w:val="center"/>
            <w:hideMark/>
          </w:tcPr>
          <w:p w14:paraId="1D83E8FB"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Continuity risk</w:t>
            </w:r>
          </w:p>
        </w:tc>
        <w:tc>
          <w:tcPr>
            <w:tcW w:w="0" w:type="auto"/>
            <w:vAlign w:val="center"/>
            <w:hideMark/>
          </w:tcPr>
          <w:p w14:paraId="688D9E20"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Can records, canon, releases, evidence, and governance survive disruption?</w:t>
            </w:r>
          </w:p>
        </w:tc>
      </w:tr>
    </w:tbl>
    <w:p w14:paraId="1BE16096"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 model is strongest when it does not reduce all risk to one number.</w:t>
      </w:r>
    </w:p>
    <w:p w14:paraId="30431DB4"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Regenerative systems are multidimensional.</w:t>
      </w:r>
    </w:p>
    <w:p w14:paraId="19D7599C"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Their risk intelligence must be multidimensional as well.</w:t>
      </w:r>
    </w:p>
    <w:p w14:paraId="02680C07" w14:textId="77777777" w:rsidR="00404936" w:rsidRPr="00B479AE" w:rsidRDefault="00404936" w:rsidP="00404936">
      <w:pPr>
        <w:spacing w:line="360" w:lineRule="auto"/>
        <w:rPr>
          <w:rFonts w:ascii="Baskerville Old Face" w:hAnsi="Baskerville Old Face"/>
          <w:b/>
          <w:bCs/>
          <w:i/>
          <w:iCs/>
        </w:rPr>
      </w:pPr>
      <w:r w:rsidRPr="00B479AE">
        <w:rPr>
          <w:rFonts w:ascii="Baskerville Old Face" w:hAnsi="Baskerville Old Face"/>
          <w:b/>
          <w:bCs/>
          <w:i/>
          <w:iCs/>
        </w:rPr>
        <w:lastRenderedPageBreak/>
        <w:t>C.4 Ravel as decision-support, not enforcement</w:t>
      </w:r>
    </w:p>
    <w:p w14:paraId="6CA229CE"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outputs should be treated as decision-support signals.</w:t>
      </w:r>
    </w:p>
    <w:p w14:paraId="242AA5B2"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A Ravel signal may trigger:</w:t>
      </w:r>
    </w:p>
    <w:p w14:paraId="132370C3"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review;</w:t>
      </w:r>
      <w:r w:rsidRPr="00B479AE">
        <w:rPr>
          <w:rFonts w:ascii="Baskerville Old Face" w:hAnsi="Baskerville Old Face"/>
          <w:i/>
          <w:iCs/>
        </w:rPr>
        <w:br/>
        <w:t>• inquiry;</w:t>
      </w:r>
      <w:r w:rsidRPr="00B479AE">
        <w:rPr>
          <w:rFonts w:ascii="Baskerville Old Face" w:hAnsi="Baskerville Old Face"/>
          <w:i/>
          <w:iCs/>
        </w:rPr>
        <w:br/>
        <w:t>• additional MRV;</w:t>
      </w:r>
      <w:r w:rsidRPr="00B479AE">
        <w:rPr>
          <w:rFonts w:ascii="Baskerville Old Face" w:hAnsi="Baskerville Old Face"/>
          <w:i/>
          <w:iCs/>
        </w:rPr>
        <w:br/>
        <w:t>• legal review;</w:t>
      </w:r>
      <w:r w:rsidRPr="00B479AE">
        <w:rPr>
          <w:rFonts w:ascii="Baskerville Old Face" w:hAnsi="Baskerville Old Face"/>
          <w:i/>
          <w:iCs/>
        </w:rPr>
        <w:br/>
        <w:t>• governance discussion;</w:t>
      </w:r>
      <w:r w:rsidRPr="00B479AE">
        <w:rPr>
          <w:rFonts w:ascii="Baskerville Old Face" w:hAnsi="Baskerville Old Face"/>
          <w:i/>
          <w:iCs/>
        </w:rPr>
        <w:br/>
        <w:t>• capital-structure revision;</w:t>
      </w:r>
      <w:r w:rsidRPr="00B479AE">
        <w:rPr>
          <w:rFonts w:ascii="Baskerville Old Face" w:hAnsi="Baskerville Old Face"/>
          <w:i/>
          <w:iCs/>
        </w:rPr>
        <w:br/>
        <w:t>• risk disclosure;</w:t>
      </w:r>
      <w:r w:rsidRPr="00B479AE">
        <w:rPr>
          <w:rFonts w:ascii="Baskerville Old Face" w:hAnsi="Baskerville Old Face"/>
          <w:i/>
          <w:iCs/>
        </w:rPr>
        <w:br/>
        <w:t>• scenario analysis;</w:t>
      </w:r>
      <w:r w:rsidRPr="00B479AE">
        <w:rPr>
          <w:rFonts w:ascii="Baskerville Old Face" w:hAnsi="Baskerville Old Face"/>
          <w:i/>
          <w:iCs/>
        </w:rPr>
        <w:br/>
        <w:t>• dashboard caution;</w:t>
      </w:r>
      <w:r w:rsidRPr="00B479AE">
        <w:rPr>
          <w:rFonts w:ascii="Baskerville Old Face" w:hAnsi="Baskerville Old Face"/>
          <w:i/>
          <w:iCs/>
        </w:rPr>
        <w:br/>
        <w:t>• remediation planning;</w:t>
      </w:r>
      <w:r w:rsidRPr="00B479AE">
        <w:rPr>
          <w:rFonts w:ascii="Baskerville Old Face" w:hAnsi="Baskerville Old Face"/>
          <w:i/>
          <w:iCs/>
        </w:rPr>
        <w:br/>
        <w:t>• temporary limitation of public claims;</w:t>
      </w:r>
      <w:r w:rsidRPr="00B479AE">
        <w:rPr>
          <w:rFonts w:ascii="Baskerville Old Face" w:hAnsi="Baskerville Old Face"/>
          <w:i/>
          <w:iCs/>
        </w:rPr>
        <w:br/>
        <w:t>• methodology review.</w:t>
      </w:r>
    </w:p>
    <w:p w14:paraId="51A9AD2C"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A Ravel signal should not automatically trigger:</w:t>
      </w:r>
    </w:p>
    <w:p w14:paraId="756563FF"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token slashing;</w:t>
      </w:r>
      <w:r w:rsidRPr="00B479AE">
        <w:rPr>
          <w:rFonts w:ascii="Baskerville Old Face" w:hAnsi="Baskerville Old Face"/>
          <w:i/>
          <w:iCs/>
        </w:rPr>
        <w:br/>
        <w:t>• token forfeiture;</w:t>
      </w:r>
      <w:r w:rsidRPr="00B479AE">
        <w:rPr>
          <w:rFonts w:ascii="Baskerville Old Face" w:hAnsi="Baskerville Old Face"/>
          <w:i/>
          <w:iCs/>
        </w:rPr>
        <w:br/>
        <w:t>• credit suspension;</w:t>
      </w:r>
      <w:r w:rsidRPr="00B479AE">
        <w:rPr>
          <w:rFonts w:ascii="Baskerville Old Face" w:hAnsi="Baskerville Old Face"/>
          <w:i/>
          <w:iCs/>
        </w:rPr>
        <w:br/>
        <w:t>• investor-right modification;</w:t>
      </w:r>
      <w:r w:rsidRPr="00B479AE">
        <w:rPr>
          <w:rFonts w:ascii="Baskerville Old Face" w:hAnsi="Baskerville Old Face"/>
          <w:i/>
          <w:iCs/>
        </w:rPr>
        <w:br/>
        <w:t>• governance exclusion;</w:t>
      </w:r>
      <w:r w:rsidRPr="00B479AE">
        <w:rPr>
          <w:rFonts w:ascii="Baskerville Old Face" w:hAnsi="Baskerville Old Face"/>
          <w:i/>
          <w:iCs/>
        </w:rPr>
        <w:br/>
        <w:t>• reputation penalty;</w:t>
      </w:r>
      <w:r w:rsidRPr="00B479AE">
        <w:rPr>
          <w:rFonts w:ascii="Baskerville Old Face" w:hAnsi="Baskerville Old Face"/>
          <w:i/>
          <w:iCs/>
        </w:rPr>
        <w:br/>
        <w:t>• public accusation;</w:t>
      </w:r>
      <w:r w:rsidRPr="00B479AE">
        <w:rPr>
          <w:rFonts w:ascii="Baskerville Old Face" w:hAnsi="Baskerville Old Face"/>
          <w:i/>
          <w:iCs/>
        </w:rPr>
        <w:br/>
        <w:t>• legal consequence;</w:t>
      </w:r>
      <w:r w:rsidRPr="00B479AE">
        <w:rPr>
          <w:rFonts w:ascii="Baskerville Old Face" w:hAnsi="Baskerville Old Face"/>
          <w:i/>
          <w:iCs/>
        </w:rPr>
        <w:br/>
        <w:t>• automatic covenant breach finding.</w:t>
      </w:r>
    </w:p>
    <w:p w14:paraId="4DBA26DF"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Where consequences are needed, they must proceed through the applicable governance, legal, MRV, technical, or constitutional review pathway.</w:t>
      </w:r>
    </w:p>
    <w:p w14:paraId="79720EF4"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may raise the flag.</w:t>
      </w:r>
    </w:p>
    <w:p w14:paraId="27B48D98"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It does not swing the sword.</w:t>
      </w:r>
    </w:p>
    <w:p w14:paraId="6A555F0E" w14:textId="77777777" w:rsidR="00404936" w:rsidRPr="00B479AE" w:rsidRDefault="00404936" w:rsidP="00404936">
      <w:pPr>
        <w:spacing w:line="360" w:lineRule="auto"/>
        <w:rPr>
          <w:rFonts w:ascii="Baskerville Old Face" w:hAnsi="Baskerville Old Face"/>
          <w:b/>
          <w:bCs/>
          <w:i/>
          <w:iCs/>
        </w:rPr>
      </w:pPr>
      <w:r w:rsidRPr="00B479AE">
        <w:rPr>
          <w:rFonts w:ascii="Baskerville Old Face" w:hAnsi="Baskerville Old Face"/>
          <w:b/>
          <w:bCs/>
          <w:i/>
          <w:iCs/>
        </w:rPr>
        <w:lastRenderedPageBreak/>
        <w:t>C.5 Core analytical variables</w:t>
      </w:r>
    </w:p>
    <w:p w14:paraId="682C7D44"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 Ravel model may monitor variables such 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5"/>
        <w:gridCol w:w="7703"/>
      </w:tblGrid>
      <w:tr w:rsidR="00404936" w:rsidRPr="00B479AE" w14:paraId="2CBA651A" w14:textId="77777777" w:rsidTr="009C1063">
        <w:trPr>
          <w:tblHeader/>
          <w:tblCellSpacing w:w="15" w:type="dxa"/>
        </w:trPr>
        <w:tc>
          <w:tcPr>
            <w:tcW w:w="0" w:type="auto"/>
            <w:vAlign w:val="center"/>
            <w:hideMark/>
          </w:tcPr>
          <w:p w14:paraId="0DCE8A19" w14:textId="77777777" w:rsidR="00404936" w:rsidRPr="00B479AE" w:rsidRDefault="00404936" w:rsidP="00404936">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Variable family</w:t>
            </w:r>
          </w:p>
        </w:tc>
        <w:tc>
          <w:tcPr>
            <w:tcW w:w="0" w:type="auto"/>
            <w:vAlign w:val="center"/>
            <w:hideMark/>
          </w:tcPr>
          <w:p w14:paraId="4794A63E" w14:textId="77777777" w:rsidR="00404936" w:rsidRPr="00B479AE" w:rsidRDefault="00404936" w:rsidP="00404936">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Possible indicators</w:t>
            </w:r>
          </w:p>
        </w:tc>
      </w:tr>
      <w:tr w:rsidR="00404936" w:rsidRPr="00B479AE" w14:paraId="360DAB87" w14:textId="77777777" w:rsidTr="009C1063">
        <w:trPr>
          <w:tblCellSpacing w:w="15" w:type="dxa"/>
        </w:trPr>
        <w:tc>
          <w:tcPr>
            <w:tcW w:w="0" w:type="auto"/>
            <w:vAlign w:val="center"/>
            <w:hideMark/>
          </w:tcPr>
          <w:p w14:paraId="05C5625A"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Ecological performance</w:t>
            </w:r>
          </w:p>
        </w:tc>
        <w:tc>
          <w:tcPr>
            <w:tcW w:w="0" w:type="auto"/>
            <w:vAlign w:val="center"/>
            <w:hideMark/>
          </w:tcPr>
          <w:p w14:paraId="005ACA40"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Soil organic matter, infiltration, biodiversity, ground cover, productivity, biomass return, input dependency.</w:t>
            </w:r>
          </w:p>
        </w:tc>
      </w:tr>
      <w:tr w:rsidR="00404936" w:rsidRPr="00B479AE" w14:paraId="7613CF28" w14:textId="77777777" w:rsidTr="009C1063">
        <w:trPr>
          <w:tblCellSpacing w:w="15" w:type="dxa"/>
        </w:trPr>
        <w:tc>
          <w:tcPr>
            <w:tcW w:w="0" w:type="auto"/>
            <w:vAlign w:val="center"/>
            <w:hideMark/>
          </w:tcPr>
          <w:p w14:paraId="457A2F50"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MRV confidence</w:t>
            </w:r>
          </w:p>
        </w:tc>
        <w:tc>
          <w:tcPr>
            <w:tcW w:w="0" w:type="auto"/>
            <w:vAlign w:val="center"/>
            <w:hideMark/>
          </w:tcPr>
          <w:p w14:paraId="7B75ED0C"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Provenance strength, sampling frequency, cross-source consistency, laboratory support, third-party review.</w:t>
            </w:r>
          </w:p>
        </w:tc>
      </w:tr>
      <w:tr w:rsidR="00404936" w:rsidRPr="00B479AE" w14:paraId="4B7A6ABB" w14:textId="77777777" w:rsidTr="009C1063">
        <w:trPr>
          <w:tblCellSpacing w:w="15" w:type="dxa"/>
        </w:trPr>
        <w:tc>
          <w:tcPr>
            <w:tcW w:w="0" w:type="auto"/>
            <w:vAlign w:val="center"/>
            <w:hideMark/>
          </w:tcPr>
          <w:p w14:paraId="70FF1DA6"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Financial structure</w:t>
            </w:r>
          </w:p>
        </w:tc>
        <w:tc>
          <w:tcPr>
            <w:tcW w:w="0" w:type="auto"/>
            <w:vAlign w:val="center"/>
            <w:hideMark/>
          </w:tcPr>
          <w:p w14:paraId="06216DB5"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Debt service, leverage, reserve coverage, investor claims, repayment schedule, cash-flow volatility.</w:t>
            </w:r>
          </w:p>
        </w:tc>
      </w:tr>
      <w:tr w:rsidR="00404936" w:rsidRPr="00B479AE" w14:paraId="2ACA2CB3" w14:textId="77777777" w:rsidTr="009C1063">
        <w:trPr>
          <w:tblCellSpacing w:w="15" w:type="dxa"/>
        </w:trPr>
        <w:tc>
          <w:tcPr>
            <w:tcW w:w="0" w:type="auto"/>
            <w:vAlign w:val="center"/>
            <w:hideMark/>
          </w:tcPr>
          <w:p w14:paraId="325D67B1"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Operational capacity</w:t>
            </w:r>
          </w:p>
        </w:tc>
        <w:tc>
          <w:tcPr>
            <w:tcW w:w="0" w:type="auto"/>
            <w:vAlign w:val="center"/>
            <w:hideMark/>
          </w:tcPr>
          <w:p w14:paraId="445FD063"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Steward availability, maintenance records, execution delays, budget variance, technical capability.</w:t>
            </w:r>
          </w:p>
        </w:tc>
      </w:tr>
      <w:tr w:rsidR="00404936" w:rsidRPr="00B479AE" w14:paraId="23BF86EC" w14:textId="77777777" w:rsidTr="009C1063">
        <w:trPr>
          <w:tblCellSpacing w:w="15" w:type="dxa"/>
        </w:trPr>
        <w:tc>
          <w:tcPr>
            <w:tcW w:w="0" w:type="auto"/>
            <w:vAlign w:val="center"/>
            <w:hideMark/>
          </w:tcPr>
          <w:p w14:paraId="2921947D"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Governance maturity</w:t>
            </w:r>
          </w:p>
        </w:tc>
        <w:tc>
          <w:tcPr>
            <w:tcW w:w="0" w:type="auto"/>
            <w:vAlign w:val="center"/>
            <w:hideMark/>
          </w:tcPr>
          <w:p w14:paraId="084A4180"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Decision logs, role clarity, review completion, conflict handling, appeal pathway, anti-capture controls.</w:t>
            </w:r>
          </w:p>
        </w:tc>
      </w:tr>
      <w:tr w:rsidR="00404936" w:rsidRPr="00B479AE" w14:paraId="61C53BF9" w14:textId="77777777" w:rsidTr="009C1063">
        <w:trPr>
          <w:tblCellSpacing w:w="15" w:type="dxa"/>
        </w:trPr>
        <w:tc>
          <w:tcPr>
            <w:tcW w:w="0" w:type="auto"/>
            <w:vAlign w:val="center"/>
            <w:hideMark/>
          </w:tcPr>
          <w:p w14:paraId="05A7C0CA"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Legal readiness</w:t>
            </w:r>
          </w:p>
        </w:tc>
        <w:tc>
          <w:tcPr>
            <w:tcW w:w="0" w:type="auto"/>
            <w:vAlign w:val="center"/>
            <w:hideMark/>
          </w:tcPr>
          <w:p w14:paraId="0F9BA994"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Agreements, disclosures, jurisdictional review, data rights, token classification, investor compliance.</w:t>
            </w:r>
          </w:p>
        </w:tc>
      </w:tr>
      <w:tr w:rsidR="00404936" w:rsidRPr="00B479AE" w14:paraId="672B1F08" w14:textId="77777777" w:rsidTr="009C1063">
        <w:trPr>
          <w:tblCellSpacing w:w="15" w:type="dxa"/>
        </w:trPr>
        <w:tc>
          <w:tcPr>
            <w:tcW w:w="0" w:type="auto"/>
            <w:vAlign w:val="center"/>
            <w:hideMark/>
          </w:tcPr>
          <w:p w14:paraId="669ABBE9"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Semantic integrity</w:t>
            </w:r>
          </w:p>
        </w:tc>
        <w:tc>
          <w:tcPr>
            <w:tcW w:w="0" w:type="auto"/>
            <w:vAlign w:val="center"/>
            <w:hideMark/>
          </w:tcPr>
          <w:p w14:paraId="5927CE88"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Accuracy of PRU/RAP/MRV/token/public claims, glossary alignment, public communication discipline.</w:t>
            </w:r>
          </w:p>
        </w:tc>
      </w:tr>
      <w:tr w:rsidR="00404936" w:rsidRPr="00B479AE" w14:paraId="09446F38" w14:textId="77777777" w:rsidTr="009C1063">
        <w:trPr>
          <w:tblCellSpacing w:w="15" w:type="dxa"/>
        </w:trPr>
        <w:tc>
          <w:tcPr>
            <w:tcW w:w="0" w:type="auto"/>
            <w:vAlign w:val="center"/>
            <w:hideMark/>
          </w:tcPr>
          <w:p w14:paraId="7C5257C2"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Continuity resilience</w:t>
            </w:r>
          </w:p>
        </w:tc>
        <w:tc>
          <w:tcPr>
            <w:tcW w:w="0" w:type="auto"/>
            <w:vAlign w:val="center"/>
            <w:hideMark/>
          </w:tcPr>
          <w:p w14:paraId="7DFDB638"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Signed releases, mirrors, offline archives, checksum records, governance continuity, custodial redundancy.</w:t>
            </w:r>
          </w:p>
        </w:tc>
      </w:tr>
    </w:tbl>
    <w:p w14:paraId="216B67F9"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These variables should be selected according to project stage.</w:t>
      </w:r>
    </w:p>
    <w:p w14:paraId="308090E0"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A Genesis pilot should not be scored like an institutional portfolio.</w:t>
      </w:r>
    </w:p>
    <w:p w14:paraId="4F42BDE9"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Early-stage systems require developmental diagnostics.</w:t>
      </w:r>
    </w:p>
    <w:p w14:paraId="4E7C79FF"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Mature systems require stronger controls.</w:t>
      </w:r>
    </w:p>
    <w:p w14:paraId="18610A20" w14:textId="1AD459F4" w:rsidR="00404936" w:rsidRPr="00B479AE" w:rsidRDefault="00404936" w:rsidP="00404936">
      <w:pPr>
        <w:spacing w:line="360" w:lineRule="auto"/>
        <w:rPr>
          <w:rFonts w:ascii="Baskerville Old Face" w:hAnsi="Baskerville Old Face"/>
          <w:i/>
          <w:iCs/>
        </w:rPr>
      </w:pPr>
    </w:p>
    <w:p w14:paraId="5DCE22F9" w14:textId="77777777" w:rsidR="00404936" w:rsidRPr="00B479AE" w:rsidRDefault="00404936" w:rsidP="00404936">
      <w:pPr>
        <w:spacing w:line="360" w:lineRule="auto"/>
        <w:rPr>
          <w:rFonts w:ascii="Baskerville Old Face" w:hAnsi="Baskerville Old Face"/>
          <w:b/>
          <w:bCs/>
          <w:i/>
          <w:iCs/>
        </w:rPr>
      </w:pPr>
      <w:r w:rsidRPr="00B479AE">
        <w:rPr>
          <w:rFonts w:ascii="Baskerville Old Face" w:hAnsi="Baskerville Old Face"/>
          <w:b/>
          <w:bCs/>
          <w:i/>
          <w:iCs/>
        </w:rPr>
        <w:lastRenderedPageBreak/>
        <w:t>C.6 Ravel indicator classes</w:t>
      </w:r>
    </w:p>
    <w:p w14:paraId="482090E2"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indicators may be classified as follows: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1"/>
        <w:gridCol w:w="4439"/>
        <w:gridCol w:w="3098"/>
      </w:tblGrid>
      <w:tr w:rsidR="00404936" w:rsidRPr="00B479AE" w14:paraId="41283ABC" w14:textId="77777777" w:rsidTr="009C1063">
        <w:trPr>
          <w:tblHeader/>
          <w:tblCellSpacing w:w="15" w:type="dxa"/>
        </w:trPr>
        <w:tc>
          <w:tcPr>
            <w:tcW w:w="0" w:type="auto"/>
            <w:vAlign w:val="center"/>
            <w:hideMark/>
          </w:tcPr>
          <w:p w14:paraId="2463138E" w14:textId="77777777" w:rsidR="00404936" w:rsidRPr="00B479AE" w:rsidRDefault="00404936" w:rsidP="00404936">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Indicator class</w:t>
            </w:r>
          </w:p>
        </w:tc>
        <w:tc>
          <w:tcPr>
            <w:tcW w:w="0" w:type="auto"/>
            <w:vAlign w:val="center"/>
            <w:hideMark/>
          </w:tcPr>
          <w:p w14:paraId="07F2062E" w14:textId="77777777" w:rsidR="00404936" w:rsidRPr="00B479AE" w:rsidRDefault="00404936" w:rsidP="00404936">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c>
          <w:tcPr>
            <w:tcW w:w="0" w:type="auto"/>
            <w:vAlign w:val="center"/>
            <w:hideMark/>
          </w:tcPr>
          <w:p w14:paraId="6AE3D326" w14:textId="77777777" w:rsidR="00404936" w:rsidRPr="00B479AE" w:rsidRDefault="00404936" w:rsidP="00404936">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Typical response</w:t>
            </w:r>
          </w:p>
        </w:tc>
      </w:tr>
      <w:tr w:rsidR="00404936" w:rsidRPr="00B479AE" w14:paraId="6CCD3675" w14:textId="77777777" w:rsidTr="009C1063">
        <w:trPr>
          <w:tblCellSpacing w:w="15" w:type="dxa"/>
        </w:trPr>
        <w:tc>
          <w:tcPr>
            <w:tcW w:w="0" w:type="auto"/>
            <w:vAlign w:val="center"/>
            <w:hideMark/>
          </w:tcPr>
          <w:p w14:paraId="3F6227B9"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Green / stable</w:t>
            </w:r>
          </w:p>
        </w:tc>
        <w:tc>
          <w:tcPr>
            <w:tcW w:w="0" w:type="auto"/>
            <w:vAlign w:val="center"/>
            <w:hideMark/>
          </w:tcPr>
          <w:p w14:paraId="339AAD7D"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Current evidence and risk conditions are within expected range.</w:t>
            </w:r>
          </w:p>
        </w:tc>
        <w:tc>
          <w:tcPr>
            <w:tcW w:w="0" w:type="auto"/>
            <w:vAlign w:val="center"/>
            <w:hideMark/>
          </w:tcPr>
          <w:p w14:paraId="4FFE609D"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Continue monitoring.</w:t>
            </w:r>
          </w:p>
        </w:tc>
      </w:tr>
      <w:tr w:rsidR="00404936" w:rsidRPr="00B479AE" w14:paraId="69F1DF2C" w14:textId="77777777" w:rsidTr="009C1063">
        <w:trPr>
          <w:tblCellSpacing w:w="15" w:type="dxa"/>
        </w:trPr>
        <w:tc>
          <w:tcPr>
            <w:tcW w:w="0" w:type="auto"/>
            <w:vAlign w:val="center"/>
            <w:hideMark/>
          </w:tcPr>
          <w:p w14:paraId="17AF1507"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Amber / watch</w:t>
            </w:r>
          </w:p>
        </w:tc>
        <w:tc>
          <w:tcPr>
            <w:tcW w:w="0" w:type="auto"/>
            <w:vAlign w:val="center"/>
            <w:hideMark/>
          </w:tcPr>
          <w:p w14:paraId="32C65E06"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Early warning or uncertainty exists.</w:t>
            </w:r>
          </w:p>
        </w:tc>
        <w:tc>
          <w:tcPr>
            <w:tcW w:w="0" w:type="auto"/>
            <w:vAlign w:val="center"/>
            <w:hideMark/>
          </w:tcPr>
          <w:p w14:paraId="7F11D3A8"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Clarify, monitor, request additional evidence.</w:t>
            </w:r>
          </w:p>
        </w:tc>
      </w:tr>
      <w:tr w:rsidR="00404936" w:rsidRPr="00B479AE" w14:paraId="7BADDBD4" w14:textId="77777777" w:rsidTr="009C1063">
        <w:trPr>
          <w:tblCellSpacing w:w="15" w:type="dxa"/>
        </w:trPr>
        <w:tc>
          <w:tcPr>
            <w:tcW w:w="0" w:type="auto"/>
            <w:vAlign w:val="center"/>
            <w:hideMark/>
          </w:tcPr>
          <w:p w14:paraId="7F0B80A9"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Orange / review</w:t>
            </w:r>
          </w:p>
        </w:tc>
        <w:tc>
          <w:tcPr>
            <w:tcW w:w="0" w:type="auto"/>
            <w:vAlign w:val="center"/>
            <w:hideMark/>
          </w:tcPr>
          <w:p w14:paraId="7753BFE3"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Material risk or inconsistency requires formal review.</w:t>
            </w:r>
          </w:p>
        </w:tc>
        <w:tc>
          <w:tcPr>
            <w:tcW w:w="0" w:type="auto"/>
            <w:vAlign w:val="center"/>
            <w:hideMark/>
          </w:tcPr>
          <w:p w14:paraId="62F56844"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Trigger governance, MRV, legal, or technical review.</w:t>
            </w:r>
          </w:p>
        </w:tc>
      </w:tr>
      <w:tr w:rsidR="00404936" w:rsidRPr="00B479AE" w14:paraId="3A4844DE" w14:textId="77777777" w:rsidTr="009C1063">
        <w:trPr>
          <w:tblCellSpacing w:w="15" w:type="dxa"/>
        </w:trPr>
        <w:tc>
          <w:tcPr>
            <w:tcW w:w="0" w:type="auto"/>
            <w:vAlign w:val="center"/>
            <w:hideMark/>
          </w:tcPr>
          <w:p w14:paraId="57D76021"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Red / protective pause</w:t>
            </w:r>
          </w:p>
        </w:tc>
        <w:tc>
          <w:tcPr>
            <w:tcW w:w="0" w:type="auto"/>
            <w:vAlign w:val="center"/>
            <w:hideMark/>
          </w:tcPr>
          <w:p w14:paraId="7C8FC599"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High-impact risk may affect evidence, law, capital, governance, or source-layer trust.</w:t>
            </w:r>
          </w:p>
        </w:tc>
        <w:tc>
          <w:tcPr>
            <w:tcW w:w="0" w:type="auto"/>
            <w:vAlign w:val="center"/>
            <w:hideMark/>
          </w:tcPr>
          <w:p w14:paraId="329C8933"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Temporary protective limitation pending review.</w:t>
            </w:r>
          </w:p>
        </w:tc>
      </w:tr>
      <w:tr w:rsidR="00404936" w:rsidRPr="00B479AE" w14:paraId="37BEFF52" w14:textId="77777777" w:rsidTr="009C1063">
        <w:trPr>
          <w:tblCellSpacing w:w="15" w:type="dxa"/>
        </w:trPr>
        <w:tc>
          <w:tcPr>
            <w:tcW w:w="0" w:type="auto"/>
            <w:vAlign w:val="center"/>
            <w:hideMark/>
          </w:tcPr>
          <w:p w14:paraId="0186BC3D"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Black / constitutional escalation</w:t>
            </w:r>
          </w:p>
        </w:tc>
        <w:tc>
          <w:tcPr>
            <w:tcW w:w="0" w:type="auto"/>
            <w:vAlign w:val="center"/>
            <w:hideMark/>
          </w:tcPr>
          <w:p w14:paraId="28F01D7E"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Source-layer, human dignity, serious fraud, ecological harm, or systemic trust risk.</w:t>
            </w:r>
          </w:p>
        </w:tc>
        <w:tc>
          <w:tcPr>
            <w:tcW w:w="0" w:type="auto"/>
            <w:vAlign w:val="center"/>
            <w:hideMark/>
          </w:tcPr>
          <w:p w14:paraId="1EA8407F"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Constitutional, legal, and institutional escalation.</w:t>
            </w:r>
          </w:p>
        </w:tc>
      </w:tr>
    </w:tbl>
    <w:p w14:paraId="3555D14E"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These categories should be treated as risk signals, not automatic punishments.</w:t>
      </w:r>
    </w:p>
    <w:p w14:paraId="384B7DB2"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 purpose is to route attention appropriately.</w:t>
      </w:r>
    </w:p>
    <w:p w14:paraId="4321DFC5"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A mature system is not one that never sees red.</w:t>
      </w:r>
    </w:p>
    <w:p w14:paraId="059254B3"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It is one that knows what to do when red appears.</w:t>
      </w:r>
    </w:p>
    <w:p w14:paraId="67ACE689" w14:textId="77777777" w:rsidR="00404936" w:rsidRPr="00B479AE" w:rsidRDefault="00404936" w:rsidP="00404936">
      <w:pPr>
        <w:spacing w:line="360" w:lineRule="auto"/>
        <w:rPr>
          <w:rFonts w:ascii="Baskerville Old Face" w:hAnsi="Baskerville Old Face"/>
          <w:b/>
          <w:bCs/>
          <w:i/>
          <w:iCs/>
        </w:rPr>
      </w:pPr>
      <w:r w:rsidRPr="00B479AE">
        <w:rPr>
          <w:rFonts w:ascii="Baskerville Old Face" w:hAnsi="Baskerville Old Face"/>
          <w:b/>
          <w:bCs/>
          <w:i/>
          <w:iCs/>
        </w:rPr>
        <w:t>C.7 Regeneration-to-obligation ratio</w:t>
      </w:r>
    </w:p>
    <w:p w14:paraId="6F151286"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One useful Ravel concept is the relationship between regenerative capacity and financial obligation.</w:t>
      </w:r>
    </w:p>
    <w:p w14:paraId="16748915"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A simplified conceptual ratio may be:</w:t>
      </w:r>
    </w:p>
    <w:p w14:paraId="0FBB9B69"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Regeneration-to-Obligation Ratio = verified regenerative and operational capacity / financial obligations</w:t>
      </w:r>
    </w:p>
    <w:p w14:paraId="2B45C823"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This ratio may help identify whether financial obligations are proportionate to the verified capacity of a project or portfolio.</w:t>
      </w:r>
    </w:p>
    <w:p w14:paraId="2F1BBB03"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lastRenderedPageBreak/>
        <w:t>The numerator may include, depending on maturity:</w:t>
      </w:r>
    </w:p>
    <w:p w14:paraId="55E222D4"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verified ecological performance;</w:t>
      </w:r>
      <w:r w:rsidRPr="00B479AE">
        <w:rPr>
          <w:rFonts w:ascii="Baskerville Old Face" w:hAnsi="Baskerville Old Face"/>
          <w:i/>
          <w:iCs/>
        </w:rPr>
        <w:br/>
        <w:t>• stabilized productive capacity;</w:t>
      </w:r>
      <w:r w:rsidRPr="00B479AE">
        <w:rPr>
          <w:rFonts w:ascii="Baskerville Old Face" w:hAnsi="Baskerville Old Face"/>
          <w:i/>
          <w:iCs/>
        </w:rPr>
        <w:br/>
        <w:t>• cash-flow evidence;</w:t>
      </w:r>
      <w:r w:rsidRPr="00B479AE">
        <w:rPr>
          <w:rFonts w:ascii="Baskerville Old Face" w:hAnsi="Baskerville Old Face"/>
          <w:i/>
          <w:iCs/>
        </w:rPr>
        <w:br/>
        <w:t>• MRV confidence;</w:t>
      </w:r>
      <w:r w:rsidRPr="00B479AE">
        <w:rPr>
          <w:rFonts w:ascii="Baskerville Old Face" w:hAnsi="Baskerville Old Face"/>
          <w:i/>
          <w:iCs/>
        </w:rPr>
        <w:br/>
        <w:t>• operational reliability;</w:t>
      </w:r>
      <w:r w:rsidRPr="00B479AE">
        <w:rPr>
          <w:rFonts w:ascii="Baskerville Old Face" w:hAnsi="Baskerville Old Face"/>
          <w:i/>
          <w:iCs/>
        </w:rPr>
        <w:br/>
        <w:t>• governance maturity;</w:t>
      </w:r>
      <w:r w:rsidRPr="00B479AE">
        <w:rPr>
          <w:rFonts w:ascii="Baskerville Old Face" w:hAnsi="Baskerville Old Face"/>
          <w:i/>
          <w:iCs/>
        </w:rPr>
        <w:br/>
        <w:t>• legal readiness;</w:t>
      </w:r>
      <w:r w:rsidRPr="00B479AE">
        <w:rPr>
          <w:rFonts w:ascii="Baskerville Old Face" w:hAnsi="Baskerville Old Face"/>
          <w:i/>
          <w:iCs/>
        </w:rPr>
        <w:br/>
        <w:t>• reserve capacity.</w:t>
      </w:r>
    </w:p>
    <w:p w14:paraId="5F5EF675"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 denominator may include:</w:t>
      </w:r>
    </w:p>
    <w:p w14:paraId="5921BF5E"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debt service;</w:t>
      </w:r>
      <w:r w:rsidRPr="00B479AE">
        <w:rPr>
          <w:rFonts w:ascii="Baskerville Old Face" w:hAnsi="Baskerville Old Face"/>
          <w:i/>
          <w:iCs/>
        </w:rPr>
        <w:br/>
        <w:t>• investor expectations;</w:t>
      </w:r>
      <w:r w:rsidRPr="00B479AE">
        <w:rPr>
          <w:rFonts w:ascii="Baskerville Old Face" w:hAnsi="Baskerville Old Face"/>
          <w:i/>
          <w:iCs/>
        </w:rPr>
        <w:br/>
        <w:t>• repayment obligations;</w:t>
      </w:r>
      <w:r w:rsidRPr="00B479AE">
        <w:rPr>
          <w:rFonts w:ascii="Baskerville Old Face" w:hAnsi="Baskerville Old Face"/>
          <w:i/>
          <w:iCs/>
        </w:rPr>
        <w:br/>
        <w:t>• maintenance liabilities;</w:t>
      </w:r>
      <w:r w:rsidRPr="00B479AE">
        <w:rPr>
          <w:rFonts w:ascii="Baskerville Old Face" w:hAnsi="Baskerville Old Face"/>
          <w:i/>
          <w:iCs/>
        </w:rPr>
        <w:br/>
        <w:t>• reporting costs;</w:t>
      </w:r>
      <w:r w:rsidRPr="00B479AE">
        <w:rPr>
          <w:rFonts w:ascii="Baskerville Old Face" w:hAnsi="Baskerville Old Face"/>
          <w:i/>
          <w:iCs/>
        </w:rPr>
        <w:br/>
        <w:t>• legal obligations;</w:t>
      </w:r>
      <w:r w:rsidRPr="00B479AE">
        <w:rPr>
          <w:rFonts w:ascii="Baskerville Old Face" w:hAnsi="Baskerville Old Face"/>
          <w:i/>
          <w:iCs/>
        </w:rPr>
        <w:br/>
        <w:t>• operational overhead;</w:t>
      </w:r>
      <w:r w:rsidRPr="00B479AE">
        <w:rPr>
          <w:rFonts w:ascii="Baskerville Old Face" w:hAnsi="Baskerville Old Face"/>
          <w:i/>
          <w:iCs/>
        </w:rPr>
        <w:br/>
        <w:t>• future capital commitments.</w:t>
      </w:r>
    </w:p>
    <w:p w14:paraId="7EB76351"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This ratio should not be treated as a single mechanical truth.</w:t>
      </w:r>
    </w:p>
    <w:p w14:paraId="5C6A2963"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It is a diagnostic lens.</w:t>
      </w:r>
    </w:p>
    <w:p w14:paraId="6FC2AAAE"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It helps reviewers ask:</w:t>
      </w:r>
    </w:p>
    <w:p w14:paraId="1A1ACEBF"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is the financial structure asking more from the living system than the living system has verified capacity to support?</w:t>
      </w:r>
    </w:p>
    <w:p w14:paraId="1A164E93" w14:textId="77777777" w:rsidR="00404936" w:rsidRPr="00B479AE" w:rsidRDefault="00404936" w:rsidP="00404936">
      <w:pPr>
        <w:spacing w:line="360" w:lineRule="auto"/>
        <w:rPr>
          <w:rFonts w:ascii="Baskerville Old Face" w:hAnsi="Baskerville Old Face"/>
          <w:b/>
          <w:bCs/>
          <w:i/>
          <w:iCs/>
        </w:rPr>
      </w:pPr>
      <w:r w:rsidRPr="00B479AE">
        <w:rPr>
          <w:rFonts w:ascii="Baskerville Old Face" w:hAnsi="Baskerville Old Face"/>
          <w:b/>
          <w:bCs/>
          <w:i/>
          <w:iCs/>
        </w:rPr>
        <w:t>C.8 Evidence-to-claim ratio</w:t>
      </w:r>
    </w:p>
    <w:p w14:paraId="64D12867"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Prometheus should monitor whether claims are growing faster than evidence.</w:t>
      </w:r>
    </w:p>
    <w:p w14:paraId="4707F0CD"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A simplified conceptual ratio may be:</w:t>
      </w:r>
    </w:p>
    <w:p w14:paraId="16ADCC34"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Evidence-to-Claim Ratio = admissible evidence strength / public, financial, or token-related claim intensity</w:t>
      </w:r>
    </w:p>
    <w:p w14:paraId="247FB7AA"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lastRenderedPageBreak/>
        <w:t>A low ratio indicates that communication, fundraising, dashboard language, token language, or investor materials may be advancing faster than MRV maturity.</w:t>
      </w:r>
    </w:p>
    <w:p w14:paraId="52B5C741"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Possible symptoms include:</w:t>
      </w:r>
    </w:p>
    <w:p w14:paraId="22A9E1EE"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PRU language before PRU methodology;</w:t>
      </w:r>
      <w:r w:rsidRPr="00B479AE">
        <w:rPr>
          <w:rFonts w:ascii="Baskerville Old Face" w:hAnsi="Baskerville Old Face"/>
          <w:i/>
          <w:iCs/>
        </w:rPr>
        <w:br/>
        <w:t>• RAP language before portfolio eligibility;</w:t>
      </w:r>
      <w:r w:rsidRPr="00B479AE">
        <w:rPr>
          <w:rFonts w:ascii="Baskerville Old Face" w:hAnsi="Baskerville Old Face"/>
          <w:i/>
          <w:iCs/>
        </w:rPr>
        <w:br/>
        <w:t>• verified-impact language before MRV admissibility;</w:t>
      </w:r>
      <w:r w:rsidRPr="00B479AE">
        <w:rPr>
          <w:rFonts w:ascii="Baskerville Old Face" w:hAnsi="Baskerville Old Face"/>
          <w:i/>
          <w:iCs/>
        </w:rPr>
        <w:br/>
        <w:t>• investor-facing value before legal structure;</w:t>
      </w:r>
      <w:r w:rsidRPr="00B479AE">
        <w:rPr>
          <w:rFonts w:ascii="Baskerville Old Face" w:hAnsi="Baskerville Old Face"/>
          <w:i/>
          <w:iCs/>
        </w:rPr>
        <w:br/>
        <w:t>• token-backed claims before rights definition;</w:t>
      </w:r>
      <w:r w:rsidRPr="00B479AE">
        <w:rPr>
          <w:rFonts w:ascii="Baskerville Old Face" w:hAnsi="Baskerville Old Face"/>
          <w:i/>
          <w:iCs/>
        </w:rPr>
        <w:br/>
        <w:t>• dashboard confidence without evidence confidence;</w:t>
      </w:r>
      <w:r w:rsidRPr="00B479AE">
        <w:rPr>
          <w:rFonts w:ascii="Baskerville Old Face" w:hAnsi="Baskerville Old Face"/>
          <w:i/>
          <w:iCs/>
        </w:rPr>
        <w:br/>
        <w:t>• ecological-performance claims based only on narrative or AI inference.</w:t>
      </w:r>
    </w:p>
    <w:p w14:paraId="6A4D2EB7"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 proper response is not automatic sanction.</w:t>
      </w:r>
    </w:p>
    <w:p w14:paraId="2E0618B8"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 proper response is claim recalibration.</w:t>
      </w:r>
    </w:p>
    <w:p w14:paraId="3AEF1672"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Prometheus should adjust language, evidence, disclosure, methodology, or review before trust is damaged.</w:t>
      </w:r>
    </w:p>
    <w:p w14:paraId="1AFBF60E" w14:textId="77777777" w:rsidR="00404936" w:rsidRPr="00B479AE" w:rsidRDefault="00404936" w:rsidP="00404936">
      <w:pPr>
        <w:spacing w:line="360" w:lineRule="auto"/>
        <w:rPr>
          <w:rFonts w:ascii="Baskerville Old Face" w:hAnsi="Baskerville Old Face"/>
          <w:b/>
          <w:bCs/>
          <w:i/>
          <w:iCs/>
        </w:rPr>
      </w:pPr>
      <w:r w:rsidRPr="00B479AE">
        <w:rPr>
          <w:rFonts w:ascii="Baskerville Old Face" w:hAnsi="Baskerville Old Face"/>
          <w:b/>
          <w:bCs/>
          <w:i/>
          <w:iCs/>
        </w:rPr>
        <w:t>C.9 Capital-pressure index</w:t>
      </w:r>
    </w:p>
    <w:p w14:paraId="4F1B247E"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may monitor capital pressure.</w:t>
      </w:r>
    </w:p>
    <w:p w14:paraId="5F53DDF6"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Capital pressure may increase when:</w:t>
      </w:r>
    </w:p>
    <w:p w14:paraId="2F7702FB"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investor deadlines accelerate;</w:t>
      </w:r>
      <w:r w:rsidRPr="00B479AE">
        <w:rPr>
          <w:rFonts w:ascii="Baskerville Old Face" w:hAnsi="Baskerville Old Face"/>
          <w:i/>
          <w:iCs/>
        </w:rPr>
        <w:br/>
        <w:t>• revenue expectations rise;</w:t>
      </w:r>
      <w:r w:rsidRPr="00B479AE">
        <w:rPr>
          <w:rFonts w:ascii="Baskerville Old Face" w:hAnsi="Baskerville Old Face"/>
          <w:i/>
          <w:iCs/>
        </w:rPr>
        <w:br/>
        <w:t>• repayment obligations tighten;</w:t>
      </w:r>
      <w:r w:rsidRPr="00B479AE">
        <w:rPr>
          <w:rFonts w:ascii="Baskerville Old Face" w:hAnsi="Baskerville Old Face"/>
          <w:i/>
          <w:iCs/>
        </w:rPr>
        <w:br/>
        <w:t>• token price narratives dominate;</w:t>
      </w:r>
      <w:r w:rsidRPr="00B479AE">
        <w:rPr>
          <w:rFonts w:ascii="Baskerville Old Face" w:hAnsi="Baskerville Old Face"/>
          <w:i/>
          <w:iCs/>
        </w:rPr>
        <w:br/>
        <w:t>• public claims become more aggressive;</w:t>
      </w:r>
      <w:r w:rsidRPr="00B479AE">
        <w:rPr>
          <w:rFonts w:ascii="Baskerville Old Face" w:hAnsi="Baskerville Old Face"/>
          <w:i/>
          <w:iCs/>
        </w:rPr>
        <w:br/>
        <w:t>• governance shortens review;</w:t>
      </w:r>
      <w:r w:rsidRPr="00B479AE">
        <w:rPr>
          <w:rFonts w:ascii="Baskerville Old Face" w:hAnsi="Baskerville Old Face"/>
          <w:i/>
          <w:iCs/>
        </w:rPr>
        <w:br/>
        <w:t>• MRV is pressured to certify early;</w:t>
      </w:r>
      <w:r w:rsidRPr="00B479AE">
        <w:rPr>
          <w:rFonts w:ascii="Baskerville Old Face" w:hAnsi="Baskerville Old Face"/>
          <w:i/>
          <w:iCs/>
        </w:rPr>
        <w:br/>
        <w:t>• legal structuring is treated as delay;</w:t>
      </w:r>
      <w:r w:rsidRPr="00B479AE">
        <w:rPr>
          <w:rFonts w:ascii="Baskerville Old Face" w:hAnsi="Baskerville Old Face"/>
          <w:i/>
          <w:iCs/>
        </w:rPr>
        <w:br/>
        <w:t>• pilot data is presented as mature portfolio evidence.</w:t>
      </w:r>
    </w:p>
    <w:p w14:paraId="03BA1E25"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A capital-pressure index may help identify when finance is beginning to pull the system away from evidence.</w:t>
      </w:r>
    </w:p>
    <w:p w14:paraId="16232572"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lastRenderedPageBreak/>
        <w:t>The rule is:</w:t>
      </w:r>
    </w:p>
    <w:p w14:paraId="5D603C23"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capital should accelerate implementation, not distort verification.</w:t>
      </w:r>
    </w:p>
    <w:p w14:paraId="4FEFED9F"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Where capital pressure rises, Prometheus should strengthen disclosure, review, governance cadence, and evidence discipline.</w:t>
      </w:r>
    </w:p>
    <w:p w14:paraId="2025E323" w14:textId="77777777" w:rsidR="00404936" w:rsidRPr="00B479AE" w:rsidRDefault="00404936" w:rsidP="00404936">
      <w:pPr>
        <w:spacing w:line="360" w:lineRule="auto"/>
        <w:rPr>
          <w:rFonts w:ascii="Baskerville Old Face" w:hAnsi="Baskerville Old Face"/>
          <w:b/>
          <w:bCs/>
          <w:i/>
          <w:iCs/>
        </w:rPr>
      </w:pPr>
      <w:r w:rsidRPr="00B479AE">
        <w:rPr>
          <w:rFonts w:ascii="Baskerville Old Face" w:hAnsi="Baskerville Old Face"/>
          <w:b/>
          <w:bCs/>
          <w:i/>
          <w:iCs/>
        </w:rPr>
        <w:t>C.10 Governance-load index</w:t>
      </w:r>
    </w:p>
    <w:p w14:paraId="68878AE8"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A regenerative system can fail because governance cannot metabolize complexity.</w:t>
      </w:r>
    </w:p>
    <w:p w14:paraId="32E8D447"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may monitor governance load through:</w:t>
      </w:r>
    </w:p>
    <w:p w14:paraId="29247426"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number of open decisions;</w:t>
      </w:r>
      <w:r w:rsidRPr="00B479AE">
        <w:rPr>
          <w:rFonts w:ascii="Baskerville Old Face" w:hAnsi="Baskerville Old Face"/>
          <w:i/>
          <w:iCs/>
        </w:rPr>
        <w:br/>
        <w:t>• unresolved objections;</w:t>
      </w:r>
      <w:r w:rsidRPr="00B479AE">
        <w:rPr>
          <w:rFonts w:ascii="Baskerville Old Face" w:hAnsi="Baskerville Old Face"/>
          <w:i/>
          <w:iCs/>
        </w:rPr>
        <w:br/>
        <w:t>• unclear roles;</w:t>
      </w:r>
      <w:r w:rsidRPr="00B479AE">
        <w:rPr>
          <w:rFonts w:ascii="Baskerville Old Face" w:hAnsi="Baskerville Old Face"/>
          <w:i/>
          <w:iCs/>
        </w:rPr>
        <w:br/>
        <w:t>• missing minutes;</w:t>
      </w:r>
      <w:r w:rsidRPr="00B479AE">
        <w:rPr>
          <w:rFonts w:ascii="Baskerville Old Face" w:hAnsi="Baskerville Old Face"/>
          <w:i/>
          <w:iCs/>
        </w:rPr>
        <w:br/>
        <w:t>• delayed reviews;</w:t>
      </w:r>
      <w:r w:rsidRPr="00B479AE">
        <w:rPr>
          <w:rFonts w:ascii="Baskerville Old Face" w:hAnsi="Baskerville Old Face"/>
          <w:i/>
          <w:iCs/>
        </w:rPr>
        <w:br/>
        <w:t>• disputed authority;</w:t>
      </w:r>
      <w:r w:rsidRPr="00B479AE">
        <w:rPr>
          <w:rFonts w:ascii="Baskerville Old Face" w:hAnsi="Baskerville Old Face"/>
          <w:i/>
          <w:iCs/>
        </w:rPr>
        <w:br/>
        <w:t>• conflict frequency;</w:t>
      </w:r>
      <w:r w:rsidRPr="00B479AE">
        <w:rPr>
          <w:rFonts w:ascii="Baskerville Old Face" w:hAnsi="Baskerville Old Face"/>
          <w:i/>
          <w:iCs/>
        </w:rPr>
        <w:br/>
        <w:t>• appeals;</w:t>
      </w:r>
      <w:r w:rsidRPr="00B479AE">
        <w:rPr>
          <w:rFonts w:ascii="Baskerville Old Face" w:hAnsi="Baskerville Old Face"/>
          <w:i/>
          <w:iCs/>
        </w:rPr>
        <w:br/>
        <w:t>• emergency decisions;</w:t>
      </w:r>
      <w:r w:rsidRPr="00B479AE">
        <w:rPr>
          <w:rFonts w:ascii="Baskerville Old Face" w:hAnsi="Baskerville Old Face"/>
          <w:i/>
          <w:iCs/>
        </w:rPr>
        <w:br/>
        <w:t>• technical change velocity;</w:t>
      </w:r>
      <w:r w:rsidRPr="00B479AE">
        <w:rPr>
          <w:rFonts w:ascii="Baskerville Old Face" w:hAnsi="Baskerville Old Face"/>
          <w:i/>
          <w:iCs/>
        </w:rPr>
        <w:br/>
        <w:t>• legal review backlog;</w:t>
      </w:r>
      <w:r w:rsidRPr="00B479AE">
        <w:rPr>
          <w:rFonts w:ascii="Baskerville Old Face" w:hAnsi="Baskerville Old Face"/>
          <w:i/>
          <w:iCs/>
        </w:rPr>
        <w:br/>
        <w:t>• MRV review backlog;</w:t>
      </w:r>
      <w:r w:rsidRPr="00B479AE">
        <w:rPr>
          <w:rFonts w:ascii="Baskerville Old Face" w:hAnsi="Baskerville Old Face"/>
          <w:i/>
          <w:iCs/>
        </w:rPr>
        <w:br/>
        <w:t>• public communication risk.</w:t>
      </w:r>
    </w:p>
    <w:p w14:paraId="76888CCD"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A high governance-load signal suggests that Prometheus should slow, clarify, delegate, document, or simplify.</w:t>
      </w:r>
    </w:p>
    <w:p w14:paraId="6F8E7ABF"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Governance is an organ.</w:t>
      </w:r>
    </w:p>
    <w:p w14:paraId="4807EF57"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If it is overloaded, the whole organism becomes fragile.</w:t>
      </w:r>
    </w:p>
    <w:p w14:paraId="07D92E96" w14:textId="77777777" w:rsidR="00404936" w:rsidRPr="00B479AE" w:rsidRDefault="00404936" w:rsidP="00404936">
      <w:pPr>
        <w:spacing w:line="360" w:lineRule="auto"/>
        <w:rPr>
          <w:rFonts w:ascii="Baskerville Old Face" w:hAnsi="Baskerville Old Face"/>
          <w:b/>
          <w:bCs/>
          <w:i/>
          <w:iCs/>
        </w:rPr>
      </w:pPr>
      <w:r w:rsidRPr="00B479AE">
        <w:rPr>
          <w:rFonts w:ascii="Baskerville Old Face" w:hAnsi="Baskerville Old Face"/>
          <w:b/>
          <w:bCs/>
          <w:i/>
          <w:iCs/>
        </w:rPr>
        <w:t>C.11 Semantic-drift index</w:t>
      </w:r>
    </w:p>
    <w:p w14:paraId="31DCEF5C"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Prometheus depends on protected meanings.</w:t>
      </w:r>
    </w:p>
    <w:p w14:paraId="03D75F1D"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lastRenderedPageBreak/>
        <w:t>Ravel may monitor semantic drift by scanning documents, dashboards, investor materials, token communications, governance proposals, public posts, and partner language for misuse of canonical terms.</w:t>
      </w:r>
    </w:p>
    <w:p w14:paraId="786881F8"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Terms requiring monitoring include:</w:t>
      </w:r>
    </w:p>
    <w:p w14:paraId="5C4F0E43"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PRU;</w:t>
      </w:r>
      <w:r w:rsidRPr="00B479AE">
        <w:rPr>
          <w:rFonts w:ascii="Baskerville Old Face" w:hAnsi="Baskerville Old Face"/>
          <w:i/>
          <w:iCs/>
        </w:rPr>
        <w:br/>
        <w:t>• RAP;</w:t>
      </w:r>
      <w:r w:rsidRPr="00B479AE">
        <w:rPr>
          <w:rFonts w:ascii="Baskerville Old Face" w:hAnsi="Baskerville Old Face"/>
          <w:i/>
          <w:iCs/>
        </w:rPr>
        <w:br/>
        <w:t>• MRV;</w:t>
      </w:r>
      <w:r w:rsidRPr="00B479AE">
        <w:rPr>
          <w:rFonts w:ascii="Baskerville Old Face" w:hAnsi="Baskerville Old Face"/>
          <w:i/>
          <w:iCs/>
        </w:rPr>
        <w:br/>
        <w:t>• regeneration;</w:t>
      </w:r>
      <w:r w:rsidRPr="00B479AE">
        <w:rPr>
          <w:rFonts w:ascii="Baskerville Old Face" w:hAnsi="Baskerville Old Face"/>
          <w:i/>
          <w:iCs/>
        </w:rPr>
        <w:br/>
        <w:t>• verified;</w:t>
      </w:r>
      <w:r w:rsidRPr="00B479AE">
        <w:rPr>
          <w:rFonts w:ascii="Baskerville Old Face" w:hAnsi="Baskerville Old Face"/>
          <w:i/>
          <w:iCs/>
        </w:rPr>
        <w:br/>
        <w:t>• certified;</w:t>
      </w:r>
      <w:r w:rsidRPr="00B479AE">
        <w:rPr>
          <w:rFonts w:ascii="Baskerville Old Face" w:hAnsi="Baskerville Old Face"/>
          <w:i/>
          <w:iCs/>
        </w:rPr>
        <w:br/>
        <w:t>• impact-backed;</w:t>
      </w:r>
      <w:r w:rsidRPr="00B479AE">
        <w:rPr>
          <w:rFonts w:ascii="Baskerville Old Face" w:hAnsi="Baskerville Old Face"/>
          <w:i/>
          <w:iCs/>
        </w:rPr>
        <w:br/>
        <w:t>• tokenized;</w:t>
      </w:r>
      <w:r w:rsidRPr="00B479AE">
        <w:rPr>
          <w:rFonts w:ascii="Baskerville Old Face" w:hAnsi="Baskerville Old Face"/>
          <w:i/>
          <w:iCs/>
        </w:rPr>
        <w:br/>
        <w:t>• investor-ready;</w:t>
      </w:r>
      <w:r w:rsidRPr="00B479AE">
        <w:rPr>
          <w:rFonts w:ascii="Baskerville Old Face" w:hAnsi="Baskerville Old Face"/>
          <w:i/>
          <w:iCs/>
        </w:rPr>
        <w:br/>
        <w:t>• canonical;</w:t>
      </w:r>
      <w:r w:rsidRPr="00B479AE">
        <w:rPr>
          <w:rFonts w:ascii="Baskerville Old Face" w:hAnsi="Baskerville Old Face"/>
          <w:i/>
          <w:iCs/>
        </w:rPr>
        <w:br/>
        <w:t>• compatible;</w:t>
      </w:r>
      <w:r w:rsidRPr="00B479AE">
        <w:rPr>
          <w:rFonts w:ascii="Baskerville Old Face" w:hAnsi="Baskerville Old Face"/>
          <w:i/>
          <w:iCs/>
        </w:rPr>
        <w:br/>
        <w:t>• HSI;</w:t>
      </w:r>
      <w:r w:rsidRPr="00B479AE">
        <w:rPr>
          <w:rFonts w:ascii="Baskerville Old Face" w:hAnsi="Baskerville Old Face"/>
          <w:i/>
          <w:iCs/>
        </w:rPr>
        <w:br/>
        <w:t>• governance;</w:t>
      </w:r>
      <w:r w:rsidRPr="00B479AE">
        <w:rPr>
          <w:rFonts w:ascii="Baskerville Old Face" w:hAnsi="Baskerville Old Face"/>
          <w:i/>
          <w:iCs/>
        </w:rPr>
        <w:br/>
        <w:t>• constitutional;</w:t>
      </w:r>
      <w:r w:rsidRPr="00B479AE">
        <w:rPr>
          <w:rFonts w:ascii="Baskerville Old Face" w:hAnsi="Baskerville Old Face"/>
          <w:i/>
          <w:iCs/>
        </w:rPr>
        <w:br/>
        <w:t>• source-layer verified.</w:t>
      </w:r>
    </w:p>
    <w:p w14:paraId="5FE31441"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Semantic-drift indicators may include:</w:t>
      </w:r>
    </w:p>
    <w:p w14:paraId="258CDB61"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terms used without definition;</w:t>
      </w:r>
      <w:r w:rsidRPr="00B479AE">
        <w:rPr>
          <w:rFonts w:ascii="Baskerville Old Face" w:hAnsi="Baskerville Old Face"/>
          <w:i/>
          <w:iCs/>
        </w:rPr>
        <w:br/>
        <w:t>• financial meaning implied without legal structure;</w:t>
      </w:r>
      <w:r w:rsidRPr="00B479AE">
        <w:rPr>
          <w:rFonts w:ascii="Baskerville Old Face" w:hAnsi="Baskerville Old Face"/>
          <w:i/>
          <w:iCs/>
        </w:rPr>
        <w:br/>
        <w:t>• ecological claims without evidence status;</w:t>
      </w:r>
      <w:r w:rsidRPr="00B479AE">
        <w:rPr>
          <w:rFonts w:ascii="Baskerville Old Face" w:hAnsi="Baskerville Old Face"/>
          <w:i/>
          <w:iCs/>
        </w:rPr>
        <w:br/>
        <w:t>• token claims without boundary;</w:t>
      </w:r>
      <w:r w:rsidRPr="00B479AE">
        <w:rPr>
          <w:rFonts w:ascii="Baskerville Old Face" w:hAnsi="Baskerville Old Face"/>
          <w:i/>
          <w:iCs/>
        </w:rPr>
        <w:br/>
        <w:t>• AI-generated claims without review;</w:t>
      </w:r>
      <w:r w:rsidRPr="00B479AE">
        <w:rPr>
          <w:rFonts w:ascii="Baskerville Old Face" w:hAnsi="Baskerville Old Face"/>
          <w:i/>
          <w:iCs/>
        </w:rPr>
        <w:br/>
        <w:t>• partner claims exceeding authorization;</w:t>
      </w:r>
      <w:r w:rsidRPr="00B479AE">
        <w:rPr>
          <w:rFonts w:ascii="Baskerville Old Face" w:hAnsi="Baskerville Old Face"/>
          <w:i/>
          <w:iCs/>
        </w:rPr>
        <w:br/>
        <w:t>• old appendix language reappearing in public materials.</w:t>
      </w:r>
    </w:p>
    <w:p w14:paraId="27C8E2F2"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 response is semantic correction.</w:t>
      </w:r>
    </w:p>
    <w:p w14:paraId="60B7150F"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Prometheus protects trust by protecting language.</w:t>
      </w:r>
    </w:p>
    <w:p w14:paraId="6AAFD4A9" w14:textId="46A763A0" w:rsidR="00404936" w:rsidRPr="00B479AE" w:rsidRDefault="00404936" w:rsidP="00404936">
      <w:pPr>
        <w:spacing w:line="360" w:lineRule="auto"/>
        <w:rPr>
          <w:rFonts w:ascii="Baskerville Old Face" w:hAnsi="Baskerville Old Face"/>
          <w:i/>
          <w:iCs/>
        </w:rPr>
      </w:pPr>
    </w:p>
    <w:p w14:paraId="767E4D07" w14:textId="77777777" w:rsidR="00404936" w:rsidRPr="00B479AE" w:rsidRDefault="00404936" w:rsidP="00404936">
      <w:pPr>
        <w:spacing w:line="360" w:lineRule="auto"/>
        <w:rPr>
          <w:rFonts w:ascii="Baskerville Old Face" w:hAnsi="Baskerville Old Face"/>
          <w:b/>
          <w:bCs/>
          <w:i/>
          <w:iCs/>
        </w:rPr>
      </w:pPr>
      <w:r w:rsidRPr="00B479AE">
        <w:rPr>
          <w:rFonts w:ascii="Baskerville Old Face" w:hAnsi="Baskerville Old Face"/>
          <w:b/>
          <w:bCs/>
          <w:i/>
          <w:iCs/>
        </w:rPr>
        <w:lastRenderedPageBreak/>
        <w:t>C.12 HSI exclusion from financial risk enforcement</w:t>
      </w:r>
    </w:p>
    <w:p w14:paraId="665E0C7D"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HSI and human-state data must not be used as financial enforcement metrics.</w:t>
      </w:r>
    </w:p>
    <w:p w14:paraId="4111F67F"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should not use:</w:t>
      </w:r>
    </w:p>
    <w:p w14:paraId="692A2CDE"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HRV coherence;</w:t>
      </w:r>
      <w:r w:rsidRPr="00B479AE">
        <w:rPr>
          <w:rFonts w:ascii="Baskerville Old Face" w:hAnsi="Baskerville Old Face"/>
          <w:i/>
          <w:iCs/>
        </w:rPr>
        <w:br/>
        <w:t>• stress indicators;</w:t>
      </w:r>
      <w:r w:rsidRPr="00B479AE">
        <w:rPr>
          <w:rFonts w:ascii="Baskerville Old Face" w:hAnsi="Baskerville Old Face"/>
          <w:i/>
          <w:iCs/>
        </w:rPr>
        <w:br/>
        <w:t>• biometric state;</w:t>
      </w:r>
      <w:r w:rsidRPr="00B479AE">
        <w:rPr>
          <w:rFonts w:ascii="Baskerville Old Face" w:hAnsi="Baskerville Old Face"/>
          <w:i/>
          <w:iCs/>
        </w:rPr>
        <w:br/>
        <w:t>• emotional state;</w:t>
      </w:r>
      <w:r w:rsidRPr="00B479AE">
        <w:rPr>
          <w:rFonts w:ascii="Baskerville Old Face" w:hAnsi="Baskerville Old Face"/>
          <w:i/>
          <w:iCs/>
        </w:rPr>
        <w:br/>
        <w:t>• fatigue data;</w:t>
      </w:r>
      <w:r w:rsidRPr="00B479AE">
        <w:rPr>
          <w:rFonts w:ascii="Baskerville Old Face" w:hAnsi="Baskerville Old Face"/>
          <w:i/>
          <w:iCs/>
        </w:rPr>
        <w:br/>
        <w:t>• attention data;</w:t>
      </w:r>
      <w:r w:rsidRPr="00B479AE">
        <w:rPr>
          <w:rFonts w:ascii="Baskerville Old Face" w:hAnsi="Baskerville Old Face"/>
          <w:i/>
          <w:iCs/>
        </w:rPr>
        <w:br/>
        <w:t>• physiological data;</w:t>
      </w:r>
      <w:r w:rsidRPr="00B479AE">
        <w:rPr>
          <w:rFonts w:ascii="Baskerville Old Face" w:hAnsi="Baskerville Old Face"/>
          <w:i/>
          <w:iCs/>
        </w:rPr>
        <w:br/>
        <w:t>• meditation or coherence practice participation;</w:t>
      </w:r>
    </w:p>
    <w:p w14:paraId="12082C79"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as automatic inputs for:</w:t>
      </w:r>
    </w:p>
    <w:p w14:paraId="5E9EE00B" w14:textId="1DA15D2A"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credit eligibility;</w:t>
      </w:r>
      <w:r w:rsidRPr="00B479AE">
        <w:rPr>
          <w:rFonts w:ascii="Baskerville Old Face" w:hAnsi="Baskerville Old Face"/>
          <w:i/>
          <w:iCs/>
        </w:rPr>
        <w:br/>
        <w:t>• repayment terms;</w:t>
      </w:r>
      <w:r w:rsidRPr="00B479AE">
        <w:rPr>
          <w:rFonts w:ascii="Baskerville Old Face" w:hAnsi="Baskerville Old Face"/>
          <w:i/>
          <w:iCs/>
        </w:rPr>
        <w:br/>
        <w:t xml:space="preserve">• investor </w:t>
      </w:r>
      <w:r w:rsidR="00BD7A8A" w:rsidRPr="00B479AE">
        <w:rPr>
          <w:rFonts w:ascii="Baskerville Old Face" w:hAnsi="Baskerville Old Face"/>
          <w:i/>
          <w:iCs/>
        </w:rPr>
        <w:t>risk assessment</w:t>
      </w:r>
      <w:r w:rsidRPr="00B479AE">
        <w:rPr>
          <w:rFonts w:ascii="Baskerville Old Face" w:hAnsi="Baskerville Old Face"/>
          <w:i/>
          <w:iCs/>
        </w:rPr>
        <w:t>;</w:t>
      </w:r>
      <w:r w:rsidRPr="00B479AE">
        <w:rPr>
          <w:rFonts w:ascii="Baskerville Old Face" w:hAnsi="Baskerville Old Face"/>
          <w:i/>
          <w:iCs/>
        </w:rPr>
        <w:br/>
        <w:t>• token consequences;</w:t>
      </w:r>
      <w:r w:rsidRPr="00B479AE">
        <w:rPr>
          <w:rFonts w:ascii="Baskerville Old Face" w:hAnsi="Baskerville Old Face"/>
          <w:i/>
          <w:iCs/>
        </w:rPr>
        <w:br/>
        <w:t>• governance rank;</w:t>
      </w:r>
      <w:r w:rsidRPr="00B479AE">
        <w:rPr>
          <w:rFonts w:ascii="Baskerville Old Face" w:hAnsi="Baskerville Old Face"/>
          <w:i/>
          <w:iCs/>
        </w:rPr>
        <w:br/>
        <w:t>• MRV validity;</w:t>
      </w:r>
      <w:r w:rsidRPr="00B479AE">
        <w:rPr>
          <w:rFonts w:ascii="Baskerville Old Face" w:hAnsi="Baskerville Old Face"/>
          <w:i/>
          <w:iCs/>
        </w:rPr>
        <w:br/>
        <w:t>• PRU value;</w:t>
      </w:r>
      <w:r w:rsidRPr="00B479AE">
        <w:rPr>
          <w:rFonts w:ascii="Baskerville Old Face" w:hAnsi="Baskerville Old Face"/>
          <w:i/>
          <w:iCs/>
        </w:rPr>
        <w:br/>
        <w:t>• human trustworthiness.</w:t>
      </w:r>
    </w:p>
    <w:p w14:paraId="1005E7C8"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HSI may support voluntary self-awareness, stewardship training, governance reflection, research, and aggregated learning under consent and privacy rules.</w:t>
      </w:r>
    </w:p>
    <w:p w14:paraId="4D9998B4"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It should not become a financial brake, reputation score, or enforcement trigger.</w:t>
      </w:r>
    </w:p>
    <w:p w14:paraId="1884224F"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 Ravel boundary is clear:</w:t>
      </w:r>
    </w:p>
    <w:p w14:paraId="20250046"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financial risk analysis may consider operational, legal, ecological, evidentiary, and cash-flow variables;</w:t>
      </w:r>
      <w:r w:rsidRPr="00B479AE">
        <w:rPr>
          <w:rFonts w:ascii="Baskerville Old Face" w:hAnsi="Baskerville Old Face"/>
          <w:i/>
          <w:iCs/>
        </w:rPr>
        <w:br/>
        <w:t>human-state data remains dignity-protected and non-coercive.</w:t>
      </w:r>
    </w:p>
    <w:p w14:paraId="76F90A34" w14:textId="77777777" w:rsidR="00404936" w:rsidRPr="00B479AE" w:rsidRDefault="00404936" w:rsidP="00404936">
      <w:pPr>
        <w:spacing w:line="360" w:lineRule="auto"/>
        <w:rPr>
          <w:rFonts w:ascii="Baskerville Old Face" w:hAnsi="Baskerville Old Face"/>
          <w:b/>
          <w:bCs/>
          <w:i/>
          <w:iCs/>
        </w:rPr>
      </w:pPr>
      <w:r w:rsidRPr="00B479AE">
        <w:rPr>
          <w:rFonts w:ascii="Baskerville Old Face" w:hAnsi="Baskerville Old Face"/>
          <w:b/>
          <w:bCs/>
          <w:i/>
          <w:iCs/>
        </w:rPr>
        <w:t>C.13 Ravel dashboard design</w:t>
      </w:r>
    </w:p>
    <w:p w14:paraId="4B095484"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A Ravel dashboard may present:</w:t>
      </w:r>
    </w:p>
    <w:p w14:paraId="3FFC2DE2"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lastRenderedPageBreak/>
        <w:t>• risk domains;</w:t>
      </w:r>
      <w:r w:rsidRPr="00B479AE">
        <w:rPr>
          <w:rFonts w:ascii="Baskerville Old Face" w:hAnsi="Baskerville Old Face"/>
          <w:i/>
          <w:iCs/>
        </w:rPr>
        <w:br/>
        <w:t>• trend indicators;</w:t>
      </w:r>
      <w:r w:rsidRPr="00B479AE">
        <w:rPr>
          <w:rFonts w:ascii="Baskerville Old Face" w:hAnsi="Baskerville Old Face"/>
          <w:i/>
          <w:iCs/>
        </w:rPr>
        <w:br/>
        <w:t>• evidence gaps;</w:t>
      </w:r>
      <w:r w:rsidRPr="00B479AE">
        <w:rPr>
          <w:rFonts w:ascii="Baskerville Old Face" w:hAnsi="Baskerville Old Face"/>
          <w:i/>
          <w:iCs/>
        </w:rPr>
        <w:br/>
        <w:t>• confidence scores;</w:t>
      </w:r>
      <w:r w:rsidRPr="00B479AE">
        <w:rPr>
          <w:rFonts w:ascii="Baskerville Old Face" w:hAnsi="Baskerville Old Face"/>
          <w:i/>
          <w:iCs/>
        </w:rPr>
        <w:br/>
        <w:t>• claim intensity;</w:t>
      </w:r>
      <w:r w:rsidRPr="00B479AE">
        <w:rPr>
          <w:rFonts w:ascii="Baskerville Old Face" w:hAnsi="Baskerville Old Face"/>
          <w:i/>
          <w:iCs/>
        </w:rPr>
        <w:br/>
        <w:t>• governance-load signals;</w:t>
      </w:r>
      <w:r w:rsidRPr="00B479AE">
        <w:rPr>
          <w:rFonts w:ascii="Baskerville Old Face" w:hAnsi="Baskerville Old Face"/>
          <w:i/>
          <w:iCs/>
        </w:rPr>
        <w:br/>
        <w:t>• capital-pressure signals;</w:t>
      </w:r>
      <w:r w:rsidRPr="00B479AE">
        <w:rPr>
          <w:rFonts w:ascii="Baskerville Old Face" w:hAnsi="Baskerville Old Face"/>
          <w:i/>
          <w:iCs/>
        </w:rPr>
        <w:br/>
        <w:t>• legal-readiness status;</w:t>
      </w:r>
      <w:r w:rsidRPr="00B479AE">
        <w:rPr>
          <w:rFonts w:ascii="Baskerville Old Face" w:hAnsi="Baskerville Old Face"/>
          <w:i/>
          <w:iCs/>
        </w:rPr>
        <w:br/>
        <w:t>• continuity-readiness status;</w:t>
      </w:r>
      <w:r w:rsidRPr="00B479AE">
        <w:rPr>
          <w:rFonts w:ascii="Baskerville Old Face" w:hAnsi="Baskerville Old Face"/>
          <w:i/>
          <w:iCs/>
        </w:rPr>
        <w:br/>
        <w:t>• semantic-drift flags;</w:t>
      </w:r>
      <w:r w:rsidRPr="00B479AE">
        <w:rPr>
          <w:rFonts w:ascii="Baskerville Old Face" w:hAnsi="Baskerville Old Face"/>
          <w:i/>
          <w:iCs/>
        </w:rPr>
        <w:br/>
        <w:t>• recommended review pathways.</w:t>
      </w:r>
    </w:p>
    <w:p w14:paraId="48792073"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 dashboard should label outputs as:</w:t>
      </w:r>
    </w:p>
    <w:p w14:paraId="69DEC473"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signal;</w:t>
      </w:r>
      <w:r w:rsidRPr="00B479AE">
        <w:rPr>
          <w:rFonts w:ascii="Baskerville Old Face" w:hAnsi="Baskerville Old Face"/>
          <w:i/>
          <w:iCs/>
        </w:rPr>
        <w:br/>
        <w:t>• draft;</w:t>
      </w:r>
      <w:r w:rsidRPr="00B479AE">
        <w:rPr>
          <w:rFonts w:ascii="Baskerville Old Face" w:hAnsi="Baskerville Old Face"/>
          <w:i/>
          <w:iCs/>
        </w:rPr>
        <w:br/>
        <w:t>• preliminary;</w:t>
      </w:r>
      <w:r w:rsidRPr="00B479AE">
        <w:rPr>
          <w:rFonts w:ascii="Baskerville Old Face" w:hAnsi="Baskerville Old Face"/>
          <w:i/>
          <w:iCs/>
        </w:rPr>
        <w:br/>
        <w:t>• review-required;</w:t>
      </w:r>
      <w:r w:rsidRPr="00B479AE">
        <w:rPr>
          <w:rFonts w:ascii="Baskerville Old Face" w:hAnsi="Baskerville Old Face"/>
          <w:i/>
          <w:iCs/>
        </w:rPr>
        <w:br/>
        <w:t>• scenario;</w:t>
      </w:r>
      <w:r w:rsidRPr="00B479AE">
        <w:rPr>
          <w:rFonts w:ascii="Baskerville Old Face" w:hAnsi="Baskerville Old Face"/>
          <w:i/>
          <w:iCs/>
        </w:rPr>
        <w:br/>
        <w:t>• stress test;</w:t>
      </w:r>
      <w:r w:rsidRPr="00B479AE">
        <w:rPr>
          <w:rFonts w:ascii="Baskerville Old Face" w:hAnsi="Baskerville Old Face"/>
          <w:i/>
          <w:iCs/>
        </w:rPr>
        <w:br/>
        <w:t>• non-admissible;</w:t>
      </w:r>
      <w:r w:rsidRPr="00B479AE">
        <w:rPr>
          <w:rFonts w:ascii="Baskerville Old Face" w:hAnsi="Baskerville Old Face"/>
          <w:i/>
          <w:iCs/>
        </w:rPr>
        <w:br/>
        <w:t>• approved after review.</w:t>
      </w:r>
    </w:p>
    <w:p w14:paraId="22236677"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 dashboard should not present risk scores as final institutional judgment.</w:t>
      </w:r>
    </w:p>
    <w:p w14:paraId="431EB248"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 dashboard interface should clearly state:</w:t>
      </w:r>
    </w:p>
    <w:p w14:paraId="0BAA3FD6"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signals support review.</w:t>
      </w:r>
      <w:r w:rsidRPr="00B479AE">
        <w:rPr>
          <w:rFonts w:ascii="Baskerville Old Face" w:hAnsi="Baskerville Old Face"/>
          <w:i/>
          <w:iCs/>
        </w:rPr>
        <w:br/>
        <w:t>They do not determine legal, financial, governance, or constitutional consequences by themselves.</w:t>
      </w:r>
    </w:p>
    <w:p w14:paraId="1D5FB9C1"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That sentence should be visible enough that even a dashboard with venture-capital lighting cannot hypnotize the reader.</w:t>
      </w:r>
    </w:p>
    <w:p w14:paraId="6B45C341" w14:textId="77777777" w:rsidR="00404936" w:rsidRPr="00B479AE" w:rsidRDefault="00404936" w:rsidP="00404936">
      <w:pPr>
        <w:spacing w:line="360" w:lineRule="auto"/>
        <w:rPr>
          <w:rFonts w:ascii="Baskerville Old Face" w:hAnsi="Baskerville Old Face"/>
          <w:b/>
          <w:bCs/>
          <w:i/>
          <w:iCs/>
        </w:rPr>
      </w:pPr>
      <w:r w:rsidRPr="00B479AE">
        <w:rPr>
          <w:rFonts w:ascii="Baskerville Old Face" w:hAnsi="Baskerville Old Face"/>
          <w:b/>
          <w:bCs/>
          <w:i/>
          <w:iCs/>
        </w:rPr>
        <w:t>C.14 Ravel and PRU/RAP</w:t>
      </w:r>
    </w:p>
    <w:p w14:paraId="6E609437"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may support PRU and RAP review by identifying:</w:t>
      </w:r>
    </w:p>
    <w:p w14:paraId="0A22E8B6"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lastRenderedPageBreak/>
        <w:t>• evidence gaps;</w:t>
      </w:r>
      <w:r w:rsidRPr="00B479AE">
        <w:rPr>
          <w:rFonts w:ascii="Baskerville Old Face" w:hAnsi="Baskerville Old Face"/>
          <w:i/>
          <w:iCs/>
        </w:rPr>
        <w:br/>
        <w:t>• confidence weaknesses;</w:t>
      </w:r>
      <w:r w:rsidRPr="00B479AE">
        <w:rPr>
          <w:rFonts w:ascii="Baskerville Old Face" w:hAnsi="Baskerville Old Face"/>
          <w:i/>
          <w:iCs/>
        </w:rPr>
        <w:br/>
        <w:t>• overclaiming;</w:t>
      </w:r>
      <w:r w:rsidRPr="00B479AE">
        <w:rPr>
          <w:rFonts w:ascii="Baskerville Old Face" w:hAnsi="Baskerville Old Face"/>
          <w:i/>
          <w:iCs/>
        </w:rPr>
        <w:br/>
        <w:t>• portfolio concentration;</w:t>
      </w:r>
      <w:r w:rsidRPr="00B479AE">
        <w:rPr>
          <w:rFonts w:ascii="Baskerville Old Face" w:hAnsi="Baskerville Old Face"/>
          <w:i/>
          <w:iCs/>
        </w:rPr>
        <w:br/>
        <w:t>• revenue volatility;</w:t>
      </w:r>
      <w:r w:rsidRPr="00B479AE">
        <w:rPr>
          <w:rFonts w:ascii="Baskerville Old Face" w:hAnsi="Baskerville Old Face"/>
          <w:i/>
          <w:iCs/>
        </w:rPr>
        <w:br/>
        <w:t>• ecological underperformance;</w:t>
      </w:r>
      <w:r w:rsidRPr="00B479AE">
        <w:rPr>
          <w:rFonts w:ascii="Baskerville Old Face" w:hAnsi="Baskerville Old Face"/>
          <w:i/>
          <w:iCs/>
        </w:rPr>
        <w:br/>
        <w:t>• methodology inconsistency;</w:t>
      </w:r>
      <w:r w:rsidRPr="00B479AE">
        <w:rPr>
          <w:rFonts w:ascii="Baskerville Old Face" w:hAnsi="Baskerville Old Face"/>
          <w:i/>
          <w:iCs/>
        </w:rPr>
        <w:br/>
        <w:t>• governance immaturity;</w:t>
      </w:r>
      <w:r w:rsidRPr="00B479AE">
        <w:rPr>
          <w:rFonts w:ascii="Baskerville Old Face" w:hAnsi="Baskerville Old Face"/>
          <w:i/>
          <w:iCs/>
        </w:rPr>
        <w:br/>
        <w:t>• legal incompleteness;</w:t>
      </w:r>
      <w:r w:rsidRPr="00B479AE">
        <w:rPr>
          <w:rFonts w:ascii="Baskerville Old Face" w:hAnsi="Baskerville Old Face"/>
          <w:i/>
          <w:iCs/>
        </w:rPr>
        <w:br/>
        <w:t>• token-boundary risk;</w:t>
      </w:r>
      <w:r w:rsidRPr="00B479AE">
        <w:rPr>
          <w:rFonts w:ascii="Baskerville Old Face" w:hAnsi="Baskerville Old Face"/>
          <w:i/>
          <w:iCs/>
        </w:rPr>
        <w:br/>
        <w:t>• continuity risk.</w:t>
      </w:r>
    </w:p>
    <w:p w14:paraId="784642CA"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may not:</w:t>
      </w:r>
    </w:p>
    <w:p w14:paraId="3A7D33D2"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issue PRUs;</w:t>
      </w:r>
      <w:r w:rsidRPr="00B479AE">
        <w:rPr>
          <w:rFonts w:ascii="Baskerville Old Face" w:hAnsi="Baskerville Old Face"/>
          <w:i/>
          <w:iCs/>
        </w:rPr>
        <w:br/>
        <w:t>• assign final PRU value;</w:t>
      </w:r>
      <w:r w:rsidRPr="00B479AE">
        <w:rPr>
          <w:rFonts w:ascii="Baskerville Old Face" w:hAnsi="Baskerville Old Face"/>
          <w:i/>
          <w:iCs/>
        </w:rPr>
        <w:br/>
        <w:t>• admit assets into RAP;</w:t>
      </w:r>
      <w:r w:rsidRPr="00B479AE">
        <w:rPr>
          <w:rFonts w:ascii="Baskerville Old Face" w:hAnsi="Baskerville Old Face"/>
          <w:i/>
          <w:iCs/>
        </w:rPr>
        <w:br/>
        <w:t>• create investor exposure;</w:t>
      </w:r>
      <w:r w:rsidRPr="00B479AE">
        <w:rPr>
          <w:rFonts w:ascii="Baskerville Old Face" w:hAnsi="Baskerville Old Face"/>
          <w:i/>
          <w:iCs/>
        </w:rPr>
        <w:br/>
        <w:t>• certify legal readiness;</w:t>
      </w:r>
      <w:r w:rsidRPr="00B479AE">
        <w:rPr>
          <w:rFonts w:ascii="Baskerville Old Face" w:hAnsi="Baskerville Old Face"/>
          <w:i/>
          <w:iCs/>
        </w:rPr>
        <w:br/>
        <w:t>• override MRV methodology;</w:t>
      </w:r>
      <w:r w:rsidRPr="00B479AE">
        <w:rPr>
          <w:rFonts w:ascii="Baskerville Old Face" w:hAnsi="Baskerville Old Face"/>
          <w:i/>
          <w:iCs/>
        </w:rPr>
        <w:br/>
        <w:t>• replace portfolio governance.</w:t>
      </w:r>
    </w:p>
    <w:p w14:paraId="7039E39E"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is a diagnostic layer.</w:t>
      </w:r>
    </w:p>
    <w:p w14:paraId="77DE068D"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PRU and RAP decisions require the appropriate MRV, legal, governance, and institutional review.</w:t>
      </w:r>
    </w:p>
    <w:p w14:paraId="08E4DD74" w14:textId="77777777" w:rsidR="00404936" w:rsidRPr="00B479AE" w:rsidRDefault="00404936" w:rsidP="00404936">
      <w:pPr>
        <w:spacing w:line="360" w:lineRule="auto"/>
        <w:rPr>
          <w:rFonts w:ascii="Baskerville Old Face" w:hAnsi="Baskerville Old Face"/>
          <w:b/>
          <w:bCs/>
          <w:i/>
          <w:iCs/>
        </w:rPr>
      </w:pPr>
      <w:r w:rsidRPr="00B479AE">
        <w:rPr>
          <w:rFonts w:ascii="Baskerville Old Face" w:hAnsi="Baskerville Old Face"/>
          <w:b/>
          <w:bCs/>
          <w:i/>
          <w:iCs/>
        </w:rPr>
        <w:t>C.15 Stress testing</w:t>
      </w:r>
    </w:p>
    <w:p w14:paraId="4F1054F3"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may support stress testing.</w:t>
      </w:r>
    </w:p>
    <w:p w14:paraId="4097D5C1"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Stress tests may include:</w:t>
      </w:r>
    </w:p>
    <w:p w14:paraId="1BF02109"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drought scenario;</w:t>
      </w:r>
      <w:r w:rsidRPr="00B479AE">
        <w:rPr>
          <w:rFonts w:ascii="Baskerville Old Face" w:hAnsi="Baskerville Old Face"/>
          <w:i/>
          <w:iCs/>
        </w:rPr>
        <w:br/>
        <w:t>• flood scenario;</w:t>
      </w:r>
      <w:r w:rsidRPr="00B479AE">
        <w:rPr>
          <w:rFonts w:ascii="Baskerville Old Face" w:hAnsi="Baskerville Old Face"/>
          <w:i/>
          <w:iCs/>
        </w:rPr>
        <w:br/>
        <w:t>• yield reduction scenario;</w:t>
      </w:r>
      <w:r w:rsidRPr="00B479AE">
        <w:rPr>
          <w:rFonts w:ascii="Baskerville Old Face" w:hAnsi="Baskerville Old Face"/>
          <w:i/>
          <w:iCs/>
        </w:rPr>
        <w:br/>
        <w:t>• pest or disease scenario;</w:t>
      </w:r>
      <w:r w:rsidRPr="00B479AE">
        <w:rPr>
          <w:rFonts w:ascii="Baskerville Old Face" w:hAnsi="Baskerville Old Face"/>
          <w:i/>
          <w:iCs/>
        </w:rPr>
        <w:br/>
        <w:t>• tourism or revenue downturn scenario;</w:t>
      </w:r>
      <w:r w:rsidRPr="00B479AE">
        <w:rPr>
          <w:rFonts w:ascii="Baskerville Old Face" w:hAnsi="Baskerville Old Face"/>
          <w:i/>
          <w:iCs/>
        </w:rPr>
        <w:br/>
      </w:r>
      <w:r w:rsidRPr="00B479AE">
        <w:rPr>
          <w:rFonts w:ascii="Baskerville Old Face" w:hAnsi="Baskerville Old Face"/>
          <w:i/>
          <w:iCs/>
        </w:rPr>
        <w:lastRenderedPageBreak/>
        <w:t>• cost overrun scenario;</w:t>
      </w:r>
      <w:r w:rsidRPr="00B479AE">
        <w:rPr>
          <w:rFonts w:ascii="Baskerville Old Face" w:hAnsi="Baskerville Old Face"/>
          <w:i/>
          <w:iCs/>
        </w:rPr>
        <w:br/>
        <w:t>• debt-service stress scenario;</w:t>
      </w:r>
      <w:r w:rsidRPr="00B479AE">
        <w:rPr>
          <w:rFonts w:ascii="Baskerville Old Face" w:hAnsi="Baskerville Old Face"/>
          <w:i/>
          <w:iCs/>
        </w:rPr>
        <w:br/>
        <w:t>• MRV failure scenario;</w:t>
      </w:r>
      <w:r w:rsidRPr="00B479AE">
        <w:rPr>
          <w:rFonts w:ascii="Baskerville Old Face" w:hAnsi="Baskerville Old Face"/>
          <w:i/>
          <w:iCs/>
        </w:rPr>
        <w:br/>
        <w:t>• governance-capture scenario;</w:t>
      </w:r>
      <w:r w:rsidRPr="00B479AE">
        <w:rPr>
          <w:rFonts w:ascii="Baskerville Old Face" w:hAnsi="Baskerville Old Face"/>
          <w:i/>
          <w:iCs/>
        </w:rPr>
        <w:br/>
        <w:t>• token-market volatility scenario;</w:t>
      </w:r>
      <w:r w:rsidRPr="00B479AE">
        <w:rPr>
          <w:rFonts w:ascii="Baskerville Old Face" w:hAnsi="Baskerville Old Face"/>
          <w:i/>
          <w:iCs/>
        </w:rPr>
        <w:br/>
        <w:t>• legal-delay scenario;</w:t>
      </w:r>
      <w:r w:rsidRPr="00B479AE">
        <w:rPr>
          <w:rFonts w:ascii="Baskerville Old Face" w:hAnsi="Baskerville Old Face"/>
          <w:i/>
          <w:iCs/>
        </w:rPr>
        <w:br/>
        <w:t>• public-claim correction scenario;</w:t>
      </w:r>
      <w:r w:rsidRPr="00B479AE">
        <w:rPr>
          <w:rFonts w:ascii="Baskerville Old Face" w:hAnsi="Baskerville Old Face"/>
          <w:i/>
          <w:iCs/>
        </w:rPr>
        <w:br/>
        <w:t>• cyber or data compromise scenario;</w:t>
      </w:r>
      <w:r w:rsidRPr="00B479AE">
        <w:rPr>
          <w:rFonts w:ascii="Baskerville Old Face" w:hAnsi="Baskerville Old Face"/>
          <w:i/>
          <w:iCs/>
        </w:rPr>
        <w:br/>
        <w:t>• network-disruption scenario;</w:t>
      </w:r>
      <w:r w:rsidRPr="00B479AE">
        <w:rPr>
          <w:rFonts w:ascii="Baskerville Old Face" w:hAnsi="Baskerville Old Face"/>
          <w:i/>
          <w:iCs/>
        </w:rPr>
        <w:br/>
        <w:t>• ASI synthetic-evidence scenario;</w:t>
      </w:r>
      <w:r w:rsidRPr="00B479AE">
        <w:rPr>
          <w:rFonts w:ascii="Baskerville Old Face" w:hAnsi="Baskerville Old Face"/>
          <w:i/>
          <w:iCs/>
        </w:rPr>
        <w:br/>
        <w:t>• continuity archive failure scenario.</w:t>
      </w:r>
    </w:p>
    <w:p w14:paraId="66301A87"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Each stress test should identify:</w:t>
      </w:r>
    </w:p>
    <w:p w14:paraId="5E769917"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assumptions;</w:t>
      </w:r>
      <w:r w:rsidRPr="00B479AE">
        <w:rPr>
          <w:rFonts w:ascii="Baskerville Old Face" w:hAnsi="Baskerville Old Face"/>
          <w:i/>
          <w:iCs/>
        </w:rPr>
        <w:br/>
        <w:t>• affected variables;</w:t>
      </w:r>
      <w:r w:rsidRPr="00B479AE">
        <w:rPr>
          <w:rFonts w:ascii="Baskerville Old Face" w:hAnsi="Baskerville Old Face"/>
          <w:i/>
          <w:iCs/>
        </w:rPr>
        <w:br/>
        <w:t>• sensitivity;</w:t>
      </w:r>
      <w:r w:rsidRPr="00B479AE">
        <w:rPr>
          <w:rFonts w:ascii="Baskerville Old Face" w:hAnsi="Baskerville Old Face"/>
          <w:i/>
          <w:iCs/>
        </w:rPr>
        <w:br/>
        <w:t>• confidence;</w:t>
      </w:r>
      <w:r w:rsidRPr="00B479AE">
        <w:rPr>
          <w:rFonts w:ascii="Baskerville Old Face" w:hAnsi="Baskerville Old Face"/>
          <w:i/>
          <w:iCs/>
        </w:rPr>
        <w:br/>
        <w:t>• mitigation options;</w:t>
      </w:r>
      <w:r w:rsidRPr="00B479AE">
        <w:rPr>
          <w:rFonts w:ascii="Baskerville Old Face" w:hAnsi="Baskerville Old Face"/>
          <w:i/>
          <w:iCs/>
        </w:rPr>
        <w:br/>
        <w:t>• governance response;</w:t>
      </w:r>
      <w:r w:rsidRPr="00B479AE">
        <w:rPr>
          <w:rFonts w:ascii="Baskerville Old Face" w:hAnsi="Baskerville Old Face"/>
          <w:i/>
          <w:iCs/>
        </w:rPr>
        <w:br/>
        <w:t>• reporting boundary.</w:t>
      </w:r>
    </w:p>
    <w:p w14:paraId="06DBDE5A"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Stress testing helps Prometheus learn before reality becomes expensive.</w:t>
      </w:r>
    </w:p>
    <w:p w14:paraId="2D948F4A" w14:textId="77777777" w:rsidR="00404936" w:rsidRPr="00B479AE" w:rsidRDefault="00404936" w:rsidP="00404936">
      <w:pPr>
        <w:spacing w:line="360" w:lineRule="auto"/>
        <w:rPr>
          <w:rFonts w:ascii="Baskerville Old Face" w:hAnsi="Baskerville Old Face"/>
          <w:b/>
          <w:bCs/>
          <w:i/>
          <w:iCs/>
        </w:rPr>
      </w:pPr>
      <w:r w:rsidRPr="00B479AE">
        <w:rPr>
          <w:rFonts w:ascii="Baskerville Old Face" w:hAnsi="Baskerville Old Face"/>
          <w:b/>
          <w:bCs/>
          <w:i/>
          <w:iCs/>
        </w:rPr>
        <w:t>C.16 Ravel workflow</w:t>
      </w:r>
    </w:p>
    <w:p w14:paraId="3749C9DF"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A Ravel workflow may follow this sequence:</w:t>
      </w:r>
    </w:p>
    <w:p w14:paraId="24D24E80" w14:textId="77777777" w:rsidR="00404936" w:rsidRPr="00B479AE" w:rsidRDefault="00404936">
      <w:pPr>
        <w:numPr>
          <w:ilvl w:val="0"/>
          <w:numId w:val="20"/>
        </w:numPr>
        <w:spacing w:line="360" w:lineRule="auto"/>
        <w:rPr>
          <w:rFonts w:ascii="Baskerville Old Face" w:hAnsi="Baskerville Old Face"/>
          <w:i/>
          <w:iCs/>
        </w:rPr>
      </w:pPr>
      <w:r w:rsidRPr="00B479AE">
        <w:rPr>
          <w:rFonts w:ascii="Baskerville Old Face" w:hAnsi="Baskerville Old Face"/>
          <w:b/>
          <w:bCs/>
          <w:i/>
          <w:iCs/>
        </w:rPr>
        <w:t>Data intake</w:t>
      </w:r>
      <w:r w:rsidRPr="00B479AE">
        <w:rPr>
          <w:rFonts w:ascii="Baskerville Old Face" w:hAnsi="Baskerville Old Face"/>
          <w:i/>
          <w:iCs/>
        </w:rPr>
        <w:br/>
        <w:t>Relevant ecological, financial, governance, legal, operational, and continuity data is collected.</w:t>
      </w:r>
    </w:p>
    <w:p w14:paraId="331A39DA" w14:textId="77777777" w:rsidR="00404936" w:rsidRPr="00B479AE" w:rsidRDefault="00404936">
      <w:pPr>
        <w:numPr>
          <w:ilvl w:val="0"/>
          <w:numId w:val="20"/>
        </w:numPr>
        <w:spacing w:line="360" w:lineRule="auto"/>
        <w:rPr>
          <w:rFonts w:ascii="Baskerville Old Face" w:hAnsi="Baskerville Old Face"/>
          <w:i/>
          <w:iCs/>
        </w:rPr>
      </w:pPr>
      <w:r w:rsidRPr="00B479AE">
        <w:rPr>
          <w:rFonts w:ascii="Baskerville Old Face" w:hAnsi="Baskerville Old Face"/>
          <w:b/>
          <w:bCs/>
          <w:i/>
          <w:iCs/>
        </w:rPr>
        <w:t>Evidence classification</w:t>
      </w:r>
      <w:r w:rsidRPr="00B479AE">
        <w:rPr>
          <w:rFonts w:ascii="Baskerville Old Face" w:hAnsi="Baskerville Old Face"/>
          <w:i/>
          <w:iCs/>
        </w:rPr>
        <w:br/>
        <w:t>Data is classified by maturity, provenance, confidence, and admissibility.</w:t>
      </w:r>
    </w:p>
    <w:p w14:paraId="102A2043" w14:textId="77777777" w:rsidR="00404936" w:rsidRPr="00B479AE" w:rsidRDefault="00404936">
      <w:pPr>
        <w:numPr>
          <w:ilvl w:val="0"/>
          <w:numId w:val="20"/>
        </w:numPr>
        <w:spacing w:line="360" w:lineRule="auto"/>
        <w:rPr>
          <w:rFonts w:ascii="Baskerville Old Face" w:hAnsi="Baskerville Old Face"/>
          <w:i/>
          <w:iCs/>
        </w:rPr>
      </w:pPr>
      <w:r w:rsidRPr="00B479AE">
        <w:rPr>
          <w:rFonts w:ascii="Baskerville Old Face" w:hAnsi="Baskerville Old Face"/>
          <w:b/>
          <w:bCs/>
          <w:i/>
          <w:iCs/>
        </w:rPr>
        <w:t>Risk-domain mapping</w:t>
      </w:r>
      <w:r w:rsidRPr="00B479AE">
        <w:rPr>
          <w:rFonts w:ascii="Baskerville Old Face" w:hAnsi="Baskerville Old Face"/>
          <w:i/>
          <w:iCs/>
        </w:rPr>
        <w:br/>
        <w:t>Signals are assigned to relevant risk domains.</w:t>
      </w:r>
    </w:p>
    <w:p w14:paraId="3B24696E" w14:textId="77777777" w:rsidR="00404936" w:rsidRPr="00B479AE" w:rsidRDefault="00404936">
      <w:pPr>
        <w:numPr>
          <w:ilvl w:val="0"/>
          <w:numId w:val="20"/>
        </w:numPr>
        <w:spacing w:line="360" w:lineRule="auto"/>
        <w:rPr>
          <w:rFonts w:ascii="Baskerville Old Face" w:hAnsi="Baskerville Old Face"/>
          <w:i/>
          <w:iCs/>
        </w:rPr>
      </w:pPr>
      <w:r w:rsidRPr="00B479AE">
        <w:rPr>
          <w:rFonts w:ascii="Baskerville Old Face" w:hAnsi="Baskerville Old Face"/>
          <w:b/>
          <w:bCs/>
          <w:i/>
          <w:iCs/>
        </w:rPr>
        <w:lastRenderedPageBreak/>
        <w:t>Scenario generation</w:t>
      </w:r>
      <w:r w:rsidRPr="00B479AE">
        <w:rPr>
          <w:rFonts w:ascii="Baskerville Old Face" w:hAnsi="Baskerville Old Face"/>
          <w:i/>
          <w:iCs/>
        </w:rPr>
        <w:br/>
        <w:t>Optional stress scenarios are generated.</w:t>
      </w:r>
    </w:p>
    <w:p w14:paraId="7EED788C" w14:textId="77777777" w:rsidR="00404936" w:rsidRPr="00B479AE" w:rsidRDefault="00404936">
      <w:pPr>
        <w:numPr>
          <w:ilvl w:val="0"/>
          <w:numId w:val="20"/>
        </w:numPr>
        <w:spacing w:line="360" w:lineRule="auto"/>
        <w:rPr>
          <w:rFonts w:ascii="Baskerville Old Face" w:hAnsi="Baskerville Old Face"/>
          <w:i/>
          <w:iCs/>
        </w:rPr>
      </w:pPr>
      <w:r w:rsidRPr="00B479AE">
        <w:rPr>
          <w:rFonts w:ascii="Baskerville Old Face" w:hAnsi="Baskerville Old Face"/>
          <w:b/>
          <w:bCs/>
          <w:i/>
          <w:iCs/>
        </w:rPr>
        <w:t>Signal classification</w:t>
      </w:r>
      <w:r w:rsidRPr="00B479AE">
        <w:rPr>
          <w:rFonts w:ascii="Baskerville Old Face" w:hAnsi="Baskerville Old Face"/>
          <w:i/>
          <w:iCs/>
        </w:rPr>
        <w:br/>
        <w:t>Signals are classified as stable, watch, review, protective pause, or constitutional escalation.</w:t>
      </w:r>
    </w:p>
    <w:p w14:paraId="7736A005" w14:textId="77777777" w:rsidR="00404936" w:rsidRPr="00B479AE" w:rsidRDefault="00404936">
      <w:pPr>
        <w:numPr>
          <w:ilvl w:val="0"/>
          <w:numId w:val="20"/>
        </w:numPr>
        <w:spacing w:line="360" w:lineRule="auto"/>
        <w:rPr>
          <w:rFonts w:ascii="Baskerville Old Face" w:hAnsi="Baskerville Old Face"/>
          <w:i/>
          <w:iCs/>
        </w:rPr>
      </w:pPr>
      <w:r w:rsidRPr="00B479AE">
        <w:rPr>
          <w:rFonts w:ascii="Baskerville Old Face" w:hAnsi="Baskerville Old Face"/>
          <w:b/>
          <w:bCs/>
          <w:i/>
          <w:iCs/>
        </w:rPr>
        <w:t>Review routing</w:t>
      </w:r>
      <w:r w:rsidRPr="00B479AE">
        <w:rPr>
          <w:rFonts w:ascii="Baskerville Old Face" w:hAnsi="Baskerville Old Face"/>
          <w:i/>
          <w:iCs/>
        </w:rPr>
        <w:br/>
        <w:t>Signals are routed to MRV, governance, legal, technical, continuity, or constitutional review as appropriate.</w:t>
      </w:r>
    </w:p>
    <w:p w14:paraId="05A5E81D" w14:textId="77777777" w:rsidR="00404936" w:rsidRPr="00B479AE" w:rsidRDefault="00404936">
      <w:pPr>
        <w:numPr>
          <w:ilvl w:val="0"/>
          <w:numId w:val="20"/>
        </w:numPr>
        <w:spacing w:line="360" w:lineRule="auto"/>
        <w:rPr>
          <w:rFonts w:ascii="Baskerville Old Face" w:hAnsi="Baskerville Old Face"/>
          <w:i/>
          <w:iCs/>
        </w:rPr>
      </w:pPr>
      <w:r w:rsidRPr="00B479AE">
        <w:rPr>
          <w:rFonts w:ascii="Baskerville Old Face" w:hAnsi="Baskerville Old Face"/>
          <w:b/>
          <w:bCs/>
          <w:i/>
          <w:iCs/>
        </w:rPr>
        <w:t>Decision record</w:t>
      </w:r>
      <w:r w:rsidRPr="00B479AE">
        <w:rPr>
          <w:rFonts w:ascii="Baskerville Old Face" w:hAnsi="Baskerville Old Face"/>
          <w:i/>
          <w:iCs/>
        </w:rPr>
        <w:br/>
        <w:t>Any decision made after review is recorded separately from the Ravel signal.</w:t>
      </w:r>
    </w:p>
    <w:p w14:paraId="48C66399" w14:textId="77777777" w:rsidR="00404936" w:rsidRPr="00B479AE" w:rsidRDefault="00404936">
      <w:pPr>
        <w:numPr>
          <w:ilvl w:val="0"/>
          <w:numId w:val="20"/>
        </w:numPr>
        <w:spacing w:line="360" w:lineRule="auto"/>
        <w:rPr>
          <w:rFonts w:ascii="Baskerville Old Face" w:hAnsi="Baskerville Old Face"/>
          <w:i/>
          <w:iCs/>
        </w:rPr>
      </w:pPr>
      <w:r w:rsidRPr="00B479AE">
        <w:rPr>
          <w:rFonts w:ascii="Baskerville Old Face" w:hAnsi="Baskerville Old Face"/>
          <w:b/>
          <w:bCs/>
          <w:i/>
          <w:iCs/>
        </w:rPr>
        <w:t>Feedback loop</w:t>
      </w:r>
      <w:r w:rsidRPr="00B479AE">
        <w:rPr>
          <w:rFonts w:ascii="Baskerville Old Face" w:hAnsi="Baskerville Old Face"/>
          <w:i/>
          <w:iCs/>
        </w:rPr>
        <w:br/>
        <w:t>Outcomes update the risk model, dashboard, and governance process.</w:t>
      </w:r>
    </w:p>
    <w:p w14:paraId="7DE7ADDC"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 workflow preserves the distinction between signal and decision.</w:t>
      </w:r>
    </w:p>
    <w:p w14:paraId="442961E9" w14:textId="77777777" w:rsidR="00404936" w:rsidRPr="00B479AE" w:rsidRDefault="00404936" w:rsidP="00404936">
      <w:pPr>
        <w:spacing w:line="360" w:lineRule="auto"/>
        <w:rPr>
          <w:rFonts w:ascii="Baskerville Old Face" w:hAnsi="Baskerville Old Face"/>
          <w:b/>
          <w:bCs/>
          <w:i/>
          <w:iCs/>
        </w:rPr>
      </w:pPr>
      <w:r w:rsidRPr="00B479AE">
        <w:rPr>
          <w:rFonts w:ascii="Baskerville Old Face" w:hAnsi="Baskerville Old Face"/>
          <w:b/>
          <w:bCs/>
          <w:i/>
          <w:iCs/>
        </w:rPr>
        <w:t>C.17 Ravel data schema</w:t>
      </w:r>
    </w:p>
    <w:p w14:paraId="029DF6C6"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A simplified Ravel signal record may include:</w:t>
      </w:r>
    </w:p>
    <w:p w14:paraId="0110B637"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w:t>
      </w:r>
    </w:p>
    <w:p w14:paraId="792B1CDE"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xml:space="preserve">  "ravel_signal_id": "ravel_signal_0001",</w:t>
      </w:r>
    </w:p>
    <w:p w14:paraId="05FF6D07"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xml:space="preserve">  "project_or_portfolio_id": "project_reference",</w:t>
      </w:r>
    </w:p>
    <w:p w14:paraId="33065A12"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xml:space="preserve">  "risk_domain": "evidence | financial | governance | legal | token | continuity | semantic | ecological",</w:t>
      </w:r>
    </w:p>
    <w:p w14:paraId="15BA24AE"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xml:space="preserve">  "indicator": "evidence_to_claim_ratio",</w:t>
      </w:r>
    </w:p>
    <w:p w14:paraId="211DED45"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xml:space="preserve">  "signal_level": "green | amber | orange | red | black",</w:t>
      </w:r>
    </w:p>
    <w:p w14:paraId="1424438A"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xml:space="preserve">  "input_references": [</w:t>
      </w:r>
    </w:p>
    <w:p w14:paraId="4E3FC5F2"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xml:space="preserve">    "mrv_record_hash",</w:t>
      </w:r>
    </w:p>
    <w:p w14:paraId="7F99B352" w14:textId="77777777" w:rsidR="00404936" w:rsidRPr="005907F1" w:rsidRDefault="00404936" w:rsidP="00404936">
      <w:pPr>
        <w:spacing w:line="360" w:lineRule="auto"/>
        <w:rPr>
          <w:rFonts w:ascii="Baskerville Old Face" w:hAnsi="Baskerville Old Face"/>
          <w:i/>
          <w:iCs/>
          <w:lang w:val="it-IT"/>
        </w:rPr>
      </w:pPr>
      <w:r w:rsidRPr="00B479AE">
        <w:rPr>
          <w:rFonts w:ascii="Baskerville Old Face" w:hAnsi="Baskerville Old Face"/>
          <w:i/>
          <w:iCs/>
        </w:rPr>
        <w:t xml:space="preserve">    </w:t>
      </w:r>
      <w:r w:rsidRPr="005907F1">
        <w:rPr>
          <w:rFonts w:ascii="Baskerville Old Face" w:hAnsi="Baskerville Old Face"/>
          <w:i/>
          <w:iCs/>
          <w:lang w:val="it-IT"/>
        </w:rPr>
        <w:t>"financial_model_version",</w:t>
      </w:r>
    </w:p>
    <w:p w14:paraId="46814BE5" w14:textId="77777777" w:rsidR="00404936" w:rsidRPr="005907F1" w:rsidRDefault="00404936" w:rsidP="00404936">
      <w:pPr>
        <w:spacing w:line="360" w:lineRule="auto"/>
        <w:rPr>
          <w:rFonts w:ascii="Baskerville Old Face" w:hAnsi="Baskerville Old Face"/>
          <w:i/>
          <w:iCs/>
          <w:lang w:val="it-IT"/>
        </w:rPr>
      </w:pPr>
      <w:r w:rsidRPr="005907F1">
        <w:rPr>
          <w:rFonts w:ascii="Baskerville Old Face" w:hAnsi="Baskerville Old Face"/>
          <w:i/>
          <w:iCs/>
          <w:lang w:val="it-IT"/>
        </w:rPr>
        <w:lastRenderedPageBreak/>
        <w:t xml:space="preserve">    "governance_decision_reference"</w:t>
      </w:r>
    </w:p>
    <w:p w14:paraId="69497AD0" w14:textId="77777777" w:rsidR="00404936" w:rsidRPr="00B479AE" w:rsidRDefault="00404936" w:rsidP="00404936">
      <w:pPr>
        <w:spacing w:line="360" w:lineRule="auto"/>
        <w:rPr>
          <w:rFonts w:ascii="Baskerville Old Face" w:hAnsi="Baskerville Old Face"/>
          <w:i/>
          <w:iCs/>
        </w:rPr>
      </w:pPr>
      <w:r w:rsidRPr="005907F1">
        <w:rPr>
          <w:rFonts w:ascii="Baskerville Old Face" w:hAnsi="Baskerville Old Face"/>
          <w:i/>
          <w:iCs/>
          <w:lang w:val="it-IT"/>
        </w:rPr>
        <w:t xml:space="preserve">  </w:t>
      </w:r>
      <w:r w:rsidRPr="00B479AE">
        <w:rPr>
          <w:rFonts w:ascii="Baskerville Old Face" w:hAnsi="Baskerville Old Face"/>
          <w:i/>
          <w:iCs/>
        </w:rPr>
        <w:t>],</w:t>
      </w:r>
    </w:p>
    <w:p w14:paraId="42F9699C"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xml:space="preserve">  "confidence": 0.72,</w:t>
      </w:r>
    </w:p>
    <w:p w14:paraId="75555CA9"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xml:space="preserve">  "summary": "Public PRU language appears ahead of current MRV admissibility.",</w:t>
      </w:r>
    </w:p>
    <w:p w14:paraId="66D0BB2D"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xml:space="preserve">  "recommended_review": "MRV_REVIEW_REQUIRED",</w:t>
      </w:r>
    </w:p>
    <w:p w14:paraId="70A989E2"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xml:space="preserve">  "automatic_consequence": false,</w:t>
      </w:r>
    </w:p>
    <w:p w14:paraId="331B8974"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xml:space="preserve">  "review_body": "mrv_review_circle",</w:t>
      </w:r>
    </w:p>
    <w:p w14:paraId="427505C6"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xml:space="preserve">  "created_at": "2026-01-01T10:00:00Z",</w:t>
      </w:r>
    </w:p>
    <w:p w14:paraId="1E6B6695"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xml:space="preserve">  "status": "open | under_review | resolved | archived"</w:t>
      </w:r>
    </w:p>
    <w:p w14:paraId="194B19F4"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w:t>
      </w:r>
    </w:p>
    <w:p w14:paraId="712F657A"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 field:</w:t>
      </w:r>
    </w:p>
    <w:p w14:paraId="4254F03B"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"automatic_consequence": false</w:t>
      </w:r>
    </w:p>
    <w:p w14:paraId="4F90EB76"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is important.</w:t>
      </w:r>
    </w:p>
    <w:p w14:paraId="05A5FA84"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It encodes the governance boundary.</w:t>
      </w:r>
    </w:p>
    <w:p w14:paraId="493CED8B" w14:textId="77777777" w:rsidR="00404936" w:rsidRPr="00B479AE" w:rsidRDefault="00404936" w:rsidP="00404936">
      <w:pPr>
        <w:spacing w:line="360" w:lineRule="auto"/>
        <w:rPr>
          <w:rFonts w:ascii="Baskerville Old Face" w:hAnsi="Baskerville Old Face"/>
          <w:b/>
          <w:bCs/>
          <w:i/>
          <w:iCs/>
        </w:rPr>
      </w:pPr>
      <w:r w:rsidRPr="00B479AE">
        <w:rPr>
          <w:rFonts w:ascii="Baskerville Old Face" w:hAnsi="Baskerville Old Face"/>
          <w:b/>
          <w:bCs/>
          <w:i/>
          <w:iCs/>
        </w:rPr>
        <w:t>C.18 Legal and investor-facing boundary</w:t>
      </w:r>
    </w:p>
    <w:p w14:paraId="4171CD08"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outputs may affect investor perception.</w:t>
      </w:r>
    </w:p>
    <w:p w14:paraId="45D37616"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Therefore, Ravel outputs should be carefully classified before disclosure.</w:t>
      </w:r>
    </w:p>
    <w:p w14:paraId="5C65FD16"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Possible classifications:</w:t>
      </w:r>
    </w:p>
    <w:p w14:paraId="07F2CAFC" w14:textId="77777777" w:rsidR="0039233A" w:rsidRPr="00B479AE" w:rsidRDefault="0039233A" w:rsidP="00404936">
      <w:pPr>
        <w:spacing w:line="360" w:lineRule="auto"/>
        <w:rPr>
          <w:rFonts w:ascii="Baskerville Old Face" w:hAnsi="Baskerville Old Face"/>
          <w:i/>
          <w:iCs/>
        </w:rPr>
      </w:pPr>
    </w:p>
    <w:p w14:paraId="2DE0A091" w14:textId="77777777" w:rsidR="0039233A" w:rsidRPr="00B479AE" w:rsidRDefault="0039233A" w:rsidP="00404936">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5"/>
        <w:gridCol w:w="3729"/>
      </w:tblGrid>
      <w:tr w:rsidR="00404936" w:rsidRPr="00B479AE" w14:paraId="52E48483" w14:textId="77777777" w:rsidTr="009C1063">
        <w:trPr>
          <w:tblHeader/>
          <w:tblCellSpacing w:w="15" w:type="dxa"/>
        </w:trPr>
        <w:tc>
          <w:tcPr>
            <w:tcW w:w="0" w:type="auto"/>
            <w:vAlign w:val="center"/>
            <w:hideMark/>
          </w:tcPr>
          <w:p w14:paraId="4FAB1FB0" w14:textId="77777777" w:rsidR="00404936" w:rsidRPr="00B479AE" w:rsidRDefault="00404936" w:rsidP="00404936">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Disclosure class</w:t>
            </w:r>
          </w:p>
        </w:tc>
        <w:tc>
          <w:tcPr>
            <w:tcW w:w="0" w:type="auto"/>
            <w:vAlign w:val="center"/>
            <w:hideMark/>
          </w:tcPr>
          <w:p w14:paraId="72EB95F3" w14:textId="77777777" w:rsidR="00404936" w:rsidRPr="00B479AE" w:rsidRDefault="00404936" w:rsidP="00404936">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Use</w:t>
            </w:r>
          </w:p>
        </w:tc>
      </w:tr>
      <w:tr w:rsidR="00404936" w:rsidRPr="00B479AE" w14:paraId="65D0BDED" w14:textId="77777777" w:rsidTr="009C1063">
        <w:trPr>
          <w:tblCellSpacing w:w="15" w:type="dxa"/>
        </w:trPr>
        <w:tc>
          <w:tcPr>
            <w:tcW w:w="0" w:type="auto"/>
            <w:vAlign w:val="center"/>
            <w:hideMark/>
          </w:tcPr>
          <w:p w14:paraId="23BC6B89"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Internal draft</w:t>
            </w:r>
          </w:p>
        </w:tc>
        <w:tc>
          <w:tcPr>
            <w:tcW w:w="0" w:type="auto"/>
            <w:vAlign w:val="center"/>
            <w:hideMark/>
          </w:tcPr>
          <w:p w14:paraId="0E76275C"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Internal review only.</w:t>
            </w:r>
          </w:p>
        </w:tc>
      </w:tr>
      <w:tr w:rsidR="00404936" w:rsidRPr="00B479AE" w14:paraId="4AA24EB5" w14:textId="77777777" w:rsidTr="009C1063">
        <w:trPr>
          <w:tblCellSpacing w:w="15" w:type="dxa"/>
        </w:trPr>
        <w:tc>
          <w:tcPr>
            <w:tcW w:w="0" w:type="auto"/>
            <w:vAlign w:val="center"/>
            <w:hideMark/>
          </w:tcPr>
          <w:p w14:paraId="14130E35"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Governance review</w:t>
            </w:r>
          </w:p>
        </w:tc>
        <w:tc>
          <w:tcPr>
            <w:tcW w:w="0" w:type="auto"/>
            <w:vAlign w:val="center"/>
            <w:hideMark/>
          </w:tcPr>
          <w:p w14:paraId="3A14CA51"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Used by governance or review bodies.</w:t>
            </w:r>
          </w:p>
        </w:tc>
      </w:tr>
      <w:tr w:rsidR="00404936" w:rsidRPr="00B479AE" w14:paraId="01F0FB1F" w14:textId="77777777" w:rsidTr="009C1063">
        <w:trPr>
          <w:tblCellSpacing w:w="15" w:type="dxa"/>
        </w:trPr>
        <w:tc>
          <w:tcPr>
            <w:tcW w:w="0" w:type="auto"/>
            <w:vAlign w:val="center"/>
            <w:hideMark/>
          </w:tcPr>
          <w:p w14:paraId="4FB241F5"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Data-room limited</w:t>
            </w:r>
          </w:p>
        </w:tc>
        <w:tc>
          <w:tcPr>
            <w:tcW w:w="0" w:type="auto"/>
            <w:vAlign w:val="center"/>
            <w:hideMark/>
          </w:tcPr>
          <w:p w14:paraId="0499236F"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Shared with qualified parties under terms.</w:t>
            </w:r>
          </w:p>
        </w:tc>
      </w:tr>
      <w:tr w:rsidR="00404936" w:rsidRPr="00B479AE" w14:paraId="507FCAC1" w14:textId="77777777" w:rsidTr="009C1063">
        <w:trPr>
          <w:tblCellSpacing w:w="15" w:type="dxa"/>
        </w:trPr>
        <w:tc>
          <w:tcPr>
            <w:tcW w:w="0" w:type="auto"/>
            <w:vAlign w:val="center"/>
            <w:hideMark/>
          </w:tcPr>
          <w:p w14:paraId="14DE84AB"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Investor-review material</w:t>
            </w:r>
          </w:p>
        </w:tc>
        <w:tc>
          <w:tcPr>
            <w:tcW w:w="0" w:type="auto"/>
            <w:vAlign w:val="center"/>
            <w:hideMark/>
          </w:tcPr>
          <w:p w14:paraId="379454A3"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Shared with disclosure and limitations.</w:t>
            </w:r>
          </w:p>
        </w:tc>
      </w:tr>
      <w:tr w:rsidR="00404936" w:rsidRPr="00B479AE" w14:paraId="36A7E210" w14:textId="77777777" w:rsidTr="009C1063">
        <w:trPr>
          <w:tblCellSpacing w:w="15" w:type="dxa"/>
        </w:trPr>
        <w:tc>
          <w:tcPr>
            <w:tcW w:w="0" w:type="auto"/>
            <w:vAlign w:val="center"/>
            <w:hideMark/>
          </w:tcPr>
          <w:p w14:paraId="51922A46"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Public risk note</w:t>
            </w:r>
          </w:p>
        </w:tc>
        <w:tc>
          <w:tcPr>
            <w:tcW w:w="0" w:type="auto"/>
            <w:vAlign w:val="center"/>
            <w:hideMark/>
          </w:tcPr>
          <w:p w14:paraId="6F6CA94D"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Public-facing only after review.</w:t>
            </w:r>
          </w:p>
        </w:tc>
      </w:tr>
      <w:tr w:rsidR="00404936" w:rsidRPr="00B479AE" w14:paraId="173C3BFF" w14:textId="77777777" w:rsidTr="009C1063">
        <w:trPr>
          <w:tblCellSpacing w:w="15" w:type="dxa"/>
        </w:trPr>
        <w:tc>
          <w:tcPr>
            <w:tcW w:w="0" w:type="auto"/>
            <w:vAlign w:val="center"/>
            <w:hideMark/>
          </w:tcPr>
          <w:p w14:paraId="619859A6"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Non-disclosable</w:t>
            </w:r>
          </w:p>
        </w:tc>
        <w:tc>
          <w:tcPr>
            <w:tcW w:w="0" w:type="auto"/>
            <w:vAlign w:val="center"/>
            <w:hideMark/>
          </w:tcPr>
          <w:p w14:paraId="2CB42D57" w14:textId="77777777" w:rsidR="00404936" w:rsidRPr="00B479AE" w:rsidRDefault="00404936" w:rsidP="00404936">
            <w:pPr>
              <w:spacing w:line="360" w:lineRule="auto"/>
              <w:rPr>
                <w:rFonts w:ascii="Baskerville Old Face" w:hAnsi="Baskerville Old Face"/>
                <w:i/>
                <w:iCs/>
                <w:sz w:val="22"/>
                <w:szCs w:val="22"/>
              </w:rPr>
            </w:pPr>
            <w:r w:rsidRPr="00B479AE">
              <w:rPr>
                <w:rFonts w:ascii="Baskerville Old Face" w:hAnsi="Baskerville Old Face"/>
                <w:i/>
                <w:iCs/>
                <w:sz w:val="22"/>
                <w:szCs w:val="22"/>
              </w:rPr>
              <w:t>Sensitive, privileged, or incomplete.</w:t>
            </w:r>
          </w:p>
        </w:tc>
      </w:tr>
    </w:tbl>
    <w:p w14:paraId="7CD673DC"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should not be marketed as an official credit rating, securities rating, investment recommendation, or regulatory-approved risk model unless such status is legally obtained.</w:t>
      </w:r>
    </w:p>
    <w:p w14:paraId="4A27B10A"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Prometheus may use Ravel to improve diligence.</w:t>
      </w:r>
    </w:p>
    <w:p w14:paraId="6FBF98AF"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It should not overclaim Ravel as external financial authority.</w:t>
      </w:r>
    </w:p>
    <w:p w14:paraId="5FE07B25" w14:textId="77777777" w:rsidR="00404936" w:rsidRPr="00B479AE" w:rsidRDefault="00404936" w:rsidP="00404936">
      <w:pPr>
        <w:spacing w:line="360" w:lineRule="auto"/>
        <w:rPr>
          <w:rFonts w:ascii="Baskerville Old Face" w:hAnsi="Baskerville Old Face"/>
          <w:b/>
          <w:bCs/>
          <w:i/>
          <w:iCs/>
        </w:rPr>
      </w:pPr>
      <w:r w:rsidRPr="00B479AE">
        <w:rPr>
          <w:rFonts w:ascii="Baskerville Old Face" w:hAnsi="Baskerville Old Face"/>
          <w:b/>
          <w:bCs/>
          <w:i/>
          <w:iCs/>
        </w:rPr>
        <w:t>C.19 AI-assisted Ravel analysis</w:t>
      </w:r>
    </w:p>
    <w:p w14:paraId="41E11E65"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AI may support Ravel by:</w:t>
      </w:r>
    </w:p>
    <w:p w14:paraId="7457EE5E"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identifying inconsistencies;</w:t>
      </w:r>
      <w:r w:rsidRPr="00B479AE">
        <w:rPr>
          <w:rFonts w:ascii="Baskerville Old Face" w:hAnsi="Baskerville Old Face"/>
          <w:i/>
          <w:iCs/>
        </w:rPr>
        <w:br/>
        <w:t>• scanning for semantic drift;</w:t>
      </w:r>
      <w:r w:rsidRPr="00B479AE">
        <w:rPr>
          <w:rFonts w:ascii="Baskerville Old Face" w:hAnsi="Baskerville Old Face"/>
          <w:i/>
          <w:iCs/>
        </w:rPr>
        <w:br/>
        <w:t>• mapping risk domains;</w:t>
      </w:r>
      <w:r w:rsidRPr="00B479AE">
        <w:rPr>
          <w:rFonts w:ascii="Baskerville Old Face" w:hAnsi="Baskerville Old Face"/>
          <w:i/>
          <w:iCs/>
        </w:rPr>
        <w:br/>
        <w:t>• drafting risk memos;</w:t>
      </w:r>
      <w:r w:rsidRPr="00B479AE">
        <w:rPr>
          <w:rFonts w:ascii="Baskerville Old Face" w:hAnsi="Baskerville Old Face"/>
          <w:i/>
          <w:iCs/>
        </w:rPr>
        <w:br/>
        <w:t>• generating stress-test scenarios;</w:t>
      </w:r>
      <w:r w:rsidRPr="00B479AE">
        <w:rPr>
          <w:rFonts w:ascii="Baskerville Old Face" w:hAnsi="Baskerville Old Face"/>
          <w:i/>
          <w:iCs/>
        </w:rPr>
        <w:br/>
        <w:t>• flagging missing evidence;</w:t>
      </w:r>
      <w:r w:rsidRPr="00B479AE">
        <w:rPr>
          <w:rFonts w:ascii="Baskerville Old Face" w:hAnsi="Baskerville Old Face"/>
          <w:i/>
          <w:iCs/>
        </w:rPr>
        <w:br/>
        <w:t>• comparing public claims to canonical definitions;</w:t>
      </w:r>
      <w:r w:rsidRPr="00B479AE">
        <w:rPr>
          <w:rFonts w:ascii="Baskerville Old Face" w:hAnsi="Baskerville Old Face"/>
          <w:i/>
          <w:iCs/>
        </w:rPr>
        <w:br/>
        <w:t>• detecting token-boundary confusion;</w:t>
      </w:r>
      <w:r w:rsidRPr="00B479AE">
        <w:rPr>
          <w:rFonts w:ascii="Baskerville Old Face" w:hAnsi="Baskerville Old Face"/>
          <w:i/>
          <w:iCs/>
        </w:rPr>
        <w:br/>
        <w:t>• supporting continuity audits.</w:t>
      </w:r>
    </w:p>
    <w:p w14:paraId="6C6078A4"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AI may not:</w:t>
      </w:r>
    </w:p>
    <w:p w14:paraId="4C012C61"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lastRenderedPageBreak/>
        <w:t>• impose consequences;</w:t>
      </w:r>
      <w:r w:rsidRPr="00B479AE">
        <w:rPr>
          <w:rFonts w:ascii="Baskerville Old Face" w:hAnsi="Baskerville Old Face"/>
          <w:i/>
          <w:iCs/>
        </w:rPr>
        <w:br/>
        <w:t>• decide breaches;</w:t>
      </w:r>
      <w:r w:rsidRPr="00B479AE">
        <w:rPr>
          <w:rFonts w:ascii="Baskerville Old Face" w:hAnsi="Baskerville Old Face"/>
          <w:i/>
          <w:iCs/>
        </w:rPr>
        <w:br/>
        <w:t>• issue final ratings;</w:t>
      </w:r>
      <w:r w:rsidRPr="00B479AE">
        <w:rPr>
          <w:rFonts w:ascii="Baskerville Old Face" w:hAnsi="Baskerville Old Face"/>
          <w:i/>
          <w:iCs/>
        </w:rPr>
        <w:br/>
        <w:t>• suspend access;</w:t>
      </w:r>
      <w:r w:rsidRPr="00B479AE">
        <w:rPr>
          <w:rFonts w:ascii="Baskerville Old Face" w:hAnsi="Baskerville Old Face"/>
          <w:i/>
          <w:iCs/>
        </w:rPr>
        <w:br/>
        <w:t>• approve investor materials;</w:t>
      </w:r>
      <w:r w:rsidRPr="00B479AE">
        <w:rPr>
          <w:rFonts w:ascii="Baskerville Old Face" w:hAnsi="Baskerville Old Face"/>
          <w:i/>
          <w:iCs/>
        </w:rPr>
        <w:br/>
        <w:t>• certify MRV;</w:t>
      </w:r>
      <w:r w:rsidRPr="00B479AE">
        <w:rPr>
          <w:rFonts w:ascii="Baskerville Old Face" w:hAnsi="Baskerville Old Face"/>
          <w:i/>
          <w:iCs/>
        </w:rPr>
        <w:br/>
        <w:t>• define PRU value;</w:t>
      </w:r>
      <w:r w:rsidRPr="00B479AE">
        <w:rPr>
          <w:rFonts w:ascii="Baskerville Old Face" w:hAnsi="Baskerville Old Face"/>
          <w:i/>
          <w:iCs/>
        </w:rPr>
        <w:br/>
        <w:t>• override governance.</w:t>
      </w:r>
    </w:p>
    <w:p w14:paraId="6410685E"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AI-generated Ravel outputs should be labeled as:</w:t>
      </w:r>
    </w:p>
    <w:p w14:paraId="6480C3E6"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 draft;</w:t>
      </w:r>
      <w:r w:rsidRPr="00B479AE">
        <w:rPr>
          <w:rFonts w:ascii="Baskerville Old Face" w:hAnsi="Baskerville Old Face"/>
          <w:i/>
          <w:iCs/>
        </w:rPr>
        <w:br/>
        <w:t>• risk flag;</w:t>
      </w:r>
      <w:r w:rsidRPr="00B479AE">
        <w:rPr>
          <w:rFonts w:ascii="Baskerville Old Face" w:hAnsi="Baskerville Old Face"/>
          <w:i/>
          <w:iCs/>
        </w:rPr>
        <w:br/>
        <w:t>• analysis;</w:t>
      </w:r>
      <w:r w:rsidRPr="00B479AE">
        <w:rPr>
          <w:rFonts w:ascii="Baskerville Old Face" w:hAnsi="Baskerville Old Face"/>
          <w:i/>
          <w:iCs/>
        </w:rPr>
        <w:br/>
        <w:t>• review-required;</w:t>
      </w:r>
      <w:r w:rsidRPr="00B479AE">
        <w:rPr>
          <w:rFonts w:ascii="Baskerville Old Face" w:hAnsi="Baskerville Old Face"/>
          <w:i/>
          <w:iCs/>
        </w:rPr>
        <w:br/>
        <w:t>• non-admissible.</w:t>
      </w:r>
    </w:p>
    <w:p w14:paraId="3AE84205"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 Ravel-AI rule is:</w:t>
      </w:r>
    </w:p>
    <w:p w14:paraId="7B399021"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AI may help detect the smoke;</w:t>
      </w:r>
      <w:r w:rsidRPr="00B479AE">
        <w:rPr>
          <w:rFonts w:ascii="Baskerville Old Face" w:hAnsi="Baskerville Old Face"/>
          <w:i/>
          <w:iCs/>
        </w:rPr>
        <w:br/>
        <w:t>review determines the fire.</w:t>
      </w:r>
    </w:p>
    <w:p w14:paraId="4B7712FE" w14:textId="77777777" w:rsidR="00404936" w:rsidRPr="00B479AE" w:rsidRDefault="00404936" w:rsidP="00404936">
      <w:pPr>
        <w:spacing w:line="360" w:lineRule="auto"/>
        <w:rPr>
          <w:rFonts w:ascii="Baskerville Old Face" w:hAnsi="Baskerville Old Face"/>
          <w:b/>
          <w:bCs/>
          <w:i/>
          <w:iCs/>
        </w:rPr>
      </w:pPr>
      <w:r w:rsidRPr="00B479AE">
        <w:rPr>
          <w:rFonts w:ascii="Baskerville Old Face" w:hAnsi="Baskerville Old Face"/>
          <w:b/>
          <w:bCs/>
          <w:i/>
          <w:iCs/>
        </w:rPr>
        <w:t>C.20 Final Ravel principle</w:t>
      </w:r>
    </w:p>
    <w:p w14:paraId="32208439"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The final Ravel principle is:</w:t>
      </w:r>
    </w:p>
    <w:p w14:paraId="247D5267"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fragility should be visible before failure;</w:t>
      </w:r>
      <w:r w:rsidRPr="00B479AE">
        <w:rPr>
          <w:rFonts w:ascii="Baskerville Old Face" w:hAnsi="Baskerville Old Face"/>
          <w:i/>
          <w:iCs/>
        </w:rPr>
        <w:br/>
        <w:t>claims should be measured against evidence;</w:t>
      </w:r>
      <w:r w:rsidRPr="00B479AE">
        <w:rPr>
          <w:rFonts w:ascii="Baskerville Old Face" w:hAnsi="Baskerville Old Face"/>
          <w:i/>
          <w:iCs/>
        </w:rPr>
        <w:br/>
        <w:t>capital should be measured against living capacity;</w:t>
      </w:r>
      <w:r w:rsidRPr="00B479AE">
        <w:rPr>
          <w:rFonts w:ascii="Baskerville Old Face" w:hAnsi="Baskerville Old Face"/>
          <w:i/>
          <w:iCs/>
        </w:rPr>
        <w:br/>
        <w:t>governance should be measured against complexity;</w:t>
      </w:r>
      <w:r w:rsidRPr="00B479AE">
        <w:rPr>
          <w:rFonts w:ascii="Baskerville Old Face" w:hAnsi="Baskerville Old Face"/>
          <w:i/>
          <w:iCs/>
        </w:rPr>
        <w:br/>
        <w:t>tokens should be measured against legal meaning;</w:t>
      </w:r>
      <w:r w:rsidRPr="00B479AE">
        <w:rPr>
          <w:rFonts w:ascii="Baskerville Old Face" w:hAnsi="Baskerville Old Face"/>
          <w:i/>
          <w:iCs/>
        </w:rPr>
        <w:br/>
        <w:t>growth should be measured against resilience;</w:t>
      </w:r>
      <w:r w:rsidRPr="00B479AE">
        <w:rPr>
          <w:rFonts w:ascii="Baskerville Old Face" w:hAnsi="Baskerville Old Face"/>
          <w:i/>
          <w:iCs/>
        </w:rPr>
        <w:br/>
        <w:t>and intelligence should be measured against fidelity.</w:t>
      </w:r>
    </w:p>
    <w:p w14:paraId="76CF0F22"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Ravel exists so Prometheus can see stress early.</w:t>
      </w:r>
    </w:p>
    <w:p w14:paraId="008483C4"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It does not punish.</w:t>
      </w:r>
    </w:p>
    <w:p w14:paraId="76BFA5C8"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lastRenderedPageBreak/>
        <w:t>It does not rule.</w:t>
      </w:r>
    </w:p>
    <w:p w14:paraId="3147D09C"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It does not replace the constitution.</w:t>
      </w:r>
    </w:p>
    <w:p w14:paraId="2B1AC5B8"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It helps the system remain honest while becoming ambitious.</w:t>
      </w:r>
    </w:p>
    <w:p w14:paraId="3D1FDD8A" w14:textId="77777777" w:rsidR="00404936" w:rsidRPr="00B479AE" w:rsidRDefault="00404936" w:rsidP="00404936">
      <w:pPr>
        <w:spacing w:line="360" w:lineRule="auto"/>
        <w:rPr>
          <w:rFonts w:ascii="Baskerville Old Face" w:hAnsi="Baskerville Old Face"/>
          <w:i/>
          <w:iCs/>
        </w:rPr>
      </w:pPr>
      <w:r w:rsidRPr="00B479AE">
        <w:rPr>
          <w:rFonts w:ascii="Baskerville Old Face" w:hAnsi="Baskerville Old Face"/>
          <w:i/>
          <w:iCs/>
        </w:rPr>
        <w:t>That is its value.</w:t>
      </w:r>
    </w:p>
    <w:p w14:paraId="373DDAE8" w14:textId="3D0226D2" w:rsidR="008E20E1" w:rsidRPr="005907F1" w:rsidRDefault="008E20E1" w:rsidP="005907F1">
      <w:pPr>
        <w:pStyle w:val="Titolo1"/>
        <w:rPr>
          <w:rFonts w:ascii="Baskerville Old Face" w:hAnsi="Baskerville Old Face"/>
          <w:b/>
          <w:bCs/>
          <w:i/>
          <w:iCs/>
          <w:sz w:val="24"/>
          <w:szCs w:val="24"/>
        </w:rPr>
      </w:pPr>
      <w:r w:rsidRPr="005907F1">
        <w:rPr>
          <w:rFonts w:ascii="Baskerville Old Face" w:hAnsi="Baskerville Old Face"/>
          <w:b/>
          <w:bCs/>
          <w:i/>
          <w:iCs/>
          <w:sz w:val="24"/>
          <w:szCs w:val="24"/>
        </w:rPr>
        <w:t xml:space="preserve">Appendix D: Syntropic </w:t>
      </w:r>
      <w:r w:rsidR="00586C06" w:rsidRPr="005907F1">
        <w:rPr>
          <w:rFonts w:ascii="Baskerville Old Face" w:hAnsi="Baskerville Old Face"/>
          <w:b/>
          <w:bCs/>
          <w:i/>
          <w:iCs/>
          <w:sz w:val="24"/>
          <w:szCs w:val="24"/>
        </w:rPr>
        <w:t>s</w:t>
      </w:r>
      <w:r w:rsidRPr="005907F1">
        <w:rPr>
          <w:rFonts w:ascii="Baskerville Old Face" w:hAnsi="Baskerville Old Face"/>
          <w:b/>
          <w:bCs/>
          <w:i/>
          <w:iCs/>
          <w:sz w:val="24"/>
          <w:szCs w:val="24"/>
        </w:rPr>
        <w:t xml:space="preserve">overeignty </w:t>
      </w:r>
      <w:r w:rsidR="00586C06" w:rsidRPr="005907F1">
        <w:rPr>
          <w:rFonts w:ascii="Baskerville Old Face" w:hAnsi="Baskerville Old Face"/>
          <w:b/>
          <w:bCs/>
          <w:i/>
          <w:iCs/>
          <w:sz w:val="24"/>
          <w:szCs w:val="24"/>
        </w:rPr>
        <w:t>h</w:t>
      </w:r>
      <w:r w:rsidRPr="005907F1">
        <w:rPr>
          <w:rFonts w:ascii="Baskerville Old Face" w:hAnsi="Baskerville Old Face"/>
          <w:b/>
          <w:bCs/>
          <w:i/>
          <w:iCs/>
          <w:sz w:val="24"/>
          <w:szCs w:val="24"/>
        </w:rPr>
        <w:t>eader</w:t>
      </w:r>
    </w:p>
    <w:p w14:paraId="5B03D36A" w14:textId="77777777" w:rsidR="008E20E1" w:rsidRPr="00B479AE" w:rsidRDefault="008E20E1" w:rsidP="008E20E1">
      <w:pPr>
        <w:spacing w:line="360" w:lineRule="auto"/>
        <w:rPr>
          <w:rFonts w:ascii="Baskerville Old Face" w:hAnsi="Baskerville Old Face"/>
          <w:b/>
          <w:bCs/>
          <w:i/>
          <w:iCs/>
        </w:rPr>
      </w:pPr>
      <w:r w:rsidRPr="00B479AE">
        <w:rPr>
          <w:rFonts w:ascii="Baskerville Old Face" w:hAnsi="Baskerville Old Face"/>
          <w:b/>
          <w:bCs/>
          <w:i/>
          <w:iCs/>
        </w:rPr>
        <w:t>D.1 Header specification</w:t>
      </w:r>
    </w:p>
    <w:p w14:paraId="3CD2813E"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json</w:t>
      </w:r>
    </w:p>
    <w:p w14:paraId="4F26FC12" w14:textId="77777777"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t>{</w:t>
      </w:r>
    </w:p>
    <w:p w14:paraId="25A12904" w14:textId="77777777"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t xml:space="preserve">  "header_version": "1.0",</w:t>
      </w:r>
    </w:p>
    <w:p w14:paraId="32AF3633" w14:textId="77777777"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t xml:space="preserve">  "constitution_hash": "sha256: to be generated upon canonical release",</w:t>
      </w:r>
    </w:p>
    <w:p w14:paraId="06BF21C4" w14:textId="77777777"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t xml:space="preserve">  "manifesto_hash": "sha256: to be generated upon canonical release",</w:t>
      </w:r>
    </w:p>
    <w:p w14:paraId="6D7F0A82" w14:textId="77777777"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t xml:space="preserve">  "license_hash": "sha256: to be generated upon canonical release",</w:t>
      </w:r>
    </w:p>
    <w:p w14:paraId="3DC300CF" w14:textId="77777777"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t xml:space="preserve">  "principles": [</w:t>
      </w:r>
    </w:p>
    <w:p w14:paraId="7D02C81B" w14:textId="77777777"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t xml:space="preserve">    "spiral_of_abundance",</w:t>
      </w:r>
    </w:p>
    <w:p w14:paraId="6EC3BBE0" w14:textId="77777777"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t xml:space="preserve">    "planetary_boundaries",</w:t>
      </w:r>
    </w:p>
    <w:p w14:paraId="660B7B2E" w14:textId="77777777"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t xml:space="preserve">    "non_commodification_of_life",</w:t>
      </w:r>
    </w:p>
    <w:p w14:paraId="618188D2" w14:textId="77777777"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t xml:space="preserve">    "agent_sovereignty",</w:t>
      </w:r>
    </w:p>
    <w:p w14:paraId="416ADCD2" w14:textId="77777777"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t xml:space="preserve">    "source_layer_non_admissibility",</w:t>
      </w:r>
    </w:p>
    <w:p w14:paraId="3BA639C8" w14:textId="77777777"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t xml:space="preserve">    "preventative_alignment",</w:t>
      </w:r>
    </w:p>
    <w:p w14:paraId="73039129" w14:textId="77777777"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t xml:space="preserve">    "intergenerational_responsibility"</w:t>
      </w:r>
    </w:p>
    <w:p w14:paraId="6AE4B420" w14:textId="77777777"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t xml:space="preserve">  ],</w:t>
      </w:r>
    </w:p>
    <w:p w14:paraId="62DF0E8F" w14:textId="77777777"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t xml:space="preserve">  "timestamp_utc": "RELEASE_TIMESTAMP_UTC",</w:t>
      </w:r>
    </w:p>
    <w:p w14:paraId="223E632F" w14:textId="77777777"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lastRenderedPageBreak/>
        <w:t xml:space="preserve">  "developer_did": "did:key:...",</w:t>
      </w:r>
    </w:p>
    <w:p w14:paraId="4E6FD6BE" w14:textId="77777777"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t xml:space="preserve">  "signature": ""</w:t>
      </w:r>
    </w:p>
    <w:p w14:paraId="36110EB6" w14:textId="6D9F6F24"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t xml:space="preserve">} </w:t>
      </w:r>
    </w:p>
    <w:p w14:paraId="7F508F31" w14:textId="77777777"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t>The timestamp_utc field should identify the UTC timestamp of the canonical release artifact to which the header is attached.</w:t>
      </w:r>
    </w:p>
    <w:p w14:paraId="158E0B8C" w14:textId="77777777"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t>During pre-release preparation, RELEASE_TIMESTAMP_UTC functions as a placeholder.</w:t>
      </w:r>
    </w:p>
    <w:p w14:paraId="76A16478" w14:textId="77777777"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t>At canonical release, it should be replaced by the actual ISO 8601 UTC timestamp of the final exported, hashed, and signed release artifact.</w:t>
      </w:r>
    </w:p>
    <w:p w14:paraId="4407F25A" w14:textId="7711AD3B" w:rsidR="00FC1850" w:rsidRPr="00B479AE" w:rsidRDefault="00FC1850" w:rsidP="00FC1850">
      <w:pPr>
        <w:spacing w:line="360" w:lineRule="auto"/>
        <w:rPr>
          <w:rFonts w:ascii="Baskerville Old Face" w:hAnsi="Baskerville Old Face"/>
          <w:i/>
          <w:iCs/>
        </w:rPr>
      </w:pPr>
      <w:r w:rsidRPr="00B479AE">
        <w:rPr>
          <w:rFonts w:ascii="Baskerville Old Face" w:hAnsi="Baskerville Old Face"/>
          <w:i/>
          <w:iCs/>
        </w:rPr>
        <w:t>The timestamp should not refer to an earlier drafting date unless that date is also the actual canonical release timestamp.</w:t>
      </w:r>
    </w:p>
    <w:p w14:paraId="23038D7B" w14:textId="14770BEC" w:rsidR="008E20E1" w:rsidRPr="00B479AE" w:rsidRDefault="008E20E1" w:rsidP="008E20E1">
      <w:pPr>
        <w:spacing w:line="360" w:lineRule="auto"/>
        <w:rPr>
          <w:rFonts w:ascii="Baskerville Old Face" w:hAnsi="Baskerville Old Face"/>
          <w:b/>
          <w:bCs/>
          <w:i/>
          <w:iCs/>
        </w:rPr>
      </w:pPr>
      <w:r w:rsidRPr="00B479AE">
        <w:rPr>
          <w:rFonts w:ascii="Baskerville Old Face" w:hAnsi="Baskerville Old Face"/>
          <w:b/>
          <w:bCs/>
          <w:i/>
          <w:iCs/>
        </w:rPr>
        <w:t>D.2 Cryptographic signature process</w:t>
      </w:r>
    </w:p>
    <w:p w14:paraId="5A575A30" w14:textId="506B32F9"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The syntropic sovereignty header ensures that </w:t>
      </w:r>
      <w:r w:rsidR="00895BCD" w:rsidRPr="00895BCD">
        <w:rPr>
          <w:rFonts w:ascii="Baskerville Old Face" w:hAnsi="Baskerville Old Face"/>
          <w:i/>
          <w:iCs/>
        </w:rPr>
        <w:t>code module, validation rule, bridge interface, workflow, or legally structured digital instrument</w:t>
      </w:r>
      <w:r w:rsidR="00895BCD">
        <w:rPr>
          <w:rFonts w:ascii="Baskerville Old Face" w:hAnsi="Baskerville Old Face"/>
          <w:i/>
          <w:iCs/>
        </w:rPr>
        <w:t xml:space="preserve"> </w:t>
      </w:r>
      <w:r w:rsidRPr="00B479AE">
        <w:rPr>
          <w:rFonts w:ascii="Baskerville Old Face" w:hAnsi="Baskerville Old Face"/>
          <w:i/>
          <w:iCs/>
        </w:rPr>
        <w:t>circulating within the h•eart•h ecosystem carries a verifiable commitment to the constitutional principles.</w:t>
      </w:r>
    </w:p>
    <w:p w14:paraId="642BBE40" w14:textId="77777777" w:rsidR="008E20E1" w:rsidRPr="00B479AE" w:rsidRDefault="008E20E1" w:rsidP="008E20E1">
      <w:pPr>
        <w:spacing w:line="360" w:lineRule="auto"/>
        <w:rPr>
          <w:rFonts w:ascii="Baskerville Old Face" w:hAnsi="Baskerville Old Face"/>
          <w:b/>
          <w:bCs/>
          <w:i/>
          <w:iCs/>
        </w:rPr>
      </w:pPr>
      <w:r w:rsidRPr="00B479AE">
        <w:rPr>
          <w:rFonts w:ascii="Baskerville Old Face" w:hAnsi="Baskerville Old Face"/>
          <w:b/>
          <w:bCs/>
          <w:i/>
          <w:iCs/>
        </w:rPr>
        <w:t>D.2.1 Key management and DPKI integration</w:t>
      </w:r>
    </w:p>
    <w:p w14:paraId="7D2E7CC8"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Each developer or organization wishing to deploy code within the ecosystem must first register a Decentralized Public Key Infrastructure (DPKI) identity. The DPKI DNA, running on Holochain, maintains a public registry of developer DIDs (Decentralized Identifiers) and their associated public keys. The registration process requires:</w:t>
      </w:r>
    </w:p>
    <w:p w14:paraId="7B75F532" w14:textId="77777777" w:rsidR="008E20E1" w:rsidRPr="00B479AE" w:rsidRDefault="008E20E1">
      <w:pPr>
        <w:numPr>
          <w:ilvl w:val="0"/>
          <w:numId w:val="4"/>
        </w:numPr>
        <w:spacing w:line="360" w:lineRule="auto"/>
        <w:rPr>
          <w:rFonts w:ascii="Baskerville Old Face" w:hAnsi="Baskerville Old Face"/>
          <w:i/>
          <w:iCs/>
        </w:rPr>
      </w:pPr>
      <w:r w:rsidRPr="00B479AE">
        <w:rPr>
          <w:rFonts w:ascii="Baskerville Old Face" w:hAnsi="Baskerville Old Face"/>
          <w:i/>
          <w:iCs/>
        </w:rPr>
        <w:t>A genesis entry containing the developer's public key and basic identity information</w:t>
      </w:r>
    </w:p>
    <w:p w14:paraId="774C78C5" w14:textId="77777777" w:rsidR="008E20E1" w:rsidRPr="00B479AE" w:rsidRDefault="008E20E1">
      <w:pPr>
        <w:numPr>
          <w:ilvl w:val="0"/>
          <w:numId w:val="4"/>
        </w:numPr>
        <w:spacing w:line="360" w:lineRule="auto"/>
        <w:rPr>
          <w:rFonts w:ascii="Baskerville Old Face" w:hAnsi="Baskerville Old Face"/>
          <w:i/>
          <w:iCs/>
        </w:rPr>
      </w:pPr>
      <w:r w:rsidRPr="00B479AE">
        <w:rPr>
          <w:rFonts w:ascii="Baskerville Old Face" w:hAnsi="Baskerville Old Face"/>
          <w:i/>
          <w:iCs/>
        </w:rPr>
        <w:t>Proof of control of the corresponding private key (via a signed challenge)</w:t>
      </w:r>
    </w:p>
    <w:p w14:paraId="088F5BB0" w14:textId="1C220148" w:rsidR="003E0920" w:rsidRPr="00B479AE" w:rsidRDefault="003E0920">
      <w:pPr>
        <w:numPr>
          <w:ilvl w:val="0"/>
          <w:numId w:val="4"/>
        </w:numPr>
        <w:spacing w:line="360" w:lineRule="auto"/>
        <w:rPr>
          <w:rFonts w:ascii="Baskerville Old Face" w:hAnsi="Baskerville Old Face"/>
          <w:i/>
          <w:iCs/>
        </w:rPr>
      </w:pPr>
      <w:r w:rsidRPr="003E0920">
        <w:rPr>
          <w:rFonts w:ascii="Baskerville Old Face" w:hAnsi="Baskerville Old Face"/>
          <w:i/>
          <w:iCs/>
        </w:rPr>
        <w:t>A governance-approved registration assurance mechanism, where applicable, which must not imply automatic token forfeiture, slashing, economic penalty, or constitutional authority unless separately structured, disclosed, reviewed, and legally validated.</w:t>
      </w:r>
    </w:p>
    <w:p w14:paraId="6FDD6D3E"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The DPKI registry is itself a Holochain DNA, ensuring that it is:</w:t>
      </w:r>
    </w:p>
    <w:p w14:paraId="1CB4E05B" w14:textId="77777777" w:rsidR="008E20E1" w:rsidRPr="00B479AE" w:rsidRDefault="008E20E1">
      <w:pPr>
        <w:numPr>
          <w:ilvl w:val="0"/>
          <w:numId w:val="5"/>
        </w:numPr>
        <w:spacing w:line="360" w:lineRule="auto"/>
        <w:rPr>
          <w:rFonts w:ascii="Baskerville Old Face" w:hAnsi="Baskerville Old Face"/>
          <w:i/>
          <w:iCs/>
        </w:rPr>
      </w:pPr>
      <w:r w:rsidRPr="00B479AE">
        <w:rPr>
          <w:rFonts w:ascii="Baskerville Old Face" w:hAnsi="Baskerville Old Face"/>
          <w:i/>
          <w:iCs/>
        </w:rPr>
        <w:lastRenderedPageBreak/>
        <w:t>Tamper-evident: all changes are recorded on source chains and validated by the DHT</w:t>
      </w:r>
    </w:p>
    <w:p w14:paraId="620FCE36" w14:textId="77777777" w:rsidR="008E20E1" w:rsidRPr="00B479AE" w:rsidRDefault="008E20E1">
      <w:pPr>
        <w:numPr>
          <w:ilvl w:val="0"/>
          <w:numId w:val="5"/>
        </w:numPr>
        <w:spacing w:line="360" w:lineRule="auto"/>
        <w:rPr>
          <w:rFonts w:ascii="Baskerville Old Face" w:hAnsi="Baskerville Old Face"/>
          <w:i/>
          <w:iCs/>
        </w:rPr>
      </w:pPr>
      <w:r w:rsidRPr="00B479AE">
        <w:rPr>
          <w:rFonts w:ascii="Baskerville Old Face" w:hAnsi="Baskerville Old Face"/>
          <w:i/>
          <w:iCs/>
        </w:rPr>
        <w:t>Globally accessible: any node can resolve a DID to its current public key</w:t>
      </w:r>
    </w:p>
    <w:p w14:paraId="1366CE94" w14:textId="77777777" w:rsidR="008E20E1" w:rsidRPr="00B479AE" w:rsidRDefault="008E20E1">
      <w:pPr>
        <w:numPr>
          <w:ilvl w:val="0"/>
          <w:numId w:val="5"/>
        </w:numPr>
        <w:spacing w:line="360" w:lineRule="auto"/>
        <w:rPr>
          <w:rFonts w:ascii="Baskerville Old Face" w:hAnsi="Baskerville Old Face"/>
          <w:i/>
          <w:iCs/>
        </w:rPr>
      </w:pPr>
      <w:r w:rsidRPr="00B479AE">
        <w:rPr>
          <w:rFonts w:ascii="Baskerville Old Face" w:hAnsi="Baskerville Old Face"/>
          <w:i/>
          <w:iCs/>
        </w:rPr>
        <w:t>Revocable: developers can rotate keys or revoke compromised keys through a governance-approved process</w:t>
      </w:r>
    </w:p>
    <w:p w14:paraId="5425A07B" w14:textId="77777777" w:rsidR="002A5030" w:rsidRPr="00B479AE" w:rsidRDefault="002A5030" w:rsidP="002A5030">
      <w:pPr>
        <w:spacing w:line="360" w:lineRule="auto"/>
        <w:ind w:left="360"/>
        <w:rPr>
          <w:rFonts w:ascii="Baskerville Old Face" w:hAnsi="Baskerville Old Face"/>
          <w:i/>
          <w:iCs/>
        </w:rPr>
      </w:pPr>
    </w:p>
    <w:p w14:paraId="6A0FB8E3" w14:textId="77777777" w:rsidR="008E20E1" w:rsidRPr="00B479AE" w:rsidRDefault="008E20E1" w:rsidP="008E20E1">
      <w:pPr>
        <w:spacing w:line="360" w:lineRule="auto"/>
        <w:rPr>
          <w:rFonts w:ascii="Baskerville Old Face" w:hAnsi="Baskerville Old Face"/>
          <w:b/>
          <w:bCs/>
          <w:i/>
          <w:iCs/>
        </w:rPr>
      </w:pPr>
      <w:r w:rsidRPr="00B479AE">
        <w:rPr>
          <w:rFonts w:ascii="Baskerville Old Face" w:hAnsi="Baskerville Old Face"/>
          <w:b/>
          <w:bCs/>
          <w:i/>
          <w:iCs/>
        </w:rPr>
        <w:t>D.2.2 Header signing procedure</w:t>
      </w:r>
    </w:p>
    <w:p w14:paraId="7834D459"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When a developer prepares a module for deployment, they must generate a syntropic sovereignty header and sign it with their private key. The procedure is as follows:</w:t>
      </w:r>
    </w:p>
    <w:p w14:paraId="1DC34C27" w14:textId="77777777" w:rsidR="008E20E1" w:rsidRPr="00B479AE" w:rsidRDefault="008E20E1">
      <w:pPr>
        <w:numPr>
          <w:ilvl w:val="0"/>
          <w:numId w:val="6"/>
        </w:numPr>
        <w:spacing w:line="360" w:lineRule="auto"/>
        <w:rPr>
          <w:rFonts w:ascii="Baskerville Old Face" w:hAnsi="Baskerville Old Face"/>
          <w:i/>
          <w:iCs/>
        </w:rPr>
      </w:pPr>
      <w:r w:rsidRPr="00B479AE">
        <w:rPr>
          <w:rFonts w:ascii="Baskerville Old Face" w:hAnsi="Baskerville Old Face"/>
          <w:i/>
          <w:iCs/>
        </w:rPr>
        <w:t>Assemble header fields:</w:t>
      </w:r>
    </w:p>
    <w:p w14:paraId="684D2458" w14:textId="77777777" w:rsidR="008E20E1" w:rsidRPr="00B479AE" w:rsidRDefault="008E20E1">
      <w:pPr>
        <w:numPr>
          <w:ilvl w:val="1"/>
          <w:numId w:val="6"/>
        </w:numPr>
        <w:spacing w:line="360" w:lineRule="auto"/>
        <w:rPr>
          <w:rFonts w:ascii="Baskerville Old Face" w:hAnsi="Baskerville Old Face"/>
          <w:i/>
          <w:iCs/>
        </w:rPr>
      </w:pPr>
      <w:r w:rsidRPr="00B479AE">
        <w:rPr>
          <w:rFonts w:ascii="Baskerville Old Face" w:hAnsi="Baskerville Old Face"/>
          <w:i/>
          <w:iCs/>
        </w:rPr>
        <w:t>Set header_version to the current version (e.g., "1.0").</w:t>
      </w:r>
    </w:p>
    <w:p w14:paraId="72783C4D" w14:textId="77777777" w:rsidR="008E20E1" w:rsidRPr="00B479AE" w:rsidRDefault="008E20E1">
      <w:pPr>
        <w:numPr>
          <w:ilvl w:val="1"/>
          <w:numId w:val="6"/>
        </w:numPr>
        <w:spacing w:line="360" w:lineRule="auto"/>
        <w:rPr>
          <w:rFonts w:ascii="Baskerville Old Face" w:hAnsi="Baskerville Old Face"/>
          <w:i/>
          <w:iCs/>
        </w:rPr>
      </w:pPr>
      <w:r w:rsidRPr="00B479AE">
        <w:rPr>
          <w:rFonts w:ascii="Baskerville Old Face" w:hAnsi="Baskerville Old Face"/>
          <w:i/>
          <w:iCs/>
        </w:rPr>
        <w:t>Compute SHA-256 hashes of the three constitutionally incorporated documents:</w:t>
      </w:r>
    </w:p>
    <w:p w14:paraId="09AE4B3D" w14:textId="77777777" w:rsidR="008E20E1" w:rsidRPr="00B479AE" w:rsidRDefault="008E20E1">
      <w:pPr>
        <w:numPr>
          <w:ilvl w:val="2"/>
          <w:numId w:val="6"/>
        </w:numPr>
        <w:spacing w:line="360" w:lineRule="auto"/>
        <w:rPr>
          <w:rFonts w:ascii="Baskerville Old Face" w:hAnsi="Baskerville Old Face"/>
          <w:i/>
          <w:iCs/>
        </w:rPr>
      </w:pPr>
      <w:r w:rsidRPr="00B479AE">
        <w:rPr>
          <w:rFonts w:ascii="Baskerville Old Face" w:hAnsi="Baskerville Old Face"/>
          <w:i/>
          <w:iCs/>
        </w:rPr>
        <w:t>constitution_hash = SHA256(Syntropic_Sovereignty_Header.md)</w:t>
      </w:r>
    </w:p>
    <w:p w14:paraId="7E8920F9" w14:textId="77777777" w:rsidR="008E20E1" w:rsidRPr="005907F1" w:rsidRDefault="008E20E1">
      <w:pPr>
        <w:numPr>
          <w:ilvl w:val="2"/>
          <w:numId w:val="6"/>
        </w:numPr>
        <w:spacing w:line="360" w:lineRule="auto"/>
        <w:rPr>
          <w:rFonts w:ascii="Baskerville Old Face" w:hAnsi="Baskerville Old Face"/>
          <w:i/>
          <w:iCs/>
          <w:lang w:val="it-IT"/>
        </w:rPr>
      </w:pPr>
      <w:r w:rsidRPr="005907F1">
        <w:rPr>
          <w:rFonts w:ascii="Baskerville Old Face" w:hAnsi="Baskerville Old Face"/>
          <w:i/>
          <w:iCs/>
          <w:lang w:val="it-IT"/>
        </w:rPr>
        <w:t>manifesto_hash = SHA256(h•eart•h_Intelligence_Manifesto.md)</w:t>
      </w:r>
    </w:p>
    <w:p w14:paraId="6DC2EB0A" w14:textId="77777777" w:rsidR="008E20E1" w:rsidRPr="00B479AE" w:rsidRDefault="008E20E1">
      <w:pPr>
        <w:numPr>
          <w:ilvl w:val="2"/>
          <w:numId w:val="6"/>
        </w:numPr>
        <w:spacing w:line="360" w:lineRule="auto"/>
        <w:rPr>
          <w:rFonts w:ascii="Baskerville Old Face" w:hAnsi="Baskerville Old Face"/>
          <w:i/>
          <w:iCs/>
        </w:rPr>
      </w:pPr>
      <w:r w:rsidRPr="00B479AE">
        <w:rPr>
          <w:rFonts w:ascii="Baskerville Old Face" w:hAnsi="Baskerville Old Face"/>
          <w:i/>
          <w:iCs/>
        </w:rPr>
        <w:t>license_hash = SHA256(CAL-1.0_Syntropic_rider_license.md)</w:t>
      </w:r>
    </w:p>
    <w:p w14:paraId="69BFBEC3" w14:textId="77777777" w:rsidR="008E20E1" w:rsidRPr="00B479AE" w:rsidRDefault="008E20E1">
      <w:pPr>
        <w:numPr>
          <w:ilvl w:val="1"/>
          <w:numId w:val="6"/>
        </w:numPr>
        <w:spacing w:line="360" w:lineRule="auto"/>
        <w:rPr>
          <w:rFonts w:ascii="Baskerville Old Face" w:hAnsi="Baskerville Old Face"/>
          <w:i/>
          <w:iCs/>
        </w:rPr>
      </w:pPr>
      <w:r w:rsidRPr="00B479AE">
        <w:rPr>
          <w:rFonts w:ascii="Baskerville Old Face" w:hAnsi="Baskerville Old Face"/>
          <w:i/>
          <w:iCs/>
        </w:rPr>
        <w:t>Include the canonical list of core principles in the principles array.</w:t>
      </w:r>
    </w:p>
    <w:p w14:paraId="7C0640D6" w14:textId="77777777" w:rsidR="008E20E1" w:rsidRPr="00B479AE" w:rsidRDefault="008E20E1">
      <w:pPr>
        <w:numPr>
          <w:ilvl w:val="1"/>
          <w:numId w:val="6"/>
        </w:numPr>
        <w:spacing w:line="360" w:lineRule="auto"/>
        <w:rPr>
          <w:rFonts w:ascii="Baskerville Old Face" w:hAnsi="Baskerville Old Face"/>
          <w:i/>
          <w:iCs/>
        </w:rPr>
      </w:pPr>
      <w:r w:rsidRPr="00B479AE">
        <w:rPr>
          <w:rFonts w:ascii="Baskerville Old Face" w:hAnsi="Baskerville Old Face"/>
          <w:i/>
          <w:iCs/>
        </w:rPr>
        <w:t>Set timestamp to the current UTC time in ISO 8601 format.</w:t>
      </w:r>
    </w:p>
    <w:p w14:paraId="16F25791" w14:textId="77777777" w:rsidR="008E20E1" w:rsidRPr="00B479AE" w:rsidRDefault="008E20E1">
      <w:pPr>
        <w:numPr>
          <w:ilvl w:val="1"/>
          <w:numId w:val="6"/>
        </w:numPr>
        <w:spacing w:line="360" w:lineRule="auto"/>
        <w:rPr>
          <w:rFonts w:ascii="Baskerville Old Face" w:hAnsi="Baskerville Old Face"/>
          <w:i/>
          <w:iCs/>
        </w:rPr>
      </w:pPr>
      <w:r w:rsidRPr="00B479AE">
        <w:rPr>
          <w:rFonts w:ascii="Baskerville Old Face" w:hAnsi="Baskerville Old Face"/>
          <w:i/>
          <w:iCs/>
        </w:rPr>
        <w:t>Include the developer's DID (obtained from DPKI) in the developer_did field.</w:t>
      </w:r>
    </w:p>
    <w:p w14:paraId="6A161909" w14:textId="77777777" w:rsidR="008E20E1" w:rsidRPr="00B479AE" w:rsidRDefault="008E20E1">
      <w:pPr>
        <w:numPr>
          <w:ilvl w:val="0"/>
          <w:numId w:val="6"/>
        </w:numPr>
        <w:spacing w:line="360" w:lineRule="auto"/>
        <w:rPr>
          <w:rFonts w:ascii="Baskerville Old Face" w:hAnsi="Baskerville Old Face"/>
          <w:i/>
          <w:iCs/>
        </w:rPr>
      </w:pPr>
      <w:r w:rsidRPr="00B479AE">
        <w:rPr>
          <w:rFonts w:ascii="Baskerville Old Face" w:hAnsi="Baskerville Old Face"/>
          <w:i/>
          <w:iCs/>
        </w:rPr>
        <w:t>Serialize the header (excluding the signature field) into a canonical JSON string. The serialization must follow strict rules to ensure reproducibility:</w:t>
      </w:r>
    </w:p>
    <w:p w14:paraId="6CCB536C" w14:textId="77777777" w:rsidR="008E20E1" w:rsidRPr="00B479AE" w:rsidRDefault="008E20E1">
      <w:pPr>
        <w:numPr>
          <w:ilvl w:val="1"/>
          <w:numId w:val="6"/>
        </w:numPr>
        <w:spacing w:line="360" w:lineRule="auto"/>
        <w:rPr>
          <w:rFonts w:ascii="Baskerville Old Face" w:hAnsi="Baskerville Old Face"/>
          <w:i/>
          <w:iCs/>
        </w:rPr>
      </w:pPr>
      <w:r w:rsidRPr="00B479AE">
        <w:rPr>
          <w:rFonts w:ascii="Baskerville Old Face" w:hAnsi="Baskerville Old Face"/>
          <w:i/>
          <w:iCs/>
        </w:rPr>
        <w:t>Keys are sorted lexicographically</w:t>
      </w:r>
    </w:p>
    <w:p w14:paraId="4F4C3851" w14:textId="77777777" w:rsidR="008E20E1" w:rsidRPr="00B479AE" w:rsidRDefault="008E20E1">
      <w:pPr>
        <w:numPr>
          <w:ilvl w:val="1"/>
          <w:numId w:val="6"/>
        </w:numPr>
        <w:spacing w:line="360" w:lineRule="auto"/>
        <w:rPr>
          <w:rFonts w:ascii="Baskerville Old Face" w:hAnsi="Baskerville Old Face"/>
          <w:i/>
          <w:iCs/>
        </w:rPr>
      </w:pPr>
      <w:r w:rsidRPr="00B479AE">
        <w:rPr>
          <w:rFonts w:ascii="Baskerville Old Face" w:hAnsi="Baskerville Old Face"/>
          <w:i/>
          <w:iCs/>
        </w:rPr>
        <w:t>No extra whitespace</w:t>
      </w:r>
    </w:p>
    <w:p w14:paraId="3A194C6D" w14:textId="77777777" w:rsidR="008E20E1" w:rsidRPr="00B479AE" w:rsidRDefault="008E20E1">
      <w:pPr>
        <w:numPr>
          <w:ilvl w:val="1"/>
          <w:numId w:val="6"/>
        </w:numPr>
        <w:spacing w:line="360" w:lineRule="auto"/>
        <w:rPr>
          <w:rFonts w:ascii="Baskerville Old Face" w:hAnsi="Baskerville Old Face"/>
          <w:i/>
          <w:iCs/>
        </w:rPr>
      </w:pPr>
      <w:r w:rsidRPr="00B479AE">
        <w:rPr>
          <w:rFonts w:ascii="Baskerville Old Face" w:hAnsi="Baskerville Old Face"/>
          <w:i/>
          <w:iCs/>
        </w:rPr>
        <w:t>Arrays maintain their order</w:t>
      </w:r>
    </w:p>
    <w:p w14:paraId="7795B2A2" w14:textId="77777777" w:rsidR="008E20E1" w:rsidRPr="00B479AE" w:rsidRDefault="008E20E1">
      <w:pPr>
        <w:numPr>
          <w:ilvl w:val="0"/>
          <w:numId w:val="6"/>
        </w:numPr>
        <w:spacing w:line="360" w:lineRule="auto"/>
        <w:rPr>
          <w:rFonts w:ascii="Baskerville Old Face" w:hAnsi="Baskerville Old Face"/>
          <w:i/>
          <w:iCs/>
        </w:rPr>
      </w:pPr>
      <w:r w:rsidRPr="00B479AE">
        <w:rPr>
          <w:rFonts w:ascii="Baskerville Old Face" w:hAnsi="Baskerville Old Face"/>
          <w:i/>
          <w:iCs/>
        </w:rPr>
        <w:t>Compute the signature:</w:t>
      </w:r>
    </w:p>
    <w:p w14:paraId="44F2E42B" w14:textId="77777777" w:rsidR="008E20E1" w:rsidRPr="00B479AE" w:rsidRDefault="008E20E1">
      <w:pPr>
        <w:numPr>
          <w:ilvl w:val="1"/>
          <w:numId w:val="6"/>
        </w:numPr>
        <w:spacing w:line="360" w:lineRule="auto"/>
        <w:rPr>
          <w:rFonts w:ascii="Baskerville Old Face" w:hAnsi="Baskerville Old Face"/>
          <w:i/>
          <w:iCs/>
        </w:rPr>
      </w:pPr>
      <w:r w:rsidRPr="00B479AE">
        <w:rPr>
          <w:rFonts w:ascii="Baskerville Old Face" w:hAnsi="Baskerville Old Face"/>
          <w:i/>
          <w:iCs/>
        </w:rPr>
        <w:lastRenderedPageBreak/>
        <w:t>Hash the canonical JSON string using SHA-256 to produce a message digest.</w:t>
      </w:r>
    </w:p>
    <w:p w14:paraId="35280E14" w14:textId="77777777" w:rsidR="008E20E1" w:rsidRPr="00B479AE" w:rsidRDefault="008E20E1">
      <w:pPr>
        <w:numPr>
          <w:ilvl w:val="1"/>
          <w:numId w:val="6"/>
        </w:numPr>
        <w:spacing w:line="360" w:lineRule="auto"/>
        <w:rPr>
          <w:rFonts w:ascii="Baskerville Old Face" w:hAnsi="Baskerville Old Face"/>
          <w:i/>
          <w:iCs/>
        </w:rPr>
      </w:pPr>
      <w:r w:rsidRPr="00B479AE">
        <w:rPr>
          <w:rFonts w:ascii="Baskerville Old Face" w:hAnsi="Baskerville Old Face"/>
          <w:i/>
          <w:iCs/>
        </w:rPr>
        <w:t>Sign the digest using the developer's private key with the Ed25519 signature algorithm.</w:t>
      </w:r>
    </w:p>
    <w:p w14:paraId="5CB0E18B" w14:textId="77777777" w:rsidR="008E20E1" w:rsidRPr="00B479AE" w:rsidRDefault="008E20E1">
      <w:pPr>
        <w:numPr>
          <w:ilvl w:val="1"/>
          <w:numId w:val="6"/>
        </w:numPr>
        <w:spacing w:line="360" w:lineRule="auto"/>
        <w:rPr>
          <w:rFonts w:ascii="Baskerville Old Face" w:hAnsi="Baskerville Old Face"/>
          <w:i/>
          <w:iCs/>
        </w:rPr>
      </w:pPr>
      <w:r w:rsidRPr="00B479AE">
        <w:rPr>
          <w:rFonts w:ascii="Baskerville Old Face" w:hAnsi="Baskerville Old Face"/>
          <w:i/>
          <w:iCs/>
        </w:rPr>
        <w:t>Encode the resulting signature in Base64 and store it in the signature field.</w:t>
      </w:r>
    </w:p>
    <w:p w14:paraId="08C967E4" w14:textId="77777777" w:rsidR="008E20E1" w:rsidRPr="00B479AE" w:rsidRDefault="008E20E1">
      <w:pPr>
        <w:numPr>
          <w:ilvl w:val="0"/>
          <w:numId w:val="6"/>
        </w:numPr>
        <w:spacing w:line="360" w:lineRule="auto"/>
        <w:rPr>
          <w:rFonts w:ascii="Baskerville Old Face" w:hAnsi="Baskerville Old Face"/>
          <w:i/>
          <w:iCs/>
        </w:rPr>
      </w:pPr>
      <w:r w:rsidRPr="00B479AE">
        <w:rPr>
          <w:rFonts w:ascii="Baskerville Old Face" w:hAnsi="Baskerville Old Face"/>
          <w:i/>
          <w:iCs/>
        </w:rPr>
        <w:t>Embed the complete header at the beginning of the module or data packet.</w:t>
      </w:r>
    </w:p>
    <w:p w14:paraId="31A359DD" w14:textId="77777777" w:rsidR="008E20E1" w:rsidRPr="00B479AE" w:rsidRDefault="008E20E1" w:rsidP="008E20E1">
      <w:pPr>
        <w:spacing w:line="360" w:lineRule="auto"/>
        <w:rPr>
          <w:rFonts w:ascii="Baskerville Old Face" w:hAnsi="Baskerville Old Face"/>
          <w:b/>
          <w:bCs/>
          <w:i/>
          <w:iCs/>
        </w:rPr>
      </w:pPr>
      <w:r w:rsidRPr="00B479AE">
        <w:rPr>
          <w:rFonts w:ascii="Baskerville Old Face" w:hAnsi="Baskerville Old Face"/>
          <w:b/>
          <w:bCs/>
          <w:i/>
          <w:iCs/>
        </w:rPr>
        <w:t>D.2.3 Signature verification algorithm</w:t>
      </w:r>
    </w:p>
    <w:p w14:paraId="62BB4A6D"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Every node that receives a module or packet MUST independently verify the syntropic sovereignty header before accepting or executing it.</w:t>
      </w:r>
    </w:p>
    <w:p w14:paraId="46231AF4"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text</w:t>
      </w:r>
    </w:p>
    <w:p w14:paraId="4BCDD6EF"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function verify_header(module):</w:t>
      </w:r>
    </w:p>
    <w:p w14:paraId="32BB75ED"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 Step 1: Extract header</w:t>
      </w:r>
    </w:p>
    <w:p w14:paraId="5CA7DC8A"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header = extract_json_header(module)</w:t>
      </w:r>
    </w:p>
    <w:p w14:paraId="2EC47300"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if header is malformed or missing required fields:</w:t>
      </w:r>
    </w:p>
    <w:p w14:paraId="417C8ACF"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return REJECT("Malformed header")</w:t>
      </w:r>
    </w:p>
    <w:p w14:paraId="51F8F4D4"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 Step 2: Verify document hashes</w:t>
      </w:r>
    </w:p>
    <w:p w14:paraId="56D53C2F"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local_constitution_hash = sha256(get_constitution_file())</w:t>
      </w:r>
    </w:p>
    <w:p w14:paraId="4D72C8BD"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if header.constitution_hash != local_constitution_hash:</w:t>
      </w:r>
    </w:p>
    <w:p w14:paraId="478BE98E"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return REJECT("Constitution hash mismatch")</w:t>
      </w:r>
    </w:p>
    <w:p w14:paraId="5D8BBFD4"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local_manifesto_hash = sha256(get_manifesto_file())</w:t>
      </w:r>
    </w:p>
    <w:p w14:paraId="554B20A6"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if header.manifesto_hash != local_manifesto_hash:</w:t>
      </w:r>
    </w:p>
    <w:p w14:paraId="3E306B14"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return REJECT("Manifesto hash mismatch")</w:t>
      </w:r>
    </w:p>
    <w:p w14:paraId="6288B1E2"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local_license_hash = sha256(get_license_file())</w:t>
      </w:r>
    </w:p>
    <w:p w14:paraId="311D2037"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if header.license_hash != local_license_hash:</w:t>
      </w:r>
    </w:p>
    <w:p w14:paraId="4569B426"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lastRenderedPageBreak/>
        <w:t xml:space="preserve">        return REJECT("License hash mismatch")</w:t>
      </w:r>
    </w:p>
    <w:p w14:paraId="06BFA61E"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 Step 3: Verify core principles</w:t>
      </w:r>
    </w:p>
    <w:p w14:paraId="015488C6"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required_principles = [</w:t>
      </w:r>
    </w:p>
    <w:p w14:paraId="230FBD0F"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"spiral_of_abundance",</w:t>
      </w:r>
    </w:p>
    <w:p w14:paraId="2DD4A852"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"planetary_boundaries",</w:t>
      </w:r>
    </w:p>
    <w:p w14:paraId="524A0EE4"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"non_commodification_of_life",</w:t>
      </w:r>
    </w:p>
    <w:p w14:paraId="7E2A32C1"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"agent_sovereignty",</w:t>
      </w:r>
    </w:p>
    <w:p w14:paraId="33EA0A41" w14:textId="4C1F0BEB"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r w:rsidR="005D690B" w:rsidRPr="00B479AE">
        <w:rPr>
          <w:rFonts w:ascii="Baskerville Old Face" w:hAnsi="Baskerville Old Face"/>
          <w:i/>
          <w:iCs/>
        </w:rPr>
        <w:t>source_layer_non_admissibility"</w:t>
      </w:r>
      <w:r w:rsidRPr="00B479AE">
        <w:rPr>
          <w:rFonts w:ascii="Baskerville Old Face" w:hAnsi="Baskerville Old Face"/>
          <w:i/>
          <w:iCs/>
        </w:rPr>
        <w:t>,</w:t>
      </w:r>
    </w:p>
    <w:p w14:paraId="34982812"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"preventative_alignment",</w:t>
      </w:r>
    </w:p>
    <w:p w14:paraId="4C4606D1"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"intergenerational_responsibility"</w:t>
      </w:r>
    </w:p>
    <w:p w14:paraId="35805652"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p>
    <w:p w14:paraId="177C4BD4"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for principle in required_principles:</w:t>
      </w:r>
    </w:p>
    <w:p w14:paraId="1675B4CC"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if principle not in header.principles:</w:t>
      </w:r>
    </w:p>
    <w:p w14:paraId="3CA5B31A"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return REJECT(f"Missing core principle: {principle}")</w:t>
      </w:r>
    </w:p>
    <w:p w14:paraId="6BF2F9C2"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 Step 4: Verify timestamp (prevent replay attacks)</w:t>
      </w:r>
    </w:p>
    <w:p w14:paraId="63648548"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current_time = get_current_utc_time()</w:t>
      </w:r>
    </w:p>
    <w:p w14:paraId="2259F419" w14:textId="58C81E13"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w:t>
      </w:r>
      <w:r w:rsidR="000B4FC0" w:rsidRPr="000B4FC0">
        <w:rPr>
          <w:rFonts w:ascii="Baskerville Old Face" w:hAnsi="Baskerville Old Face"/>
          <w:i/>
          <w:iCs/>
        </w:rPr>
        <w:t>header_time = parse_iso8601(header.timestamp_utc)</w:t>
      </w:r>
    </w:p>
    <w:p w14:paraId="6FF62DDC"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if current_time - header_time &gt; MAX_HEADER_AGE (24 hours):</w:t>
      </w:r>
    </w:p>
    <w:p w14:paraId="524A3566"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return REJECT("Header timestamp expired")</w:t>
      </w:r>
    </w:p>
    <w:p w14:paraId="1530B354"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 Step 5: Resolve developer's public key from DPKI</w:t>
      </w:r>
    </w:p>
    <w:p w14:paraId="085C5019"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public_key = dpki_resolve(header.developer_did)</w:t>
      </w:r>
    </w:p>
    <w:p w14:paraId="5879737F"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if public_key is None:</w:t>
      </w:r>
    </w:p>
    <w:p w14:paraId="4650B39E"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lastRenderedPageBreak/>
        <w:t xml:space="preserve">        return REJECT("Developer DID not found in DPKI registry")</w:t>
      </w:r>
    </w:p>
    <w:p w14:paraId="377E87A3"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 Step 6: Recreate the canonical JSON (without signature)</w:t>
      </w:r>
    </w:p>
    <w:p w14:paraId="0C265547"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canonical_json = serialize_canonical(header, exclude_fields=["signature"])</w:t>
      </w:r>
    </w:p>
    <w:p w14:paraId="35A24F33" w14:textId="77777777" w:rsidR="008E20E1" w:rsidRPr="00B479AE" w:rsidRDefault="008E20E1" w:rsidP="008E20E1">
      <w:pPr>
        <w:spacing w:line="360" w:lineRule="auto"/>
        <w:rPr>
          <w:rFonts w:ascii="Baskerville Old Face" w:hAnsi="Baskerville Old Face"/>
          <w:i/>
          <w:iCs/>
        </w:rPr>
      </w:pPr>
    </w:p>
    <w:p w14:paraId="2EC5192A"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 Step 7: Verify signature</w:t>
      </w:r>
    </w:p>
    <w:p w14:paraId="5A633E97"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digest = sha256(canonical_json)</w:t>
      </w:r>
    </w:p>
    <w:p w14:paraId="2C651AFF"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if not ed25519_verify(public_key, digest, base64_decode(header.signature)):</w:t>
      </w:r>
    </w:p>
    <w:p w14:paraId="3DC970F1"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return REJECT("Invalid signature")</w:t>
      </w:r>
    </w:p>
    <w:p w14:paraId="73FEB240"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 xml:space="preserve">    return ACCEPT</w:t>
      </w:r>
    </w:p>
    <w:p w14:paraId="0D094640"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If verification fails, the node MUST:</w:t>
      </w:r>
    </w:p>
    <w:p w14:paraId="37D8C89D" w14:textId="77777777" w:rsidR="008E20E1" w:rsidRPr="00B479AE" w:rsidRDefault="008E20E1">
      <w:pPr>
        <w:numPr>
          <w:ilvl w:val="0"/>
          <w:numId w:val="7"/>
        </w:numPr>
        <w:spacing w:line="360" w:lineRule="auto"/>
        <w:rPr>
          <w:rFonts w:ascii="Baskerville Old Face" w:hAnsi="Baskerville Old Face"/>
          <w:i/>
          <w:iCs/>
        </w:rPr>
      </w:pPr>
      <w:r w:rsidRPr="00B479AE">
        <w:rPr>
          <w:rFonts w:ascii="Baskerville Old Face" w:hAnsi="Baskerville Old Face"/>
          <w:i/>
          <w:iCs/>
        </w:rPr>
        <w:t>Refuse to execute or propagate the module</w:t>
      </w:r>
    </w:p>
    <w:p w14:paraId="1294EDD4" w14:textId="77777777" w:rsidR="008E20E1" w:rsidRPr="00B479AE" w:rsidRDefault="008E20E1">
      <w:pPr>
        <w:numPr>
          <w:ilvl w:val="0"/>
          <w:numId w:val="7"/>
        </w:numPr>
        <w:spacing w:line="360" w:lineRule="auto"/>
        <w:rPr>
          <w:rFonts w:ascii="Baskerville Old Face" w:hAnsi="Baskerville Old Face"/>
          <w:i/>
          <w:iCs/>
        </w:rPr>
      </w:pPr>
      <w:r w:rsidRPr="00B479AE">
        <w:rPr>
          <w:rFonts w:ascii="Baskerville Old Face" w:hAnsi="Baskerville Old Face"/>
          <w:i/>
          <w:iCs/>
        </w:rPr>
        <w:t>Issue a warrant (a signed declaration of the violation) to its neighborhood</w:t>
      </w:r>
    </w:p>
    <w:p w14:paraId="767499BB" w14:textId="77777777" w:rsidR="008E20E1" w:rsidRPr="00B479AE" w:rsidRDefault="008E20E1">
      <w:pPr>
        <w:numPr>
          <w:ilvl w:val="0"/>
          <w:numId w:val="7"/>
        </w:numPr>
        <w:spacing w:line="360" w:lineRule="auto"/>
        <w:rPr>
          <w:rFonts w:ascii="Baskerville Old Face" w:hAnsi="Baskerville Old Face"/>
          <w:i/>
          <w:iCs/>
        </w:rPr>
      </w:pPr>
      <w:r w:rsidRPr="00B479AE">
        <w:rPr>
          <w:rFonts w:ascii="Baskerville Old Face" w:hAnsi="Baskerville Old Face"/>
          <w:i/>
          <w:iCs/>
        </w:rPr>
        <w:t>Decrement the developer's reputation score (if applicable)</w:t>
      </w:r>
    </w:p>
    <w:p w14:paraId="723A9237" w14:textId="77777777" w:rsidR="008E20E1" w:rsidRPr="00B479AE" w:rsidRDefault="008E20E1" w:rsidP="008E20E1">
      <w:pPr>
        <w:spacing w:line="360" w:lineRule="auto"/>
        <w:rPr>
          <w:rFonts w:ascii="Baskerville Old Face" w:hAnsi="Baskerville Old Face"/>
          <w:b/>
          <w:bCs/>
          <w:i/>
          <w:iCs/>
        </w:rPr>
      </w:pPr>
      <w:r w:rsidRPr="00B479AE">
        <w:rPr>
          <w:rFonts w:ascii="Baskerville Old Face" w:hAnsi="Baskerville Old Face"/>
          <w:b/>
          <w:bCs/>
          <w:i/>
          <w:iCs/>
        </w:rPr>
        <w:t>D.2.4 Handling of key revocation and rotation</w:t>
      </w:r>
    </w:p>
    <w:p w14:paraId="4C084EC7"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Developers may need to rotate their keys (e.g., due to compromise or regular security practices). The DPKI DNA supports key rotation through a governance-approved process:</w:t>
      </w:r>
    </w:p>
    <w:p w14:paraId="75C2F970" w14:textId="77777777" w:rsidR="008E20E1" w:rsidRPr="00B479AE" w:rsidRDefault="008E20E1">
      <w:pPr>
        <w:numPr>
          <w:ilvl w:val="0"/>
          <w:numId w:val="8"/>
        </w:numPr>
        <w:spacing w:line="360" w:lineRule="auto"/>
        <w:rPr>
          <w:rFonts w:ascii="Baskerville Old Face" w:hAnsi="Baskerville Old Face"/>
          <w:i/>
          <w:iCs/>
        </w:rPr>
      </w:pPr>
      <w:r w:rsidRPr="00B479AE">
        <w:rPr>
          <w:rFonts w:ascii="Baskerville Old Face" w:hAnsi="Baskerville Old Face"/>
          <w:i/>
          <w:iCs/>
        </w:rPr>
        <w:t>The developer creates a new key pair and submits a rotation request, signed with the old private key.</w:t>
      </w:r>
    </w:p>
    <w:p w14:paraId="53E83306" w14:textId="77777777" w:rsidR="008E20E1" w:rsidRPr="00B479AE" w:rsidRDefault="008E20E1">
      <w:pPr>
        <w:numPr>
          <w:ilvl w:val="0"/>
          <w:numId w:val="8"/>
        </w:numPr>
        <w:spacing w:line="360" w:lineRule="auto"/>
        <w:rPr>
          <w:rFonts w:ascii="Baskerville Old Face" w:hAnsi="Baskerville Old Face"/>
          <w:i/>
          <w:iCs/>
        </w:rPr>
      </w:pPr>
      <w:r w:rsidRPr="00B479AE">
        <w:rPr>
          <w:rFonts w:ascii="Baskerville Old Face" w:hAnsi="Baskerville Old Face"/>
          <w:i/>
          <w:iCs/>
        </w:rPr>
        <w:t>The request is broadcast to the DHT and enters a 7-day challenge period.</w:t>
      </w:r>
    </w:p>
    <w:p w14:paraId="0DFA5868" w14:textId="77777777" w:rsidR="008E20E1" w:rsidRPr="00B479AE" w:rsidRDefault="008E20E1">
      <w:pPr>
        <w:numPr>
          <w:ilvl w:val="0"/>
          <w:numId w:val="8"/>
        </w:numPr>
        <w:spacing w:line="360" w:lineRule="auto"/>
        <w:rPr>
          <w:rFonts w:ascii="Baskerville Old Face" w:hAnsi="Baskerville Old Face"/>
          <w:i/>
          <w:iCs/>
        </w:rPr>
      </w:pPr>
      <w:r w:rsidRPr="00B479AE">
        <w:rPr>
          <w:rFonts w:ascii="Baskerville Old Face" w:hAnsi="Baskerville Old Face"/>
          <w:i/>
          <w:iCs/>
        </w:rPr>
        <w:t>If no valid objections are raised (e.g., evidence of compromise), the DPKI registry updates the developer's DID to point to the new public key.</w:t>
      </w:r>
    </w:p>
    <w:p w14:paraId="581E3E7C" w14:textId="77777777" w:rsidR="008E20E1" w:rsidRPr="00B479AE" w:rsidRDefault="008E20E1">
      <w:pPr>
        <w:numPr>
          <w:ilvl w:val="0"/>
          <w:numId w:val="8"/>
        </w:numPr>
        <w:spacing w:line="360" w:lineRule="auto"/>
        <w:rPr>
          <w:rFonts w:ascii="Baskerville Old Face" w:hAnsi="Baskerville Old Face"/>
          <w:i/>
          <w:iCs/>
        </w:rPr>
      </w:pPr>
      <w:r w:rsidRPr="00B479AE">
        <w:rPr>
          <w:rFonts w:ascii="Baskerville Old Face" w:hAnsi="Baskerville Old Face"/>
          <w:i/>
          <w:iCs/>
        </w:rPr>
        <w:t>Modules signed with the old key continue to be valid until their timestamp exceeds MAX_HEADER_AGE; after that, they must be re-signed with the new key.</w:t>
      </w:r>
    </w:p>
    <w:p w14:paraId="1B4FF770"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lastRenderedPageBreak/>
        <w:t>In case of key compromise, the developer (or any community member) can initiate an emergency revocation by providing proof of compromise (e.g., a signed message from the attacker). A supermajority vote of the Prometheus circle is required to approve the revocation and blacklist the compromised key.</w:t>
      </w:r>
    </w:p>
    <w:p w14:paraId="65D435BD" w14:textId="1D7CAC33" w:rsidR="008E20E1" w:rsidRPr="00B479AE" w:rsidRDefault="008E20E1" w:rsidP="008E20E1">
      <w:pPr>
        <w:spacing w:line="360" w:lineRule="auto"/>
        <w:rPr>
          <w:rFonts w:ascii="Baskerville Old Face" w:hAnsi="Baskerville Old Face"/>
          <w:b/>
          <w:bCs/>
          <w:i/>
          <w:iCs/>
        </w:rPr>
      </w:pPr>
      <w:r w:rsidRPr="00B479AE">
        <w:rPr>
          <w:rFonts w:ascii="Baskerville Old Face" w:hAnsi="Baskerville Old Face"/>
          <w:b/>
          <w:bCs/>
          <w:i/>
          <w:iCs/>
        </w:rPr>
        <w:t>D.2.5 Signature aggregation for multi-developer modules</w:t>
      </w:r>
    </w:p>
    <w:p w14:paraId="191E7A64"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For modules developed collaboratively by multiple entities (e.g., a complex zome with contributions from several organizations), the header supports multi-signature via an array of signatures. The developer_did field becomes an array of DIDs, and the signature field becomes an array of signatures, each corresponding to the same canonical JSON. The verification algorithm checks that all signatures are valid; if any signature is missing or invalid, the entire module is rejected.</w:t>
      </w:r>
    </w:p>
    <w:p w14:paraId="414A02EE"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This ensures that collective responsibility is maintained and that no single party can unilaterally modify code that represents shared work.</w:t>
      </w:r>
    </w:p>
    <w:p w14:paraId="111741FB" w14:textId="77777777" w:rsidR="008E20E1" w:rsidRPr="005907F1" w:rsidRDefault="008E20E1" w:rsidP="005907F1">
      <w:pPr>
        <w:pStyle w:val="Titolo1"/>
        <w:rPr>
          <w:rFonts w:ascii="Baskerville Old Face" w:hAnsi="Baskerville Old Face"/>
          <w:b/>
          <w:bCs/>
          <w:i/>
          <w:iCs/>
          <w:sz w:val="24"/>
          <w:szCs w:val="24"/>
        </w:rPr>
      </w:pPr>
      <w:r w:rsidRPr="005907F1">
        <w:rPr>
          <w:rFonts w:ascii="Baskerville Old Face" w:hAnsi="Baskerville Old Face"/>
          <w:b/>
          <w:bCs/>
          <w:i/>
          <w:iCs/>
          <w:sz w:val="24"/>
          <w:szCs w:val="24"/>
        </w:rPr>
        <w:t>Appendix E: Hardware and infrastructure integration</w:t>
      </w:r>
    </w:p>
    <w:p w14:paraId="444AE7AA"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The h•eart•h Prometheus protocol supports integration with a wide range of sovereign hardware devices, operating systems, and infrastructure providers. Technical specifications, including device requirements, Holochain pre-installation, HSI firmware, Unyt edge runtime, market logistics, and support protocols, are maintained in the separate technical documentation package, enabling any qualified partner to develop compliant implementations.</w:t>
      </w:r>
    </w:p>
    <w:p w14:paraId="08A6486B"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For partnership inquiries and technical specifications, please contact the publisher: uwohali77@gmail.com</w:t>
      </w:r>
    </w:p>
    <w:p w14:paraId="7BC1D7AD" w14:textId="77777777" w:rsidR="008E20E1" w:rsidRPr="005907F1" w:rsidRDefault="008E20E1" w:rsidP="005907F1">
      <w:pPr>
        <w:pStyle w:val="Titolo1"/>
        <w:rPr>
          <w:rFonts w:ascii="Baskerville Old Face" w:hAnsi="Baskerville Old Face"/>
          <w:b/>
          <w:bCs/>
          <w:i/>
          <w:iCs/>
          <w:sz w:val="24"/>
          <w:szCs w:val="24"/>
        </w:rPr>
      </w:pPr>
      <w:r w:rsidRPr="005907F1">
        <w:rPr>
          <w:rFonts w:ascii="Baskerville Old Face" w:hAnsi="Baskerville Old Face"/>
          <w:b/>
          <w:bCs/>
          <w:i/>
          <w:iCs/>
          <w:sz w:val="24"/>
          <w:szCs w:val="24"/>
        </w:rPr>
        <w:t>Appendix F: TRBK DNA specification</w:t>
      </w:r>
    </w:p>
    <w:p w14:paraId="567C0726" w14:textId="77777777" w:rsidR="008E20E1" w:rsidRPr="00B479AE" w:rsidRDefault="008E20E1" w:rsidP="008E20E1">
      <w:pPr>
        <w:spacing w:line="360" w:lineRule="auto"/>
        <w:rPr>
          <w:rFonts w:ascii="Baskerville Old Face" w:hAnsi="Baskerville Old Face"/>
          <w:i/>
          <w:iCs/>
        </w:rPr>
      </w:pPr>
      <w:r w:rsidRPr="00B479AE">
        <w:rPr>
          <w:rFonts w:ascii="Baskerville Old Face" w:hAnsi="Baskerville Old Face"/>
          <w:i/>
          <w:iCs/>
        </w:rPr>
        <w:t>Detailed technical specifications, including schema definitions, validation rules, and implementation guidelines, are maintained by Tribeke Training Company and are available upon request. For complete documentation, integration inquiries, and information about TRBK's utility, community initiatives, and future developments (including potential expansion into cloud mining and DeFi services), please contact: community@tribeke.com</w:t>
      </w:r>
    </w:p>
    <w:p w14:paraId="09F3B243" w14:textId="77777777" w:rsidR="00D92255" w:rsidRPr="005907F1" w:rsidRDefault="00D92255" w:rsidP="005907F1">
      <w:pPr>
        <w:pStyle w:val="Titolo1"/>
        <w:rPr>
          <w:rFonts w:ascii="Baskerville Old Face" w:hAnsi="Baskerville Old Face"/>
          <w:b/>
          <w:bCs/>
          <w:i/>
          <w:iCs/>
          <w:sz w:val="24"/>
          <w:szCs w:val="24"/>
        </w:rPr>
      </w:pPr>
      <w:r w:rsidRPr="005907F1">
        <w:rPr>
          <w:rFonts w:ascii="Baskerville Old Face" w:hAnsi="Baskerville Old Face"/>
          <w:b/>
          <w:bCs/>
          <w:i/>
          <w:iCs/>
          <w:sz w:val="24"/>
          <w:szCs w:val="24"/>
        </w:rPr>
        <w:t>Appendix G: MRV Evidence, Provenance, and Admissibility Technical Specification</w:t>
      </w:r>
    </w:p>
    <w:p w14:paraId="0C2BD609" w14:textId="77777777" w:rsidR="00052FE3" w:rsidRDefault="00052FE3" w:rsidP="00D92255">
      <w:pPr>
        <w:spacing w:line="360" w:lineRule="auto"/>
        <w:rPr>
          <w:rFonts w:ascii="Baskerville Old Face" w:hAnsi="Baskerville Old Face"/>
          <w:b/>
          <w:bCs/>
          <w:i/>
          <w:iCs/>
        </w:rPr>
      </w:pPr>
    </w:p>
    <w:p w14:paraId="650A5C0D" w14:textId="700BB501"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lastRenderedPageBreak/>
        <w:t>G.1 Purpose and boundary</w:t>
      </w:r>
    </w:p>
    <w:p w14:paraId="597A42E7"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 Monitoring, Reporting, and Verification framework, or MRV, is the evidentiary infrastructure through which Prometheus observes, records, verifies, classifies, and preserves regenerative performance.</w:t>
      </w:r>
    </w:p>
    <w:p w14:paraId="42656C23"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MRV does not create ecological value by itself.</w:t>
      </w:r>
    </w:p>
    <w:p w14:paraId="47F25AD9"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MRV makes ecological change observable.</w:t>
      </w:r>
    </w:p>
    <w:p w14:paraId="37941265"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MRV does not issue tokens.</w:t>
      </w:r>
    </w:p>
    <w:p w14:paraId="4692852F"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MRV does not grant governance authority.</w:t>
      </w:r>
    </w:p>
    <w:p w14:paraId="7E0C2367"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MRV does not create investor rights.</w:t>
      </w:r>
    </w:p>
    <w:p w14:paraId="32B723A0"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MRV does not certify human worth.</w:t>
      </w:r>
    </w:p>
    <w:p w14:paraId="36DE78AF"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MRV does not transform narrative into financial value.</w:t>
      </w:r>
    </w:p>
    <w:p w14:paraId="0FC896F6"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MRV produces evidence status.</w:t>
      </w:r>
    </w:p>
    <w:p w14:paraId="1D54167D" w14:textId="1C81EC56"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That evidence status may later support PRU analysis, </w:t>
      </w:r>
      <w:r w:rsidR="00E71F80" w:rsidRPr="00B479AE">
        <w:rPr>
          <w:rFonts w:ascii="Baskerville Old Face" w:hAnsi="Baskerville Old Face"/>
          <w:i/>
          <w:iCs/>
        </w:rPr>
        <w:t>PRU maturity classification</w:t>
      </w:r>
      <w:r w:rsidRPr="00B479AE">
        <w:rPr>
          <w:rFonts w:ascii="Baskerville Old Face" w:hAnsi="Baskerville Old Face"/>
          <w:i/>
          <w:iCs/>
        </w:rPr>
        <w:t>, RAP eligibility, reporting, underwriting, institutional diligence, or future legally structured instruments, but only where the required methodology, confidence level, legal structure, governance review, and admissibility threshold exist.</w:t>
      </w:r>
    </w:p>
    <w:p w14:paraId="3DEF78F3"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 MRV architecture therefore exists to protect the foundational sequence:</w:t>
      </w:r>
    </w:p>
    <w:p w14:paraId="26FFDD51"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claim</w:t>
      </w:r>
      <w:r w:rsidRPr="00B479AE">
        <w:rPr>
          <w:rFonts w:ascii="Baskerville Old Face" w:hAnsi="Baskerville Old Face"/>
          <w:i/>
          <w:iCs/>
        </w:rPr>
        <w:br/>
        <w:t>observation</w:t>
      </w:r>
      <w:r w:rsidRPr="00B479AE">
        <w:rPr>
          <w:rFonts w:ascii="Baskerville Old Face" w:hAnsi="Baskerville Old Face"/>
          <w:i/>
          <w:iCs/>
        </w:rPr>
        <w:br/>
        <w:t>evidence</w:t>
      </w:r>
      <w:r w:rsidRPr="00B479AE">
        <w:rPr>
          <w:rFonts w:ascii="Baskerville Old Face" w:hAnsi="Baskerville Old Face"/>
          <w:i/>
          <w:iCs/>
        </w:rPr>
        <w:br/>
        <w:t>provenance</w:t>
      </w:r>
      <w:r w:rsidRPr="00B479AE">
        <w:rPr>
          <w:rFonts w:ascii="Baskerville Old Face" w:hAnsi="Baskerville Old Face"/>
          <w:i/>
          <w:iCs/>
        </w:rPr>
        <w:br/>
        <w:t>integrity</w:t>
      </w:r>
      <w:r w:rsidRPr="00B479AE">
        <w:rPr>
          <w:rFonts w:ascii="Baskerville Old Face" w:hAnsi="Baskerville Old Face"/>
          <w:i/>
          <w:iCs/>
        </w:rPr>
        <w:br/>
        <w:t>verified indicator</w:t>
      </w:r>
      <w:r w:rsidRPr="00B479AE">
        <w:rPr>
          <w:rFonts w:ascii="Baskerville Old Face" w:hAnsi="Baskerville Old Face"/>
          <w:i/>
          <w:iCs/>
        </w:rPr>
        <w:br/>
        <w:t>admissibility</w:t>
      </w:r>
      <w:r w:rsidRPr="00B479AE">
        <w:rPr>
          <w:rFonts w:ascii="Baskerville Old Face" w:hAnsi="Baskerville Old Face"/>
          <w:i/>
          <w:iCs/>
        </w:rPr>
        <w:br/>
        <w:t>value.</w:t>
      </w:r>
    </w:p>
    <w:p w14:paraId="40DA3A80"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lastRenderedPageBreak/>
        <w:t>This sequence is the immune system of Prometheus against greenwashing, tokenomic overreach, synthetic evidence, financial overclaiming, and semantic inflation.</w:t>
      </w:r>
    </w:p>
    <w:p w14:paraId="06A2FB6F"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G.2 MRV as evidence infrastructure</w:t>
      </w:r>
    </w:p>
    <w:p w14:paraId="35948B18"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 MRV layer transforms field reality into reviewable evidence.</w:t>
      </w:r>
    </w:p>
    <w:p w14:paraId="1EA8F349"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It integrates:</w:t>
      </w:r>
    </w:p>
    <w:p w14:paraId="5289E9A5"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remote sensing;</w:t>
      </w:r>
      <w:r w:rsidRPr="00B479AE">
        <w:rPr>
          <w:rFonts w:ascii="Baskerville Old Face" w:hAnsi="Baskerville Old Face"/>
          <w:i/>
          <w:iCs/>
        </w:rPr>
        <w:br/>
        <w:t>• field sensors;</w:t>
      </w:r>
      <w:r w:rsidRPr="00B479AE">
        <w:rPr>
          <w:rFonts w:ascii="Baskerville Old Face" w:hAnsi="Baskerville Old Face"/>
          <w:i/>
          <w:iCs/>
        </w:rPr>
        <w:br/>
        <w:t>• laboratory analyses;</w:t>
      </w:r>
      <w:r w:rsidRPr="00B479AE">
        <w:rPr>
          <w:rFonts w:ascii="Baskerville Old Face" w:hAnsi="Baskerville Old Face"/>
          <w:i/>
          <w:iCs/>
        </w:rPr>
        <w:br/>
        <w:t>• soil tests;</w:t>
      </w:r>
      <w:r w:rsidRPr="00B479AE">
        <w:rPr>
          <w:rFonts w:ascii="Baskerville Old Face" w:hAnsi="Baskerville Old Face"/>
          <w:i/>
          <w:iCs/>
        </w:rPr>
        <w:br/>
        <w:t>• water tests;</w:t>
      </w:r>
      <w:r w:rsidRPr="00B479AE">
        <w:rPr>
          <w:rFonts w:ascii="Baskerville Old Face" w:hAnsi="Baskerville Old Face"/>
          <w:i/>
          <w:iCs/>
        </w:rPr>
        <w:br/>
        <w:t>• biodiversity observations;</w:t>
      </w:r>
      <w:r w:rsidRPr="00B479AE">
        <w:rPr>
          <w:rFonts w:ascii="Baskerville Old Face" w:hAnsi="Baskerville Old Face"/>
          <w:i/>
          <w:iCs/>
        </w:rPr>
        <w:br/>
        <w:t>• drone or mobile imagery;</w:t>
      </w:r>
      <w:r w:rsidRPr="00B479AE">
        <w:rPr>
          <w:rFonts w:ascii="Baskerville Old Face" w:hAnsi="Baskerville Old Face"/>
          <w:i/>
          <w:iCs/>
        </w:rPr>
        <w:br/>
        <w:t>• operational records;</w:t>
      </w:r>
      <w:r w:rsidRPr="00B479AE">
        <w:rPr>
          <w:rFonts w:ascii="Baskerville Old Face" w:hAnsi="Baskerville Old Face"/>
          <w:i/>
          <w:iCs/>
        </w:rPr>
        <w:br/>
        <w:t>• field photographs;</w:t>
      </w:r>
      <w:r w:rsidRPr="00B479AE">
        <w:rPr>
          <w:rFonts w:ascii="Baskerville Old Face" w:hAnsi="Baskerville Old Face"/>
          <w:i/>
          <w:iCs/>
        </w:rPr>
        <w:br/>
        <w:t>• stewardship observation records;</w:t>
      </w:r>
      <w:r w:rsidRPr="00B479AE">
        <w:rPr>
          <w:rFonts w:ascii="Baskerville Old Face" w:hAnsi="Baskerville Old Face"/>
          <w:i/>
          <w:iCs/>
        </w:rPr>
        <w:br/>
        <w:t>• third-party audits;</w:t>
      </w:r>
      <w:r w:rsidRPr="00B479AE">
        <w:rPr>
          <w:rFonts w:ascii="Baskerville Old Face" w:hAnsi="Baskerville Old Face"/>
          <w:i/>
          <w:iCs/>
        </w:rPr>
        <w:br/>
        <w:t>• public environmental datasets;</w:t>
      </w:r>
      <w:r w:rsidRPr="00B479AE">
        <w:rPr>
          <w:rFonts w:ascii="Baskerville Old Face" w:hAnsi="Baskerville Old Face"/>
          <w:i/>
          <w:iCs/>
        </w:rPr>
        <w:br/>
        <w:t>• methodology references;</w:t>
      </w:r>
      <w:r w:rsidRPr="00B479AE">
        <w:rPr>
          <w:rFonts w:ascii="Baskerville Old Face" w:hAnsi="Baskerville Old Face"/>
          <w:i/>
          <w:iCs/>
        </w:rPr>
        <w:br/>
        <w:t>• governance review records where relevant.</w:t>
      </w:r>
    </w:p>
    <w:p w14:paraId="0FD54CA4"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Each data stream is partial.</w:t>
      </w:r>
    </w:p>
    <w:p w14:paraId="04E9E010"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No single satellite image, sensor, laboratory result, field note, AI output, community report, or human observation becomes sovereign evidence by itself.</w:t>
      </w:r>
    </w:p>
    <w:p w14:paraId="1B4566EF"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Evidence becomes stronger through convergence.</w:t>
      </w:r>
    </w:p>
    <w:p w14:paraId="508A9D3D"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 strongest MRV records are those supported by multiple sources, clear provenance, defined methodology, confidence scoring, and reviewability.</w:t>
      </w:r>
    </w:p>
    <w:p w14:paraId="70BF12C3"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 MRV principle is:</w:t>
      </w:r>
    </w:p>
    <w:p w14:paraId="6D3FA85E"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observe broadly;</w:t>
      </w:r>
      <w:r w:rsidRPr="00B479AE">
        <w:rPr>
          <w:rFonts w:ascii="Baskerville Old Face" w:hAnsi="Baskerville Old Face"/>
          <w:i/>
          <w:iCs/>
        </w:rPr>
        <w:br/>
        <w:t>verify carefully;</w:t>
      </w:r>
      <w:r w:rsidRPr="00B479AE">
        <w:rPr>
          <w:rFonts w:ascii="Baskerville Old Face" w:hAnsi="Baskerville Old Face"/>
          <w:i/>
          <w:iCs/>
        </w:rPr>
        <w:br/>
      </w:r>
      <w:r w:rsidRPr="00B479AE">
        <w:rPr>
          <w:rFonts w:ascii="Baskerville Old Face" w:hAnsi="Baskerville Old Face"/>
          <w:i/>
          <w:iCs/>
        </w:rPr>
        <w:lastRenderedPageBreak/>
        <w:t>classify precisely;</w:t>
      </w:r>
      <w:r w:rsidRPr="00B479AE">
        <w:rPr>
          <w:rFonts w:ascii="Baskerville Old Face" w:hAnsi="Baskerville Old Face"/>
          <w:i/>
          <w:iCs/>
        </w:rPr>
        <w:br/>
        <w:t>admit conservatively.</w:t>
      </w:r>
    </w:p>
    <w:p w14:paraId="12306E62"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G.3 MRV architecture overview</w:t>
      </w:r>
    </w:p>
    <w:p w14:paraId="67076464"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 MRV framework operates across five technical functions.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9"/>
        <w:gridCol w:w="8389"/>
      </w:tblGrid>
      <w:tr w:rsidR="00D92255" w:rsidRPr="00B479AE" w14:paraId="6468E79B" w14:textId="77777777" w:rsidTr="00595E38">
        <w:trPr>
          <w:tblHeader/>
          <w:tblCellSpacing w:w="15" w:type="dxa"/>
        </w:trPr>
        <w:tc>
          <w:tcPr>
            <w:tcW w:w="0" w:type="auto"/>
            <w:vAlign w:val="center"/>
            <w:hideMark/>
          </w:tcPr>
          <w:p w14:paraId="21A33269" w14:textId="77777777" w:rsidR="00D92255" w:rsidRPr="00B479AE" w:rsidRDefault="00D92255" w:rsidP="00D9225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Function</w:t>
            </w:r>
          </w:p>
        </w:tc>
        <w:tc>
          <w:tcPr>
            <w:tcW w:w="0" w:type="auto"/>
            <w:vAlign w:val="center"/>
            <w:hideMark/>
          </w:tcPr>
          <w:p w14:paraId="0CD1B712" w14:textId="77777777" w:rsidR="00D92255" w:rsidRPr="00B479AE" w:rsidRDefault="00D92255" w:rsidP="00D9225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Purpose</w:t>
            </w:r>
          </w:p>
        </w:tc>
      </w:tr>
      <w:tr w:rsidR="00D92255" w:rsidRPr="00B479AE" w14:paraId="048C5287" w14:textId="77777777" w:rsidTr="00595E38">
        <w:trPr>
          <w:tblCellSpacing w:w="15" w:type="dxa"/>
        </w:trPr>
        <w:tc>
          <w:tcPr>
            <w:tcW w:w="0" w:type="auto"/>
            <w:vAlign w:val="center"/>
            <w:hideMark/>
          </w:tcPr>
          <w:p w14:paraId="278A1CBF"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Observation</w:t>
            </w:r>
          </w:p>
        </w:tc>
        <w:tc>
          <w:tcPr>
            <w:tcW w:w="0" w:type="auto"/>
            <w:vAlign w:val="center"/>
            <w:hideMark/>
          </w:tcPr>
          <w:p w14:paraId="787D9364"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Captures ecological, operational, hydrological, productive, or stewardship-related events.</w:t>
            </w:r>
          </w:p>
        </w:tc>
      </w:tr>
      <w:tr w:rsidR="00D92255" w:rsidRPr="00B479AE" w14:paraId="171A4F3B" w14:textId="77777777" w:rsidTr="00595E38">
        <w:trPr>
          <w:tblCellSpacing w:w="15" w:type="dxa"/>
        </w:trPr>
        <w:tc>
          <w:tcPr>
            <w:tcW w:w="0" w:type="auto"/>
            <w:vAlign w:val="center"/>
            <w:hideMark/>
          </w:tcPr>
          <w:p w14:paraId="1646A770"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Provenance</w:t>
            </w:r>
          </w:p>
        </w:tc>
        <w:tc>
          <w:tcPr>
            <w:tcW w:w="0" w:type="auto"/>
            <w:vAlign w:val="center"/>
            <w:hideMark/>
          </w:tcPr>
          <w:p w14:paraId="2F92357A"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Records source identity, method, time, location, device, observer, chain of custody, and methodology version.</w:t>
            </w:r>
          </w:p>
        </w:tc>
      </w:tr>
      <w:tr w:rsidR="00D92255" w:rsidRPr="00B479AE" w14:paraId="20A8DD78" w14:textId="77777777" w:rsidTr="00595E38">
        <w:trPr>
          <w:tblCellSpacing w:w="15" w:type="dxa"/>
        </w:trPr>
        <w:tc>
          <w:tcPr>
            <w:tcW w:w="0" w:type="auto"/>
            <w:vAlign w:val="center"/>
            <w:hideMark/>
          </w:tcPr>
          <w:p w14:paraId="675E4FF7"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Validation</w:t>
            </w:r>
          </w:p>
        </w:tc>
        <w:tc>
          <w:tcPr>
            <w:tcW w:w="0" w:type="auto"/>
            <w:vAlign w:val="center"/>
            <w:hideMark/>
          </w:tcPr>
          <w:p w14:paraId="282EA627"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Checks data quality, completeness, consistency, calibration, and cross-source coherence.</w:t>
            </w:r>
          </w:p>
        </w:tc>
      </w:tr>
      <w:tr w:rsidR="00D92255" w:rsidRPr="00B479AE" w14:paraId="2AB55E2A" w14:textId="77777777" w:rsidTr="00595E38">
        <w:trPr>
          <w:tblCellSpacing w:w="15" w:type="dxa"/>
        </w:trPr>
        <w:tc>
          <w:tcPr>
            <w:tcW w:w="0" w:type="auto"/>
            <w:vAlign w:val="center"/>
            <w:hideMark/>
          </w:tcPr>
          <w:p w14:paraId="0944FA05"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Classification</w:t>
            </w:r>
          </w:p>
        </w:tc>
        <w:tc>
          <w:tcPr>
            <w:tcW w:w="0" w:type="auto"/>
            <w:vAlign w:val="center"/>
            <w:hideMark/>
          </w:tcPr>
          <w:p w14:paraId="363858D9"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Assigns evidence status: claim, observation, evidence, validated indicator, MRV-admissible, PRU-eligible, non-admissible.</w:t>
            </w:r>
          </w:p>
        </w:tc>
      </w:tr>
      <w:tr w:rsidR="00D92255" w:rsidRPr="00B479AE" w14:paraId="2101A13D" w14:textId="77777777" w:rsidTr="00595E38">
        <w:trPr>
          <w:tblCellSpacing w:w="15" w:type="dxa"/>
        </w:trPr>
        <w:tc>
          <w:tcPr>
            <w:tcW w:w="0" w:type="auto"/>
            <w:vAlign w:val="center"/>
            <w:hideMark/>
          </w:tcPr>
          <w:p w14:paraId="0AEA493A"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Reporting</w:t>
            </w:r>
          </w:p>
        </w:tc>
        <w:tc>
          <w:tcPr>
            <w:tcW w:w="0" w:type="auto"/>
            <w:vAlign w:val="center"/>
            <w:hideMark/>
          </w:tcPr>
          <w:p w14:paraId="5907F2FC"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Presents evidence in dashboards, reports, data rooms, pilot records, PRU analysis, or institutional review materials according to scope.</w:t>
            </w:r>
          </w:p>
        </w:tc>
      </w:tr>
    </w:tbl>
    <w:p w14:paraId="56936605"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 operational plane may store hashes, references, signed records, source-chain entries, or metadata in Holochain-compatible infrastructure where implemented.</w:t>
      </w:r>
    </w:p>
    <w:p w14:paraId="6FBDA4E1"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However, MRV data should not be described as automatically used for token issuance or governance decisions.</w:t>
      </w:r>
    </w:p>
    <w:p w14:paraId="596B4E7D"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 correct formulation is:</w:t>
      </w:r>
    </w:p>
    <w:p w14:paraId="04AEE9E8"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MRV records may support review, reporting, PRU analysis, governance awareness, and future legally structured instruments, subject to methodology, admissibility, and review.</w:t>
      </w:r>
    </w:p>
    <w:p w14:paraId="2AA61018"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G.4 Evidence maturity states</w:t>
      </w:r>
    </w:p>
    <w:p w14:paraId="3FC43033" w14:textId="428A6B85"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Every MRV-related record should carry an evidence maturity state.</w:t>
      </w:r>
      <w:r w:rsidR="002A5030" w:rsidRPr="00B479AE">
        <w:rPr>
          <w:rFonts w:ascii="Baskerville Old Face" w:hAnsi="Baskerville Old Face"/>
          <w:i/>
          <w:iCs/>
        </w:rPr>
        <w:t xml:space="preserve"> </w:t>
      </w:r>
    </w:p>
    <w:p w14:paraId="18A617B7" w14:textId="77777777" w:rsidR="002A5030" w:rsidRPr="00B479AE" w:rsidRDefault="002A5030" w:rsidP="00D92255">
      <w:pPr>
        <w:spacing w:line="360" w:lineRule="auto"/>
        <w:rPr>
          <w:rFonts w:ascii="Baskerville Old Face" w:hAnsi="Baskerville Old Face"/>
          <w:i/>
          <w:iCs/>
        </w:rPr>
      </w:pPr>
    </w:p>
    <w:p w14:paraId="104334DC" w14:textId="77777777" w:rsidR="002A5030" w:rsidRPr="00B479AE" w:rsidRDefault="002A5030" w:rsidP="00D92255">
      <w:pPr>
        <w:spacing w:line="360" w:lineRule="auto"/>
        <w:rPr>
          <w:rFonts w:ascii="Baskerville Old Face" w:hAnsi="Baskerville Old Face"/>
          <w:i/>
          <w:iCs/>
        </w:rPr>
      </w:pPr>
    </w:p>
    <w:p w14:paraId="71202382" w14:textId="77777777" w:rsidR="002A5030" w:rsidRPr="00B479AE" w:rsidRDefault="002A5030" w:rsidP="00D92255">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5"/>
        <w:gridCol w:w="4880"/>
        <w:gridCol w:w="3233"/>
      </w:tblGrid>
      <w:tr w:rsidR="00D92255" w:rsidRPr="00B479AE" w14:paraId="4FC8110A" w14:textId="77777777" w:rsidTr="00595E38">
        <w:trPr>
          <w:tblHeader/>
          <w:tblCellSpacing w:w="15" w:type="dxa"/>
        </w:trPr>
        <w:tc>
          <w:tcPr>
            <w:tcW w:w="0" w:type="auto"/>
            <w:vAlign w:val="center"/>
            <w:hideMark/>
          </w:tcPr>
          <w:p w14:paraId="6479F94E" w14:textId="77777777" w:rsidR="00D92255" w:rsidRPr="00B479AE" w:rsidRDefault="00D92255" w:rsidP="00D92255">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Status</w:t>
            </w:r>
          </w:p>
        </w:tc>
        <w:tc>
          <w:tcPr>
            <w:tcW w:w="0" w:type="auto"/>
            <w:vAlign w:val="center"/>
            <w:hideMark/>
          </w:tcPr>
          <w:p w14:paraId="365E0AF1" w14:textId="77777777" w:rsidR="00D92255" w:rsidRPr="00B479AE" w:rsidRDefault="00D92255" w:rsidP="00D92255">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Meaning</w:t>
            </w:r>
          </w:p>
        </w:tc>
        <w:tc>
          <w:tcPr>
            <w:tcW w:w="0" w:type="auto"/>
            <w:vAlign w:val="center"/>
            <w:hideMark/>
          </w:tcPr>
          <w:p w14:paraId="50D67EB7" w14:textId="77777777" w:rsidR="00D92255" w:rsidRPr="00B479AE" w:rsidRDefault="00D92255" w:rsidP="00D92255">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Permitted use</w:t>
            </w:r>
          </w:p>
        </w:tc>
      </w:tr>
      <w:tr w:rsidR="00D92255" w:rsidRPr="00B479AE" w14:paraId="44705BE4" w14:textId="77777777" w:rsidTr="00595E38">
        <w:trPr>
          <w:tblCellSpacing w:w="15" w:type="dxa"/>
        </w:trPr>
        <w:tc>
          <w:tcPr>
            <w:tcW w:w="0" w:type="auto"/>
            <w:vAlign w:val="center"/>
            <w:hideMark/>
          </w:tcPr>
          <w:p w14:paraId="49428F50"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Claim</w:t>
            </w:r>
          </w:p>
        </w:tc>
        <w:tc>
          <w:tcPr>
            <w:tcW w:w="0" w:type="auto"/>
            <w:vAlign w:val="center"/>
            <w:hideMark/>
          </w:tcPr>
          <w:p w14:paraId="1980D25F"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i/>
                <w:iCs/>
                <w:sz w:val="20"/>
                <w:szCs w:val="20"/>
              </w:rPr>
              <w:t>A statement not yet supported by sufficient evidence.</w:t>
            </w:r>
          </w:p>
        </w:tc>
        <w:tc>
          <w:tcPr>
            <w:tcW w:w="0" w:type="auto"/>
            <w:vAlign w:val="center"/>
            <w:hideMark/>
          </w:tcPr>
          <w:p w14:paraId="7E1345F9"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i/>
                <w:iCs/>
                <w:sz w:val="20"/>
                <w:szCs w:val="20"/>
              </w:rPr>
              <w:t>Narrative, hypothesis, intake, research question.</w:t>
            </w:r>
          </w:p>
        </w:tc>
      </w:tr>
      <w:tr w:rsidR="00D92255" w:rsidRPr="00B479AE" w14:paraId="2136E1AA" w14:textId="77777777" w:rsidTr="00595E38">
        <w:trPr>
          <w:tblCellSpacing w:w="15" w:type="dxa"/>
        </w:trPr>
        <w:tc>
          <w:tcPr>
            <w:tcW w:w="0" w:type="auto"/>
            <w:vAlign w:val="center"/>
            <w:hideMark/>
          </w:tcPr>
          <w:p w14:paraId="25820C2D"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Observation</w:t>
            </w:r>
          </w:p>
        </w:tc>
        <w:tc>
          <w:tcPr>
            <w:tcW w:w="0" w:type="auto"/>
            <w:vAlign w:val="center"/>
            <w:hideMark/>
          </w:tcPr>
          <w:p w14:paraId="0919E5BB"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i/>
                <w:iCs/>
                <w:sz w:val="20"/>
                <w:szCs w:val="20"/>
              </w:rPr>
              <w:t>A recorded event, measurement, image, note, or dataset.</w:t>
            </w:r>
          </w:p>
        </w:tc>
        <w:tc>
          <w:tcPr>
            <w:tcW w:w="0" w:type="auto"/>
            <w:vAlign w:val="center"/>
            <w:hideMark/>
          </w:tcPr>
          <w:p w14:paraId="418EE012"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i/>
                <w:iCs/>
                <w:sz w:val="20"/>
                <w:szCs w:val="20"/>
              </w:rPr>
              <w:t>Internal review, monitoring, early analysis.</w:t>
            </w:r>
          </w:p>
        </w:tc>
      </w:tr>
      <w:tr w:rsidR="00D92255" w:rsidRPr="00B479AE" w14:paraId="780E031F" w14:textId="77777777" w:rsidTr="00595E38">
        <w:trPr>
          <w:tblCellSpacing w:w="15" w:type="dxa"/>
        </w:trPr>
        <w:tc>
          <w:tcPr>
            <w:tcW w:w="0" w:type="auto"/>
            <w:vAlign w:val="center"/>
            <w:hideMark/>
          </w:tcPr>
          <w:p w14:paraId="517C0967"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Evidence</w:t>
            </w:r>
          </w:p>
        </w:tc>
        <w:tc>
          <w:tcPr>
            <w:tcW w:w="0" w:type="auto"/>
            <w:vAlign w:val="center"/>
            <w:hideMark/>
          </w:tcPr>
          <w:p w14:paraId="1E819BAC"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i/>
                <w:iCs/>
                <w:sz w:val="20"/>
                <w:szCs w:val="20"/>
              </w:rPr>
              <w:t>Observation with source, method, time, location, and provenance.</w:t>
            </w:r>
          </w:p>
        </w:tc>
        <w:tc>
          <w:tcPr>
            <w:tcW w:w="0" w:type="auto"/>
            <w:vAlign w:val="center"/>
            <w:hideMark/>
          </w:tcPr>
          <w:p w14:paraId="6D3DD47F"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i/>
                <w:iCs/>
                <w:sz w:val="20"/>
                <w:szCs w:val="20"/>
              </w:rPr>
              <w:t>MRV review, comparison, confidence scoring.</w:t>
            </w:r>
          </w:p>
        </w:tc>
      </w:tr>
      <w:tr w:rsidR="00D92255" w:rsidRPr="00B479AE" w14:paraId="6822523A" w14:textId="77777777" w:rsidTr="00595E38">
        <w:trPr>
          <w:tblCellSpacing w:w="15" w:type="dxa"/>
        </w:trPr>
        <w:tc>
          <w:tcPr>
            <w:tcW w:w="0" w:type="auto"/>
            <w:vAlign w:val="center"/>
            <w:hideMark/>
          </w:tcPr>
          <w:p w14:paraId="4C9AA72F"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Validated indicator</w:t>
            </w:r>
          </w:p>
        </w:tc>
        <w:tc>
          <w:tcPr>
            <w:tcW w:w="0" w:type="auto"/>
            <w:vAlign w:val="center"/>
            <w:hideMark/>
          </w:tcPr>
          <w:p w14:paraId="640C97B4"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i/>
                <w:iCs/>
                <w:sz w:val="20"/>
                <w:szCs w:val="20"/>
              </w:rPr>
              <w:t>Evidence that passed quality and consistency checks.</w:t>
            </w:r>
          </w:p>
        </w:tc>
        <w:tc>
          <w:tcPr>
            <w:tcW w:w="0" w:type="auto"/>
            <w:vAlign w:val="center"/>
            <w:hideMark/>
          </w:tcPr>
          <w:p w14:paraId="5224C83B"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i/>
                <w:iCs/>
                <w:sz w:val="20"/>
                <w:szCs w:val="20"/>
              </w:rPr>
              <w:t>Reporting, pilot analysis, methodological learning.</w:t>
            </w:r>
          </w:p>
        </w:tc>
      </w:tr>
      <w:tr w:rsidR="00D92255" w:rsidRPr="00B479AE" w14:paraId="62FB464F" w14:textId="77777777" w:rsidTr="00595E38">
        <w:trPr>
          <w:tblCellSpacing w:w="15" w:type="dxa"/>
        </w:trPr>
        <w:tc>
          <w:tcPr>
            <w:tcW w:w="0" w:type="auto"/>
            <w:vAlign w:val="center"/>
            <w:hideMark/>
          </w:tcPr>
          <w:p w14:paraId="07B97043"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Research-use only</w:t>
            </w:r>
          </w:p>
        </w:tc>
        <w:tc>
          <w:tcPr>
            <w:tcW w:w="0" w:type="auto"/>
            <w:vAlign w:val="center"/>
            <w:hideMark/>
          </w:tcPr>
          <w:p w14:paraId="7014711C"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i/>
                <w:iCs/>
                <w:sz w:val="20"/>
                <w:szCs w:val="20"/>
              </w:rPr>
              <w:t>Useful but not mature enough for PRU or investor-facing use.</w:t>
            </w:r>
          </w:p>
        </w:tc>
        <w:tc>
          <w:tcPr>
            <w:tcW w:w="0" w:type="auto"/>
            <w:vAlign w:val="center"/>
            <w:hideMark/>
          </w:tcPr>
          <w:p w14:paraId="5B4436E8"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i/>
                <w:iCs/>
                <w:sz w:val="20"/>
                <w:szCs w:val="20"/>
              </w:rPr>
              <w:t>Research, appendix, methodology development.</w:t>
            </w:r>
          </w:p>
        </w:tc>
      </w:tr>
      <w:tr w:rsidR="00D92255" w:rsidRPr="00B479AE" w14:paraId="05734732" w14:textId="77777777" w:rsidTr="00595E38">
        <w:trPr>
          <w:tblCellSpacing w:w="15" w:type="dxa"/>
        </w:trPr>
        <w:tc>
          <w:tcPr>
            <w:tcW w:w="0" w:type="auto"/>
            <w:vAlign w:val="center"/>
            <w:hideMark/>
          </w:tcPr>
          <w:p w14:paraId="5CC53158"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MRV-admissible</w:t>
            </w:r>
          </w:p>
        </w:tc>
        <w:tc>
          <w:tcPr>
            <w:tcW w:w="0" w:type="auto"/>
            <w:vAlign w:val="center"/>
            <w:hideMark/>
          </w:tcPr>
          <w:p w14:paraId="1402E559"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i/>
                <w:iCs/>
                <w:sz w:val="20"/>
                <w:szCs w:val="20"/>
              </w:rPr>
              <w:t>Evidence accepted for MRV reporting under defined scope.</w:t>
            </w:r>
          </w:p>
        </w:tc>
        <w:tc>
          <w:tcPr>
            <w:tcW w:w="0" w:type="auto"/>
            <w:vAlign w:val="center"/>
            <w:hideMark/>
          </w:tcPr>
          <w:p w14:paraId="4E253BC8"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i/>
                <w:iCs/>
                <w:sz w:val="20"/>
                <w:szCs w:val="20"/>
              </w:rPr>
              <w:t>MRV reports, data rooms, governance review.</w:t>
            </w:r>
          </w:p>
        </w:tc>
      </w:tr>
      <w:tr w:rsidR="00D92255" w:rsidRPr="00B479AE" w14:paraId="41E6D06D" w14:textId="77777777" w:rsidTr="00595E38">
        <w:trPr>
          <w:tblCellSpacing w:w="15" w:type="dxa"/>
        </w:trPr>
        <w:tc>
          <w:tcPr>
            <w:tcW w:w="0" w:type="auto"/>
            <w:vAlign w:val="center"/>
            <w:hideMark/>
          </w:tcPr>
          <w:p w14:paraId="327EECFB"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PRU-eligible</w:t>
            </w:r>
          </w:p>
        </w:tc>
        <w:tc>
          <w:tcPr>
            <w:tcW w:w="0" w:type="auto"/>
            <w:vAlign w:val="center"/>
            <w:hideMark/>
          </w:tcPr>
          <w:p w14:paraId="4A562C47"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i/>
                <w:iCs/>
                <w:sz w:val="20"/>
                <w:szCs w:val="20"/>
              </w:rPr>
              <w:t>Evidence may contribute to PRU analysis under approved methodology.</w:t>
            </w:r>
          </w:p>
        </w:tc>
        <w:tc>
          <w:tcPr>
            <w:tcW w:w="0" w:type="auto"/>
            <w:vAlign w:val="center"/>
            <w:hideMark/>
          </w:tcPr>
          <w:p w14:paraId="66ED8A7D"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i/>
                <w:iCs/>
                <w:sz w:val="20"/>
                <w:szCs w:val="20"/>
              </w:rPr>
              <w:t>PRU analysis, rating support, underwriting review.</w:t>
            </w:r>
          </w:p>
        </w:tc>
      </w:tr>
      <w:tr w:rsidR="00D92255" w:rsidRPr="00B479AE" w14:paraId="7C8555ED" w14:textId="77777777" w:rsidTr="00595E38">
        <w:trPr>
          <w:tblCellSpacing w:w="15" w:type="dxa"/>
        </w:trPr>
        <w:tc>
          <w:tcPr>
            <w:tcW w:w="0" w:type="auto"/>
            <w:vAlign w:val="center"/>
            <w:hideMark/>
          </w:tcPr>
          <w:p w14:paraId="4ED6B878"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Investor-review only</w:t>
            </w:r>
          </w:p>
        </w:tc>
        <w:tc>
          <w:tcPr>
            <w:tcW w:w="0" w:type="auto"/>
            <w:vAlign w:val="center"/>
            <w:hideMark/>
          </w:tcPr>
          <w:p w14:paraId="1E6FA964"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i/>
                <w:iCs/>
                <w:sz w:val="20"/>
                <w:szCs w:val="20"/>
              </w:rPr>
              <w:t>Evidence may be shown with limitations and disclosures.</w:t>
            </w:r>
          </w:p>
        </w:tc>
        <w:tc>
          <w:tcPr>
            <w:tcW w:w="0" w:type="auto"/>
            <w:vAlign w:val="center"/>
            <w:hideMark/>
          </w:tcPr>
          <w:p w14:paraId="3CC213FB"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i/>
                <w:iCs/>
                <w:sz w:val="20"/>
                <w:szCs w:val="20"/>
              </w:rPr>
              <w:t>Diligence, non-offering reports, institutional review.</w:t>
            </w:r>
          </w:p>
        </w:tc>
      </w:tr>
      <w:tr w:rsidR="00D92255" w:rsidRPr="00B479AE" w14:paraId="567C7386" w14:textId="77777777" w:rsidTr="00595E38">
        <w:trPr>
          <w:tblCellSpacing w:w="15" w:type="dxa"/>
        </w:trPr>
        <w:tc>
          <w:tcPr>
            <w:tcW w:w="0" w:type="auto"/>
            <w:vAlign w:val="center"/>
            <w:hideMark/>
          </w:tcPr>
          <w:p w14:paraId="223E6BD2"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Financially admissible</w:t>
            </w:r>
          </w:p>
        </w:tc>
        <w:tc>
          <w:tcPr>
            <w:tcW w:w="0" w:type="auto"/>
            <w:vAlign w:val="center"/>
            <w:hideMark/>
          </w:tcPr>
          <w:p w14:paraId="4FBB218B"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i/>
                <w:iCs/>
                <w:sz w:val="20"/>
                <w:szCs w:val="20"/>
              </w:rPr>
              <w:t>Evidence may support valuation or reporting where legally and methodologically permitted.</w:t>
            </w:r>
          </w:p>
        </w:tc>
        <w:tc>
          <w:tcPr>
            <w:tcW w:w="0" w:type="auto"/>
            <w:vAlign w:val="center"/>
            <w:hideMark/>
          </w:tcPr>
          <w:p w14:paraId="5902AB8F"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i/>
                <w:iCs/>
                <w:sz w:val="20"/>
                <w:szCs w:val="20"/>
              </w:rPr>
              <w:t>Structured finance, formal reporting, regulated pathways.</w:t>
            </w:r>
          </w:p>
        </w:tc>
      </w:tr>
      <w:tr w:rsidR="00D92255" w:rsidRPr="00B479AE" w14:paraId="5E516449" w14:textId="77777777" w:rsidTr="00595E38">
        <w:trPr>
          <w:tblCellSpacing w:w="15" w:type="dxa"/>
        </w:trPr>
        <w:tc>
          <w:tcPr>
            <w:tcW w:w="0" w:type="auto"/>
            <w:vAlign w:val="center"/>
            <w:hideMark/>
          </w:tcPr>
          <w:p w14:paraId="7F68CF11"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Non-admissible</w:t>
            </w:r>
          </w:p>
        </w:tc>
        <w:tc>
          <w:tcPr>
            <w:tcW w:w="0" w:type="auto"/>
            <w:vAlign w:val="center"/>
            <w:hideMark/>
          </w:tcPr>
          <w:p w14:paraId="72DCB4E3"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i/>
                <w:iCs/>
                <w:sz w:val="20"/>
                <w:szCs w:val="20"/>
              </w:rPr>
              <w:t>Evidence may not enter protected pathways.</w:t>
            </w:r>
          </w:p>
        </w:tc>
        <w:tc>
          <w:tcPr>
            <w:tcW w:w="0" w:type="auto"/>
            <w:vAlign w:val="center"/>
            <w:hideMark/>
          </w:tcPr>
          <w:p w14:paraId="18145018" w14:textId="77777777" w:rsidR="00D92255" w:rsidRPr="00B479AE" w:rsidRDefault="00D92255" w:rsidP="00D92255">
            <w:pPr>
              <w:spacing w:line="360" w:lineRule="auto"/>
              <w:rPr>
                <w:rFonts w:ascii="Baskerville Old Face" w:hAnsi="Baskerville Old Face"/>
                <w:i/>
                <w:iCs/>
                <w:sz w:val="20"/>
                <w:szCs w:val="20"/>
              </w:rPr>
            </w:pPr>
            <w:r w:rsidRPr="00B479AE">
              <w:rPr>
                <w:rFonts w:ascii="Baskerville Old Face" w:hAnsi="Baskerville Old Face"/>
                <w:i/>
                <w:iCs/>
                <w:sz w:val="20"/>
                <w:szCs w:val="20"/>
              </w:rPr>
              <w:t>Archive, correction, investigation, or exclusion.</w:t>
            </w:r>
          </w:p>
        </w:tc>
      </w:tr>
    </w:tbl>
    <w:p w14:paraId="73812DDE"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This classification prevents premature conversion of ecological observations into value claims.</w:t>
      </w:r>
    </w:p>
    <w:p w14:paraId="7732EE8C"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G.5 Data source layers</w:t>
      </w:r>
    </w:p>
    <w:p w14:paraId="77F66D3D"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G.5.1 Remote sensing layer</w:t>
      </w:r>
    </w:p>
    <w:p w14:paraId="43C9AB14"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Remote sensing supports landscape-level, time-series, and independent visual or spectral observation.</w:t>
      </w:r>
    </w:p>
    <w:p w14:paraId="2AB50A17"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lastRenderedPageBreak/>
        <w:t>Relevant sources may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3"/>
        <w:gridCol w:w="3604"/>
        <w:gridCol w:w="3941"/>
      </w:tblGrid>
      <w:tr w:rsidR="00D92255" w:rsidRPr="00B479AE" w14:paraId="1D92823F" w14:textId="77777777" w:rsidTr="00D30921">
        <w:trPr>
          <w:tblHeader/>
          <w:tblCellSpacing w:w="15" w:type="dxa"/>
        </w:trPr>
        <w:tc>
          <w:tcPr>
            <w:tcW w:w="0" w:type="auto"/>
            <w:vAlign w:val="center"/>
            <w:hideMark/>
          </w:tcPr>
          <w:p w14:paraId="7E50D670" w14:textId="77777777" w:rsidR="00D92255" w:rsidRPr="00B479AE" w:rsidRDefault="00D92255" w:rsidP="00D9225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Platform / source</w:t>
            </w:r>
          </w:p>
        </w:tc>
        <w:tc>
          <w:tcPr>
            <w:tcW w:w="0" w:type="auto"/>
            <w:vAlign w:val="center"/>
            <w:hideMark/>
          </w:tcPr>
          <w:p w14:paraId="7E3F8ED4" w14:textId="77777777" w:rsidR="00D92255" w:rsidRPr="00B479AE" w:rsidRDefault="00D92255" w:rsidP="00D9225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Data types</w:t>
            </w:r>
          </w:p>
        </w:tc>
        <w:tc>
          <w:tcPr>
            <w:tcW w:w="0" w:type="auto"/>
            <w:vAlign w:val="center"/>
            <w:hideMark/>
          </w:tcPr>
          <w:p w14:paraId="67575CDD" w14:textId="77777777" w:rsidR="00D92255" w:rsidRPr="00B479AE" w:rsidRDefault="00D92255" w:rsidP="00D9225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Prometheus use</w:t>
            </w:r>
          </w:p>
        </w:tc>
      </w:tr>
      <w:tr w:rsidR="00D92255" w:rsidRPr="00B479AE" w14:paraId="27B31F29" w14:textId="77777777" w:rsidTr="00D30921">
        <w:trPr>
          <w:tblCellSpacing w:w="15" w:type="dxa"/>
        </w:trPr>
        <w:tc>
          <w:tcPr>
            <w:tcW w:w="0" w:type="auto"/>
            <w:vAlign w:val="center"/>
            <w:hideMark/>
          </w:tcPr>
          <w:p w14:paraId="189B7D50"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Sentinel / Copernicus</w:t>
            </w:r>
          </w:p>
        </w:tc>
        <w:tc>
          <w:tcPr>
            <w:tcW w:w="0" w:type="auto"/>
            <w:vAlign w:val="center"/>
            <w:hideMark/>
          </w:tcPr>
          <w:p w14:paraId="2023120C"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Multispectral imagery, radar, vegetation indices, land monitoring.</w:t>
            </w:r>
          </w:p>
        </w:tc>
        <w:tc>
          <w:tcPr>
            <w:tcW w:w="0" w:type="auto"/>
            <w:vAlign w:val="center"/>
            <w:hideMark/>
          </w:tcPr>
          <w:p w14:paraId="7C7821BC"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Vegetation health, land-cover change, water stress, baseline comparison.</w:t>
            </w:r>
          </w:p>
        </w:tc>
      </w:tr>
      <w:tr w:rsidR="00D92255" w:rsidRPr="00B479AE" w14:paraId="7FE3E77A" w14:textId="77777777" w:rsidTr="00D30921">
        <w:trPr>
          <w:tblCellSpacing w:w="15" w:type="dxa"/>
        </w:trPr>
        <w:tc>
          <w:tcPr>
            <w:tcW w:w="0" w:type="auto"/>
            <w:vAlign w:val="center"/>
            <w:hideMark/>
          </w:tcPr>
          <w:p w14:paraId="1DBF3719"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Landsat / USGS</w:t>
            </w:r>
          </w:p>
        </w:tc>
        <w:tc>
          <w:tcPr>
            <w:tcW w:w="0" w:type="auto"/>
            <w:vAlign w:val="center"/>
            <w:hideMark/>
          </w:tcPr>
          <w:p w14:paraId="4BB16D55"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Multispectral and thermal time-series.</w:t>
            </w:r>
          </w:p>
        </w:tc>
        <w:tc>
          <w:tcPr>
            <w:tcW w:w="0" w:type="auto"/>
            <w:vAlign w:val="center"/>
            <w:hideMark/>
          </w:tcPr>
          <w:p w14:paraId="70BC3902"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Long-term change detection, historical baseline, temperature context.</w:t>
            </w:r>
          </w:p>
        </w:tc>
      </w:tr>
      <w:tr w:rsidR="00D92255" w:rsidRPr="00B479AE" w14:paraId="1C16B50C" w14:textId="77777777" w:rsidTr="00D30921">
        <w:trPr>
          <w:tblCellSpacing w:w="15" w:type="dxa"/>
        </w:trPr>
        <w:tc>
          <w:tcPr>
            <w:tcW w:w="0" w:type="auto"/>
            <w:vAlign w:val="center"/>
            <w:hideMark/>
          </w:tcPr>
          <w:p w14:paraId="653426EF"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Drone imagery</w:t>
            </w:r>
          </w:p>
        </w:tc>
        <w:tc>
          <w:tcPr>
            <w:tcW w:w="0" w:type="auto"/>
            <w:vAlign w:val="center"/>
            <w:hideMark/>
          </w:tcPr>
          <w:p w14:paraId="1CC68328"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High-resolution RGB, multispectral, thermal where available.</w:t>
            </w:r>
          </w:p>
        </w:tc>
        <w:tc>
          <w:tcPr>
            <w:tcW w:w="0" w:type="auto"/>
            <w:vAlign w:val="center"/>
            <w:hideMark/>
          </w:tcPr>
          <w:p w14:paraId="06A25154"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Local canopy development, ground cover, erosion, vegetation structure.</w:t>
            </w:r>
          </w:p>
        </w:tc>
      </w:tr>
      <w:tr w:rsidR="00D92255" w:rsidRPr="00B479AE" w14:paraId="34EA069F" w14:textId="77777777" w:rsidTr="00D30921">
        <w:trPr>
          <w:tblCellSpacing w:w="15" w:type="dxa"/>
        </w:trPr>
        <w:tc>
          <w:tcPr>
            <w:tcW w:w="0" w:type="auto"/>
            <w:vAlign w:val="center"/>
            <w:hideMark/>
          </w:tcPr>
          <w:p w14:paraId="2E2C434F"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Mobile georeferenced imagery</w:t>
            </w:r>
          </w:p>
        </w:tc>
        <w:tc>
          <w:tcPr>
            <w:tcW w:w="0" w:type="auto"/>
            <w:vAlign w:val="center"/>
            <w:hideMark/>
          </w:tcPr>
          <w:p w14:paraId="731EFF25"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Field photographs, mobile observations, geotagged records.</w:t>
            </w:r>
          </w:p>
        </w:tc>
        <w:tc>
          <w:tcPr>
            <w:tcW w:w="0" w:type="auto"/>
            <w:vAlign w:val="center"/>
            <w:hideMark/>
          </w:tcPr>
          <w:p w14:paraId="072F194B"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Stewardship records, intervention proof, visual audit support.</w:t>
            </w:r>
          </w:p>
        </w:tc>
      </w:tr>
      <w:tr w:rsidR="00D92255" w:rsidRPr="00B479AE" w14:paraId="36DA8229" w14:textId="77777777" w:rsidTr="00D30921">
        <w:trPr>
          <w:tblCellSpacing w:w="15" w:type="dxa"/>
        </w:trPr>
        <w:tc>
          <w:tcPr>
            <w:tcW w:w="0" w:type="auto"/>
            <w:vAlign w:val="center"/>
            <w:hideMark/>
          </w:tcPr>
          <w:p w14:paraId="110CDA55"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Public geospatial datasets</w:t>
            </w:r>
          </w:p>
        </w:tc>
        <w:tc>
          <w:tcPr>
            <w:tcW w:w="0" w:type="auto"/>
            <w:vAlign w:val="center"/>
            <w:hideMark/>
          </w:tcPr>
          <w:p w14:paraId="352096D1"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Land cover, elevation, hydrology, climate, soils.</w:t>
            </w:r>
          </w:p>
        </w:tc>
        <w:tc>
          <w:tcPr>
            <w:tcW w:w="0" w:type="auto"/>
            <w:vAlign w:val="center"/>
            <w:hideMark/>
          </w:tcPr>
          <w:p w14:paraId="3E46A2A6"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Contextual analysis, risk assessment, bioregional planning.</w:t>
            </w:r>
          </w:p>
        </w:tc>
      </w:tr>
    </w:tbl>
    <w:p w14:paraId="77C04026"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Remote sensing contributes to MRV by providing spatial continuity and independent pattern evidence.</w:t>
      </w:r>
    </w:p>
    <w:p w14:paraId="2569E92B"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Its strongest role is pattern confirmation.</w:t>
      </w:r>
    </w:p>
    <w:p w14:paraId="6B22D7BB"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It should be triangulated with field data, laboratory evidence, operational records, and direct observation where claims are material.</w:t>
      </w:r>
    </w:p>
    <w:p w14:paraId="4F0FF79A"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G.5.2 IoT and field sensing layer</w:t>
      </w:r>
    </w:p>
    <w:p w14:paraId="329ABAFE"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Field sensors provide locally grounded measurements.</w:t>
      </w:r>
    </w:p>
    <w:p w14:paraId="75047943"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Possible sensor categories include:</w:t>
      </w:r>
    </w:p>
    <w:p w14:paraId="1E600DFA" w14:textId="77777777" w:rsidR="0039233A" w:rsidRPr="00B479AE" w:rsidRDefault="0039233A" w:rsidP="00D92255">
      <w:pPr>
        <w:spacing w:line="360" w:lineRule="auto"/>
        <w:rPr>
          <w:rFonts w:ascii="Baskerville Old Face" w:hAnsi="Baskerville Old Face"/>
          <w:i/>
          <w:iCs/>
        </w:rPr>
      </w:pPr>
    </w:p>
    <w:p w14:paraId="63F57343" w14:textId="77777777" w:rsidR="0039233A" w:rsidRPr="00B479AE" w:rsidRDefault="0039233A" w:rsidP="00D92255">
      <w:pPr>
        <w:spacing w:line="360" w:lineRule="auto"/>
        <w:rPr>
          <w:rFonts w:ascii="Baskerville Old Face" w:hAnsi="Baskerville Old Face"/>
          <w:i/>
          <w:iCs/>
        </w:rPr>
      </w:pPr>
    </w:p>
    <w:p w14:paraId="5B642122" w14:textId="77777777" w:rsidR="0039233A" w:rsidRPr="00B479AE" w:rsidRDefault="0039233A" w:rsidP="00D92255">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8"/>
        <w:gridCol w:w="3656"/>
        <w:gridCol w:w="3804"/>
      </w:tblGrid>
      <w:tr w:rsidR="00D92255" w:rsidRPr="00B479AE" w14:paraId="452D555A" w14:textId="77777777" w:rsidTr="00D30921">
        <w:trPr>
          <w:tblHeader/>
          <w:tblCellSpacing w:w="15" w:type="dxa"/>
        </w:trPr>
        <w:tc>
          <w:tcPr>
            <w:tcW w:w="0" w:type="auto"/>
            <w:vAlign w:val="center"/>
            <w:hideMark/>
          </w:tcPr>
          <w:p w14:paraId="47ACFB1F" w14:textId="77777777" w:rsidR="00D92255" w:rsidRPr="00B479AE" w:rsidRDefault="00D92255" w:rsidP="00D9225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Sensor category</w:t>
            </w:r>
          </w:p>
        </w:tc>
        <w:tc>
          <w:tcPr>
            <w:tcW w:w="0" w:type="auto"/>
            <w:vAlign w:val="center"/>
            <w:hideMark/>
          </w:tcPr>
          <w:p w14:paraId="522AB0CC" w14:textId="77777777" w:rsidR="00D92255" w:rsidRPr="00B479AE" w:rsidRDefault="00D92255" w:rsidP="00D9225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Parameters</w:t>
            </w:r>
          </w:p>
        </w:tc>
        <w:tc>
          <w:tcPr>
            <w:tcW w:w="0" w:type="auto"/>
            <w:vAlign w:val="center"/>
            <w:hideMark/>
          </w:tcPr>
          <w:p w14:paraId="4ACD6876" w14:textId="77777777" w:rsidR="00D92255" w:rsidRPr="00B479AE" w:rsidRDefault="00D92255" w:rsidP="00D9225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MRV use</w:t>
            </w:r>
          </w:p>
        </w:tc>
      </w:tr>
      <w:tr w:rsidR="00D92255" w:rsidRPr="00B479AE" w14:paraId="59E30E37" w14:textId="77777777" w:rsidTr="00D30921">
        <w:trPr>
          <w:tblCellSpacing w:w="15" w:type="dxa"/>
        </w:trPr>
        <w:tc>
          <w:tcPr>
            <w:tcW w:w="0" w:type="auto"/>
            <w:vAlign w:val="center"/>
            <w:hideMark/>
          </w:tcPr>
          <w:p w14:paraId="77303968"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Soil moisture sensors</w:t>
            </w:r>
          </w:p>
        </w:tc>
        <w:tc>
          <w:tcPr>
            <w:tcW w:w="0" w:type="auto"/>
            <w:vAlign w:val="center"/>
            <w:hideMark/>
          </w:tcPr>
          <w:p w14:paraId="10173136"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Soil moisture at one or more depths.</w:t>
            </w:r>
          </w:p>
        </w:tc>
        <w:tc>
          <w:tcPr>
            <w:tcW w:w="0" w:type="auto"/>
            <w:vAlign w:val="center"/>
            <w:hideMark/>
          </w:tcPr>
          <w:p w14:paraId="64C7A3C8"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Hydrological resilience, irrigation need, drought response.</w:t>
            </w:r>
          </w:p>
        </w:tc>
      </w:tr>
      <w:tr w:rsidR="00D92255" w:rsidRPr="00B479AE" w14:paraId="547628A1" w14:textId="77777777" w:rsidTr="00D30921">
        <w:trPr>
          <w:tblCellSpacing w:w="15" w:type="dxa"/>
        </w:trPr>
        <w:tc>
          <w:tcPr>
            <w:tcW w:w="0" w:type="auto"/>
            <w:vAlign w:val="center"/>
            <w:hideMark/>
          </w:tcPr>
          <w:p w14:paraId="76A536A8"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Soil temperature sensors</w:t>
            </w:r>
          </w:p>
        </w:tc>
        <w:tc>
          <w:tcPr>
            <w:tcW w:w="0" w:type="auto"/>
            <w:vAlign w:val="center"/>
            <w:hideMark/>
          </w:tcPr>
          <w:p w14:paraId="3B2ED3B3"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Temperature at soil or root-zone level.</w:t>
            </w:r>
          </w:p>
        </w:tc>
        <w:tc>
          <w:tcPr>
            <w:tcW w:w="0" w:type="auto"/>
            <w:vAlign w:val="center"/>
            <w:hideMark/>
          </w:tcPr>
          <w:p w14:paraId="0E7C5FDC"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Biological activity context, stress conditions.</w:t>
            </w:r>
          </w:p>
        </w:tc>
      </w:tr>
      <w:tr w:rsidR="00D92255" w:rsidRPr="00B479AE" w14:paraId="32DA728F" w14:textId="77777777" w:rsidTr="00D30921">
        <w:trPr>
          <w:tblCellSpacing w:w="15" w:type="dxa"/>
        </w:trPr>
        <w:tc>
          <w:tcPr>
            <w:tcW w:w="0" w:type="auto"/>
            <w:vAlign w:val="center"/>
            <w:hideMark/>
          </w:tcPr>
          <w:p w14:paraId="54017AAF"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Weather stations</w:t>
            </w:r>
          </w:p>
        </w:tc>
        <w:tc>
          <w:tcPr>
            <w:tcW w:w="0" w:type="auto"/>
            <w:vAlign w:val="center"/>
            <w:hideMark/>
          </w:tcPr>
          <w:p w14:paraId="57CC6F61"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Rainfall, temperature, humidity, wind, solar radiation.</w:t>
            </w:r>
          </w:p>
        </w:tc>
        <w:tc>
          <w:tcPr>
            <w:tcW w:w="0" w:type="auto"/>
            <w:vAlign w:val="center"/>
            <w:hideMark/>
          </w:tcPr>
          <w:p w14:paraId="58D9B3FA"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Climate context, rainfall-event interpretation, microclimate.</w:t>
            </w:r>
          </w:p>
        </w:tc>
      </w:tr>
      <w:tr w:rsidR="00D92255" w:rsidRPr="00B479AE" w14:paraId="6B08EF9A" w14:textId="77777777" w:rsidTr="00D30921">
        <w:trPr>
          <w:tblCellSpacing w:w="15" w:type="dxa"/>
        </w:trPr>
        <w:tc>
          <w:tcPr>
            <w:tcW w:w="0" w:type="auto"/>
            <w:vAlign w:val="center"/>
            <w:hideMark/>
          </w:tcPr>
          <w:p w14:paraId="0169B1A4"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Water-level sensors</w:t>
            </w:r>
          </w:p>
        </w:tc>
        <w:tc>
          <w:tcPr>
            <w:tcW w:w="0" w:type="auto"/>
            <w:vAlign w:val="center"/>
            <w:hideMark/>
          </w:tcPr>
          <w:p w14:paraId="4ED0A450"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Swales, micro-ponds, infiltration basins, retention features.</w:t>
            </w:r>
          </w:p>
        </w:tc>
        <w:tc>
          <w:tcPr>
            <w:tcW w:w="0" w:type="auto"/>
            <w:vAlign w:val="center"/>
            <w:hideMark/>
          </w:tcPr>
          <w:p w14:paraId="353C72B2"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Water retention, infiltration dynamics, hydrological response.</w:t>
            </w:r>
          </w:p>
        </w:tc>
      </w:tr>
      <w:tr w:rsidR="00D92255" w:rsidRPr="00B479AE" w14:paraId="11074A5F" w14:textId="77777777" w:rsidTr="00D30921">
        <w:trPr>
          <w:tblCellSpacing w:w="15" w:type="dxa"/>
        </w:trPr>
        <w:tc>
          <w:tcPr>
            <w:tcW w:w="0" w:type="auto"/>
            <w:vAlign w:val="center"/>
            <w:hideMark/>
          </w:tcPr>
          <w:p w14:paraId="50DCD816"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Water-quality sensors</w:t>
            </w:r>
          </w:p>
        </w:tc>
        <w:tc>
          <w:tcPr>
            <w:tcW w:w="0" w:type="auto"/>
            <w:vAlign w:val="center"/>
            <w:hideMark/>
          </w:tcPr>
          <w:p w14:paraId="435AA89F"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pH, turbidity, conductivity, nitrates where available.</w:t>
            </w:r>
          </w:p>
        </w:tc>
        <w:tc>
          <w:tcPr>
            <w:tcW w:w="0" w:type="auto"/>
            <w:vAlign w:val="center"/>
            <w:hideMark/>
          </w:tcPr>
          <w:p w14:paraId="0803B36E"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Water stewardship and pollution-risk indicators.</w:t>
            </w:r>
          </w:p>
        </w:tc>
      </w:tr>
      <w:tr w:rsidR="00D92255" w:rsidRPr="00B479AE" w14:paraId="573E9849" w14:textId="77777777" w:rsidTr="00D30921">
        <w:trPr>
          <w:tblCellSpacing w:w="15" w:type="dxa"/>
        </w:trPr>
        <w:tc>
          <w:tcPr>
            <w:tcW w:w="0" w:type="auto"/>
            <w:vAlign w:val="center"/>
            <w:hideMark/>
          </w:tcPr>
          <w:p w14:paraId="5FBCD5F5"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Soil respiration or CO</w:t>
            </w:r>
            <w:r w:rsidRPr="00B479AE">
              <w:rPr>
                <w:rFonts w:ascii="Cambria Math" w:hAnsi="Cambria Math" w:cs="Cambria Math"/>
                <w:b/>
                <w:bCs/>
                <w:i/>
                <w:iCs/>
                <w:sz w:val="22"/>
                <w:szCs w:val="22"/>
              </w:rPr>
              <w:t>₂</w:t>
            </w:r>
            <w:r w:rsidRPr="00B479AE">
              <w:rPr>
                <w:rFonts w:ascii="Baskerville Old Face" w:hAnsi="Baskerville Old Face"/>
                <w:b/>
                <w:bCs/>
                <w:i/>
                <w:iCs/>
                <w:sz w:val="22"/>
                <w:szCs w:val="22"/>
              </w:rPr>
              <w:t xml:space="preserve"> sensors</w:t>
            </w:r>
          </w:p>
        </w:tc>
        <w:tc>
          <w:tcPr>
            <w:tcW w:w="0" w:type="auto"/>
            <w:vAlign w:val="center"/>
            <w:hideMark/>
          </w:tcPr>
          <w:p w14:paraId="6A6901BA"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CO</w:t>
            </w:r>
            <w:r w:rsidRPr="00B479AE">
              <w:rPr>
                <w:rFonts w:ascii="Cambria Math" w:hAnsi="Cambria Math" w:cs="Cambria Math"/>
                <w:i/>
                <w:iCs/>
                <w:sz w:val="22"/>
                <w:szCs w:val="22"/>
              </w:rPr>
              <w:t>₂</w:t>
            </w:r>
            <w:r w:rsidRPr="00B479AE">
              <w:rPr>
                <w:rFonts w:ascii="Baskerville Old Face" w:hAnsi="Baskerville Old Face"/>
                <w:i/>
                <w:iCs/>
                <w:sz w:val="22"/>
                <w:szCs w:val="22"/>
              </w:rPr>
              <w:t xml:space="preserve"> flux or microbial activity proxy.</w:t>
            </w:r>
          </w:p>
        </w:tc>
        <w:tc>
          <w:tcPr>
            <w:tcW w:w="0" w:type="auto"/>
            <w:vAlign w:val="center"/>
            <w:hideMark/>
          </w:tcPr>
          <w:p w14:paraId="597421B9"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Soil biological activity research or advanced monitoring.</w:t>
            </w:r>
          </w:p>
        </w:tc>
      </w:tr>
      <w:tr w:rsidR="00D92255" w:rsidRPr="00B479AE" w14:paraId="06F94717" w14:textId="77777777" w:rsidTr="00D30921">
        <w:trPr>
          <w:tblCellSpacing w:w="15" w:type="dxa"/>
        </w:trPr>
        <w:tc>
          <w:tcPr>
            <w:tcW w:w="0" w:type="auto"/>
            <w:vAlign w:val="center"/>
            <w:hideMark/>
          </w:tcPr>
          <w:p w14:paraId="17651FCF"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Manual field instruments</w:t>
            </w:r>
          </w:p>
        </w:tc>
        <w:tc>
          <w:tcPr>
            <w:tcW w:w="0" w:type="auto"/>
            <w:vAlign w:val="center"/>
            <w:hideMark/>
          </w:tcPr>
          <w:p w14:paraId="1D820245"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Infiltration rings, penetrometers, soil sampling kits.</w:t>
            </w:r>
          </w:p>
        </w:tc>
        <w:tc>
          <w:tcPr>
            <w:tcW w:w="0" w:type="auto"/>
            <w:vAlign w:val="center"/>
            <w:hideMark/>
          </w:tcPr>
          <w:p w14:paraId="1F9DE224"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Low-tech, network-independent, field-verifiable evidence.</w:t>
            </w:r>
          </w:p>
        </w:tc>
      </w:tr>
    </w:tbl>
    <w:p w14:paraId="2428DFD3"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Each sensor record should include:</w:t>
      </w:r>
    </w:p>
    <w:p w14:paraId="4F1F6A68"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device identity;</w:t>
      </w:r>
      <w:r w:rsidRPr="00B479AE">
        <w:rPr>
          <w:rFonts w:ascii="Baskerville Old Face" w:hAnsi="Baskerville Old Face"/>
          <w:i/>
          <w:iCs/>
        </w:rPr>
        <w:br/>
        <w:t>• location;</w:t>
      </w:r>
      <w:r w:rsidRPr="00B479AE">
        <w:rPr>
          <w:rFonts w:ascii="Baskerville Old Face" w:hAnsi="Baskerville Old Face"/>
          <w:i/>
          <w:iCs/>
        </w:rPr>
        <w:br/>
        <w:t>• timestamp;</w:t>
      </w:r>
      <w:r w:rsidRPr="00B479AE">
        <w:rPr>
          <w:rFonts w:ascii="Baskerville Old Face" w:hAnsi="Baskerville Old Face"/>
          <w:i/>
          <w:iCs/>
        </w:rPr>
        <w:br/>
        <w:t>• measured variable;</w:t>
      </w:r>
      <w:r w:rsidRPr="00B479AE">
        <w:rPr>
          <w:rFonts w:ascii="Baskerville Old Face" w:hAnsi="Baskerville Old Face"/>
          <w:i/>
          <w:iCs/>
        </w:rPr>
        <w:br/>
        <w:t>• unit;</w:t>
      </w:r>
      <w:r w:rsidRPr="00B479AE">
        <w:rPr>
          <w:rFonts w:ascii="Baskerville Old Face" w:hAnsi="Baskerville Old Face"/>
          <w:i/>
          <w:iCs/>
        </w:rPr>
        <w:br/>
        <w:t>• calibration status;</w:t>
      </w:r>
      <w:r w:rsidRPr="00B479AE">
        <w:rPr>
          <w:rFonts w:ascii="Baskerville Old Face" w:hAnsi="Baskerville Old Face"/>
          <w:i/>
          <w:iCs/>
        </w:rPr>
        <w:br/>
        <w:t>• firmware or configuration version where relevant;</w:t>
      </w:r>
      <w:r w:rsidRPr="00B479AE">
        <w:rPr>
          <w:rFonts w:ascii="Baskerville Old Face" w:hAnsi="Baskerville Old Face"/>
          <w:i/>
          <w:iCs/>
        </w:rPr>
        <w:br/>
        <w:t>• data-quality flag;</w:t>
      </w:r>
      <w:r w:rsidRPr="00B479AE">
        <w:rPr>
          <w:rFonts w:ascii="Baskerville Old Face" w:hAnsi="Baskerville Old Face"/>
          <w:i/>
          <w:iCs/>
        </w:rPr>
        <w:br/>
        <w:t>• method reference;</w:t>
      </w:r>
      <w:r w:rsidRPr="00B479AE">
        <w:rPr>
          <w:rFonts w:ascii="Baskerville Old Face" w:hAnsi="Baskerville Old Face"/>
          <w:i/>
          <w:iCs/>
        </w:rPr>
        <w:br/>
        <w:t>• source-chain or archive reference where implemented.</w:t>
      </w:r>
    </w:p>
    <w:p w14:paraId="0341FFF0"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Sensor records are evidence inputs.</w:t>
      </w:r>
    </w:p>
    <w:p w14:paraId="160439BC"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lastRenderedPageBreak/>
        <w:t>They are not automatic truth.</w:t>
      </w:r>
    </w:p>
    <w:p w14:paraId="3B27A6D5"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They require quality checks, calibration, context, and where material, cross-source validation.</w:t>
      </w:r>
    </w:p>
    <w:p w14:paraId="3234B248"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G.5.3 Laboratory evidence layer</w:t>
      </w:r>
    </w:p>
    <w:p w14:paraId="2AA850D8"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Laboratory evidence provides high-quality analytical support for indicators that require controlled measurement.</w:t>
      </w:r>
    </w:p>
    <w:p w14:paraId="16323C66"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Relevant laboratory data may include:</w:t>
      </w:r>
    </w:p>
    <w:p w14:paraId="2043C4F0"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soil organic carbon;</w:t>
      </w:r>
      <w:r w:rsidRPr="00B479AE">
        <w:rPr>
          <w:rFonts w:ascii="Baskerville Old Face" w:hAnsi="Baskerville Old Face"/>
          <w:i/>
          <w:iCs/>
        </w:rPr>
        <w:br/>
        <w:t>• soil organic matter;</w:t>
      </w:r>
      <w:r w:rsidRPr="00B479AE">
        <w:rPr>
          <w:rFonts w:ascii="Baskerville Old Face" w:hAnsi="Baskerville Old Face"/>
          <w:i/>
          <w:iCs/>
        </w:rPr>
        <w:br/>
        <w:t>• pH;</w:t>
      </w:r>
      <w:r w:rsidRPr="00B479AE">
        <w:rPr>
          <w:rFonts w:ascii="Baskerville Old Face" w:hAnsi="Baskerville Old Face"/>
          <w:i/>
          <w:iCs/>
        </w:rPr>
        <w:br/>
        <w:t>• electrical conductivity;</w:t>
      </w:r>
      <w:r w:rsidRPr="00B479AE">
        <w:rPr>
          <w:rFonts w:ascii="Baskerville Old Face" w:hAnsi="Baskerville Old Face"/>
          <w:i/>
          <w:iCs/>
        </w:rPr>
        <w:br/>
        <w:t>• bulk density;</w:t>
      </w:r>
      <w:r w:rsidRPr="00B479AE">
        <w:rPr>
          <w:rFonts w:ascii="Baskerville Old Face" w:hAnsi="Baskerville Old Face"/>
          <w:i/>
          <w:iCs/>
        </w:rPr>
        <w:br/>
        <w:t>• aggregate stability;</w:t>
      </w:r>
      <w:r w:rsidRPr="00B479AE">
        <w:rPr>
          <w:rFonts w:ascii="Baskerville Old Face" w:hAnsi="Baskerville Old Face"/>
          <w:i/>
          <w:iCs/>
        </w:rPr>
        <w:br/>
        <w:t>• nutrient availability;</w:t>
      </w:r>
      <w:r w:rsidRPr="00B479AE">
        <w:rPr>
          <w:rFonts w:ascii="Baskerville Old Face" w:hAnsi="Baskerville Old Face"/>
          <w:i/>
          <w:iCs/>
        </w:rPr>
        <w:br/>
        <w:t>• microbial biomass;</w:t>
      </w:r>
      <w:r w:rsidRPr="00B479AE">
        <w:rPr>
          <w:rFonts w:ascii="Baskerville Old Face" w:hAnsi="Baskerville Old Face"/>
          <w:i/>
          <w:iCs/>
        </w:rPr>
        <w:br/>
        <w:t>• mycorrhizal colonization where feasible;</w:t>
      </w:r>
      <w:r w:rsidRPr="00B479AE">
        <w:rPr>
          <w:rFonts w:ascii="Baskerville Old Face" w:hAnsi="Baskerville Old Face"/>
          <w:i/>
          <w:iCs/>
        </w:rPr>
        <w:br/>
        <w:t>• soil texture;</w:t>
      </w:r>
      <w:r w:rsidRPr="00B479AE">
        <w:rPr>
          <w:rFonts w:ascii="Baskerville Old Face" w:hAnsi="Baskerville Old Face"/>
          <w:i/>
          <w:iCs/>
        </w:rPr>
        <w:br/>
        <w:t>• salinity;</w:t>
      </w:r>
      <w:r w:rsidRPr="00B479AE">
        <w:rPr>
          <w:rFonts w:ascii="Baskerville Old Face" w:hAnsi="Baskerville Old Face"/>
          <w:i/>
          <w:iCs/>
        </w:rPr>
        <w:br/>
        <w:t>• water quality;</w:t>
      </w:r>
      <w:r w:rsidRPr="00B479AE">
        <w:rPr>
          <w:rFonts w:ascii="Baskerville Old Face" w:hAnsi="Baskerville Old Face"/>
          <w:i/>
          <w:iCs/>
        </w:rPr>
        <w:br/>
        <w:t>• plant tissue analysis;</w:t>
      </w:r>
      <w:r w:rsidRPr="00B479AE">
        <w:rPr>
          <w:rFonts w:ascii="Baskerville Old Face" w:hAnsi="Baskerville Old Face"/>
          <w:i/>
          <w:iCs/>
        </w:rPr>
        <w:br/>
        <w:t>• nutrient density indicators where relevant.</w:t>
      </w:r>
    </w:p>
    <w:p w14:paraId="62E6E149"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Laboratory records should include:</w:t>
      </w:r>
    </w:p>
    <w:p w14:paraId="4E5D8CE7"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sample ID;</w:t>
      </w:r>
      <w:r w:rsidRPr="00B479AE">
        <w:rPr>
          <w:rFonts w:ascii="Baskerville Old Face" w:hAnsi="Baskerville Old Face"/>
          <w:i/>
          <w:iCs/>
        </w:rPr>
        <w:br/>
        <w:t>• sampling date;</w:t>
      </w:r>
      <w:r w:rsidRPr="00B479AE">
        <w:rPr>
          <w:rFonts w:ascii="Baskerville Old Face" w:hAnsi="Baskerville Old Face"/>
          <w:i/>
          <w:iCs/>
        </w:rPr>
        <w:br/>
        <w:t>• sampling location;</w:t>
      </w:r>
      <w:r w:rsidRPr="00B479AE">
        <w:rPr>
          <w:rFonts w:ascii="Baskerville Old Face" w:hAnsi="Baskerville Old Face"/>
          <w:i/>
          <w:iCs/>
        </w:rPr>
        <w:br/>
        <w:t>• sampling depth;</w:t>
      </w:r>
      <w:r w:rsidRPr="00B479AE">
        <w:rPr>
          <w:rFonts w:ascii="Baskerville Old Face" w:hAnsi="Baskerville Old Face"/>
          <w:i/>
          <w:iCs/>
        </w:rPr>
        <w:br/>
        <w:t>• collector identity or role;</w:t>
      </w:r>
      <w:r w:rsidRPr="00B479AE">
        <w:rPr>
          <w:rFonts w:ascii="Baskerville Old Face" w:hAnsi="Baskerville Old Face"/>
          <w:i/>
          <w:iCs/>
        </w:rPr>
        <w:br/>
        <w:t>• chain-of-custody note;</w:t>
      </w:r>
      <w:r w:rsidRPr="00B479AE">
        <w:rPr>
          <w:rFonts w:ascii="Baskerville Old Face" w:hAnsi="Baskerville Old Face"/>
          <w:i/>
          <w:iCs/>
        </w:rPr>
        <w:br/>
        <w:t>• laboratory identity;</w:t>
      </w:r>
      <w:r w:rsidRPr="00B479AE">
        <w:rPr>
          <w:rFonts w:ascii="Baskerville Old Face" w:hAnsi="Baskerville Old Face"/>
          <w:i/>
          <w:iCs/>
        </w:rPr>
        <w:br/>
        <w:t>• analytical method;</w:t>
      </w:r>
      <w:r w:rsidRPr="00B479AE">
        <w:rPr>
          <w:rFonts w:ascii="Baskerville Old Face" w:hAnsi="Baskerville Old Face"/>
          <w:i/>
          <w:iCs/>
        </w:rPr>
        <w:br/>
        <w:t>• results;</w:t>
      </w:r>
      <w:r w:rsidRPr="00B479AE">
        <w:rPr>
          <w:rFonts w:ascii="Baskerville Old Face" w:hAnsi="Baskerville Old Face"/>
          <w:i/>
          <w:iCs/>
        </w:rPr>
        <w:br/>
      </w:r>
      <w:r w:rsidRPr="00B479AE">
        <w:rPr>
          <w:rFonts w:ascii="Baskerville Old Face" w:hAnsi="Baskerville Old Face"/>
          <w:i/>
          <w:iCs/>
        </w:rPr>
        <w:lastRenderedPageBreak/>
        <w:t>• uncertainty or detection limits where available;</w:t>
      </w:r>
      <w:r w:rsidRPr="00B479AE">
        <w:rPr>
          <w:rFonts w:ascii="Baskerville Old Face" w:hAnsi="Baskerville Old Face"/>
          <w:i/>
          <w:iCs/>
        </w:rPr>
        <w:br/>
        <w:t>• report hash or reference;</w:t>
      </w:r>
      <w:r w:rsidRPr="00B479AE">
        <w:rPr>
          <w:rFonts w:ascii="Baskerville Old Face" w:hAnsi="Baskerville Old Face"/>
          <w:i/>
          <w:iCs/>
        </w:rPr>
        <w:br/>
        <w:t>• methodology version.</w:t>
      </w:r>
    </w:p>
    <w:p w14:paraId="75F35C85"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Laboratory data may serve as calibration anchors for field sensing, remote sensing, soil interpretation, and PRU-relevant analysis.</w:t>
      </w:r>
    </w:p>
    <w:p w14:paraId="44A3EF7A"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G.5.4 Structured field observation layer</w:t>
      </w:r>
    </w:p>
    <w:p w14:paraId="6026F5FB"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Human observation remains essential.</w:t>
      </w:r>
    </w:p>
    <w:p w14:paraId="51B79625"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 previous label “proof of care” should be replaced by:</w:t>
      </w:r>
    </w:p>
    <w:p w14:paraId="0B07DBDE"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Stewardship Observation Record</w:t>
      </w:r>
    </w:p>
    <w:p w14:paraId="478A7FA2"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A Stewardship Observation Record is a structured, time-stamped, georeferenced, evidence-linked observation submitted by a steward, community member, auditor, verifier, field operator, or authorized observer.</w:t>
      </w:r>
    </w:p>
    <w:p w14:paraId="274F353B"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It may include:</w:t>
      </w:r>
    </w:p>
    <w:p w14:paraId="24B9E7EF"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planting event;</w:t>
      </w:r>
      <w:r w:rsidRPr="00B479AE">
        <w:rPr>
          <w:rFonts w:ascii="Baskerville Old Face" w:hAnsi="Baskerville Old Face"/>
          <w:i/>
          <w:iCs/>
        </w:rPr>
        <w:br/>
        <w:t>• pruning event;</w:t>
      </w:r>
      <w:r w:rsidRPr="00B479AE">
        <w:rPr>
          <w:rFonts w:ascii="Baskerville Old Face" w:hAnsi="Baskerville Old Face"/>
          <w:i/>
          <w:iCs/>
        </w:rPr>
        <w:br/>
        <w:t>• biomass return;</w:t>
      </w:r>
      <w:r w:rsidRPr="00B479AE">
        <w:rPr>
          <w:rFonts w:ascii="Baskerville Old Face" w:hAnsi="Baskerville Old Face"/>
          <w:i/>
          <w:iCs/>
        </w:rPr>
        <w:br/>
        <w:t>• compost application;</w:t>
      </w:r>
      <w:r w:rsidRPr="00B479AE">
        <w:rPr>
          <w:rFonts w:ascii="Baskerville Old Face" w:hAnsi="Baskerville Old Face"/>
          <w:i/>
          <w:iCs/>
        </w:rPr>
        <w:br/>
        <w:t>• mulching;</w:t>
      </w:r>
      <w:r w:rsidRPr="00B479AE">
        <w:rPr>
          <w:rFonts w:ascii="Baskerville Old Face" w:hAnsi="Baskerville Old Face"/>
          <w:i/>
          <w:iCs/>
        </w:rPr>
        <w:br/>
        <w:t>• irrigation event;</w:t>
      </w:r>
      <w:r w:rsidRPr="00B479AE">
        <w:rPr>
          <w:rFonts w:ascii="Baskerville Old Face" w:hAnsi="Baskerville Old Face"/>
          <w:i/>
          <w:iCs/>
        </w:rPr>
        <w:br/>
        <w:t>• pest or disease observation;</w:t>
      </w:r>
      <w:r w:rsidRPr="00B479AE">
        <w:rPr>
          <w:rFonts w:ascii="Baskerville Old Face" w:hAnsi="Baskerville Old Face"/>
          <w:i/>
          <w:iCs/>
        </w:rPr>
        <w:br/>
        <w:t>• biodiversity sighting;</w:t>
      </w:r>
      <w:r w:rsidRPr="00B479AE">
        <w:rPr>
          <w:rFonts w:ascii="Baskerville Old Face" w:hAnsi="Baskerville Old Face"/>
          <w:i/>
          <w:iCs/>
        </w:rPr>
        <w:br/>
        <w:t>• erosion observation;</w:t>
      </w:r>
      <w:r w:rsidRPr="00B479AE">
        <w:rPr>
          <w:rFonts w:ascii="Baskerville Old Face" w:hAnsi="Baskerville Old Face"/>
          <w:i/>
          <w:iCs/>
        </w:rPr>
        <w:br/>
        <w:t>• water-retention observation;</w:t>
      </w:r>
      <w:r w:rsidRPr="00B479AE">
        <w:rPr>
          <w:rFonts w:ascii="Baskerville Old Face" w:hAnsi="Baskerville Old Face"/>
          <w:i/>
          <w:iCs/>
        </w:rPr>
        <w:br/>
        <w:t>• crop yield record;</w:t>
      </w:r>
      <w:r w:rsidRPr="00B479AE">
        <w:rPr>
          <w:rFonts w:ascii="Baskerville Old Face" w:hAnsi="Baskerville Old Face"/>
          <w:i/>
          <w:iCs/>
        </w:rPr>
        <w:br/>
        <w:t>• mortality or replacement record;</w:t>
      </w:r>
      <w:r w:rsidRPr="00B479AE">
        <w:rPr>
          <w:rFonts w:ascii="Baskerville Old Face" w:hAnsi="Baskerville Old Face"/>
          <w:i/>
          <w:iCs/>
        </w:rPr>
        <w:br/>
        <w:t>• field photograph;</w:t>
      </w:r>
      <w:r w:rsidRPr="00B479AE">
        <w:rPr>
          <w:rFonts w:ascii="Baskerville Old Face" w:hAnsi="Baskerville Old Face"/>
          <w:i/>
          <w:iCs/>
        </w:rPr>
        <w:br/>
        <w:t>• field note;</w:t>
      </w:r>
      <w:r w:rsidRPr="00B479AE">
        <w:rPr>
          <w:rFonts w:ascii="Baskerville Old Face" w:hAnsi="Baskerville Old Face"/>
          <w:i/>
          <w:iCs/>
        </w:rPr>
        <w:br/>
        <w:t>• disturbance report;</w:t>
      </w:r>
      <w:r w:rsidRPr="00B479AE">
        <w:rPr>
          <w:rFonts w:ascii="Baskerville Old Face" w:hAnsi="Baskerville Old Face"/>
          <w:i/>
          <w:iCs/>
        </w:rPr>
        <w:br/>
        <w:t>• corrective action.</w:t>
      </w:r>
    </w:p>
    <w:p w14:paraId="0B038AF4"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lastRenderedPageBreak/>
        <w:t>A Stewardship Observation Record should include:</w:t>
      </w:r>
    </w:p>
    <w:p w14:paraId="21F65EED"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observer identity or role;</w:t>
      </w:r>
      <w:r w:rsidRPr="00B479AE">
        <w:rPr>
          <w:rFonts w:ascii="Baskerville Old Face" w:hAnsi="Baskerville Old Face"/>
          <w:i/>
          <w:iCs/>
        </w:rPr>
        <w:br/>
        <w:t>• timestamp;</w:t>
      </w:r>
      <w:r w:rsidRPr="00B479AE">
        <w:rPr>
          <w:rFonts w:ascii="Baskerville Old Face" w:hAnsi="Baskerville Old Face"/>
          <w:i/>
          <w:iCs/>
        </w:rPr>
        <w:br/>
        <w:t>• location;</w:t>
      </w:r>
      <w:r w:rsidRPr="00B479AE">
        <w:rPr>
          <w:rFonts w:ascii="Baskerville Old Face" w:hAnsi="Baskerville Old Face"/>
          <w:i/>
          <w:iCs/>
        </w:rPr>
        <w:br/>
        <w:t>• event type;</w:t>
      </w:r>
      <w:r w:rsidRPr="00B479AE">
        <w:rPr>
          <w:rFonts w:ascii="Baskerville Old Face" w:hAnsi="Baskerville Old Face"/>
          <w:i/>
          <w:iCs/>
        </w:rPr>
        <w:br/>
        <w:t>• description;</w:t>
      </w:r>
      <w:r w:rsidRPr="00B479AE">
        <w:rPr>
          <w:rFonts w:ascii="Baskerville Old Face" w:hAnsi="Baskerville Old Face"/>
          <w:i/>
          <w:iCs/>
        </w:rPr>
        <w:br/>
        <w:t>• photo or supporting evidence where possible;</w:t>
      </w:r>
      <w:r w:rsidRPr="00B479AE">
        <w:rPr>
          <w:rFonts w:ascii="Baskerville Old Face" w:hAnsi="Baskerville Old Face"/>
          <w:i/>
          <w:iCs/>
        </w:rPr>
        <w:br/>
        <w:t>• linked OHE / EPU / site reference;</w:t>
      </w:r>
      <w:r w:rsidRPr="00B479AE">
        <w:rPr>
          <w:rFonts w:ascii="Baskerville Old Face" w:hAnsi="Baskerville Old Face"/>
          <w:i/>
          <w:iCs/>
        </w:rPr>
        <w:br/>
        <w:t>• relevant methodology version;</w:t>
      </w:r>
      <w:r w:rsidRPr="00B479AE">
        <w:rPr>
          <w:rFonts w:ascii="Baskerville Old Face" w:hAnsi="Baskerville Old Face"/>
          <w:i/>
          <w:iCs/>
        </w:rPr>
        <w:br/>
        <w:t>• confidence or review status;</w:t>
      </w:r>
      <w:r w:rsidRPr="00B479AE">
        <w:rPr>
          <w:rFonts w:ascii="Baskerville Old Face" w:hAnsi="Baskerville Old Face"/>
          <w:i/>
          <w:iCs/>
        </w:rPr>
        <w:br/>
        <w:t>• reviewer reference where applicable.</w:t>
      </w:r>
    </w:p>
    <w:p w14:paraId="03A46AFD"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Human observation is not excluded from MRV.</w:t>
      </w:r>
    </w:p>
    <w:p w14:paraId="55A92AED"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It is structured.</w:t>
      </w:r>
    </w:p>
    <w:p w14:paraId="55E096B8"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This allows local intelligence to become reviewable evidence without pretending that unverified testimony is equivalent to validated ecological performance.</w:t>
      </w:r>
    </w:p>
    <w:p w14:paraId="21816FC3"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G.6 HSI boundary inside MRV</w:t>
      </w:r>
    </w:p>
    <w:p w14:paraId="7DA95258"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HSI data should not be treated as MRV evidence for ecological performance.</w:t>
      </w:r>
    </w:p>
    <w:p w14:paraId="63C8F73F"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HSI may support optional, voluntary, privacy-first human-state research, reflective governance, stewardship training, or decision-quality inquiry.</w:t>
      </w:r>
    </w:p>
    <w:p w14:paraId="2FC220B4"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HSI must not determine:</w:t>
      </w:r>
    </w:p>
    <w:p w14:paraId="456D53AF"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PRU value;</w:t>
      </w:r>
      <w:r w:rsidRPr="00B479AE">
        <w:rPr>
          <w:rFonts w:ascii="Baskerville Old Face" w:hAnsi="Baskerville Old Face"/>
          <w:i/>
          <w:iCs/>
        </w:rPr>
        <w:br/>
        <w:t>• MRV validity;</w:t>
      </w:r>
      <w:r w:rsidRPr="00B479AE">
        <w:rPr>
          <w:rFonts w:ascii="Baskerville Old Face" w:hAnsi="Baskerville Old Face"/>
          <w:i/>
          <w:iCs/>
        </w:rPr>
        <w:br/>
        <w:t>• ecological truth;</w:t>
      </w:r>
      <w:r w:rsidRPr="00B479AE">
        <w:rPr>
          <w:rFonts w:ascii="Baskerville Old Face" w:hAnsi="Baskerville Old Face"/>
          <w:i/>
          <w:iCs/>
        </w:rPr>
        <w:br/>
        <w:t>• investor eligibility;</w:t>
      </w:r>
      <w:r w:rsidRPr="00B479AE">
        <w:rPr>
          <w:rFonts w:ascii="Baskerville Old Face" w:hAnsi="Baskerville Old Face"/>
          <w:i/>
          <w:iCs/>
        </w:rPr>
        <w:br/>
        <w:t>• token rights;</w:t>
      </w:r>
      <w:r w:rsidRPr="00B479AE">
        <w:rPr>
          <w:rFonts w:ascii="Baskerville Old Face" w:hAnsi="Baskerville Old Face"/>
          <w:i/>
          <w:iCs/>
        </w:rPr>
        <w:br/>
        <w:t>• governance authority by itself;</w:t>
      </w:r>
      <w:r w:rsidRPr="00B479AE">
        <w:rPr>
          <w:rFonts w:ascii="Baskerville Old Face" w:hAnsi="Baskerville Old Face"/>
          <w:i/>
          <w:iCs/>
        </w:rPr>
        <w:br/>
        <w:t>• human worth;</w:t>
      </w:r>
      <w:r w:rsidRPr="00B479AE">
        <w:rPr>
          <w:rFonts w:ascii="Baskerville Old Face" w:hAnsi="Baskerville Old Face"/>
          <w:i/>
          <w:iCs/>
        </w:rPr>
        <w:br/>
        <w:t>• stewardship credibility as a standalone score.</w:t>
      </w:r>
    </w:p>
    <w:p w14:paraId="0E30468E"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lastRenderedPageBreak/>
        <w:t>Where HSI appears in MRV-adjacent contexts, it should be classified as:</w:t>
      </w:r>
    </w:p>
    <w:p w14:paraId="6D0F713A"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human-infrastructure research context, not ecological evidence.</w:t>
      </w:r>
    </w:p>
    <w:p w14:paraId="0477AE64"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 correct boundary is:</w:t>
      </w:r>
    </w:p>
    <w:p w14:paraId="7E69F097"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human-state data may inform participation context;</w:t>
      </w:r>
      <w:r w:rsidRPr="00B479AE">
        <w:rPr>
          <w:rFonts w:ascii="Baskerville Old Face" w:hAnsi="Baskerville Old Face"/>
          <w:i/>
          <w:iCs/>
        </w:rPr>
        <w:br/>
        <w:t>participation context may inform reflective governance;</w:t>
      </w:r>
      <w:r w:rsidRPr="00B479AE">
        <w:rPr>
          <w:rFonts w:ascii="Baskerville Old Face" w:hAnsi="Baskerville Old Face"/>
          <w:i/>
          <w:iCs/>
        </w:rPr>
        <w:br/>
        <w:t>reflective governance may support stewardship quality;</w:t>
      </w:r>
      <w:r w:rsidRPr="00B479AE">
        <w:rPr>
          <w:rFonts w:ascii="Baskerville Old Face" w:hAnsi="Baskerville Old Face"/>
          <w:i/>
          <w:iCs/>
        </w:rPr>
        <w:br/>
        <w:t>only ecological and operational evidence may support MRV or PRU pathways.</w:t>
      </w:r>
    </w:p>
    <w:p w14:paraId="413FCEE3"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Therefore, HSI devices, HRV tools, or coherence indicators should not appear as core MRV sensors for ecological validation.</w:t>
      </w:r>
    </w:p>
    <w:p w14:paraId="47F0A205"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They may be referenced in separate HSI, research, governance, or training appendices under strict consent and privacy rules.</w:t>
      </w:r>
    </w:p>
    <w:p w14:paraId="7804C6CB"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G.7 Anti-synthetic evidence controls</w:t>
      </w:r>
    </w:p>
    <w:p w14:paraId="6A4B3FB9"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Prometheus must assume that future AI, AGI, or ASI systems may generate synthetic evidence.</w:t>
      </w:r>
    </w:p>
    <w:p w14:paraId="63D87E49"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Synthetic evidence risks include:</w:t>
      </w:r>
    </w:p>
    <w:p w14:paraId="0371ADCF"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fabricated satellite imagery;</w:t>
      </w:r>
      <w:r w:rsidRPr="00B479AE">
        <w:rPr>
          <w:rFonts w:ascii="Baskerville Old Face" w:hAnsi="Baskerville Old Face"/>
          <w:i/>
          <w:iCs/>
        </w:rPr>
        <w:br/>
        <w:t>• manipulated drone imagery;</w:t>
      </w:r>
      <w:r w:rsidRPr="00B479AE">
        <w:rPr>
          <w:rFonts w:ascii="Baskerville Old Face" w:hAnsi="Baskerville Old Face"/>
          <w:i/>
          <w:iCs/>
        </w:rPr>
        <w:br/>
        <w:t>• forged sensor streams;</w:t>
      </w:r>
      <w:r w:rsidRPr="00B479AE">
        <w:rPr>
          <w:rFonts w:ascii="Baskerville Old Face" w:hAnsi="Baskerville Old Face"/>
          <w:i/>
          <w:iCs/>
        </w:rPr>
        <w:br/>
        <w:t>• artificial laboratory reports;</w:t>
      </w:r>
      <w:r w:rsidRPr="00B479AE">
        <w:rPr>
          <w:rFonts w:ascii="Baskerville Old Face" w:hAnsi="Baskerville Old Face"/>
          <w:i/>
          <w:iCs/>
        </w:rPr>
        <w:br/>
        <w:t>• deepfake field audits;</w:t>
      </w:r>
      <w:r w:rsidRPr="00B479AE">
        <w:rPr>
          <w:rFonts w:ascii="Baskerville Old Face" w:hAnsi="Baskerville Old Face"/>
          <w:i/>
          <w:iCs/>
        </w:rPr>
        <w:br/>
        <w:t>• fake community testimony;</w:t>
      </w:r>
      <w:r w:rsidRPr="00B479AE">
        <w:rPr>
          <w:rFonts w:ascii="Baskerville Old Face" w:hAnsi="Baskerville Old Face"/>
          <w:i/>
          <w:iCs/>
        </w:rPr>
        <w:br/>
        <w:t>• manipulated dashboards;</w:t>
      </w:r>
      <w:r w:rsidRPr="00B479AE">
        <w:rPr>
          <w:rFonts w:ascii="Baskerville Old Face" w:hAnsi="Baskerville Old Face"/>
          <w:i/>
          <w:iCs/>
        </w:rPr>
        <w:br/>
        <w:t>• forged governance records;</w:t>
      </w:r>
      <w:r w:rsidRPr="00B479AE">
        <w:rPr>
          <w:rFonts w:ascii="Baskerville Old Face" w:hAnsi="Baskerville Old Face"/>
          <w:i/>
          <w:iCs/>
        </w:rPr>
        <w:br/>
        <w:t>• synthetic biodiversity observations;</w:t>
      </w:r>
      <w:r w:rsidRPr="00B479AE">
        <w:rPr>
          <w:rFonts w:ascii="Baskerville Old Face" w:hAnsi="Baskerville Old Face"/>
          <w:i/>
          <w:iCs/>
        </w:rPr>
        <w:br/>
        <w:t>• generated soil or water data;</w:t>
      </w:r>
      <w:r w:rsidRPr="00B479AE">
        <w:rPr>
          <w:rFonts w:ascii="Baskerville Old Face" w:hAnsi="Baskerville Old Face"/>
          <w:i/>
          <w:iCs/>
        </w:rPr>
        <w:br/>
        <w:t>• fake release manifests.</w:t>
      </w:r>
    </w:p>
    <w:p w14:paraId="3B259845"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MRV therefore treats evidence as a provenance chain.</w:t>
      </w:r>
    </w:p>
    <w:p w14:paraId="2C4F6024"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High-impact evidence should require:</w:t>
      </w:r>
    </w:p>
    <w:p w14:paraId="7C280D15"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lastRenderedPageBreak/>
        <w:t>• source identity;</w:t>
      </w:r>
      <w:r w:rsidRPr="00B479AE">
        <w:rPr>
          <w:rFonts w:ascii="Baskerville Old Face" w:hAnsi="Baskerville Old Face"/>
          <w:i/>
          <w:iCs/>
        </w:rPr>
        <w:br/>
        <w:t>• method;</w:t>
      </w:r>
      <w:r w:rsidRPr="00B479AE">
        <w:rPr>
          <w:rFonts w:ascii="Baskerville Old Face" w:hAnsi="Baskerville Old Face"/>
          <w:i/>
          <w:iCs/>
        </w:rPr>
        <w:br/>
        <w:t>• time and location;</w:t>
      </w:r>
      <w:r w:rsidRPr="00B479AE">
        <w:rPr>
          <w:rFonts w:ascii="Baskerville Old Face" w:hAnsi="Baskerville Old Face"/>
          <w:i/>
          <w:iCs/>
        </w:rPr>
        <w:br/>
        <w:t>• chain of custody;</w:t>
      </w:r>
      <w:r w:rsidRPr="00B479AE">
        <w:rPr>
          <w:rFonts w:ascii="Baskerville Old Face" w:hAnsi="Baskerville Old Face"/>
          <w:i/>
          <w:iCs/>
        </w:rPr>
        <w:br/>
        <w:t>• raw data retention where feasible;</w:t>
      </w:r>
      <w:r w:rsidRPr="00B479AE">
        <w:rPr>
          <w:rFonts w:ascii="Baskerville Old Face" w:hAnsi="Baskerville Old Face"/>
          <w:i/>
          <w:iCs/>
        </w:rPr>
        <w:br/>
        <w:t>• cross-source corroboration;</w:t>
      </w:r>
      <w:r w:rsidRPr="00B479AE">
        <w:rPr>
          <w:rFonts w:ascii="Baskerville Old Face" w:hAnsi="Baskerville Old Face"/>
          <w:i/>
          <w:iCs/>
        </w:rPr>
        <w:br/>
        <w:t>• anomaly detection;</w:t>
      </w:r>
      <w:r w:rsidRPr="00B479AE">
        <w:rPr>
          <w:rFonts w:ascii="Baskerville Old Face" w:hAnsi="Baskerville Old Face"/>
          <w:i/>
          <w:iCs/>
        </w:rPr>
        <w:br/>
        <w:t>• reviewer signature;</w:t>
      </w:r>
      <w:r w:rsidRPr="00B479AE">
        <w:rPr>
          <w:rFonts w:ascii="Baskerville Old Face" w:hAnsi="Baskerville Old Face"/>
          <w:i/>
          <w:iCs/>
        </w:rPr>
        <w:br/>
        <w:t>• confidence scoring;</w:t>
      </w:r>
      <w:r w:rsidRPr="00B479AE">
        <w:rPr>
          <w:rFonts w:ascii="Baskerville Old Face" w:hAnsi="Baskerville Old Face"/>
          <w:i/>
          <w:iCs/>
        </w:rPr>
        <w:br/>
        <w:t>• admissibility status;</w:t>
      </w:r>
      <w:r w:rsidRPr="00B479AE">
        <w:rPr>
          <w:rFonts w:ascii="Baskerville Old Face" w:hAnsi="Baskerville Old Face"/>
          <w:i/>
          <w:iCs/>
        </w:rPr>
        <w:br/>
        <w:t>• tamper-evident storage or hash reference.</w:t>
      </w:r>
    </w:p>
    <w:p w14:paraId="278ACDD3"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 MRV rule is:</w:t>
      </w:r>
    </w:p>
    <w:p w14:paraId="1306E069"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no single synthetic channel becomes sovereign evidence.</w:t>
      </w:r>
    </w:p>
    <w:p w14:paraId="09DBDDEF"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Evidence becomes stronger through independent convergence.</w:t>
      </w:r>
    </w:p>
    <w:p w14:paraId="24DCF4D5"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G.8 Data provenance schema</w:t>
      </w:r>
    </w:p>
    <w:p w14:paraId="4BA9586F"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A generic MRV record should preserve the following fields where relevant:</w:t>
      </w:r>
    </w:p>
    <w:p w14:paraId="3AB277FC"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w:t>
      </w:r>
    </w:p>
    <w:p w14:paraId="6BB1DA55"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"record_id": "mrv_record_0001",</w:t>
      </w:r>
    </w:p>
    <w:p w14:paraId="2111DC47"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"site_id": "ohe_or_site_reference",</w:t>
      </w:r>
    </w:p>
    <w:p w14:paraId="453C4AC3"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"event_type": "soil_sample | sensor_reading | satellite_observation | field_observation | lab_result | audit_note",</w:t>
      </w:r>
    </w:p>
    <w:p w14:paraId="350CF2CF"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"observed_at_utc": "2026-01-01T10:00:00Z",</w:t>
      </w:r>
    </w:p>
    <w:p w14:paraId="4CCBAC1E"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"location": {</w:t>
      </w:r>
    </w:p>
    <w:p w14:paraId="3C96C83A"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"latitude": 0.0,</w:t>
      </w:r>
    </w:p>
    <w:p w14:paraId="7F8C1DED"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"longitude": 0.0,</w:t>
      </w:r>
    </w:p>
    <w:p w14:paraId="3D650A87"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"accuracy_m": 5</w:t>
      </w:r>
    </w:p>
    <w:p w14:paraId="6851B994"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lastRenderedPageBreak/>
        <w:t xml:space="preserve">  },</w:t>
      </w:r>
    </w:p>
    <w:p w14:paraId="2249491F"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"source": {</w:t>
      </w:r>
    </w:p>
    <w:p w14:paraId="7086E261"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"source_type": "sensor | lab | satellite | human_observer | auditor | external_dataset",</w:t>
      </w:r>
    </w:p>
    <w:p w14:paraId="01A7A551"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"source_id": "source_identifier",</w:t>
      </w:r>
    </w:p>
    <w:p w14:paraId="177DD47E"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"method_version": "method_v1.0"</w:t>
      </w:r>
    </w:p>
    <w:p w14:paraId="514DA4DD"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w:t>
      </w:r>
    </w:p>
    <w:p w14:paraId="2ABA9561"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"measurement": {</w:t>
      </w:r>
    </w:p>
    <w:p w14:paraId="5301795D"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"variable": "soil_organic_carbon",</w:t>
      </w:r>
    </w:p>
    <w:p w14:paraId="7A99B76E"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"value": 0.0,</w:t>
      </w:r>
    </w:p>
    <w:p w14:paraId="761EDE36"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"unit": "%",</w:t>
      </w:r>
    </w:p>
    <w:p w14:paraId="193FA326"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"uncertainty": null</w:t>
      </w:r>
    </w:p>
    <w:p w14:paraId="3962A114"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w:t>
      </w:r>
    </w:p>
    <w:p w14:paraId="17CA3F8E"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"provenance": {</w:t>
      </w:r>
    </w:p>
    <w:p w14:paraId="44F4E268"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"raw_data_reference": "uri_or_archive_reference",</w:t>
      </w:r>
    </w:p>
    <w:p w14:paraId="019E95FD"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"hash": "sha256_hash_where_available",</w:t>
      </w:r>
    </w:p>
    <w:p w14:paraId="3BECB518"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"chain_of_custody": "reference_or_summary",</w:t>
      </w:r>
    </w:p>
    <w:p w14:paraId="02EC3DAE"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"methodology_reference": "mrv_method_v1.0"</w:t>
      </w:r>
    </w:p>
    <w:p w14:paraId="3C06E0A0"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w:t>
      </w:r>
    </w:p>
    <w:p w14:paraId="6EE43E9B"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"quality": {</w:t>
      </w:r>
    </w:p>
    <w:p w14:paraId="4542A10B"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"calibration_status": "current | expired | not_applicable",</w:t>
      </w:r>
    </w:p>
    <w:p w14:paraId="2828E9A8"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"quality_flag": "valid | review_required | suspect | invalid",</w:t>
      </w:r>
    </w:p>
    <w:p w14:paraId="44989086"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"confidence": 0.0</w:t>
      </w:r>
    </w:p>
    <w:p w14:paraId="2BED2AE4"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lastRenderedPageBreak/>
        <w:t xml:space="preserve">  },</w:t>
      </w:r>
    </w:p>
    <w:p w14:paraId="449327DF"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"classification": {</w:t>
      </w:r>
    </w:p>
    <w:p w14:paraId="5C6D74F2"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"evidence_status": "observation",</w:t>
      </w:r>
    </w:p>
    <w:p w14:paraId="6E2C4712"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"admissibility_status": "not_yet_admissible",</w:t>
      </w:r>
    </w:p>
    <w:p w14:paraId="33AF719B"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"review_status": "pending"</w:t>
      </w:r>
    </w:p>
    <w:p w14:paraId="6CA608B8"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xml:space="preserve">  }</w:t>
      </w:r>
    </w:p>
    <w:p w14:paraId="38A96AA3"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w:t>
      </w:r>
    </w:p>
    <w:p w14:paraId="566CC95A"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This schema is illustrative.</w:t>
      </w:r>
    </w:p>
    <w:p w14:paraId="26756F3E"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 operative schema should be versioned, tested, and adapted to the relevant data type.</w:t>
      </w:r>
    </w:p>
    <w:p w14:paraId="6F1B59AF"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G.9 Hashing, storage, and source-chain discipline</w:t>
      </w:r>
    </w:p>
    <w:p w14:paraId="074C729C"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Prometheus may use Holochain-compatible infrastructure, signed records, local-first data, distributed references, or other appropriate systems to preserve evidence integrity.</w:t>
      </w:r>
    </w:p>
    <w:p w14:paraId="1AD58199"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 correct implementation pattern is:</w:t>
      </w:r>
    </w:p>
    <w:p w14:paraId="0BD98388"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raw data may remain in appropriate storage depending on size, sensitivity, law, and operational need;</w:t>
      </w:r>
      <w:r w:rsidRPr="00B479AE">
        <w:rPr>
          <w:rFonts w:ascii="Baskerville Old Face" w:hAnsi="Baskerville Old Face"/>
          <w:i/>
          <w:iCs/>
        </w:rPr>
        <w:br/>
        <w:t>• hashes may be recorded to prove integrity;</w:t>
      </w:r>
      <w:r w:rsidRPr="00B479AE">
        <w:rPr>
          <w:rFonts w:ascii="Baskerville Old Face" w:hAnsi="Baskerville Old Face"/>
          <w:i/>
          <w:iCs/>
        </w:rPr>
        <w:br/>
        <w:t>• metadata may be stored as structured records;</w:t>
      </w:r>
      <w:r w:rsidRPr="00B479AE">
        <w:rPr>
          <w:rFonts w:ascii="Baskerville Old Face" w:hAnsi="Baskerville Old Face"/>
          <w:i/>
          <w:iCs/>
        </w:rPr>
        <w:br/>
        <w:t>• source-chain entries may record who submitted or validated an event;</w:t>
      </w:r>
      <w:r w:rsidRPr="00B479AE">
        <w:rPr>
          <w:rFonts w:ascii="Baskerville Old Face" w:hAnsi="Baskerville Old Face"/>
          <w:i/>
          <w:iCs/>
        </w:rPr>
        <w:br/>
        <w:t>• DHT references may support availability and distributed verification where implemented;</w:t>
      </w:r>
      <w:r w:rsidRPr="00B479AE">
        <w:rPr>
          <w:rFonts w:ascii="Baskerville Old Face" w:hAnsi="Baskerville Old Face"/>
          <w:i/>
          <w:iCs/>
        </w:rPr>
        <w:br/>
        <w:t>• sensitive data may remain encrypted, minimized, local, or access-controlled.</w:t>
      </w:r>
    </w:p>
    <w:p w14:paraId="3297ADAE"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Prometheus should avoid overclaiming that all MRV data is always stored on-chain or always hashed to the DHT in every implementation.</w:t>
      </w:r>
    </w:p>
    <w:p w14:paraId="7FEECBAA"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 stronger formulation is:</w:t>
      </w:r>
    </w:p>
    <w:p w14:paraId="070848B3"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MRV records should be tamper-evident, provenance-linked, versioned, and reviewable according to implementation maturity and data sensitivity.</w:t>
      </w:r>
    </w:p>
    <w:p w14:paraId="63D9ABF4"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lastRenderedPageBreak/>
        <w:t>Large files, sensitive records, HSI-adjacent data, private field data, or investor data-room materials may require off-chain or access-controlled storage with hash references and audit logs.</w:t>
      </w:r>
    </w:p>
    <w:p w14:paraId="0378BCE1"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G.10 Standards-based interoperability</w:t>
      </w:r>
    </w:p>
    <w:p w14:paraId="49F2C53A"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Prometheus should use open or widely recognized data standards where appropriate.</w:t>
      </w:r>
    </w:p>
    <w:p w14:paraId="01851279"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Potential standards and interoperability logics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56"/>
        <w:gridCol w:w="6072"/>
      </w:tblGrid>
      <w:tr w:rsidR="00D92255" w:rsidRPr="00B479AE" w14:paraId="29106111" w14:textId="77777777" w:rsidTr="00D30921">
        <w:trPr>
          <w:tblHeader/>
          <w:tblCellSpacing w:w="15" w:type="dxa"/>
        </w:trPr>
        <w:tc>
          <w:tcPr>
            <w:tcW w:w="0" w:type="auto"/>
            <w:vAlign w:val="center"/>
            <w:hideMark/>
          </w:tcPr>
          <w:p w14:paraId="69225B9C"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Standard / logic</w:t>
            </w:r>
          </w:p>
        </w:tc>
        <w:tc>
          <w:tcPr>
            <w:tcW w:w="0" w:type="auto"/>
            <w:vAlign w:val="center"/>
            <w:hideMark/>
          </w:tcPr>
          <w:p w14:paraId="66215D97"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Use</w:t>
            </w:r>
          </w:p>
        </w:tc>
      </w:tr>
      <w:tr w:rsidR="00D92255" w:rsidRPr="00B479AE" w14:paraId="08F26DA4" w14:textId="77777777" w:rsidTr="00D30921">
        <w:trPr>
          <w:tblCellSpacing w:w="15" w:type="dxa"/>
        </w:trPr>
        <w:tc>
          <w:tcPr>
            <w:tcW w:w="0" w:type="auto"/>
            <w:vAlign w:val="center"/>
            <w:hideMark/>
          </w:tcPr>
          <w:p w14:paraId="7468A2A3"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b/>
                <w:bCs/>
                <w:i/>
                <w:iCs/>
              </w:rPr>
              <w:t>OGC SensorThings API</w:t>
            </w:r>
          </w:p>
        </w:tc>
        <w:tc>
          <w:tcPr>
            <w:tcW w:w="0" w:type="auto"/>
            <w:vAlign w:val="center"/>
            <w:hideMark/>
          </w:tcPr>
          <w:p w14:paraId="6D3442C5"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Sensor observations and IoT data interoperability.</w:t>
            </w:r>
          </w:p>
        </w:tc>
      </w:tr>
      <w:tr w:rsidR="00D92255" w:rsidRPr="00B479AE" w14:paraId="523D3B45" w14:textId="77777777" w:rsidTr="00D30921">
        <w:trPr>
          <w:tblCellSpacing w:w="15" w:type="dxa"/>
        </w:trPr>
        <w:tc>
          <w:tcPr>
            <w:tcW w:w="0" w:type="auto"/>
            <w:vAlign w:val="center"/>
            <w:hideMark/>
          </w:tcPr>
          <w:p w14:paraId="5764D99C" w14:textId="77777777" w:rsidR="00D92255" w:rsidRPr="005907F1" w:rsidRDefault="00D92255" w:rsidP="00D92255">
            <w:pPr>
              <w:spacing w:line="360" w:lineRule="auto"/>
              <w:rPr>
                <w:rFonts w:ascii="Baskerville Old Face" w:hAnsi="Baskerville Old Face"/>
                <w:i/>
                <w:iCs/>
                <w:lang w:val="it-IT"/>
              </w:rPr>
            </w:pPr>
            <w:r w:rsidRPr="005907F1">
              <w:rPr>
                <w:rFonts w:ascii="Baskerville Old Face" w:hAnsi="Baskerville Old Face"/>
                <w:b/>
                <w:bCs/>
                <w:i/>
                <w:iCs/>
                <w:lang w:val="it-IT"/>
              </w:rPr>
              <w:t>OGC API Environmental Data Retrieval</w:t>
            </w:r>
          </w:p>
        </w:tc>
        <w:tc>
          <w:tcPr>
            <w:tcW w:w="0" w:type="auto"/>
            <w:vAlign w:val="center"/>
            <w:hideMark/>
          </w:tcPr>
          <w:p w14:paraId="52FD15E1"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Environmental data access and retrieval.</w:t>
            </w:r>
          </w:p>
        </w:tc>
      </w:tr>
      <w:tr w:rsidR="00D92255" w:rsidRPr="00B479AE" w14:paraId="5F733003" w14:textId="77777777" w:rsidTr="00D30921">
        <w:trPr>
          <w:tblCellSpacing w:w="15" w:type="dxa"/>
        </w:trPr>
        <w:tc>
          <w:tcPr>
            <w:tcW w:w="0" w:type="auto"/>
            <w:vAlign w:val="center"/>
            <w:hideMark/>
          </w:tcPr>
          <w:p w14:paraId="12179A70"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b/>
                <w:bCs/>
                <w:i/>
                <w:iCs/>
              </w:rPr>
              <w:t>STAC</w:t>
            </w:r>
          </w:p>
        </w:tc>
        <w:tc>
          <w:tcPr>
            <w:tcW w:w="0" w:type="auto"/>
            <w:vAlign w:val="center"/>
            <w:hideMark/>
          </w:tcPr>
          <w:p w14:paraId="2E8C8265"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Cataloguing geospatial and satellite assets.</w:t>
            </w:r>
          </w:p>
        </w:tc>
      </w:tr>
      <w:tr w:rsidR="00D92255" w:rsidRPr="00B479AE" w14:paraId="69304A9D" w14:textId="77777777" w:rsidTr="00D30921">
        <w:trPr>
          <w:tblCellSpacing w:w="15" w:type="dxa"/>
        </w:trPr>
        <w:tc>
          <w:tcPr>
            <w:tcW w:w="0" w:type="auto"/>
            <w:vAlign w:val="center"/>
            <w:hideMark/>
          </w:tcPr>
          <w:p w14:paraId="6105BC54"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b/>
                <w:bCs/>
                <w:i/>
                <w:iCs/>
              </w:rPr>
              <w:t>Cloud Optimized GeoTIFF</w:t>
            </w:r>
          </w:p>
        </w:tc>
        <w:tc>
          <w:tcPr>
            <w:tcW w:w="0" w:type="auto"/>
            <w:vAlign w:val="center"/>
            <w:hideMark/>
          </w:tcPr>
          <w:p w14:paraId="3416C92B"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Efficient geospatial raster storage and access.</w:t>
            </w:r>
          </w:p>
        </w:tc>
      </w:tr>
      <w:tr w:rsidR="00D92255" w:rsidRPr="00B479AE" w14:paraId="7AFC8E29" w14:textId="77777777" w:rsidTr="00D30921">
        <w:trPr>
          <w:tblCellSpacing w:w="15" w:type="dxa"/>
        </w:trPr>
        <w:tc>
          <w:tcPr>
            <w:tcW w:w="0" w:type="auto"/>
            <w:vAlign w:val="center"/>
            <w:hideMark/>
          </w:tcPr>
          <w:p w14:paraId="7CAB5AA0"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b/>
                <w:bCs/>
                <w:i/>
                <w:iCs/>
              </w:rPr>
              <w:t>W3C PROV</w:t>
            </w:r>
          </w:p>
        </w:tc>
        <w:tc>
          <w:tcPr>
            <w:tcW w:w="0" w:type="auto"/>
            <w:vAlign w:val="center"/>
            <w:hideMark/>
          </w:tcPr>
          <w:p w14:paraId="54C0940D"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Provenance representation.</w:t>
            </w:r>
          </w:p>
        </w:tc>
      </w:tr>
      <w:tr w:rsidR="00D92255" w:rsidRPr="00B479AE" w14:paraId="0B3847AB" w14:textId="77777777" w:rsidTr="00D30921">
        <w:trPr>
          <w:tblCellSpacing w:w="15" w:type="dxa"/>
        </w:trPr>
        <w:tc>
          <w:tcPr>
            <w:tcW w:w="0" w:type="auto"/>
            <w:vAlign w:val="center"/>
            <w:hideMark/>
          </w:tcPr>
          <w:p w14:paraId="45E6BA1F"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b/>
                <w:bCs/>
                <w:i/>
                <w:iCs/>
              </w:rPr>
              <w:t>Web of Things descriptions</w:t>
            </w:r>
          </w:p>
        </w:tc>
        <w:tc>
          <w:tcPr>
            <w:tcW w:w="0" w:type="auto"/>
            <w:vAlign w:val="center"/>
            <w:hideMark/>
          </w:tcPr>
          <w:p w14:paraId="3F7F2196"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Device metadata and interoperability.</w:t>
            </w:r>
          </w:p>
        </w:tc>
      </w:tr>
      <w:tr w:rsidR="00D92255" w:rsidRPr="00B479AE" w14:paraId="696BD01A" w14:textId="77777777" w:rsidTr="00D30921">
        <w:trPr>
          <w:tblCellSpacing w:w="15" w:type="dxa"/>
        </w:trPr>
        <w:tc>
          <w:tcPr>
            <w:tcW w:w="0" w:type="auto"/>
            <w:vAlign w:val="center"/>
            <w:hideMark/>
          </w:tcPr>
          <w:p w14:paraId="09222C3D"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b/>
                <w:bCs/>
                <w:i/>
                <w:iCs/>
              </w:rPr>
              <w:t>EPCIS-compatible logic</w:t>
            </w:r>
          </w:p>
        </w:tc>
        <w:tc>
          <w:tcPr>
            <w:tcW w:w="0" w:type="auto"/>
            <w:vAlign w:val="center"/>
            <w:hideMark/>
          </w:tcPr>
          <w:p w14:paraId="7F07CDB7"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Supply-chain and product event traceability where appropriate.</w:t>
            </w:r>
          </w:p>
        </w:tc>
      </w:tr>
      <w:tr w:rsidR="00D92255" w:rsidRPr="00B479AE" w14:paraId="6C629F82" w14:textId="77777777" w:rsidTr="00D30921">
        <w:trPr>
          <w:tblCellSpacing w:w="15" w:type="dxa"/>
        </w:trPr>
        <w:tc>
          <w:tcPr>
            <w:tcW w:w="0" w:type="auto"/>
            <w:vAlign w:val="center"/>
            <w:hideMark/>
          </w:tcPr>
          <w:p w14:paraId="681B6191"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b/>
                <w:bCs/>
                <w:i/>
                <w:iCs/>
              </w:rPr>
              <w:t>Valueflows / REA logic</w:t>
            </w:r>
          </w:p>
        </w:tc>
        <w:tc>
          <w:tcPr>
            <w:tcW w:w="0" w:type="auto"/>
            <w:vAlign w:val="center"/>
            <w:hideMark/>
          </w:tcPr>
          <w:p w14:paraId="7D7AD5A2"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Resources, events, agents, and regenerative accounting.</w:t>
            </w:r>
          </w:p>
        </w:tc>
      </w:tr>
      <w:tr w:rsidR="00D92255" w:rsidRPr="00B479AE" w14:paraId="293D0685" w14:textId="77777777" w:rsidTr="00D30921">
        <w:trPr>
          <w:tblCellSpacing w:w="15" w:type="dxa"/>
        </w:trPr>
        <w:tc>
          <w:tcPr>
            <w:tcW w:w="0" w:type="auto"/>
            <w:vAlign w:val="center"/>
            <w:hideMark/>
          </w:tcPr>
          <w:p w14:paraId="1E8E4194"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b/>
                <w:bCs/>
                <w:i/>
                <w:iCs/>
              </w:rPr>
              <w:t>DIDs / verifiable credentials</w:t>
            </w:r>
          </w:p>
        </w:tc>
        <w:tc>
          <w:tcPr>
            <w:tcW w:w="0" w:type="auto"/>
            <w:vAlign w:val="center"/>
            <w:hideMark/>
          </w:tcPr>
          <w:p w14:paraId="52768E46"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Identity, authorization, credentials, and role evidence where appropriate.</w:t>
            </w:r>
          </w:p>
        </w:tc>
      </w:tr>
    </w:tbl>
    <w:p w14:paraId="252FF628"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Standards do not replace methodology.</w:t>
      </w:r>
    </w:p>
    <w:p w14:paraId="3C032E34"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They support interoperability.</w:t>
      </w:r>
    </w:p>
    <w:p w14:paraId="61105A47"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 meaning of each record remains governed by the Prometheus canonical glossary, MRV methodology, evidence classification, and admissibility rules.</w:t>
      </w:r>
    </w:p>
    <w:p w14:paraId="4B644A62" w14:textId="6AD6E215" w:rsidR="00D92255" w:rsidRPr="00B479AE" w:rsidRDefault="00D92255" w:rsidP="00D92255">
      <w:pPr>
        <w:spacing w:line="360" w:lineRule="auto"/>
        <w:rPr>
          <w:rFonts w:ascii="Baskerville Old Face" w:hAnsi="Baskerville Old Face"/>
          <w:i/>
          <w:iCs/>
        </w:rPr>
      </w:pPr>
    </w:p>
    <w:p w14:paraId="61865D5A"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lastRenderedPageBreak/>
        <w:t>G.11 Indicator families</w:t>
      </w:r>
    </w:p>
    <w:p w14:paraId="7AB83808"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 MRV system may organize indicators into families.</w:t>
      </w:r>
    </w:p>
    <w:p w14:paraId="084A9228"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G.11.1 Soil function indicators</w:t>
      </w:r>
    </w:p>
    <w:p w14:paraId="2FD5B6C3"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Possible indicators:</w:t>
      </w:r>
    </w:p>
    <w:p w14:paraId="34D13374"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soil organic carbon;</w:t>
      </w:r>
      <w:r w:rsidRPr="00B479AE">
        <w:rPr>
          <w:rFonts w:ascii="Baskerville Old Face" w:hAnsi="Baskerville Old Face"/>
          <w:i/>
          <w:iCs/>
        </w:rPr>
        <w:br/>
        <w:t>• soil organic matter;</w:t>
      </w:r>
      <w:r w:rsidRPr="00B479AE">
        <w:rPr>
          <w:rFonts w:ascii="Baskerville Old Face" w:hAnsi="Baskerville Old Face"/>
          <w:i/>
          <w:iCs/>
        </w:rPr>
        <w:br/>
        <w:t>• aggregate stability;</w:t>
      </w:r>
      <w:r w:rsidRPr="00B479AE">
        <w:rPr>
          <w:rFonts w:ascii="Baskerville Old Face" w:hAnsi="Baskerville Old Face"/>
          <w:i/>
          <w:iCs/>
        </w:rPr>
        <w:br/>
        <w:t>• infiltration capacity;</w:t>
      </w:r>
      <w:r w:rsidRPr="00B479AE">
        <w:rPr>
          <w:rFonts w:ascii="Baskerville Old Face" w:hAnsi="Baskerville Old Face"/>
          <w:i/>
          <w:iCs/>
        </w:rPr>
        <w:br/>
        <w:t>• bulk density;</w:t>
      </w:r>
      <w:r w:rsidRPr="00B479AE">
        <w:rPr>
          <w:rFonts w:ascii="Baskerville Old Face" w:hAnsi="Baskerville Old Face"/>
          <w:i/>
          <w:iCs/>
        </w:rPr>
        <w:br/>
        <w:t>• microbial biomass;</w:t>
      </w:r>
      <w:r w:rsidRPr="00B479AE">
        <w:rPr>
          <w:rFonts w:ascii="Baskerville Old Face" w:hAnsi="Baskerville Old Face"/>
          <w:i/>
          <w:iCs/>
        </w:rPr>
        <w:br/>
        <w:t>• earthworm activity;</w:t>
      </w:r>
      <w:r w:rsidRPr="00B479AE">
        <w:rPr>
          <w:rFonts w:ascii="Baskerville Old Face" w:hAnsi="Baskerville Old Face"/>
          <w:i/>
          <w:iCs/>
        </w:rPr>
        <w:br/>
        <w:t>• pH;</w:t>
      </w:r>
      <w:r w:rsidRPr="00B479AE">
        <w:rPr>
          <w:rFonts w:ascii="Baskerville Old Face" w:hAnsi="Baskerville Old Face"/>
          <w:i/>
          <w:iCs/>
        </w:rPr>
        <w:br/>
        <w:t>• salinity;</w:t>
      </w:r>
      <w:r w:rsidRPr="00B479AE">
        <w:rPr>
          <w:rFonts w:ascii="Baskerville Old Face" w:hAnsi="Baskerville Old Face"/>
          <w:i/>
          <w:iCs/>
        </w:rPr>
        <w:br/>
        <w:t>• nutrient availability;</w:t>
      </w:r>
      <w:r w:rsidRPr="00B479AE">
        <w:rPr>
          <w:rFonts w:ascii="Baskerville Old Face" w:hAnsi="Baskerville Old Face"/>
          <w:i/>
          <w:iCs/>
        </w:rPr>
        <w:br/>
        <w:t>• root health;</w:t>
      </w:r>
      <w:r w:rsidRPr="00B479AE">
        <w:rPr>
          <w:rFonts w:ascii="Baskerville Old Face" w:hAnsi="Baskerville Old Face"/>
          <w:i/>
          <w:iCs/>
        </w:rPr>
        <w:br/>
        <w:t>• soil moisture dynamics.</w:t>
      </w:r>
    </w:p>
    <w:p w14:paraId="58AFB019"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Purpose:</w:t>
      </w:r>
    </w:p>
    <w:p w14:paraId="67038972"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to evaluate whether the soil is becoming more fertile, structured, biologically active, water-retentive, and resilient.</w:t>
      </w:r>
    </w:p>
    <w:p w14:paraId="1BB22F68"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G.11.2 Hydrological indicators</w:t>
      </w:r>
    </w:p>
    <w:p w14:paraId="1DD179A2"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Possible indicators:</w:t>
      </w:r>
    </w:p>
    <w:p w14:paraId="0833EEF5"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infiltration rate;</w:t>
      </w:r>
      <w:r w:rsidRPr="00B479AE">
        <w:rPr>
          <w:rFonts w:ascii="Baskerville Old Face" w:hAnsi="Baskerville Old Face"/>
          <w:i/>
          <w:iCs/>
        </w:rPr>
        <w:br/>
        <w:t>• soil moisture stability;</w:t>
      </w:r>
      <w:r w:rsidRPr="00B479AE">
        <w:rPr>
          <w:rFonts w:ascii="Baskerville Old Face" w:hAnsi="Baskerville Old Face"/>
          <w:i/>
          <w:iCs/>
        </w:rPr>
        <w:br/>
        <w:t>• water retention after rainfall;</w:t>
      </w:r>
      <w:r w:rsidRPr="00B479AE">
        <w:rPr>
          <w:rFonts w:ascii="Baskerville Old Face" w:hAnsi="Baskerville Old Face"/>
          <w:i/>
          <w:iCs/>
        </w:rPr>
        <w:br/>
        <w:t>• runoff reduction;</w:t>
      </w:r>
      <w:r w:rsidRPr="00B479AE">
        <w:rPr>
          <w:rFonts w:ascii="Baskerville Old Face" w:hAnsi="Baskerville Old Face"/>
          <w:i/>
          <w:iCs/>
        </w:rPr>
        <w:br/>
        <w:t>• irrigation requirement per unit output;</w:t>
      </w:r>
      <w:r w:rsidRPr="00B479AE">
        <w:rPr>
          <w:rFonts w:ascii="Baskerville Old Face" w:hAnsi="Baskerville Old Face"/>
          <w:i/>
          <w:iCs/>
        </w:rPr>
        <w:br/>
        <w:t>• water quality;</w:t>
      </w:r>
      <w:r w:rsidRPr="00B479AE">
        <w:rPr>
          <w:rFonts w:ascii="Baskerville Old Face" w:hAnsi="Baskerville Old Face"/>
          <w:i/>
          <w:iCs/>
        </w:rPr>
        <w:br/>
        <w:t>• water-level response in swales or micro-basins;</w:t>
      </w:r>
      <w:r w:rsidRPr="00B479AE">
        <w:rPr>
          <w:rFonts w:ascii="Baskerville Old Face" w:hAnsi="Baskerville Old Face"/>
          <w:i/>
          <w:iCs/>
        </w:rPr>
        <w:br/>
        <w:t>• vegetation response after rainfall or drought.</w:t>
      </w:r>
    </w:p>
    <w:p w14:paraId="4B62DBD5"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lastRenderedPageBreak/>
        <w:t>Purpose:</w:t>
      </w:r>
    </w:p>
    <w:p w14:paraId="2A986860"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to evaluate whether the site is improving water capture, storage, cycling, and resilience.</w:t>
      </w:r>
    </w:p>
    <w:p w14:paraId="0B61496F"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G.11.3 Biodiversity indicators</w:t>
      </w:r>
    </w:p>
    <w:p w14:paraId="2E4AE73D"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Possible indicators:</w:t>
      </w:r>
    </w:p>
    <w:p w14:paraId="0A95E6AE"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species richness;</w:t>
      </w:r>
      <w:r w:rsidRPr="00B479AE">
        <w:rPr>
          <w:rFonts w:ascii="Baskerville Old Face" w:hAnsi="Baskerville Old Face"/>
          <w:i/>
          <w:iCs/>
        </w:rPr>
        <w:br/>
        <w:t>• functional diversity;</w:t>
      </w:r>
      <w:r w:rsidRPr="00B479AE">
        <w:rPr>
          <w:rFonts w:ascii="Baskerville Old Face" w:hAnsi="Baskerville Old Face"/>
          <w:i/>
          <w:iCs/>
        </w:rPr>
        <w:br/>
        <w:t>• pollinator presence;</w:t>
      </w:r>
      <w:r w:rsidRPr="00B479AE">
        <w:rPr>
          <w:rFonts w:ascii="Baskerville Old Face" w:hAnsi="Baskerville Old Face"/>
          <w:i/>
          <w:iCs/>
        </w:rPr>
        <w:br/>
        <w:t>• habitat continuity;</w:t>
      </w:r>
      <w:r w:rsidRPr="00B479AE">
        <w:rPr>
          <w:rFonts w:ascii="Baskerville Old Face" w:hAnsi="Baskerville Old Face"/>
          <w:i/>
          <w:iCs/>
        </w:rPr>
        <w:br/>
        <w:t>• canopy and understory structure;</w:t>
      </w:r>
      <w:r w:rsidRPr="00B479AE">
        <w:rPr>
          <w:rFonts w:ascii="Baskerville Old Face" w:hAnsi="Baskerville Old Face"/>
          <w:i/>
          <w:iCs/>
        </w:rPr>
        <w:br/>
        <w:t>• beneficial insect presence;</w:t>
      </w:r>
      <w:r w:rsidRPr="00B479AE">
        <w:rPr>
          <w:rFonts w:ascii="Baskerville Old Face" w:hAnsi="Baskerville Old Face"/>
          <w:i/>
          <w:iCs/>
        </w:rPr>
        <w:br/>
        <w:t>• bird or wildlife observations;</w:t>
      </w:r>
      <w:r w:rsidRPr="00B479AE">
        <w:rPr>
          <w:rFonts w:ascii="Baskerville Old Face" w:hAnsi="Baskerville Old Face"/>
          <w:i/>
          <w:iCs/>
        </w:rPr>
        <w:br/>
        <w:t>• biodiversity corridor contribution;</w:t>
      </w:r>
      <w:r w:rsidRPr="00B479AE">
        <w:rPr>
          <w:rFonts w:ascii="Baskerville Old Face" w:hAnsi="Baskerville Old Face"/>
          <w:i/>
          <w:iCs/>
        </w:rPr>
        <w:br/>
        <w:t>• keystone or indicator species presence where relevant.</w:t>
      </w:r>
    </w:p>
    <w:p w14:paraId="33BF5AAF"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Purpose:</w:t>
      </w:r>
    </w:p>
    <w:p w14:paraId="4F06AB43"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to evaluate whether the system is increasing ecological function, redundancy, and resilience.</w:t>
      </w:r>
    </w:p>
    <w:p w14:paraId="67FC7342"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G.11.4 Productive and operational indicators</w:t>
      </w:r>
    </w:p>
    <w:p w14:paraId="5ADE8FE7"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Possible indicators:</w:t>
      </w:r>
    </w:p>
    <w:p w14:paraId="27438476"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edible yield;</w:t>
      </w:r>
      <w:r w:rsidRPr="00B479AE">
        <w:rPr>
          <w:rFonts w:ascii="Baskerville Old Face" w:hAnsi="Baskerville Old Face"/>
          <w:i/>
          <w:iCs/>
        </w:rPr>
        <w:br/>
        <w:t>• crop diversity;</w:t>
      </w:r>
      <w:r w:rsidRPr="00B479AE">
        <w:rPr>
          <w:rFonts w:ascii="Baskerville Old Face" w:hAnsi="Baskerville Old Face"/>
          <w:i/>
          <w:iCs/>
        </w:rPr>
        <w:br/>
        <w:t>• biomass returned to soil;</w:t>
      </w:r>
      <w:r w:rsidRPr="00B479AE">
        <w:rPr>
          <w:rFonts w:ascii="Baskerville Old Face" w:hAnsi="Baskerville Old Face"/>
          <w:i/>
          <w:iCs/>
        </w:rPr>
        <w:br/>
        <w:t>• seasonal yield distribution;</w:t>
      </w:r>
      <w:r w:rsidRPr="00B479AE">
        <w:rPr>
          <w:rFonts w:ascii="Baskerville Old Face" w:hAnsi="Baskerville Old Face"/>
          <w:i/>
          <w:iCs/>
        </w:rPr>
        <w:br/>
        <w:t>• yield stability;</w:t>
      </w:r>
      <w:r w:rsidRPr="00B479AE">
        <w:rPr>
          <w:rFonts w:ascii="Baskerville Old Face" w:hAnsi="Baskerville Old Face"/>
          <w:i/>
          <w:iCs/>
        </w:rPr>
        <w:br/>
        <w:t>• mortality or replacement rate;</w:t>
      </w:r>
      <w:r w:rsidRPr="00B479AE">
        <w:rPr>
          <w:rFonts w:ascii="Baskerville Old Face" w:hAnsi="Baskerville Old Face"/>
          <w:i/>
          <w:iCs/>
        </w:rPr>
        <w:br/>
        <w:t>• input dependency;</w:t>
      </w:r>
      <w:r w:rsidRPr="00B479AE">
        <w:rPr>
          <w:rFonts w:ascii="Baskerville Old Face" w:hAnsi="Baskerville Old Face"/>
          <w:i/>
          <w:iCs/>
        </w:rPr>
        <w:br/>
        <w:t>• labor and maintenance records;</w:t>
      </w:r>
      <w:r w:rsidRPr="00B479AE">
        <w:rPr>
          <w:rFonts w:ascii="Baskerville Old Face" w:hAnsi="Baskerville Old Face"/>
          <w:i/>
          <w:iCs/>
        </w:rPr>
        <w:br/>
        <w:t>• operational interventions;</w:t>
      </w:r>
      <w:r w:rsidRPr="00B479AE">
        <w:rPr>
          <w:rFonts w:ascii="Baskerville Old Face" w:hAnsi="Baskerville Old Face"/>
          <w:i/>
          <w:iCs/>
        </w:rPr>
        <w:br/>
        <w:t>• revenue or substitution value where relevant.</w:t>
      </w:r>
    </w:p>
    <w:p w14:paraId="643D59CA"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Purpose:</w:t>
      </w:r>
    </w:p>
    <w:p w14:paraId="20AA79B2"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lastRenderedPageBreak/>
        <w:t>to evaluate whether regenerative performance is linked to productive and operational viability.</w:t>
      </w:r>
    </w:p>
    <w:p w14:paraId="191314A6"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G.11.5 Resilience and risk indicators</w:t>
      </w:r>
    </w:p>
    <w:p w14:paraId="0C0BE785"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Possible indicators:</w:t>
      </w:r>
    </w:p>
    <w:p w14:paraId="3FBD8A2C"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output variance;</w:t>
      </w:r>
      <w:r w:rsidRPr="00B479AE">
        <w:rPr>
          <w:rFonts w:ascii="Baskerville Old Face" w:hAnsi="Baskerville Old Face"/>
          <w:i/>
          <w:iCs/>
        </w:rPr>
        <w:br/>
        <w:t>• drought response;</w:t>
      </w:r>
      <w:r w:rsidRPr="00B479AE">
        <w:rPr>
          <w:rFonts w:ascii="Baskerville Old Face" w:hAnsi="Baskerville Old Face"/>
          <w:i/>
          <w:iCs/>
        </w:rPr>
        <w:br/>
        <w:t>• pest or disease pressure;</w:t>
      </w:r>
      <w:r w:rsidRPr="00B479AE">
        <w:rPr>
          <w:rFonts w:ascii="Baskerville Old Face" w:hAnsi="Baskerville Old Face"/>
          <w:i/>
          <w:iCs/>
        </w:rPr>
        <w:br/>
        <w:t>• recovery after disturbance;</w:t>
      </w:r>
      <w:r w:rsidRPr="00B479AE">
        <w:rPr>
          <w:rFonts w:ascii="Baskerville Old Face" w:hAnsi="Baskerville Old Face"/>
          <w:i/>
          <w:iCs/>
        </w:rPr>
        <w:br/>
        <w:t>• input dependency reduction;</w:t>
      </w:r>
      <w:r w:rsidRPr="00B479AE">
        <w:rPr>
          <w:rFonts w:ascii="Baskerville Old Face" w:hAnsi="Baskerville Old Face"/>
          <w:i/>
          <w:iCs/>
        </w:rPr>
        <w:br/>
        <w:t>• water stress response;</w:t>
      </w:r>
      <w:r w:rsidRPr="00B479AE">
        <w:rPr>
          <w:rFonts w:ascii="Baskerville Old Face" w:hAnsi="Baskerville Old Face"/>
          <w:i/>
          <w:iCs/>
        </w:rPr>
        <w:br/>
        <w:t>• management reliability;</w:t>
      </w:r>
      <w:r w:rsidRPr="00B479AE">
        <w:rPr>
          <w:rFonts w:ascii="Baskerville Old Face" w:hAnsi="Baskerville Old Face"/>
          <w:i/>
          <w:iCs/>
        </w:rPr>
        <w:br/>
        <w:t>• evidence continuity;</w:t>
      </w:r>
      <w:r w:rsidRPr="00B479AE">
        <w:rPr>
          <w:rFonts w:ascii="Baskerville Old Face" w:hAnsi="Baskerville Old Face"/>
          <w:i/>
          <w:iCs/>
        </w:rPr>
        <w:br/>
        <w:t>• adverse event history.</w:t>
      </w:r>
    </w:p>
    <w:p w14:paraId="656A7DF1"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Purpose:</w:t>
      </w:r>
    </w:p>
    <w:p w14:paraId="416E7D16"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to evaluate risk compression and system maturity.</w:t>
      </w:r>
    </w:p>
    <w:p w14:paraId="0C9C7B84"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G.12 Confidence scoring</w:t>
      </w:r>
    </w:p>
    <w:p w14:paraId="6A3B3B36"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Each indicator should carry a confidence score.</w:t>
      </w:r>
    </w:p>
    <w:p w14:paraId="7D5B72A9"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Confidence scoring may consider:</w:t>
      </w:r>
    </w:p>
    <w:p w14:paraId="384ABAC0"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measurement quality;</w:t>
      </w:r>
      <w:r w:rsidRPr="00B479AE">
        <w:rPr>
          <w:rFonts w:ascii="Baskerville Old Face" w:hAnsi="Baskerville Old Face"/>
          <w:i/>
          <w:iCs/>
        </w:rPr>
        <w:br/>
        <w:t>• sampling frequency;</w:t>
      </w:r>
      <w:r w:rsidRPr="00B479AE">
        <w:rPr>
          <w:rFonts w:ascii="Baskerville Old Face" w:hAnsi="Baskerville Old Face"/>
          <w:i/>
          <w:iCs/>
        </w:rPr>
        <w:br/>
        <w:t>• spatial resolution;</w:t>
      </w:r>
      <w:r w:rsidRPr="00B479AE">
        <w:rPr>
          <w:rFonts w:ascii="Baskerville Old Face" w:hAnsi="Baskerville Old Face"/>
          <w:i/>
          <w:iCs/>
        </w:rPr>
        <w:br/>
        <w:t>• temporal continuity;</w:t>
      </w:r>
      <w:r w:rsidRPr="00B479AE">
        <w:rPr>
          <w:rFonts w:ascii="Baskerville Old Face" w:hAnsi="Baskerville Old Face"/>
          <w:i/>
          <w:iCs/>
        </w:rPr>
        <w:br/>
        <w:t>• calibration status;</w:t>
      </w:r>
      <w:r w:rsidRPr="00B479AE">
        <w:rPr>
          <w:rFonts w:ascii="Baskerville Old Face" w:hAnsi="Baskerville Old Face"/>
          <w:i/>
          <w:iCs/>
        </w:rPr>
        <w:br/>
        <w:t>• source reliability;</w:t>
      </w:r>
      <w:r w:rsidRPr="00B479AE">
        <w:rPr>
          <w:rFonts w:ascii="Baskerville Old Face" w:hAnsi="Baskerville Old Face"/>
          <w:i/>
          <w:iCs/>
        </w:rPr>
        <w:br/>
        <w:t>• replication;</w:t>
      </w:r>
      <w:r w:rsidRPr="00B479AE">
        <w:rPr>
          <w:rFonts w:ascii="Baskerville Old Face" w:hAnsi="Baskerville Old Face"/>
          <w:i/>
          <w:iCs/>
        </w:rPr>
        <w:br/>
        <w:t>• cross-source consistency;</w:t>
      </w:r>
      <w:r w:rsidRPr="00B479AE">
        <w:rPr>
          <w:rFonts w:ascii="Baskerville Old Face" w:hAnsi="Baskerville Old Face"/>
          <w:i/>
          <w:iCs/>
        </w:rPr>
        <w:br/>
        <w:t>• reviewer confidence;</w:t>
      </w:r>
      <w:r w:rsidRPr="00B479AE">
        <w:rPr>
          <w:rFonts w:ascii="Baskerville Old Face" w:hAnsi="Baskerville Old Face"/>
          <w:i/>
          <w:iCs/>
        </w:rPr>
        <w:br/>
        <w:t>• uncertainty;</w:t>
      </w:r>
      <w:r w:rsidRPr="00B479AE">
        <w:rPr>
          <w:rFonts w:ascii="Baskerville Old Face" w:hAnsi="Baskerville Old Face"/>
          <w:i/>
          <w:iCs/>
        </w:rPr>
        <w:br/>
        <w:t>• methodology maturity;</w:t>
      </w:r>
      <w:r w:rsidRPr="00B479AE">
        <w:rPr>
          <w:rFonts w:ascii="Baskerville Old Face" w:hAnsi="Baskerville Old Face"/>
          <w:i/>
          <w:iCs/>
        </w:rPr>
        <w:br/>
        <w:t>• third-party verification where relevant.</w:t>
      </w:r>
    </w:p>
    <w:p w14:paraId="25EB2D3F"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lastRenderedPageBreak/>
        <w:t>A simplified conceptual model:</w:t>
      </w:r>
    </w:p>
    <w:p w14:paraId="4A338707"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Confidence = measurement_quality × provenance_strength × cross_source_consistency × methodology_maturity</w:t>
      </w:r>
    </w:p>
    <w:p w14:paraId="35CFF9C6"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Confidence scoring prevents weak evidence from being treated as strong evidence.</w:t>
      </w:r>
    </w:p>
    <w:p w14:paraId="06ADFFCB"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It allows learning while protecting financial admissibility.</w:t>
      </w:r>
    </w:p>
    <w:p w14:paraId="30C0535A" w14:textId="5FFD32E1" w:rsidR="003F69B8" w:rsidRPr="00B479AE" w:rsidRDefault="003F69B8" w:rsidP="003F69B8">
      <w:pPr>
        <w:spacing w:line="360" w:lineRule="auto"/>
        <w:rPr>
          <w:rFonts w:ascii="Baskerville Old Face" w:hAnsi="Baskerville Old Face"/>
          <w:b/>
          <w:bCs/>
          <w:i/>
          <w:iCs/>
        </w:rPr>
      </w:pPr>
      <w:r w:rsidRPr="00B479AE">
        <w:rPr>
          <w:rFonts w:ascii="Baskerville Old Face" w:hAnsi="Baskerville Old Face"/>
          <w:b/>
          <w:bCs/>
          <w:i/>
          <w:iCs/>
        </w:rPr>
        <w:t>MRV Confidence and Evidence Maturity Function</w:t>
      </w:r>
    </w:p>
    <w:p w14:paraId="5D4A707F"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Prometheus treats evidence maturity as a central condition for regenerative value.</w:t>
      </w:r>
    </w:p>
    <w:p w14:paraId="0BCA98F3"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An observation becomes useful when it is recorded.</w:t>
      </w:r>
    </w:p>
    <w:p w14:paraId="765A4976"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It becomes evidence when it has provenance.</w:t>
      </w:r>
    </w:p>
    <w:p w14:paraId="00C13400"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It becomes reliable when it is methodologically interpreted.</w:t>
      </w:r>
    </w:p>
    <w:p w14:paraId="0EF4887E"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It becomes admissible when it satisfies confidence, review, and boundary conditions.</w:t>
      </w:r>
    </w:p>
    <w:p w14:paraId="56250EDC"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The MRV confidence function may be expressed as:</w:t>
      </w:r>
    </w:p>
    <w:p w14:paraId="66B7DF08"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MRV_conf = f(Q_m, P_s, T_c, X_s, R_r, M_m, U_d)</w:t>
      </w:r>
    </w:p>
    <w:p w14:paraId="36F4149E"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Where:</w:t>
      </w:r>
    </w:p>
    <w:p w14:paraId="4CC7BBA7"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Q_m = measurement quality.</w:t>
      </w:r>
      <w:r w:rsidRPr="00B479AE">
        <w:rPr>
          <w:rFonts w:ascii="Baskerville Old Face" w:hAnsi="Baskerville Old Face"/>
          <w:i/>
          <w:iCs/>
        </w:rPr>
        <w:br/>
        <w:t>P_s = provenance strength.</w:t>
      </w:r>
      <w:r w:rsidRPr="00B479AE">
        <w:rPr>
          <w:rFonts w:ascii="Baskerville Old Face" w:hAnsi="Baskerville Old Face"/>
          <w:i/>
          <w:iCs/>
        </w:rPr>
        <w:br/>
        <w:t>T_c = temporal continuity.</w:t>
      </w:r>
      <w:r w:rsidRPr="00B479AE">
        <w:rPr>
          <w:rFonts w:ascii="Baskerville Old Face" w:hAnsi="Baskerville Old Face"/>
          <w:i/>
          <w:iCs/>
        </w:rPr>
        <w:br/>
        <w:t>X_s = cross-source consistency.</w:t>
      </w:r>
      <w:r w:rsidRPr="00B479AE">
        <w:rPr>
          <w:rFonts w:ascii="Baskerville Old Face" w:hAnsi="Baskerville Old Face"/>
          <w:i/>
          <w:iCs/>
        </w:rPr>
        <w:br/>
        <w:t>R_r = reviewer reliability or review status.</w:t>
      </w:r>
      <w:r w:rsidRPr="00B479AE">
        <w:rPr>
          <w:rFonts w:ascii="Baskerville Old Face" w:hAnsi="Baskerville Old Face"/>
          <w:i/>
          <w:iCs/>
        </w:rPr>
        <w:br/>
        <w:t>M_m = methodology maturity.</w:t>
      </w:r>
      <w:r w:rsidRPr="00B479AE">
        <w:rPr>
          <w:rFonts w:ascii="Baskerville Old Face" w:hAnsi="Baskerville Old Face"/>
          <w:i/>
          <w:iCs/>
        </w:rPr>
        <w:br/>
        <w:t>U_d = uncertainty disclosure.</w:t>
      </w:r>
    </w:p>
    <w:p w14:paraId="2576CFBC"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A simplified multiplicative confidence condition may be expressed as:</w:t>
      </w:r>
    </w:p>
    <w:p w14:paraId="5A0C1F82"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 xml:space="preserve">Conf_MRV = Q_m </w:t>
      </w:r>
      <w:r w:rsidRPr="00B479AE">
        <w:rPr>
          <w:rFonts w:ascii="Cambria" w:hAnsi="Cambria" w:cs="Cambria"/>
          <w:i/>
          <w:iCs/>
        </w:rPr>
        <w:t>·</w:t>
      </w:r>
      <w:r w:rsidRPr="00B479AE">
        <w:rPr>
          <w:rFonts w:ascii="Baskerville Old Face" w:hAnsi="Baskerville Old Face"/>
          <w:i/>
          <w:iCs/>
        </w:rPr>
        <w:t xml:space="preserve"> P_s </w:t>
      </w:r>
      <w:r w:rsidRPr="00B479AE">
        <w:rPr>
          <w:rFonts w:ascii="Cambria" w:hAnsi="Cambria" w:cs="Cambria"/>
          <w:i/>
          <w:iCs/>
        </w:rPr>
        <w:t>·</w:t>
      </w:r>
      <w:r w:rsidRPr="00B479AE">
        <w:rPr>
          <w:rFonts w:ascii="Baskerville Old Face" w:hAnsi="Baskerville Old Face"/>
          <w:i/>
          <w:iCs/>
        </w:rPr>
        <w:t xml:space="preserve"> T_c </w:t>
      </w:r>
      <w:r w:rsidRPr="00B479AE">
        <w:rPr>
          <w:rFonts w:ascii="Cambria" w:hAnsi="Cambria" w:cs="Cambria"/>
          <w:i/>
          <w:iCs/>
        </w:rPr>
        <w:t>·</w:t>
      </w:r>
      <w:r w:rsidRPr="00B479AE">
        <w:rPr>
          <w:rFonts w:ascii="Baskerville Old Face" w:hAnsi="Baskerville Old Face"/>
          <w:i/>
          <w:iCs/>
        </w:rPr>
        <w:t xml:space="preserve"> X_s </w:t>
      </w:r>
      <w:r w:rsidRPr="00B479AE">
        <w:rPr>
          <w:rFonts w:ascii="Cambria" w:hAnsi="Cambria" w:cs="Cambria"/>
          <w:i/>
          <w:iCs/>
        </w:rPr>
        <w:t>·</w:t>
      </w:r>
      <w:r w:rsidRPr="00B479AE">
        <w:rPr>
          <w:rFonts w:ascii="Baskerville Old Face" w:hAnsi="Baskerville Old Face"/>
          <w:i/>
          <w:iCs/>
        </w:rPr>
        <w:t xml:space="preserve"> R_r </w:t>
      </w:r>
      <w:r w:rsidRPr="00B479AE">
        <w:rPr>
          <w:rFonts w:ascii="Cambria" w:hAnsi="Cambria" w:cs="Cambria"/>
          <w:i/>
          <w:iCs/>
        </w:rPr>
        <w:t>·</w:t>
      </w:r>
      <w:r w:rsidRPr="00B479AE">
        <w:rPr>
          <w:rFonts w:ascii="Baskerville Old Face" w:hAnsi="Baskerville Old Face"/>
          <w:i/>
          <w:iCs/>
        </w:rPr>
        <w:t xml:space="preserve"> M_m </w:t>
      </w:r>
      <w:r w:rsidRPr="00B479AE">
        <w:rPr>
          <w:rFonts w:ascii="Cambria" w:hAnsi="Cambria" w:cs="Cambria"/>
          <w:i/>
          <w:iCs/>
        </w:rPr>
        <w:t>·</w:t>
      </w:r>
      <w:r w:rsidRPr="00B479AE">
        <w:rPr>
          <w:rFonts w:ascii="Baskerville Old Face" w:hAnsi="Baskerville Old Face"/>
          <w:i/>
          <w:iCs/>
        </w:rPr>
        <w:t xml:space="preserve"> U_d</w:t>
      </w:r>
    </w:p>
    <w:p w14:paraId="1E21B19E"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This formulation is deliberately conservative.</w:t>
      </w:r>
    </w:p>
    <w:p w14:paraId="0DA7C9C0"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lastRenderedPageBreak/>
        <w:t>If one essential evidence dimension is weak, total confidence should decrease.</w:t>
      </w:r>
    </w:p>
    <w:p w14:paraId="78F38BEF"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A strong measurement with weak provenance remains limited.</w:t>
      </w:r>
    </w:p>
    <w:p w14:paraId="324C5114"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A repeated observation without methodology remains limited.</w:t>
      </w:r>
    </w:p>
    <w:p w14:paraId="34CF2C7B"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A good dataset without uncertainty disclosure remains limited.</w:t>
      </w:r>
    </w:p>
    <w:p w14:paraId="0AEA37B7"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A compelling ecological claim without review remains limited.</w:t>
      </w:r>
    </w:p>
    <w:p w14:paraId="56681077"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Prometheus therefore does not treat evidence as a binary object.</w:t>
      </w:r>
    </w:p>
    <w:p w14:paraId="714C8CC7"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Evidence has maturity.</w:t>
      </w:r>
    </w:p>
    <w:p w14:paraId="20C1AF8C"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Evidence has confidence.</w:t>
      </w:r>
    </w:p>
    <w:p w14:paraId="41784E13"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Evidence has boundaries.</w:t>
      </w:r>
    </w:p>
    <w:p w14:paraId="3F57FBEE"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Evidence has permitted uses.</w:t>
      </w:r>
    </w:p>
    <w:p w14:paraId="2D68A8D0"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A second expression may classify evidence maturity as a pathway:</w:t>
      </w:r>
    </w:p>
    <w:p w14:paraId="2320F4C1"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 xml:space="preserve">Observation </w:t>
      </w:r>
      <w:r w:rsidRPr="00B479AE">
        <w:rPr>
          <w:rFonts w:ascii="Times New Roman" w:hAnsi="Times New Roman" w:cs="Times New Roman"/>
          <w:i/>
          <w:iCs/>
        </w:rPr>
        <w:t>→</w:t>
      </w:r>
      <w:r w:rsidRPr="00B479AE">
        <w:rPr>
          <w:rFonts w:ascii="Baskerville Old Face" w:hAnsi="Baskerville Old Face"/>
          <w:i/>
          <w:iCs/>
        </w:rPr>
        <w:t xml:space="preserve"> Evidence </w:t>
      </w:r>
      <w:r w:rsidRPr="00B479AE">
        <w:rPr>
          <w:rFonts w:ascii="Times New Roman" w:hAnsi="Times New Roman" w:cs="Times New Roman"/>
          <w:i/>
          <w:iCs/>
        </w:rPr>
        <w:t>→</w:t>
      </w:r>
      <w:r w:rsidRPr="00B479AE">
        <w:rPr>
          <w:rFonts w:ascii="Baskerville Old Face" w:hAnsi="Baskerville Old Face"/>
          <w:i/>
          <w:iCs/>
        </w:rPr>
        <w:t xml:space="preserve"> Validated Indicator </w:t>
      </w:r>
      <w:r w:rsidRPr="00B479AE">
        <w:rPr>
          <w:rFonts w:ascii="Times New Roman" w:hAnsi="Times New Roman" w:cs="Times New Roman"/>
          <w:i/>
          <w:iCs/>
        </w:rPr>
        <w:t>→</w:t>
      </w:r>
      <w:r w:rsidRPr="00B479AE">
        <w:rPr>
          <w:rFonts w:ascii="Baskerville Old Face" w:hAnsi="Baskerville Old Face"/>
          <w:i/>
          <w:iCs/>
        </w:rPr>
        <w:t xml:space="preserve"> MRV-Admissible Evidence </w:t>
      </w:r>
      <w:r w:rsidRPr="00B479AE">
        <w:rPr>
          <w:rFonts w:ascii="Times New Roman" w:hAnsi="Times New Roman" w:cs="Times New Roman"/>
          <w:i/>
          <w:iCs/>
        </w:rPr>
        <w:t>→</w:t>
      </w:r>
      <w:r w:rsidRPr="00B479AE">
        <w:rPr>
          <w:rFonts w:ascii="Baskerville Old Face" w:hAnsi="Baskerville Old Face"/>
          <w:i/>
          <w:iCs/>
        </w:rPr>
        <w:t xml:space="preserve"> PRU-Eligible Evidence </w:t>
      </w:r>
      <w:r w:rsidRPr="00B479AE">
        <w:rPr>
          <w:rFonts w:ascii="Times New Roman" w:hAnsi="Times New Roman" w:cs="Times New Roman"/>
          <w:i/>
          <w:iCs/>
        </w:rPr>
        <w:t>→</w:t>
      </w:r>
      <w:r w:rsidRPr="00B479AE">
        <w:rPr>
          <w:rFonts w:ascii="Baskerville Old Face" w:hAnsi="Baskerville Old Face"/>
          <w:i/>
          <w:iCs/>
        </w:rPr>
        <w:t xml:space="preserve"> Capital-Relevant Claim</w:t>
      </w:r>
    </w:p>
    <w:p w14:paraId="425A44A3"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This pathway prevents premature conversion of ecological signals into financial meaning.</w:t>
      </w:r>
    </w:p>
    <w:p w14:paraId="1C0807B8"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Each stage has a different use.</w:t>
      </w:r>
    </w:p>
    <w:p w14:paraId="7B1CE3E6"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An observation may support learning.</w:t>
      </w:r>
    </w:p>
    <w:p w14:paraId="1E5FE864"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Evidence may support review.</w:t>
      </w:r>
    </w:p>
    <w:p w14:paraId="6063054A"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A validated indicator may support reporting.</w:t>
      </w:r>
    </w:p>
    <w:p w14:paraId="51CED43A"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MRV-admissible evidence may support formal MRV.</w:t>
      </w:r>
    </w:p>
    <w:p w14:paraId="06B0A7F0"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PRU-eligible evidence may support PRU analysis.</w:t>
      </w:r>
    </w:p>
    <w:p w14:paraId="4227671F"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A capital-relevant claim requires admissibility, legal structure, disclosure, and governance review.</w:t>
      </w:r>
    </w:p>
    <w:p w14:paraId="7CABEE4B"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The evidence maturity condition may therefore be expressed as:</w:t>
      </w:r>
    </w:p>
    <w:p w14:paraId="6AE1B1DF"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lastRenderedPageBreak/>
        <w:t>Use_i ≤ Maturity_i</w:t>
      </w:r>
    </w:p>
    <w:p w14:paraId="6F71B750"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This means that a claim cannot be used beyond its evidence maturity.</w:t>
      </w:r>
    </w:p>
    <w:p w14:paraId="78926947"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A research-stage observation cannot be treated as PRU value.</w:t>
      </w:r>
    </w:p>
    <w:p w14:paraId="23DDB451"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A pilot indicator cannot be treated as investor-ready performance.</w:t>
      </w:r>
    </w:p>
    <w:p w14:paraId="0B5B5415"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A dashboard signal cannot be treated as legal entitlement.</w:t>
      </w:r>
    </w:p>
    <w:p w14:paraId="49B55623"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A community report cannot be treated as financial proof unless it satisfies the required evidence, provenance, confidence, and review pathway.</w:t>
      </w:r>
    </w:p>
    <w:p w14:paraId="4CB65282"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The operational rule is:</w:t>
      </w:r>
    </w:p>
    <w:p w14:paraId="09881E3F"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evidence use must not exceed evidence maturity.</w:t>
      </w:r>
    </w:p>
    <w:p w14:paraId="45FD0245"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This is one of the most important safeguards in Prometheus.</w:t>
      </w:r>
    </w:p>
    <w:p w14:paraId="164CF16D"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It allows the system to learn early without overclaiming early.</w:t>
      </w:r>
    </w:p>
    <w:p w14:paraId="20D6ACB4"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It allows pilots to generate insight without pretending to be institutional assets.</w:t>
      </w:r>
    </w:p>
    <w:p w14:paraId="66AC4184"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It allows emerging ecological intelligence to mature into capital relevance only when confidence, admissibility, and legal structure are ready.</w:t>
      </w:r>
    </w:p>
    <w:p w14:paraId="194C9F36" w14:textId="77777777" w:rsidR="003F69B8" w:rsidRPr="00B479AE" w:rsidRDefault="003F69B8" w:rsidP="003F69B8">
      <w:pPr>
        <w:spacing w:line="360" w:lineRule="auto"/>
        <w:rPr>
          <w:rFonts w:ascii="Baskerville Old Face" w:hAnsi="Baskerville Old Face"/>
          <w:b/>
          <w:bCs/>
          <w:i/>
          <w:iCs/>
        </w:rPr>
      </w:pPr>
      <w:r w:rsidRPr="00B479AE">
        <w:rPr>
          <w:rFonts w:ascii="Baskerville Old Face" w:hAnsi="Baskerville Old Face"/>
          <w:b/>
          <w:bCs/>
          <w:i/>
          <w:iCs/>
        </w:rPr>
        <w:t>Formula boundary</w:t>
      </w:r>
    </w:p>
    <w:p w14:paraId="2B848ACC"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MRV_conf, Conf_MRV, and Use_i ≤ Maturity_i are methodological evidence-quality functions.</w:t>
      </w:r>
    </w:p>
    <w:p w14:paraId="16CD8615"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They do not create automatic MRV admissibility, PRU value, RAP inclusion, investor rights, legal enforceability, token issuance, credit issuance, or market value.</w:t>
      </w:r>
    </w:p>
    <w:p w14:paraId="659DA287"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They support evidence classification, confidence scoring, review routing, PRU analysis, PHI interpretation, RAP screening, investor reporting, and capital-readiness review.</w:t>
      </w:r>
    </w:p>
    <w:p w14:paraId="6812F40E" w14:textId="460C8C68" w:rsidR="003F69B8" w:rsidRPr="00B479AE" w:rsidRDefault="003F69B8" w:rsidP="003F69B8">
      <w:pPr>
        <w:spacing w:line="360" w:lineRule="auto"/>
        <w:rPr>
          <w:rFonts w:ascii="Baskerville Old Face" w:hAnsi="Baskerville Old Face"/>
          <w:b/>
          <w:bCs/>
          <w:i/>
          <w:iCs/>
        </w:rPr>
      </w:pPr>
      <w:r w:rsidRPr="00B479AE">
        <w:rPr>
          <w:rFonts w:ascii="Baskerville Old Face" w:hAnsi="Baskerville Old Face"/>
          <w:b/>
          <w:bCs/>
          <w:i/>
          <w:iCs/>
        </w:rPr>
        <w:t>Operational rule</w:t>
      </w:r>
    </w:p>
    <w:p w14:paraId="3A29A16A"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The operational rule is:</w:t>
      </w:r>
    </w:p>
    <w:p w14:paraId="6A2241A9"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lastRenderedPageBreak/>
        <w:t>no maturity, no admissibility;</w:t>
      </w:r>
      <w:r w:rsidRPr="00B479AE">
        <w:rPr>
          <w:rFonts w:ascii="Baskerville Old Face" w:hAnsi="Baskerville Old Face"/>
          <w:i/>
          <w:iCs/>
        </w:rPr>
        <w:br/>
        <w:t>no confidence, no capital-facing claim.</w:t>
      </w:r>
    </w:p>
    <w:p w14:paraId="3F3DEEA6"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Prometheus may observe broadly.</w:t>
      </w:r>
    </w:p>
    <w:p w14:paraId="45F9329E"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Prometheus may learn continuously.</w:t>
      </w:r>
    </w:p>
    <w:p w14:paraId="0417A8D9"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Prometheus may model ambitiously.</w:t>
      </w:r>
    </w:p>
    <w:p w14:paraId="1AB55152"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But it admits value conservatively.</w:t>
      </w:r>
    </w:p>
    <w:p w14:paraId="38FD6B04" w14:textId="77777777" w:rsidR="003F69B8" w:rsidRPr="00B479AE" w:rsidRDefault="003F69B8" w:rsidP="003F69B8">
      <w:pPr>
        <w:spacing w:line="360" w:lineRule="auto"/>
        <w:rPr>
          <w:rFonts w:ascii="Baskerville Old Face" w:hAnsi="Baskerville Old Face"/>
          <w:i/>
          <w:iCs/>
        </w:rPr>
      </w:pPr>
      <w:r w:rsidRPr="00B479AE">
        <w:rPr>
          <w:rFonts w:ascii="Baskerville Old Face" w:hAnsi="Baskerville Old Face"/>
          <w:i/>
          <w:iCs/>
        </w:rPr>
        <w:t>This is how Prometheus remains scientific, auditable, and institutionally credible.</w:t>
      </w:r>
    </w:p>
    <w:p w14:paraId="54FA9939"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G.13 PRU relevance and admissibility boundary</w:t>
      </w:r>
    </w:p>
    <w:p w14:paraId="2CD50709"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MRV evidence may support PRU analysis only when it satisfies the relevant methodology.</w:t>
      </w:r>
    </w:p>
    <w:p w14:paraId="037BAA42"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 PRU pathway is:</w:t>
      </w:r>
    </w:p>
    <w:p w14:paraId="3A3F4C1E" w14:textId="13331B1A"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observation</w:t>
      </w:r>
      <w:r w:rsidRPr="00B479AE">
        <w:rPr>
          <w:rFonts w:ascii="Baskerville Old Face" w:hAnsi="Baskerville Old Face"/>
          <w:i/>
          <w:iCs/>
        </w:rPr>
        <w:br/>
        <w:t>evidence</w:t>
      </w:r>
      <w:r w:rsidRPr="00B479AE">
        <w:rPr>
          <w:rFonts w:ascii="Baskerville Old Face" w:hAnsi="Baskerville Old Face"/>
          <w:i/>
          <w:iCs/>
        </w:rPr>
        <w:br/>
        <w:t>validated indicator</w:t>
      </w:r>
      <w:r w:rsidRPr="00B479AE">
        <w:rPr>
          <w:rFonts w:ascii="Baskerville Old Face" w:hAnsi="Baskerville Old Face"/>
          <w:i/>
          <w:iCs/>
        </w:rPr>
        <w:br/>
        <w:t>MRV-admissible evidence</w:t>
      </w:r>
      <w:r w:rsidRPr="00B479AE">
        <w:rPr>
          <w:rFonts w:ascii="Baskerville Old Face" w:hAnsi="Baskerville Old Face"/>
          <w:i/>
          <w:iCs/>
        </w:rPr>
        <w:br/>
        <w:t>PRU-eligible evidence</w:t>
      </w:r>
      <w:r w:rsidRPr="00B479AE">
        <w:rPr>
          <w:rFonts w:ascii="Baskerville Old Face" w:hAnsi="Baskerville Old Face"/>
          <w:i/>
          <w:iCs/>
        </w:rPr>
        <w:br/>
        <w:t>PRU analysis</w:t>
      </w:r>
      <w:r w:rsidRPr="00B479AE">
        <w:rPr>
          <w:rFonts w:ascii="Baskerville Old Face" w:hAnsi="Baskerville Old Face"/>
          <w:i/>
          <w:iCs/>
        </w:rPr>
        <w:br/>
      </w:r>
      <w:r w:rsidR="00E71F80" w:rsidRPr="00B479AE">
        <w:rPr>
          <w:rFonts w:ascii="Baskerville Old Face" w:hAnsi="Baskerville Old Face"/>
          <w:i/>
          <w:iCs/>
        </w:rPr>
        <w:t>PRU maturity classification</w:t>
      </w:r>
      <w:r w:rsidRPr="00B479AE">
        <w:rPr>
          <w:rFonts w:ascii="Baskerville Old Face" w:hAnsi="Baskerville Old Face"/>
          <w:i/>
          <w:iCs/>
        </w:rPr>
        <w:t xml:space="preserve"> support</w:t>
      </w:r>
      <w:r w:rsidRPr="00B479AE">
        <w:rPr>
          <w:rFonts w:ascii="Baskerville Old Face" w:hAnsi="Baskerville Old Face"/>
          <w:i/>
          <w:iCs/>
        </w:rPr>
        <w:br/>
        <w:t>RAP eligibility where applicable.</w:t>
      </w:r>
    </w:p>
    <w:p w14:paraId="2957DFD6"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No MRV record should automatically generate:</w:t>
      </w:r>
    </w:p>
    <w:p w14:paraId="7D617F23" w14:textId="77777777" w:rsidR="002A5030" w:rsidRPr="00B479AE" w:rsidRDefault="002A5030" w:rsidP="002A5030">
      <w:pPr>
        <w:spacing w:line="360" w:lineRule="auto"/>
        <w:rPr>
          <w:rFonts w:ascii="Baskerville Old Face" w:hAnsi="Baskerville Old Face"/>
          <w:i/>
          <w:iCs/>
        </w:rPr>
      </w:pPr>
      <w:r w:rsidRPr="00B479AE">
        <w:rPr>
          <w:rFonts w:ascii="Baskerville Old Face" w:hAnsi="Baskerville Old Face"/>
          <w:i/>
          <w:iCs/>
        </w:rPr>
        <w:t xml:space="preserve">• token issuance; </w:t>
      </w:r>
    </w:p>
    <w:p w14:paraId="529C4E65" w14:textId="77777777" w:rsidR="002A5030" w:rsidRPr="00B479AE" w:rsidRDefault="002A5030" w:rsidP="002A5030">
      <w:pPr>
        <w:spacing w:line="360" w:lineRule="auto"/>
        <w:rPr>
          <w:rFonts w:ascii="Baskerville Old Face" w:hAnsi="Baskerville Old Face"/>
          <w:i/>
          <w:iCs/>
        </w:rPr>
      </w:pPr>
      <w:r w:rsidRPr="00B479AE">
        <w:rPr>
          <w:rFonts w:ascii="Baskerville Old Face" w:hAnsi="Baskerville Old Face"/>
          <w:i/>
          <w:iCs/>
        </w:rPr>
        <w:t xml:space="preserve">• credit issuance; </w:t>
      </w:r>
    </w:p>
    <w:p w14:paraId="10451A1B" w14:textId="77777777" w:rsidR="002A5030" w:rsidRPr="00B479AE" w:rsidRDefault="002A5030" w:rsidP="002A5030">
      <w:pPr>
        <w:spacing w:line="360" w:lineRule="auto"/>
        <w:rPr>
          <w:rFonts w:ascii="Baskerville Old Face" w:hAnsi="Baskerville Old Face"/>
          <w:i/>
          <w:iCs/>
        </w:rPr>
      </w:pPr>
      <w:r w:rsidRPr="00B479AE">
        <w:rPr>
          <w:rFonts w:ascii="Baskerville Old Face" w:hAnsi="Baskerville Old Face"/>
          <w:i/>
          <w:iCs/>
        </w:rPr>
        <w:t xml:space="preserve">• investor claim; </w:t>
      </w:r>
    </w:p>
    <w:p w14:paraId="1FF44CEC" w14:textId="77777777" w:rsidR="002A5030" w:rsidRPr="00B479AE" w:rsidRDefault="002A5030" w:rsidP="002A5030">
      <w:pPr>
        <w:spacing w:line="360" w:lineRule="auto"/>
        <w:rPr>
          <w:rFonts w:ascii="Baskerville Old Face" w:hAnsi="Baskerville Old Face"/>
          <w:i/>
          <w:iCs/>
        </w:rPr>
      </w:pPr>
      <w:r w:rsidRPr="00B479AE">
        <w:rPr>
          <w:rFonts w:ascii="Baskerville Old Face" w:hAnsi="Baskerville Old Face"/>
          <w:i/>
          <w:iCs/>
        </w:rPr>
        <w:t xml:space="preserve">• governance authority; </w:t>
      </w:r>
    </w:p>
    <w:p w14:paraId="47FC3FC2" w14:textId="77777777" w:rsidR="002A5030" w:rsidRPr="00B479AE" w:rsidRDefault="002A5030" w:rsidP="002A5030">
      <w:pPr>
        <w:spacing w:line="360" w:lineRule="auto"/>
        <w:rPr>
          <w:rFonts w:ascii="Baskerville Old Face" w:hAnsi="Baskerville Old Face"/>
          <w:i/>
          <w:iCs/>
        </w:rPr>
      </w:pPr>
      <w:r w:rsidRPr="00B479AE">
        <w:rPr>
          <w:rFonts w:ascii="Baskerville Old Face" w:hAnsi="Baskerville Old Face"/>
          <w:i/>
          <w:iCs/>
        </w:rPr>
        <w:t xml:space="preserve">• public financial statement; </w:t>
      </w:r>
    </w:p>
    <w:p w14:paraId="53CFB2BB" w14:textId="7A37C136" w:rsidR="002A5030" w:rsidRPr="00B479AE" w:rsidRDefault="002A5030" w:rsidP="002A5030">
      <w:pPr>
        <w:spacing w:line="360" w:lineRule="auto"/>
        <w:rPr>
          <w:rFonts w:ascii="Baskerville Old Face" w:hAnsi="Baskerville Old Face"/>
          <w:i/>
          <w:iCs/>
        </w:rPr>
      </w:pPr>
      <w:r w:rsidRPr="00B479AE">
        <w:rPr>
          <w:rFonts w:ascii="Baskerville Old Face" w:hAnsi="Baskerville Old Face"/>
          <w:i/>
          <w:iCs/>
        </w:rPr>
        <w:t>•financial instrument status.</w:t>
      </w:r>
    </w:p>
    <w:p w14:paraId="57B442B8" w14:textId="07AB55B5"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lastRenderedPageBreak/>
        <w:t>The correct rule is:</w:t>
      </w:r>
      <w:r w:rsidR="00D30921" w:rsidRPr="00B479AE">
        <w:rPr>
          <w:rFonts w:ascii="Baskerville Old Face" w:hAnsi="Baskerville Old Face"/>
          <w:i/>
          <w:iCs/>
        </w:rPr>
        <w:t xml:space="preserve"> </w:t>
      </w:r>
      <w:r w:rsidRPr="00B479AE">
        <w:rPr>
          <w:rFonts w:ascii="Baskerville Old Face" w:hAnsi="Baskerville Old Face"/>
          <w:i/>
          <w:iCs/>
        </w:rPr>
        <w:t>MRV supports PRU only through admissibility.</w:t>
      </w:r>
    </w:p>
    <w:p w14:paraId="3970700D"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Admissibility requires method, evidence, confidence, review, and legal clarity where value is being represented.</w:t>
      </w:r>
    </w:p>
    <w:p w14:paraId="4AD7139C"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G.14 Dashboard and reporting boundaries</w:t>
      </w:r>
    </w:p>
    <w:p w14:paraId="38181E5D"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Dashboards may present:</w:t>
      </w:r>
    </w:p>
    <w:p w14:paraId="1051B5B2"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field observations;</w:t>
      </w:r>
      <w:r w:rsidRPr="00B479AE">
        <w:rPr>
          <w:rFonts w:ascii="Baskerville Old Face" w:hAnsi="Baskerville Old Face"/>
          <w:i/>
          <w:iCs/>
        </w:rPr>
        <w:br/>
        <w:t>• sensor data;</w:t>
      </w:r>
      <w:r w:rsidRPr="00B479AE">
        <w:rPr>
          <w:rFonts w:ascii="Baskerville Old Face" w:hAnsi="Baskerville Old Face"/>
          <w:i/>
          <w:iCs/>
        </w:rPr>
        <w:br/>
        <w:t>• MRV indicators;</w:t>
      </w:r>
      <w:r w:rsidRPr="00B479AE">
        <w:rPr>
          <w:rFonts w:ascii="Baskerville Old Face" w:hAnsi="Baskerville Old Face"/>
          <w:i/>
          <w:iCs/>
        </w:rPr>
        <w:br/>
        <w:t>• confidence scores;</w:t>
      </w:r>
      <w:r w:rsidRPr="00B479AE">
        <w:rPr>
          <w:rFonts w:ascii="Baskerville Old Face" w:hAnsi="Baskerville Old Face"/>
          <w:i/>
          <w:iCs/>
        </w:rPr>
        <w:br/>
        <w:t>• evidence maturity status;</w:t>
      </w:r>
      <w:r w:rsidRPr="00B479AE">
        <w:rPr>
          <w:rFonts w:ascii="Baskerville Old Face" w:hAnsi="Baskerville Old Face"/>
          <w:i/>
          <w:iCs/>
        </w:rPr>
        <w:br/>
        <w:t>• trends;</w:t>
      </w:r>
      <w:r w:rsidRPr="00B479AE">
        <w:rPr>
          <w:rFonts w:ascii="Baskerville Old Face" w:hAnsi="Baskerville Old Face"/>
          <w:i/>
          <w:iCs/>
        </w:rPr>
        <w:br/>
        <w:t>• baselines;</w:t>
      </w:r>
      <w:r w:rsidRPr="00B479AE">
        <w:rPr>
          <w:rFonts w:ascii="Baskerville Old Face" w:hAnsi="Baskerville Old Face"/>
          <w:i/>
          <w:iCs/>
        </w:rPr>
        <w:br/>
        <w:t>• deltas;</w:t>
      </w:r>
      <w:r w:rsidRPr="00B479AE">
        <w:rPr>
          <w:rFonts w:ascii="Baskerville Old Face" w:hAnsi="Baskerville Old Face"/>
          <w:i/>
          <w:iCs/>
        </w:rPr>
        <w:br/>
        <w:t>• risk flags;</w:t>
      </w:r>
      <w:r w:rsidRPr="00B479AE">
        <w:rPr>
          <w:rFonts w:ascii="Baskerville Old Face" w:hAnsi="Baskerville Old Face"/>
          <w:i/>
          <w:iCs/>
        </w:rPr>
        <w:br/>
        <w:t>• review status;</w:t>
      </w:r>
      <w:r w:rsidRPr="00B479AE">
        <w:rPr>
          <w:rFonts w:ascii="Baskerville Old Face" w:hAnsi="Baskerville Old Face"/>
          <w:i/>
          <w:iCs/>
        </w:rPr>
        <w:br/>
        <w:t>• PRU-relevant analysis where approved;</w:t>
      </w:r>
      <w:r w:rsidRPr="00B479AE">
        <w:rPr>
          <w:rFonts w:ascii="Baskerville Old Face" w:hAnsi="Baskerville Old Face"/>
          <w:i/>
          <w:iCs/>
        </w:rPr>
        <w:br/>
        <w:t>• reporting limitations.</w:t>
      </w:r>
    </w:p>
    <w:p w14:paraId="29B43453"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Dashboards should distinguish clearly between:</w:t>
      </w:r>
    </w:p>
    <w:p w14:paraId="014812A6"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live raw data;</w:t>
      </w:r>
      <w:r w:rsidRPr="00B479AE">
        <w:rPr>
          <w:rFonts w:ascii="Baskerville Old Face" w:hAnsi="Baskerville Old Face"/>
          <w:i/>
          <w:iCs/>
        </w:rPr>
        <w:br/>
        <w:t>• preliminary observations;</w:t>
      </w:r>
      <w:r w:rsidRPr="00B479AE">
        <w:rPr>
          <w:rFonts w:ascii="Baskerville Old Face" w:hAnsi="Baskerville Old Face"/>
          <w:i/>
          <w:iCs/>
        </w:rPr>
        <w:br/>
        <w:t>• validated indicators;</w:t>
      </w:r>
      <w:r w:rsidRPr="00B479AE">
        <w:rPr>
          <w:rFonts w:ascii="Baskerville Old Face" w:hAnsi="Baskerville Old Face"/>
          <w:i/>
          <w:iCs/>
        </w:rPr>
        <w:br/>
        <w:t>• MRV-admissible evidence;</w:t>
      </w:r>
      <w:r w:rsidRPr="00B479AE">
        <w:rPr>
          <w:rFonts w:ascii="Baskerville Old Face" w:hAnsi="Baskerville Old Face"/>
          <w:i/>
          <w:iCs/>
        </w:rPr>
        <w:br/>
        <w:t>• PRU-eligible evidence;</w:t>
      </w:r>
      <w:r w:rsidRPr="00B479AE">
        <w:rPr>
          <w:rFonts w:ascii="Baskerville Old Face" w:hAnsi="Baskerville Old Face"/>
          <w:i/>
          <w:iCs/>
        </w:rPr>
        <w:br/>
        <w:t>• investor-review material;</w:t>
      </w:r>
      <w:r w:rsidRPr="00B479AE">
        <w:rPr>
          <w:rFonts w:ascii="Baskerville Old Face" w:hAnsi="Baskerville Old Face"/>
          <w:i/>
          <w:iCs/>
        </w:rPr>
        <w:br/>
        <w:t>• financially admissible value.</w:t>
      </w:r>
    </w:p>
    <w:p w14:paraId="45000A26"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A dashboard is an interface.</w:t>
      </w:r>
    </w:p>
    <w:p w14:paraId="2D923537"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It is not an authority layer.</w:t>
      </w:r>
    </w:p>
    <w:p w14:paraId="5D104304"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It may display evidence status.</w:t>
      </w:r>
    </w:p>
    <w:p w14:paraId="53E7C798"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lastRenderedPageBreak/>
        <w:t>It may not convert evidence status into financial authority without the required methodology, review, and legal structure.</w:t>
      </w:r>
    </w:p>
    <w:p w14:paraId="6574BE2E" w14:textId="77777777" w:rsidR="006C247E" w:rsidRPr="00B479AE" w:rsidRDefault="006C247E" w:rsidP="006C247E">
      <w:pPr>
        <w:spacing w:line="360" w:lineRule="auto"/>
        <w:rPr>
          <w:rFonts w:ascii="Baskerville Old Face" w:hAnsi="Baskerville Old Face"/>
          <w:b/>
          <w:bCs/>
          <w:i/>
          <w:iCs/>
        </w:rPr>
      </w:pPr>
      <w:r w:rsidRPr="00B479AE">
        <w:rPr>
          <w:rFonts w:ascii="Baskerville Old Face" w:hAnsi="Baskerville Old Face"/>
          <w:b/>
          <w:bCs/>
          <w:i/>
          <w:iCs/>
        </w:rPr>
        <w:t>Dashboard-to-Authority Boundary Function</w:t>
      </w:r>
    </w:p>
    <w:p w14:paraId="4AB0CE5E"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 dashboard is an interface.</w:t>
      </w:r>
    </w:p>
    <w:p w14:paraId="7BE9B5F3"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It is not an authority layer.</w:t>
      </w:r>
    </w:p>
    <w:p w14:paraId="4FF62842"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Prometheus dashboards, reports, maps, indices, risk panels, PRU previews, PHI views, Ravel signals, investor interfaces, or governance displays may help participants interpret evidence, trends, risks, baselines, deltas, confidence scores, and maturity status.</w:t>
      </w:r>
    </w:p>
    <w:p w14:paraId="317344EB"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However, displaying information does not authorize action.</w:t>
      </w:r>
    </w:p>
    <w:p w14:paraId="2E27B627"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The dashboard boundary may be expressed as:</w:t>
      </w:r>
    </w:p>
    <w:p w14:paraId="4483B449"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Displayed Data ≠ Authorized Decision</w:t>
      </w:r>
    </w:p>
    <w:p w14:paraId="0BA81E41"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 more complete formulation is:</w:t>
      </w:r>
    </w:p>
    <w:p w14:paraId="4B9D4CE6"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Authority_action = f(Evidence, Methodology, Review, Governance, Legal Boundary, Source Layer)</w:t>
      </w:r>
    </w:p>
    <w:p w14:paraId="6C9BF09D"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not:</w:t>
      </w:r>
    </w:p>
    <w:p w14:paraId="356AA7CE"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Authority_action = f(Dashboard Output)</w:t>
      </w:r>
    </w:p>
    <w:p w14:paraId="57B44B8C"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This distinction is essential.</w:t>
      </w:r>
    </w:p>
    <w:p w14:paraId="3AC31F2A"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 dashboard may show a trend.</w:t>
      </w:r>
    </w:p>
    <w:p w14:paraId="6A8F57E9"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 dashboard may show a risk flag.</w:t>
      </w:r>
    </w:p>
    <w:p w14:paraId="182C74B1"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 dashboard may show evidence maturity.</w:t>
      </w:r>
    </w:p>
    <w:p w14:paraId="7C85651E"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 dashboard may show a PRU-relevant indicator.</w:t>
      </w:r>
    </w:p>
    <w:p w14:paraId="2485204B"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 dashboard may show a PHI score.</w:t>
      </w:r>
    </w:p>
    <w:p w14:paraId="2234A268"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 dashboard may show a Ravel risk signal.</w:t>
      </w:r>
    </w:p>
    <w:p w14:paraId="58473C5B"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 dashboard may show confidence.</w:t>
      </w:r>
    </w:p>
    <w:p w14:paraId="3FE36153"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lastRenderedPageBreak/>
        <w:t>A dashboard may show uncertainty.</w:t>
      </w:r>
    </w:p>
    <w:p w14:paraId="11198712"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But a dashboard does not independently create:</w:t>
      </w:r>
    </w:p>
    <w:p w14:paraId="1B5F6FD2"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PRU value;</w:t>
      </w:r>
      <w:r w:rsidRPr="00B479AE">
        <w:rPr>
          <w:rFonts w:ascii="Baskerville Old Face" w:hAnsi="Baskerville Old Face"/>
          <w:i/>
          <w:iCs/>
        </w:rPr>
        <w:br/>
        <w:t>RAP eligibility;</w:t>
      </w:r>
      <w:r w:rsidRPr="00B479AE">
        <w:rPr>
          <w:rFonts w:ascii="Baskerville Old Face" w:hAnsi="Baskerville Old Face"/>
          <w:i/>
          <w:iCs/>
        </w:rPr>
        <w:br/>
        <w:t>token issuance;</w:t>
      </w:r>
      <w:r w:rsidRPr="00B479AE">
        <w:rPr>
          <w:rFonts w:ascii="Baskerville Old Face" w:hAnsi="Baskerville Old Face"/>
          <w:i/>
          <w:iCs/>
        </w:rPr>
        <w:br/>
        <w:t>credit issuance;</w:t>
      </w:r>
      <w:r w:rsidRPr="00B479AE">
        <w:rPr>
          <w:rFonts w:ascii="Baskerville Old Face" w:hAnsi="Baskerville Old Face"/>
          <w:i/>
          <w:iCs/>
        </w:rPr>
        <w:br/>
        <w:t>investor entitlement;</w:t>
      </w:r>
      <w:r w:rsidRPr="00B479AE">
        <w:rPr>
          <w:rFonts w:ascii="Baskerville Old Face" w:hAnsi="Baskerville Old Face"/>
          <w:i/>
          <w:iCs/>
        </w:rPr>
        <w:br/>
        <w:t>legal rights;</w:t>
      </w:r>
      <w:r w:rsidRPr="00B479AE">
        <w:rPr>
          <w:rFonts w:ascii="Baskerville Old Face" w:hAnsi="Baskerville Old Face"/>
          <w:i/>
          <w:iCs/>
        </w:rPr>
        <w:br/>
        <w:t>governance authority;</w:t>
      </w:r>
      <w:r w:rsidRPr="00B479AE">
        <w:rPr>
          <w:rFonts w:ascii="Baskerville Old Face" w:hAnsi="Baskerville Old Face"/>
          <w:i/>
          <w:iCs/>
        </w:rPr>
        <w:br/>
        <w:t>human ranking;</w:t>
      </w:r>
      <w:r w:rsidRPr="00B479AE">
        <w:rPr>
          <w:rFonts w:ascii="Baskerville Old Face" w:hAnsi="Baskerville Old Face"/>
          <w:i/>
          <w:iCs/>
        </w:rPr>
        <w:br/>
        <w:t>public financial statements;</w:t>
      </w:r>
      <w:r w:rsidRPr="00B479AE">
        <w:rPr>
          <w:rFonts w:ascii="Baskerville Old Face" w:hAnsi="Baskerville Old Face"/>
          <w:i/>
          <w:iCs/>
        </w:rPr>
        <w:br/>
        <w:t>automatic enforcement;</w:t>
      </w:r>
      <w:r w:rsidRPr="00B479AE">
        <w:rPr>
          <w:rFonts w:ascii="Baskerville Old Face" w:hAnsi="Baskerville Old Face"/>
          <w:i/>
          <w:iCs/>
        </w:rPr>
        <w:br/>
        <w:t>capital-facing claims.</w:t>
      </w:r>
    </w:p>
    <w:p w14:paraId="37517A32"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The correct operational pathway is:</w:t>
      </w:r>
    </w:p>
    <w:p w14:paraId="4BC99EC3"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 xml:space="preserve">dashboard signal </w:t>
      </w:r>
      <w:r w:rsidRPr="00B479AE">
        <w:rPr>
          <w:rFonts w:ascii="Times New Roman" w:hAnsi="Times New Roman" w:cs="Times New Roman"/>
          <w:i/>
          <w:iCs/>
        </w:rPr>
        <w:t>→</w:t>
      </w:r>
      <w:r w:rsidRPr="00B479AE">
        <w:rPr>
          <w:rFonts w:ascii="Baskerville Old Face" w:hAnsi="Baskerville Old Face"/>
          <w:i/>
          <w:iCs/>
        </w:rPr>
        <w:t xml:space="preserve"> evidence review </w:t>
      </w:r>
      <w:r w:rsidRPr="00B479AE">
        <w:rPr>
          <w:rFonts w:ascii="Times New Roman" w:hAnsi="Times New Roman" w:cs="Times New Roman"/>
          <w:i/>
          <w:iCs/>
        </w:rPr>
        <w:t>→</w:t>
      </w:r>
      <w:r w:rsidRPr="00B479AE">
        <w:rPr>
          <w:rFonts w:ascii="Baskerville Old Face" w:hAnsi="Baskerville Old Face"/>
          <w:i/>
          <w:iCs/>
        </w:rPr>
        <w:t xml:space="preserve"> methodology check </w:t>
      </w:r>
      <w:r w:rsidRPr="00B479AE">
        <w:rPr>
          <w:rFonts w:ascii="Times New Roman" w:hAnsi="Times New Roman" w:cs="Times New Roman"/>
          <w:i/>
          <w:iCs/>
        </w:rPr>
        <w:t>→</w:t>
      </w:r>
      <w:r w:rsidRPr="00B479AE">
        <w:rPr>
          <w:rFonts w:ascii="Baskerville Old Face" w:hAnsi="Baskerville Old Face"/>
          <w:i/>
          <w:iCs/>
        </w:rPr>
        <w:t xml:space="preserve"> confidence assessment </w:t>
      </w:r>
      <w:r w:rsidRPr="00B479AE">
        <w:rPr>
          <w:rFonts w:ascii="Times New Roman" w:hAnsi="Times New Roman" w:cs="Times New Roman"/>
          <w:i/>
          <w:iCs/>
        </w:rPr>
        <w:t>→</w:t>
      </w:r>
      <w:r w:rsidRPr="00B479AE">
        <w:rPr>
          <w:rFonts w:ascii="Baskerville Old Face" w:hAnsi="Baskerville Old Face"/>
          <w:i/>
          <w:iCs/>
        </w:rPr>
        <w:t xml:space="preserve"> admissibility review </w:t>
      </w:r>
      <w:r w:rsidRPr="00B479AE">
        <w:rPr>
          <w:rFonts w:ascii="Times New Roman" w:hAnsi="Times New Roman" w:cs="Times New Roman"/>
          <w:i/>
          <w:iCs/>
        </w:rPr>
        <w:t>→</w:t>
      </w:r>
      <w:r w:rsidRPr="00B479AE">
        <w:rPr>
          <w:rFonts w:ascii="Baskerville Old Face" w:hAnsi="Baskerville Old Face"/>
          <w:i/>
          <w:iCs/>
        </w:rPr>
        <w:t xml:space="preserve"> governance / legal review where relevant </w:t>
      </w:r>
      <w:r w:rsidRPr="00B479AE">
        <w:rPr>
          <w:rFonts w:ascii="Times New Roman" w:hAnsi="Times New Roman" w:cs="Times New Roman"/>
          <w:i/>
          <w:iCs/>
        </w:rPr>
        <w:t>→</w:t>
      </w:r>
      <w:r w:rsidRPr="00B479AE">
        <w:rPr>
          <w:rFonts w:ascii="Baskerville Old Face" w:hAnsi="Baskerville Old Face"/>
          <w:i/>
          <w:iCs/>
        </w:rPr>
        <w:t xml:space="preserve"> authorized action</w:t>
      </w:r>
    </w:p>
    <w:p w14:paraId="10DC8D70"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This protects Prometheus from interface capture.</w:t>
      </w:r>
    </w:p>
    <w:p w14:paraId="782AB90E"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Interface capture occurs when a visual layer begins to behave as if it were the decision layer.</w:t>
      </w:r>
    </w:p>
    <w:p w14:paraId="1A0A5735"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 score becomes a command.</w:t>
      </w:r>
    </w:p>
    <w:p w14:paraId="19C04F51"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 risk signal becomes a penalty.</w:t>
      </w:r>
    </w:p>
    <w:p w14:paraId="01AF9FB6"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 chart becomes a claim.</w:t>
      </w:r>
    </w:p>
    <w:p w14:paraId="498EAEF5"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 dashboard becomes a judge.</w:t>
      </w:r>
    </w:p>
    <w:p w14:paraId="01DABC6F"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Prometheus must prevent this.</w:t>
      </w:r>
    </w:p>
    <w:p w14:paraId="3F7BA71F"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Dashboards should therefore classify every displayed item according to permitted use:</w:t>
      </w:r>
    </w:p>
    <w:p w14:paraId="05C71DF8"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raw data;</w:t>
      </w:r>
      <w:r w:rsidRPr="00B479AE">
        <w:rPr>
          <w:rFonts w:ascii="Baskerville Old Face" w:hAnsi="Baskerville Old Face"/>
          <w:i/>
          <w:iCs/>
        </w:rPr>
        <w:br/>
        <w:t>preliminary observation;</w:t>
      </w:r>
      <w:r w:rsidRPr="00B479AE">
        <w:rPr>
          <w:rFonts w:ascii="Baskerville Old Face" w:hAnsi="Baskerville Old Face"/>
          <w:i/>
          <w:iCs/>
        </w:rPr>
        <w:br/>
      </w:r>
      <w:r w:rsidRPr="00B479AE">
        <w:rPr>
          <w:rFonts w:ascii="Baskerville Old Face" w:hAnsi="Baskerville Old Face"/>
          <w:i/>
          <w:iCs/>
        </w:rPr>
        <w:lastRenderedPageBreak/>
        <w:t>validated indicator;</w:t>
      </w:r>
      <w:r w:rsidRPr="00B479AE">
        <w:rPr>
          <w:rFonts w:ascii="Baskerville Old Face" w:hAnsi="Baskerville Old Face"/>
          <w:i/>
          <w:iCs/>
        </w:rPr>
        <w:br/>
        <w:t>MRV-admissible evidence;</w:t>
      </w:r>
      <w:r w:rsidRPr="00B479AE">
        <w:rPr>
          <w:rFonts w:ascii="Baskerville Old Face" w:hAnsi="Baskerville Old Face"/>
          <w:i/>
          <w:iCs/>
        </w:rPr>
        <w:br/>
        <w:t>PRU-eligible evidence;</w:t>
      </w:r>
      <w:r w:rsidRPr="00B479AE">
        <w:rPr>
          <w:rFonts w:ascii="Baskerville Old Face" w:hAnsi="Baskerville Old Face"/>
          <w:i/>
          <w:iCs/>
        </w:rPr>
        <w:br/>
        <w:t>investor-review material;</w:t>
      </w:r>
      <w:r w:rsidRPr="00B479AE">
        <w:rPr>
          <w:rFonts w:ascii="Baskerville Old Face" w:hAnsi="Baskerville Old Face"/>
          <w:i/>
          <w:iCs/>
        </w:rPr>
        <w:br/>
        <w:t>financially admissible value;</w:t>
      </w:r>
      <w:r w:rsidRPr="00B479AE">
        <w:rPr>
          <w:rFonts w:ascii="Baskerville Old Face" w:hAnsi="Baskerville Old Face"/>
          <w:i/>
          <w:iCs/>
        </w:rPr>
        <w:br/>
        <w:t>non-admissible signal;</w:t>
      </w:r>
      <w:r w:rsidRPr="00B479AE">
        <w:rPr>
          <w:rFonts w:ascii="Baskerville Old Face" w:hAnsi="Baskerville Old Face"/>
          <w:i/>
          <w:iCs/>
        </w:rPr>
        <w:br/>
        <w:t>research-use only;</w:t>
      </w:r>
      <w:r w:rsidRPr="00B479AE">
        <w:rPr>
          <w:rFonts w:ascii="Baskerville Old Face" w:hAnsi="Baskerville Old Face"/>
          <w:i/>
          <w:iCs/>
        </w:rPr>
        <w:br/>
        <w:t>review-required signal.</w:t>
      </w:r>
    </w:p>
    <w:p w14:paraId="42D56512"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The dashboard authority condition may be expressed as:</w:t>
      </w:r>
    </w:p>
    <w:p w14:paraId="0F93434D"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 xml:space="preserve">D_auth = E_s </w:t>
      </w:r>
      <w:r w:rsidRPr="00B479AE">
        <w:rPr>
          <w:rFonts w:ascii="Cambria" w:hAnsi="Cambria" w:cs="Cambria"/>
          <w:i/>
          <w:iCs/>
        </w:rPr>
        <w:t>·</w:t>
      </w:r>
      <w:r w:rsidRPr="00B479AE">
        <w:rPr>
          <w:rFonts w:ascii="Baskerville Old Face" w:hAnsi="Baskerville Old Face"/>
          <w:i/>
          <w:iCs/>
        </w:rPr>
        <w:t xml:space="preserve"> M_s </w:t>
      </w:r>
      <w:r w:rsidRPr="00B479AE">
        <w:rPr>
          <w:rFonts w:ascii="Cambria" w:hAnsi="Cambria" w:cs="Cambria"/>
          <w:i/>
          <w:iCs/>
        </w:rPr>
        <w:t>·</w:t>
      </w:r>
      <w:r w:rsidRPr="00B479AE">
        <w:rPr>
          <w:rFonts w:ascii="Baskerville Old Face" w:hAnsi="Baskerville Old Face"/>
          <w:i/>
          <w:iCs/>
        </w:rPr>
        <w:t xml:space="preserve"> C_s </w:t>
      </w:r>
      <w:r w:rsidRPr="00B479AE">
        <w:rPr>
          <w:rFonts w:ascii="Cambria" w:hAnsi="Cambria" w:cs="Cambria"/>
          <w:i/>
          <w:iCs/>
        </w:rPr>
        <w:t>·</w:t>
      </w:r>
      <w:r w:rsidRPr="00B479AE">
        <w:rPr>
          <w:rFonts w:ascii="Baskerville Old Face" w:hAnsi="Baskerville Old Face"/>
          <w:i/>
          <w:iCs/>
        </w:rPr>
        <w:t xml:space="preserve"> A_s </w:t>
      </w:r>
      <w:r w:rsidRPr="00B479AE">
        <w:rPr>
          <w:rFonts w:ascii="Cambria" w:hAnsi="Cambria" w:cs="Cambria"/>
          <w:i/>
          <w:iCs/>
        </w:rPr>
        <w:t>·</w:t>
      </w:r>
      <w:r w:rsidRPr="00B479AE">
        <w:rPr>
          <w:rFonts w:ascii="Baskerville Old Face" w:hAnsi="Baskerville Old Face"/>
          <w:i/>
          <w:iCs/>
        </w:rPr>
        <w:t xml:space="preserve"> G_s </w:t>
      </w:r>
      <w:r w:rsidRPr="00B479AE">
        <w:rPr>
          <w:rFonts w:ascii="Cambria" w:hAnsi="Cambria" w:cs="Cambria"/>
          <w:i/>
          <w:iCs/>
        </w:rPr>
        <w:t>·</w:t>
      </w:r>
      <w:r w:rsidRPr="00B479AE">
        <w:rPr>
          <w:rFonts w:ascii="Baskerville Old Face" w:hAnsi="Baskerville Old Face"/>
          <w:i/>
          <w:iCs/>
        </w:rPr>
        <w:t xml:space="preserve"> L_s</w:t>
      </w:r>
    </w:p>
    <w:p w14:paraId="1F8999B2"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Where:</w:t>
      </w:r>
    </w:p>
    <w:p w14:paraId="7CDA0865"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D_auth = dashboard-supported authorization condition.</w:t>
      </w:r>
      <w:r w:rsidRPr="00B479AE">
        <w:rPr>
          <w:rFonts w:ascii="Baskerville Old Face" w:hAnsi="Baskerville Old Face"/>
          <w:i/>
          <w:iCs/>
        </w:rPr>
        <w:br/>
        <w:t>E_s = evidence status sufficient.</w:t>
      </w:r>
      <w:r w:rsidRPr="00B479AE">
        <w:rPr>
          <w:rFonts w:ascii="Baskerville Old Face" w:hAnsi="Baskerville Old Face"/>
          <w:i/>
          <w:iCs/>
        </w:rPr>
        <w:br/>
        <w:t>M_s = methodology status sufficient.</w:t>
      </w:r>
      <w:r w:rsidRPr="00B479AE">
        <w:rPr>
          <w:rFonts w:ascii="Baskerville Old Face" w:hAnsi="Baskerville Old Face"/>
          <w:i/>
          <w:iCs/>
        </w:rPr>
        <w:br/>
        <w:t>C_s = confidence status sufficient.</w:t>
      </w:r>
      <w:r w:rsidRPr="00B479AE">
        <w:rPr>
          <w:rFonts w:ascii="Baskerville Old Face" w:hAnsi="Baskerville Old Face"/>
          <w:i/>
          <w:iCs/>
        </w:rPr>
        <w:br/>
        <w:t>A_s = admissibility status sufficient.</w:t>
      </w:r>
      <w:r w:rsidRPr="00B479AE">
        <w:rPr>
          <w:rFonts w:ascii="Baskerville Old Face" w:hAnsi="Baskerville Old Face"/>
          <w:i/>
          <w:iCs/>
        </w:rPr>
        <w:br/>
        <w:t>G_s = governance review satisfied where required.</w:t>
      </w:r>
      <w:r w:rsidRPr="00B479AE">
        <w:rPr>
          <w:rFonts w:ascii="Baskerville Old Face" w:hAnsi="Baskerville Old Face"/>
          <w:i/>
          <w:iCs/>
        </w:rPr>
        <w:br/>
        <w:t>L_s = legal review or legal boundary satisfied where required.</w:t>
      </w:r>
    </w:p>
    <w:p w14:paraId="5380F683"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If any required factor is zero, the dashboard output may remain informative, but it should not become authority:</w:t>
      </w:r>
    </w:p>
    <w:p w14:paraId="157DE81E"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if D_auth = 0, then dashboard output is non-authorizing</w:t>
      </w:r>
    </w:p>
    <w:p w14:paraId="1A3E894A"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This does not reduce the usefulness of dashboards.</w:t>
      </w:r>
    </w:p>
    <w:p w14:paraId="6C258CCF"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It makes them institutionally credible.</w:t>
      </w:r>
    </w:p>
    <w:p w14:paraId="7797D27D"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 dashboard can accelerate insight.</w:t>
      </w:r>
    </w:p>
    <w:p w14:paraId="1672F7D4"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It can support review.</w:t>
      </w:r>
    </w:p>
    <w:p w14:paraId="539A4194"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It can help participants see patterns.</w:t>
      </w:r>
    </w:p>
    <w:p w14:paraId="5FD2A221"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It can make risk visible.</w:t>
      </w:r>
    </w:p>
    <w:p w14:paraId="2EA2C440"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lastRenderedPageBreak/>
        <w:t>It can improve governance preparation.</w:t>
      </w:r>
    </w:p>
    <w:p w14:paraId="354F932F"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It can help capital inspect evidence.</w:t>
      </w:r>
    </w:p>
    <w:p w14:paraId="48CE33F0"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But it cannot substitute for the review pathway that gives information legitimate use.</w:t>
      </w:r>
    </w:p>
    <w:p w14:paraId="29AB4B11"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The operational rule is:</w:t>
      </w:r>
    </w:p>
    <w:p w14:paraId="2B6B8C97"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interface supports interpretation;</w:t>
      </w:r>
      <w:r w:rsidRPr="00B479AE">
        <w:rPr>
          <w:rFonts w:ascii="Baskerville Old Face" w:hAnsi="Baskerville Old Face"/>
          <w:i/>
          <w:iCs/>
        </w:rPr>
        <w:br/>
        <w:t>review creates admissibility;</w:t>
      </w:r>
      <w:r w:rsidRPr="00B479AE">
        <w:rPr>
          <w:rFonts w:ascii="Baskerville Old Face" w:hAnsi="Baskerville Old Face"/>
          <w:i/>
          <w:iCs/>
        </w:rPr>
        <w:br/>
        <w:t>governance creates authorization;</w:t>
      </w:r>
      <w:r w:rsidRPr="00B479AE">
        <w:rPr>
          <w:rFonts w:ascii="Baskerville Old Face" w:hAnsi="Baskerville Old Face"/>
          <w:i/>
          <w:iCs/>
        </w:rPr>
        <w:br/>
        <w:t>law creates enforceability.</w:t>
      </w:r>
    </w:p>
    <w:p w14:paraId="57FD4649"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This is especially important for investor-facing dashboards.</w:t>
      </w:r>
    </w:p>
    <w:p w14:paraId="2A7E38A9"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Investor-facing dashboards must distinguish clearly between:</w:t>
      </w:r>
    </w:p>
    <w:p w14:paraId="47507294"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observed data;</w:t>
      </w:r>
      <w:r w:rsidRPr="00B479AE">
        <w:rPr>
          <w:rFonts w:ascii="Baskerville Old Face" w:hAnsi="Baskerville Old Face"/>
          <w:i/>
          <w:iCs/>
        </w:rPr>
        <w:br/>
        <w:t>verified data;</w:t>
      </w:r>
      <w:r w:rsidRPr="00B479AE">
        <w:rPr>
          <w:rFonts w:ascii="Baskerville Old Face" w:hAnsi="Baskerville Old Face"/>
          <w:i/>
          <w:iCs/>
        </w:rPr>
        <w:br/>
        <w:t>methodology-bound analysis;</w:t>
      </w:r>
      <w:r w:rsidRPr="00B479AE">
        <w:rPr>
          <w:rFonts w:ascii="Baskerville Old Face" w:hAnsi="Baskerville Old Face"/>
          <w:i/>
          <w:iCs/>
        </w:rPr>
        <w:br/>
        <w:t>scenario modeling;</w:t>
      </w:r>
      <w:r w:rsidRPr="00B479AE">
        <w:rPr>
          <w:rFonts w:ascii="Baskerville Old Face" w:hAnsi="Baskerville Old Face"/>
          <w:i/>
          <w:iCs/>
        </w:rPr>
        <w:br/>
        <w:t>capital-readiness review;</w:t>
      </w:r>
      <w:r w:rsidRPr="00B479AE">
        <w:rPr>
          <w:rFonts w:ascii="Baskerville Old Face" w:hAnsi="Baskerville Old Face"/>
          <w:i/>
          <w:iCs/>
        </w:rPr>
        <w:br/>
        <w:t>legally structured rights;</w:t>
      </w:r>
      <w:r w:rsidRPr="00B479AE">
        <w:rPr>
          <w:rFonts w:ascii="Baskerville Old Face" w:hAnsi="Baskerville Old Face"/>
          <w:i/>
          <w:iCs/>
        </w:rPr>
        <w:br/>
        <w:t>non-offering information;</w:t>
      </w:r>
      <w:r w:rsidRPr="00B479AE">
        <w:rPr>
          <w:rFonts w:ascii="Baskerville Old Face" w:hAnsi="Baskerville Old Face"/>
          <w:i/>
          <w:iCs/>
        </w:rPr>
        <w:br/>
        <w:t>public impact communication.</w:t>
      </w:r>
    </w:p>
    <w:p w14:paraId="744860AB"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 dashboard that fails to distinguish these layers can accidentally transform information into an implied offer, implied valuation, implied guarantee, implied rating, or implied right.</w:t>
      </w:r>
    </w:p>
    <w:p w14:paraId="17B17636"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Prometheus therefore treats dashboard language, labels, legends, colors, badges, icons, and status indicators as part of institutional risk management.</w:t>
      </w:r>
    </w:p>
    <w:p w14:paraId="0E10B349"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 green signal should not mean “investment approved.”</w:t>
      </w:r>
    </w:p>
    <w:p w14:paraId="31BABDCE"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 yellow signal should not mean “automatic restriction.”</w:t>
      </w:r>
    </w:p>
    <w:p w14:paraId="641049D9"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 red signal should not mean “automatic penalty.”</w:t>
      </w:r>
    </w:p>
    <w:p w14:paraId="5FEDE4A5"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 PRU preview should not mean “PRU issued.”</w:t>
      </w:r>
    </w:p>
    <w:p w14:paraId="44696D7A"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lastRenderedPageBreak/>
        <w:t>A PHI score should not mean “project approved.”</w:t>
      </w:r>
    </w:p>
    <w:p w14:paraId="1B99AB80"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 Ravel signal should not mean “enforcement triggered.”</w:t>
      </w:r>
    </w:p>
    <w:p w14:paraId="71552098"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The correct interpretation is always bounded:</w:t>
      </w:r>
    </w:p>
    <w:p w14:paraId="69D051EA"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 xml:space="preserve">displayed status </w:t>
      </w:r>
      <w:r w:rsidRPr="00B479AE">
        <w:rPr>
          <w:rFonts w:ascii="Times New Roman" w:hAnsi="Times New Roman" w:cs="Times New Roman"/>
          <w:i/>
          <w:iCs/>
        </w:rPr>
        <w:t>→</w:t>
      </w:r>
      <w:r w:rsidRPr="00B479AE">
        <w:rPr>
          <w:rFonts w:ascii="Baskerville Old Face" w:hAnsi="Baskerville Old Face"/>
          <w:i/>
          <w:iCs/>
        </w:rPr>
        <w:t xml:space="preserve"> review pathway </w:t>
      </w:r>
      <w:r w:rsidRPr="00B479AE">
        <w:rPr>
          <w:rFonts w:ascii="Times New Roman" w:hAnsi="Times New Roman" w:cs="Times New Roman"/>
          <w:i/>
          <w:iCs/>
        </w:rPr>
        <w:t>→</w:t>
      </w:r>
      <w:r w:rsidRPr="00B479AE">
        <w:rPr>
          <w:rFonts w:ascii="Baskerville Old Face" w:hAnsi="Baskerville Old Face"/>
          <w:i/>
          <w:iCs/>
        </w:rPr>
        <w:t xml:space="preserve"> authorized meaning</w:t>
      </w:r>
    </w:p>
    <w:p w14:paraId="77E37105"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This is how Prometheus prevents visual intelligence from becoming visual overclaiming.</w:t>
      </w:r>
    </w:p>
    <w:p w14:paraId="5381B6AA" w14:textId="77777777" w:rsidR="006C247E" w:rsidRPr="00B479AE" w:rsidRDefault="006C247E" w:rsidP="006C247E">
      <w:pPr>
        <w:spacing w:line="360" w:lineRule="auto"/>
        <w:rPr>
          <w:rFonts w:ascii="Baskerville Old Face" w:hAnsi="Baskerville Old Face"/>
          <w:b/>
          <w:bCs/>
          <w:i/>
          <w:iCs/>
        </w:rPr>
      </w:pPr>
      <w:r w:rsidRPr="00B479AE">
        <w:rPr>
          <w:rFonts w:ascii="Baskerville Old Face" w:hAnsi="Baskerville Old Face"/>
          <w:b/>
          <w:bCs/>
          <w:i/>
          <w:iCs/>
        </w:rPr>
        <w:t>Formula boundary</w:t>
      </w:r>
    </w:p>
    <w:p w14:paraId="32497EC9"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Displayed Data, Authority_action, and D_auth are methodological and governance-boundary expressions.</w:t>
      </w:r>
    </w:p>
    <w:p w14:paraId="4891B57E"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They do not create automatic legal enforceability, governance decision, PRU value, RAP inclusion, investor right, token issuance, ecological credit, public financial claim, or enforcement action.</w:t>
      </w:r>
    </w:p>
    <w:p w14:paraId="18EC7FC3"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They define the internal Prometheus rule for separating interface visibility from authorized use.</w:t>
      </w:r>
    </w:p>
    <w:p w14:paraId="43EE1F47"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Formal consequences require the relevant MRV, governance, legal, technical, capital-readiness, or source-layer review pathway.</w:t>
      </w:r>
    </w:p>
    <w:p w14:paraId="30127B2F" w14:textId="77777777" w:rsidR="006C247E" w:rsidRPr="00B479AE" w:rsidRDefault="006C247E" w:rsidP="006C247E">
      <w:pPr>
        <w:spacing w:line="360" w:lineRule="auto"/>
        <w:rPr>
          <w:rFonts w:ascii="Baskerville Old Face" w:hAnsi="Baskerville Old Face"/>
          <w:b/>
          <w:bCs/>
          <w:i/>
          <w:iCs/>
        </w:rPr>
      </w:pPr>
      <w:r w:rsidRPr="00B479AE">
        <w:rPr>
          <w:rFonts w:ascii="Baskerville Old Face" w:hAnsi="Baskerville Old Face"/>
          <w:b/>
          <w:bCs/>
          <w:i/>
          <w:iCs/>
        </w:rPr>
        <w:t>Operational rule</w:t>
      </w:r>
    </w:p>
    <w:p w14:paraId="500C8B5F"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The operational rule is:</w:t>
      </w:r>
    </w:p>
    <w:p w14:paraId="0C4B986D"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a dashboard may reveal;</w:t>
      </w:r>
      <w:r w:rsidRPr="00B479AE">
        <w:rPr>
          <w:rFonts w:ascii="Baskerville Old Face" w:hAnsi="Baskerville Old Face"/>
          <w:i/>
          <w:iCs/>
        </w:rPr>
        <w:br/>
        <w:t>it may not rule.</w:t>
      </w:r>
    </w:p>
    <w:p w14:paraId="4B234A10"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Prometheus dashboards should make regeneration more visible.</w:t>
      </w:r>
    </w:p>
    <w:p w14:paraId="23DD380F" w14:textId="77777777" w:rsidR="006C247E" w:rsidRPr="00B479AE" w:rsidRDefault="006C247E" w:rsidP="006C247E">
      <w:pPr>
        <w:spacing w:line="360" w:lineRule="auto"/>
        <w:rPr>
          <w:rFonts w:ascii="Baskerville Old Face" w:hAnsi="Baskerville Old Face"/>
          <w:i/>
          <w:iCs/>
        </w:rPr>
      </w:pPr>
      <w:r w:rsidRPr="00B479AE">
        <w:rPr>
          <w:rFonts w:ascii="Baskerville Old Face" w:hAnsi="Baskerville Old Face"/>
          <w:i/>
          <w:iCs/>
        </w:rPr>
        <w:t>They should not turn visibility into authority without evidence, review, governance, and law.</w:t>
      </w:r>
    </w:p>
    <w:p w14:paraId="3A39DCB3"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G.15 Stewardship Observation Record</w:t>
      </w:r>
    </w:p>
    <w:p w14:paraId="58D47FD7"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 Stewardship Observation Record replaces the earlier “proof of care” terminology.</w:t>
      </w:r>
    </w:p>
    <w:p w14:paraId="6B393983"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A Stewardship Observation Record is a structured field record documenting real actions, observations, or conditions.</w:t>
      </w:r>
    </w:p>
    <w:p w14:paraId="0D6051B3"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lastRenderedPageBreak/>
        <w:t>It may be submitted by:</w:t>
      </w:r>
    </w:p>
    <w:p w14:paraId="432B044A"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Earth Custodians;</w:t>
      </w:r>
      <w:r w:rsidRPr="00B479AE">
        <w:rPr>
          <w:rFonts w:ascii="Baskerville Old Face" w:hAnsi="Baskerville Old Face"/>
          <w:i/>
          <w:iCs/>
        </w:rPr>
        <w:br/>
        <w:t>• field operators;</w:t>
      </w:r>
      <w:r w:rsidRPr="00B479AE">
        <w:rPr>
          <w:rFonts w:ascii="Baskerville Old Face" w:hAnsi="Baskerville Old Face"/>
          <w:i/>
          <w:iCs/>
        </w:rPr>
        <w:br/>
        <w:t>• community members;</w:t>
      </w:r>
      <w:r w:rsidRPr="00B479AE">
        <w:rPr>
          <w:rFonts w:ascii="Baskerville Old Face" w:hAnsi="Baskerville Old Face"/>
          <w:i/>
          <w:iCs/>
        </w:rPr>
        <w:br/>
        <w:t>• auditors;</w:t>
      </w:r>
      <w:r w:rsidRPr="00B479AE">
        <w:rPr>
          <w:rFonts w:ascii="Baskerville Old Face" w:hAnsi="Baskerville Old Face"/>
          <w:i/>
          <w:iCs/>
        </w:rPr>
        <w:br/>
        <w:t>• verifiers;</w:t>
      </w:r>
      <w:r w:rsidRPr="00B479AE">
        <w:rPr>
          <w:rFonts w:ascii="Baskerville Old Face" w:hAnsi="Baskerville Old Face"/>
          <w:i/>
          <w:iCs/>
        </w:rPr>
        <w:br/>
        <w:t>• researchers;</w:t>
      </w:r>
      <w:r w:rsidRPr="00B479AE">
        <w:rPr>
          <w:rFonts w:ascii="Baskerville Old Face" w:hAnsi="Baskerville Old Face"/>
          <w:i/>
          <w:iCs/>
        </w:rPr>
        <w:br/>
        <w:t>• protocol stewards;</w:t>
      </w:r>
      <w:r w:rsidRPr="00B479AE">
        <w:rPr>
          <w:rFonts w:ascii="Baskerville Old Face" w:hAnsi="Baskerville Old Face"/>
          <w:i/>
          <w:iCs/>
        </w:rPr>
        <w:br/>
        <w:t>• authorized institutional partners.</w:t>
      </w:r>
    </w:p>
    <w:p w14:paraId="64505090"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A record may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0"/>
        <w:gridCol w:w="4743"/>
      </w:tblGrid>
      <w:tr w:rsidR="00D92255" w:rsidRPr="00B479AE" w14:paraId="53BA74AB" w14:textId="77777777" w:rsidTr="00D30921">
        <w:trPr>
          <w:tblHeader/>
          <w:tblCellSpacing w:w="15" w:type="dxa"/>
        </w:trPr>
        <w:tc>
          <w:tcPr>
            <w:tcW w:w="0" w:type="auto"/>
            <w:vAlign w:val="center"/>
            <w:hideMark/>
          </w:tcPr>
          <w:p w14:paraId="782FA1AA" w14:textId="77777777" w:rsidR="00D92255" w:rsidRPr="00B479AE" w:rsidRDefault="00D92255" w:rsidP="00D9225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Field</w:t>
            </w:r>
          </w:p>
        </w:tc>
        <w:tc>
          <w:tcPr>
            <w:tcW w:w="0" w:type="auto"/>
            <w:vAlign w:val="center"/>
            <w:hideMark/>
          </w:tcPr>
          <w:p w14:paraId="5659F28A" w14:textId="77777777" w:rsidR="00D92255" w:rsidRPr="00B479AE" w:rsidRDefault="00D92255" w:rsidP="00D92255">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Purpose</w:t>
            </w:r>
          </w:p>
        </w:tc>
      </w:tr>
      <w:tr w:rsidR="00D92255" w:rsidRPr="00B479AE" w14:paraId="34D244C4" w14:textId="77777777" w:rsidTr="00D30921">
        <w:trPr>
          <w:tblCellSpacing w:w="15" w:type="dxa"/>
        </w:trPr>
        <w:tc>
          <w:tcPr>
            <w:tcW w:w="0" w:type="auto"/>
            <w:vAlign w:val="center"/>
            <w:hideMark/>
          </w:tcPr>
          <w:p w14:paraId="331AAA79"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Observer role</w:t>
            </w:r>
          </w:p>
        </w:tc>
        <w:tc>
          <w:tcPr>
            <w:tcW w:w="0" w:type="auto"/>
            <w:vAlign w:val="center"/>
            <w:hideMark/>
          </w:tcPr>
          <w:p w14:paraId="210AC272"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Identifies who submitted the record.</w:t>
            </w:r>
          </w:p>
        </w:tc>
      </w:tr>
      <w:tr w:rsidR="00D92255" w:rsidRPr="00B479AE" w14:paraId="46EA7F20" w14:textId="77777777" w:rsidTr="00D30921">
        <w:trPr>
          <w:tblCellSpacing w:w="15" w:type="dxa"/>
        </w:trPr>
        <w:tc>
          <w:tcPr>
            <w:tcW w:w="0" w:type="auto"/>
            <w:vAlign w:val="center"/>
            <w:hideMark/>
          </w:tcPr>
          <w:p w14:paraId="01A4D345"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Timestamp</w:t>
            </w:r>
          </w:p>
        </w:tc>
        <w:tc>
          <w:tcPr>
            <w:tcW w:w="0" w:type="auto"/>
            <w:vAlign w:val="center"/>
            <w:hideMark/>
          </w:tcPr>
          <w:p w14:paraId="2B49BD28"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Places the record in time.</w:t>
            </w:r>
          </w:p>
        </w:tc>
      </w:tr>
      <w:tr w:rsidR="00D92255" w:rsidRPr="00B479AE" w14:paraId="3F66A2A8" w14:textId="77777777" w:rsidTr="00D30921">
        <w:trPr>
          <w:tblCellSpacing w:w="15" w:type="dxa"/>
        </w:trPr>
        <w:tc>
          <w:tcPr>
            <w:tcW w:w="0" w:type="auto"/>
            <w:vAlign w:val="center"/>
            <w:hideMark/>
          </w:tcPr>
          <w:p w14:paraId="2D1BBA91"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Location</w:t>
            </w:r>
          </w:p>
        </w:tc>
        <w:tc>
          <w:tcPr>
            <w:tcW w:w="0" w:type="auto"/>
            <w:vAlign w:val="center"/>
            <w:hideMark/>
          </w:tcPr>
          <w:p w14:paraId="1BD116DB"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Links the record to site, OHE, EPU, or coordinate.</w:t>
            </w:r>
          </w:p>
        </w:tc>
      </w:tr>
      <w:tr w:rsidR="00D92255" w:rsidRPr="00B479AE" w14:paraId="05C40859" w14:textId="77777777" w:rsidTr="00D30921">
        <w:trPr>
          <w:tblCellSpacing w:w="15" w:type="dxa"/>
        </w:trPr>
        <w:tc>
          <w:tcPr>
            <w:tcW w:w="0" w:type="auto"/>
            <w:vAlign w:val="center"/>
            <w:hideMark/>
          </w:tcPr>
          <w:p w14:paraId="5F7ACB5D"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Event type</w:t>
            </w:r>
          </w:p>
        </w:tc>
        <w:tc>
          <w:tcPr>
            <w:tcW w:w="0" w:type="auto"/>
            <w:vAlign w:val="center"/>
            <w:hideMark/>
          </w:tcPr>
          <w:p w14:paraId="04D8A1CE"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Classifies the action or observation.</w:t>
            </w:r>
          </w:p>
        </w:tc>
      </w:tr>
      <w:tr w:rsidR="00D92255" w:rsidRPr="00B479AE" w14:paraId="4B2EE54E" w14:textId="77777777" w:rsidTr="00D30921">
        <w:trPr>
          <w:tblCellSpacing w:w="15" w:type="dxa"/>
        </w:trPr>
        <w:tc>
          <w:tcPr>
            <w:tcW w:w="0" w:type="auto"/>
            <w:vAlign w:val="center"/>
            <w:hideMark/>
          </w:tcPr>
          <w:p w14:paraId="4C80EDC3"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Evidence attachment</w:t>
            </w:r>
          </w:p>
        </w:tc>
        <w:tc>
          <w:tcPr>
            <w:tcW w:w="0" w:type="auto"/>
            <w:vAlign w:val="center"/>
            <w:hideMark/>
          </w:tcPr>
          <w:p w14:paraId="092E2ADC"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Photographs, documents, sensor references, or notes.</w:t>
            </w:r>
          </w:p>
        </w:tc>
      </w:tr>
      <w:tr w:rsidR="00D92255" w:rsidRPr="00B479AE" w14:paraId="066FB8B3" w14:textId="77777777" w:rsidTr="00D30921">
        <w:trPr>
          <w:tblCellSpacing w:w="15" w:type="dxa"/>
        </w:trPr>
        <w:tc>
          <w:tcPr>
            <w:tcW w:w="0" w:type="auto"/>
            <w:vAlign w:val="center"/>
            <w:hideMark/>
          </w:tcPr>
          <w:p w14:paraId="611FC1B1"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Methodology reference</w:t>
            </w:r>
          </w:p>
        </w:tc>
        <w:tc>
          <w:tcPr>
            <w:tcW w:w="0" w:type="auto"/>
            <w:vAlign w:val="center"/>
            <w:hideMark/>
          </w:tcPr>
          <w:p w14:paraId="1A5693C5"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Connects record to MRV protocol.</w:t>
            </w:r>
          </w:p>
        </w:tc>
      </w:tr>
      <w:tr w:rsidR="00D92255" w:rsidRPr="00B479AE" w14:paraId="55880686" w14:textId="77777777" w:rsidTr="00D30921">
        <w:trPr>
          <w:tblCellSpacing w:w="15" w:type="dxa"/>
        </w:trPr>
        <w:tc>
          <w:tcPr>
            <w:tcW w:w="0" w:type="auto"/>
            <w:vAlign w:val="center"/>
            <w:hideMark/>
          </w:tcPr>
          <w:p w14:paraId="070D4D20"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Review status</w:t>
            </w:r>
          </w:p>
        </w:tc>
        <w:tc>
          <w:tcPr>
            <w:tcW w:w="0" w:type="auto"/>
            <w:vAlign w:val="center"/>
            <w:hideMark/>
          </w:tcPr>
          <w:p w14:paraId="24546A8A"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Pending, reviewed, validated, rejected, archived.</w:t>
            </w:r>
          </w:p>
        </w:tc>
      </w:tr>
      <w:tr w:rsidR="00D92255" w:rsidRPr="00B479AE" w14:paraId="16248C24" w14:textId="77777777" w:rsidTr="00D30921">
        <w:trPr>
          <w:tblCellSpacing w:w="15" w:type="dxa"/>
        </w:trPr>
        <w:tc>
          <w:tcPr>
            <w:tcW w:w="0" w:type="auto"/>
            <w:vAlign w:val="center"/>
            <w:hideMark/>
          </w:tcPr>
          <w:p w14:paraId="5E6F2D14"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Confidence note</w:t>
            </w:r>
          </w:p>
        </w:tc>
        <w:tc>
          <w:tcPr>
            <w:tcW w:w="0" w:type="auto"/>
            <w:vAlign w:val="center"/>
            <w:hideMark/>
          </w:tcPr>
          <w:p w14:paraId="6A212F68" w14:textId="77777777" w:rsidR="00D92255" w:rsidRPr="00B479AE" w:rsidRDefault="00D92255" w:rsidP="00D92255">
            <w:pPr>
              <w:spacing w:line="360" w:lineRule="auto"/>
              <w:rPr>
                <w:rFonts w:ascii="Baskerville Old Face" w:hAnsi="Baskerville Old Face"/>
                <w:i/>
                <w:iCs/>
                <w:sz w:val="22"/>
                <w:szCs w:val="22"/>
              </w:rPr>
            </w:pPr>
            <w:r w:rsidRPr="00B479AE">
              <w:rPr>
                <w:rFonts w:ascii="Baskerville Old Face" w:hAnsi="Baskerville Old Face"/>
                <w:i/>
                <w:iCs/>
                <w:sz w:val="22"/>
                <w:szCs w:val="22"/>
              </w:rPr>
              <w:t>Indicates quality or limitations.</w:t>
            </w:r>
          </w:p>
        </w:tc>
      </w:tr>
    </w:tbl>
    <w:p w14:paraId="1320EF03"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Stewardship records can strengthen MRV when corroborated.</w:t>
      </w:r>
    </w:p>
    <w:p w14:paraId="717E06D3"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They are not standalone financial proof.</w:t>
      </w:r>
    </w:p>
    <w:p w14:paraId="0AD8CA76"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They are structured human evidence.</w:t>
      </w:r>
    </w:p>
    <w:p w14:paraId="0A7799D6" w14:textId="77777777" w:rsidR="00AA6463" w:rsidRPr="00B479AE" w:rsidRDefault="00AA6463" w:rsidP="00D92255">
      <w:pPr>
        <w:spacing w:line="360" w:lineRule="auto"/>
        <w:rPr>
          <w:rFonts w:ascii="Baskerville Old Face" w:hAnsi="Baskerville Old Face"/>
          <w:b/>
          <w:bCs/>
          <w:i/>
          <w:iCs/>
        </w:rPr>
      </w:pPr>
    </w:p>
    <w:p w14:paraId="3EE5B731" w14:textId="77797B2E"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lastRenderedPageBreak/>
        <w:t>G.16 Knowledge sources and regenerative intelligence</w:t>
      </w:r>
    </w:p>
    <w:p w14:paraId="0DB1B748"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 MRV protocol may draw from:</w:t>
      </w:r>
    </w:p>
    <w:p w14:paraId="75D10EE2"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peer-reviewed ecological science;</w:t>
      </w:r>
      <w:r w:rsidRPr="00B479AE">
        <w:rPr>
          <w:rFonts w:ascii="Baskerville Old Face" w:hAnsi="Baskerville Old Face"/>
          <w:i/>
          <w:iCs/>
        </w:rPr>
        <w:br/>
        <w:t>• soil science;</w:t>
      </w:r>
      <w:r w:rsidRPr="00B479AE">
        <w:rPr>
          <w:rFonts w:ascii="Baskerville Old Face" w:hAnsi="Baskerville Old Face"/>
          <w:i/>
          <w:iCs/>
        </w:rPr>
        <w:br/>
        <w:t>• agroecology;</w:t>
      </w:r>
      <w:r w:rsidRPr="00B479AE">
        <w:rPr>
          <w:rFonts w:ascii="Baskerville Old Face" w:hAnsi="Baskerville Old Face"/>
          <w:i/>
          <w:iCs/>
        </w:rPr>
        <w:br/>
        <w:t>• hydrology;</w:t>
      </w:r>
      <w:r w:rsidRPr="00B479AE">
        <w:rPr>
          <w:rFonts w:ascii="Baskerville Old Face" w:hAnsi="Baskerville Old Face"/>
          <w:i/>
          <w:iCs/>
        </w:rPr>
        <w:br/>
        <w:t>• biodiversity science;</w:t>
      </w:r>
      <w:r w:rsidRPr="00B479AE">
        <w:rPr>
          <w:rFonts w:ascii="Baskerville Old Face" w:hAnsi="Baskerville Old Face"/>
          <w:i/>
          <w:iCs/>
        </w:rPr>
        <w:br/>
        <w:t>• syntropic agroforestry field knowledge;</w:t>
      </w:r>
      <w:r w:rsidRPr="00B479AE">
        <w:rPr>
          <w:rFonts w:ascii="Baskerville Old Face" w:hAnsi="Baskerville Old Face"/>
          <w:i/>
          <w:iCs/>
        </w:rPr>
        <w:br/>
        <w:t>• indigenous and traditional ecological knowledge where consented and properly governed;</w:t>
      </w:r>
      <w:r w:rsidRPr="00B479AE">
        <w:rPr>
          <w:rFonts w:ascii="Baskerville Old Face" w:hAnsi="Baskerville Old Face"/>
          <w:i/>
          <w:iCs/>
        </w:rPr>
        <w:br/>
        <w:t>• open climate and soil datasets;</w:t>
      </w:r>
      <w:r w:rsidRPr="00B479AE">
        <w:rPr>
          <w:rFonts w:ascii="Baskerville Old Face" w:hAnsi="Baskerville Old Face"/>
          <w:i/>
          <w:iCs/>
        </w:rPr>
        <w:br/>
        <w:t>• public environmental datasets;</w:t>
      </w:r>
      <w:r w:rsidRPr="00B479AE">
        <w:rPr>
          <w:rFonts w:ascii="Baskerville Old Face" w:hAnsi="Baskerville Old Face"/>
          <w:i/>
          <w:iCs/>
        </w:rPr>
        <w:br/>
        <w:t>• institutional reports;</w:t>
      </w:r>
      <w:r w:rsidRPr="00B479AE">
        <w:rPr>
          <w:rFonts w:ascii="Baskerville Old Face" w:hAnsi="Baskerville Old Face"/>
          <w:i/>
          <w:iCs/>
        </w:rPr>
        <w:br/>
        <w:t>• pilot-generated data;</w:t>
      </w:r>
      <w:r w:rsidRPr="00B479AE">
        <w:rPr>
          <w:rFonts w:ascii="Baskerville Old Face" w:hAnsi="Baskerville Old Face"/>
          <w:i/>
          <w:iCs/>
        </w:rPr>
        <w:br/>
        <w:t>• third-party audits;</w:t>
      </w:r>
      <w:r w:rsidRPr="00B479AE">
        <w:rPr>
          <w:rFonts w:ascii="Baskerville Old Face" w:hAnsi="Baskerville Old Face"/>
          <w:i/>
          <w:iCs/>
        </w:rPr>
        <w:br/>
        <w:t>• field experience.</w:t>
      </w:r>
    </w:p>
    <w:p w14:paraId="7034EA1C"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Traditional, indigenous, local, and community knowledge must be handled with consent, attribution, cultural respect, and data-governance boundaries.</w:t>
      </w:r>
    </w:p>
    <w:p w14:paraId="390637AC"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Knowledge may inspire design.</w:t>
      </w:r>
    </w:p>
    <w:p w14:paraId="3E9292EF"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Evidence determines admissibility.</w:t>
      </w:r>
    </w:p>
    <w:p w14:paraId="76BB7449"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G.17 MRV governance and review</w:t>
      </w:r>
    </w:p>
    <w:p w14:paraId="10690584"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MRV governance should define:</w:t>
      </w:r>
    </w:p>
    <w:p w14:paraId="28054922"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methodology approval;</w:t>
      </w:r>
      <w:r w:rsidRPr="00B479AE">
        <w:rPr>
          <w:rFonts w:ascii="Baskerville Old Face" w:hAnsi="Baskerville Old Face"/>
          <w:i/>
          <w:iCs/>
        </w:rPr>
        <w:br/>
        <w:t>• indicator selection;</w:t>
      </w:r>
      <w:r w:rsidRPr="00B479AE">
        <w:rPr>
          <w:rFonts w:ascii="Baskerville Old Face" w:hAnsi="Baskerville Old Face"/>
          <w:i/>
          <w:iCs/>
        </w:rPr>
        <w:br/>
        <w:t>• sampling protocols;</w:t>
      </w:r>
      <w:r w:rsidRPr="00B479AE">
        <w:rPr>
          <w:rFonts w:ascii="Baskerville Old Face" w:hAnsi="Baskerville Old Face"/>
          <w:i/>
          <w:iCs/>
        </w:rPr>
        <w:br/>
        <w:t>• data-quality thresholds;</w:t>
      </w:r>
      <w:r w:rsidRPr="00B479AE">
        <w:rPr>
          <w:rFonts w:ascii="Baskerville Old Face" w:hAnsi="Baskerville Old Face"/>
          <w:i/>
          <w:iCs/>
        </w:rPr>
        <w:br/>
        <w:t>• confidence scoring;</w:t>
      </w:r>
      <w:r w:rsidRPr="00B479AE">
        <w:rPr>
          <w:rFonts w:ascii="Baskerville Old Face" w:hAnsi="Baskerville Old Face"/>
          <w:i/>
          <w:iCs/>
        </w:rPr>
        <w:br/>
        <w:t>• reviewer roles;</w:t>
      </w:r>
      <w:r w:rsidRPr="00B479AE">
        <w:rPr>
          <w:rFonts w:ascii="Baskerville Old Face" w:hAnsi="Baskerville Old Face"/>
          <w:i/>
          <w:iCs/>
        </w:rPr>
        <w:br/>
        <w:t>• third-party verification triggers;</w:t>
      </w:r>
      <w:r w:rsidRPr="00B479AE">
        <w:rPr>
          <w:rFonts w:ascii="Baskerville Old Face" w:hAnsi="Baskerville Old Face"/>
          <w:i/>
          <w:iCs/>
        </w:rPr>
        <w:br/>
        <w:t>• dispute resolution;</w:t>
      </w:r>
      <w:r w:rsidRPr="00B479AE">
        <w:rPr>
          <w:rFonts w:ascii="Baskerville Old Face" w:hAnsi="Baskerville Old Face"/>
          <w:i/>
          <w:iCs/>
        </w:rPr>
        <w:br/>
      </w:r>
      <w:r w:rsidRPr="00B479AE">
        <w:rPr>
          <w:rFonts w:ascii="Baskerville Old Face" w:hAnsi="Baskerville Old Face"/>
          <w:i/>
          <w:iCs/>
        </w:rPr>
        <w:lastRenderedPageBreak/>
        <w:t>• correction process;</w:t>
      </w:r>
      <w:r w:rsidRPr="00B479AE">
        <w:rPr>
          <w:rFonts w:ascii="Baskerville Old Face" w:hAnsi="Baskerville Old Face"/>
          <w:i/>
          <w:iCs/>
        </w:rPr>
        <w:br/>
        <w:t>• adverse event reporting;</w:t>
      </w:r>
      <w:r w:rsidRPr="00B479AE">
        <w:rPr>
          <w:rFonts w:ascii="Baskerville Old Face" w:hAnsi="Baskerville Old Face"/>
          <w:i/>
          <w:iCs/>
        </w:rPr>
        <w:br/>
        <w:t>• version updates;</w:t>
      </w:r>
      <w:r w:rsidRPr="00B479AE">
        <w:rPr>
          <w:rFonts w:ascii="Baskerville Old Face" w:hAnsi="Baskerville Old Face"/>
          <w:i/>
          <w:iCs/>
        </w:rPr>
        <w:br/>
        <w:t>• retirement of obsolete indicators;</w:t>
      </w:r>
      <w:r w:rsidRPr="00B479AE">
        <w:rPr>
          <w:rFonts w:ascii="Baskerville Old Face" w:hAnsi="Baskerville Old Face"/>
          <w:i/>
          <w:iCs/>
        </w:rPr>
        <w:br/>
        <w:t>• admission into PRU analysis.</w:t>
      </w:r>
    </w:p>
    <w:p w14:paraId="6DD36F52"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MRV methodology should be versioned.</w:t>
      </w:r>
    </w:p>
    <w:p w14:paraId="6362920D"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Every material report should reference the methodology version used.</w:t>
      </w:r>
    </w:p>
    <w:p w14:paraId="5789E0E7"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Changes to methodology should be documented and should not silently alter historical interpretation.</w:t>
      </w:r>
    </w:p>
    <w:p w14:paraId="2BDB68D9"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G.18 MRV correction and non-admissibility</w:t>
      </w:r>
    </w:p>
    <w:p w14:paraId="1B522866"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MRV records may be corrected, downgraded, quarantined, or classified as non-admissible.</w:t>
      </w:r>
    </w:p>
    <w:p w14:paraId="39E4832F"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Reasons may include:</w:t>
      </w:r>
    </w:p>
    <w:p w14:paraId="0E896969"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missing provenance;</w:t>
      </w:r>
      <w:r w:rsidRPr="00B479AE">
        <w:rPr>
          <w:rFonts w:ascii="Baskerville Old Face" w:hAnsi="Baskerville Old Face"/>
          <w:i/>
          <w:iCs/>
        </w:rPr>
        <w:br/>
        <w:t>• weak method;</w:t>
      </w:r>
      <w:r w:rsidRPr="00B479AE">
        <w:rPr>
          <w:rFonts w:ascii="Baskerville Old Face" w:hAnsi="Baskerville Old Face"/>
          <w:i/>
          <w:iCs/>
        </w:rPr>
        <w:br/>
        <w:t>• expired calibration;</w:t>
      </w:r>
      <w:r w:rsidRPr="00B479AE">
        <w:rPr>
          <w:rFonts w:ascii="Baskerville Old Face" w:hAnsi="Baskerville Old Face"/>
          <w:i/>
          <w:iCs/>
        </w:rPr>
        <w:br/>
        <w:t>• contradictory evidence;</w:t>
      </w:r>
      <w:r w:rsidRPr="00B479AE">
        <w:rPr>
          <w:rFonts w:ascii="Baskerville Old Face" w:hAnsi="Baskerville Old Face"/>
          <w:i/>
          <w:iCs/>
        </w:rPr>
        <w:br/>
        <w:t>• suspected manipulation;</w:t>
      </w:r>
      <w:r w:rsidRPr="00B479AE">
        <w:rPr>
          <w:rFonts w:ascii="Baskerville Old Face" w:hAnsi="Baskerville Old Face"/>
          <w:i/>
          <w:iCs/>
        </w:rPr>
        <w:br/>
        <w:t>• synthetic evidence risk;</w:t>
      </w:r>
      <w:r w:rsidRPr="00B479AE">
        <w:rPr>
          <w:rFonts w:ascii="Baskerville Old Face" w:hAnsi="Baskerville Old Face"/>
          <w:i/>
          <w:iCs/>
        </w:rPr>
        <w:br/>
        <w:t>• chain-of-custody failure;</w:t>
      </w:r>
      <w:r w:rsidRPr="00B479AE">
        <w:rPr>
          <w:rFonts w:ascii="Baskerville Old Face" w:hAnsi="Baskerville Old Face"/>
          <w:i/>
          <w:iCs/>
        </w:rPr>
        <w:br/>
        <w:t>• incorrect location;</w:t>
      </w:r>
      <w:r w:rsidRPr="00B479AE">
        <w:rPr>
          <w:rFonts w:ascii="Baskerville Old Face" w:hAnsi="Baskerville Old Face"/>
          <w:i/>
          <w:iCs/>
        </w:rPr>
        <w:br/>
        <w:t>• data corruption;</w:t>
      </w:r>
      <w:r w:rsidRPr="00B479AE">
        <w:rPr>
          <w:rFonts w:ascii="Baskerville Old Face" w:hAnsi="Baskerville Old Face"/>
          <w:i/>
          <w:iCs/>
        </w:rPr>
        <w:br/>
        <w:t>• methodological mismatch;</w:t>
      </w:r>
      <w:r w:rsidRPr="00B479AE">
        <w:rPr>
          <w:rFonts w:ascii="Baskerville Old Face" w:hAnsi="Baskerville Old Face"/>
          <w:i/>
          <w:iCs/>
        </w:rPr>
        <w:br/>
        <w:t>• privacy or consent violation;</w:t>
      </w:r>
      <w:r w:rsidRPr="00B479AE">
        <w:rPr>
          <w:rFonts w:ascii="Baskerville Old Face" w:hAnsi="Baskerville Old Face"/>
          <w:i/>
          <w:iCs/>
        </w:rPr>
        <w:br/>
        <w:t>• legal restriction;</w:t>
      </w:r>
      <w:r w:rsidRPr="00B479AE">
        <w:rPr>
          <w:rFonts w:ascii="Baskerville Old Face" w:hAnsi="Baskerville Old Face"/>
          <w:i/>
          <w:iCs/>
        </w:rPr>
        <w:br/>
        <w:t>• duplicate or double-counted claim.</w:t>
      </w:r>
    </w:p>
    <w:p w14:paraId="489D919F"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Non-admissibility does not always mean deletion.</w:t>
      </w:r>
    </w:p>
    <w:p w14:paraId="5FE86E9B"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A non-admissible record may remain archived for learning, audit, dispute resolution, or research, but it may not enter protected MRV, PRU, RAP, investor-facing, or financial pathways.</w:t>
      </w:r>
    </w:p>
    <w:p w14:paraId="4B41DEB4" w14:textId="77777777" w:rsidR="00AA6463" w:rsidRPr="00B479AE" w:rsidRDefault="00AA6463" w:rsidP="00D92255">
      <w:pPr>
        <w:spacing w:line="360" w:lineRule="auto"/>
        <w:rPr>
          <w:rFonts w:ascii="Baskerville Old Face" w:hAnsi="Baskerville Old Face"/>
          <w:b/>
          <w:bCs/>
          <w:i/>
          <w:iCs/>
        </w:rPr>
      </w:pPr>
    </w:p>
    <w:p w14:paraId="4C7DD298" w14:textId="29555F9D"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lastRenderedPageBreak/>
        <w:t>G.19 MRV and legal boundary</w:t>
      </w:r>
    </w:p>
    <w:p w14:paraId="1204F6C0"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MRV outputs may have legal, financial, ecological, or public-communication consequences.</w:t>
      </w:r>
    </w:p>
    <w:p w14:paraId="637ADBF2"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Therefore, MRV reporting must respect:</w:t>
      </w:r>
    </w:p>
    <w:p w14:paraId="7B54B597"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 data rights;</w:t>
      </w:r>
      <w:r w:rsidRPr="00B479AE">
        <w:rPr>
          <w:rFonts w:ascii="Baskerville Old Face" w:hAnsi="Baskerville Old Face"/>
          <w:i/>
          <w:iCs/>
        </w:rPr>
        <w:br/>
        <w:t>• privacy;</w:t>
      </w:r>
      <w:r w:rsidRPr="00B479AE">
        <w:rPr>
          <w:rFonts w:ascii="Baskerville Old Face" w:hAnsi="Baskerville Old Face"/>
          <w:i/>
          <w:iCs/>
        </w:rPr>
        <w:br/>
        <w:t>• consent;</w:t>
      </w:r>
      <w:r w:rsidRPr="00B479AE">
        <w:rPr>
          <w:rFonts w:ascii="Baskerville Old Face" w:hAnsi="Baskerville Old Face"/>
          <w:i/>
          <w:iCs/>
        </w:rPr>
        <w:br/>
        <w:t>• intellectual property;</w:t>
      </w:r>
      <w:r w:rsidRPr="00B479AE">
        <w:rPr>
          <w:rFonts w:ascii="Baskerville Old Face" w:hAnsi="Baskerville Old Face"/>
          <w:i/>
          <w:iCs/>
        </w:rPr>
        <w:br/>
        <w:t>• public claims rules;</w:t>
      </w:r>
      <w:r w:rsidRPr="00B479AE">
        <w:rPr>
          <w:rFonts w:ascii="Baskerville Old Face" w:hAnsi="Baskerville Old Face"/>
          <w:i/>
          <w:iCs/>
        </w:rPr>
        <w:br/>
        <w:t>• environmental claim standards;</w:t>
      </w:r>
      <w:r w:rsidRPr="00B479AE">
        <w:rPr>
          <w:rFonts w:ascii="Baskerville Old Face" w:hAnsi="Baskerville Old Face"/>
          <w:i/>
          <w:iCs/>
        </w:rPr>
        <w:br/>
        <w:t>• investor disclosure boundaries;</w:t>
      </w:r>
      <w:r w:rsidRPr="00B479AE">
        <w:rPr>
          <w:rFonts w:ascii="Baskerville Old Face" w:hAnsi="Baskerville Old Face"/>
          <w:i/>
          <w:iCs/>
        </w:rPr>
        <w:br/>
        <w:t>• jurisdictional review;</w:t>
      </w:r>
      <w:r w:rsidRPr="00B479AE">
        <w:rPr>
          <w:rFonts w:ascii="Baskerville Old Face" w:hAnsi="Baskerville Old Face"/>
          <w:i/>
          <w:iCs/>
        </w:rPr>
        <w:br/>
        <w:t>• anti-greenwashing discipline;</w:t>
      </w:r>
      <w:r w:rsidRPr="00B479AE">
        <w:rPr>
          <w:rFonts w:ascii="Baskerville Old Face" w:hAnsi="Baskerville Old Face"/>
          <w:i/>
          <w:iCs/>
        </w:rPr>
        <w:br/>
        <w:t>• no-double-counting requirements.</w:t>
      </w:r>
    </w:p>
    <w:p w14:paraId="7BC76A85"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MRV evidence does not automatically create rights.</w:t>
      </w:r>
    </w:p>
    <w:p w14:paraId="2C4E7C82"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Rights arise through legal instruments.</w:t>
      </w:r>
    </w:p>
    <w:p w14:paraId="5A0B5B5F"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MRV supports factual basis.</w:t>
      </w:r>
    </w:p>
    <w:p w14:paraId="00BD24AE"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Legal structure defines enforceability.</w:t>
      </w:r>
    </w:p>
    <w:p w14:paraId="4E969986" w14:textId="77777777" w:rsidR="00D92255" w:rsidRPr="00B479AE" w:rsidRDefault="00D92255" w:rsidP="00D92255">
      <w:pPr>
        <w:spacing w:line="360" w:lineRule="auto"/>
        <w:rPr>
          <w:rFonts w:ascii="Baskerville Old Face" w:hAnsi="Baskerville Old Face"/>
          <w:b/>
          <w:bCs/>
          <w:i/>
          <w:iCs/>
        </w:rPr>
      </w:pPr>
      <w:r w:rsidRPr="00B479AE">
        <w:rPr>
          <w:rFonts w:ascii="Baskerville Old Face" w:hAnsi="Baskerville Old Face"/>
          <w:b/>
          <w:bCs/>
          <w:i/>
          <w:iCs/>
        </w:rPr>
        <w:t>G.20 Final MRV principle</w:t>
      </w:r>
    </w:p>
    <w:p w14:paraId="028C8013"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The final MRV principle is:</w:t>
      </w:r>
    </w:p>
    <w:p w14:paraId="631A1CEF"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observe living systems with humility;</w:t>
      </w:r>
      <w:r w:rsidRPr="00B479AE">
        <w:rPr>
          <w:rFonts w:ascii="Baskerville Old Face" w:hAnsi="Baskerville Old Face"/>
          <w:i/>
          <w:iCs/>
        </w:rPr>
        <w:br/>
        <w:t>record evidence with discipline;</w:t>
      </w:r>
      <w:r w:rsidRPr="00B479AE">
        <w:rPr>
          <w:rFonts w:ascii="Baskerville Old Face" w:hAnsi="Baskerville Old Face"/>
          <w:i/>
          <w:iCs/>
        </w:rPr>
        <w:br/>
        <w:t>preserve provenance with rigor;</w:t>
      </w:r>
      <w:r w:rsidRPr="00B479AE">
        <w:rPr>
          <w:rFonts w:ascii="Baskerville Old Face" w:hAnsi="Baskerville Old Face"/>
          <w:i/>
          <w:iCs/>
        </w:rPr>
        <w:br/>
        <w:t>classify claims with precision;</w:t>
      </w:r>
      <w:r w:rsidRPr="00B479AE">
        <w:rPr>
          <w:rFonts w:ascii="Baskerville Old Face" w:hAnsi="Baskerville Old Face"/>
          <w:i/>
          <w:iCs/>
        </w:rPr>
        <w:br/>
        <w:t>admit value conservatively;</w:t>
      </w:r>
      <w:r w:rsidRPr="00B479AE">
        <w:rPr>
          <w:rFonts w:ascii="Baskerville Old Face" w:hAnsi="Baskerville Old Face"/>
          <w:i/>
          <w:iCs/>
        </w:rPr>
        <w:br/>
        <w:t>report boundaries transparently;</w:t>
      </w:r>
      <w:r w:rsidRPr="00B479AE">
        <w:rPr>
          <w:rFonts w:ascii="Baskerville Old Face" w:hAnsi="Baskerville Old Face"/>
          <w:i/>
          <w:iCs/>
        </w:rPr>
        <w:br/>
        <w:t>and keep financial meaning downstream from verified reality.</w:t>
      </w:r>
    </w:p>
    <w:p w14:paraId="7BD4FA54"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MRV is the bridge between life and capital.</w:t>
      </w:r>
    </w:p>
    <w:p w14:paraId="349462E0"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lastRenderedPageBreak/>
        <w:t>Its purpose is not to make life obey finance.</w:t>
      </w:r>
    </w:p>
    <w:p w14:paraId="3BA1F6AE" w14:textId="77777777" w:rsidR="00D92255" w:rsidRPr="00B479AE" w:rsidRDefault="00D92255" w:rsidP="00D92255">
      <w:pPr>
        <w:spacing w:line="360" w:lineRule="auto"/>
        <w:rPr>
          <w:rFonts w:ascii="Baskerville Old Face" w:hAnsi="Baskerville Old Face"/>
          <w:i/>
          <w:iCs/>
        </w:rPr>
      </w:pPr>
      <w:r w:rsidRPr="00B479AE">
        <w:rPr>
          <w:rFonts w:ascii="Baskerville Old Face" w:hAnsi="Baskerville Old Face"/>
          <w:i/>
          <w:iCs/>
        </w:rPr>
        <w:t>Its purpose is to make finance accountable to life.</w:t>
      </w:r>
    </w:p>
    <w:p w14:paraId="3EB6A569" w14:textId="48716987" w:rsidR="007D662E" w:rsidRPr="005907F1" w:rsidRDefault="007D662E" w:rsidP="005907F1">
      <w:pPr>
        <w:pStyle w:val="Titolo1"/>
        <w:rPr>
          <w:rFonts w:ascii="Baskerville Old Face" w:hAnsi="Baskerville Old Face"/>
          <w:b/>
          <w:bCs/>
          <w:i/>
          <w:iCs/>
          <w:sz w:val="24"/>
          <w:szCs w:val="24"/>
        </w:rPr>
      </w:pPr>
      <w:r w:rsidRPr="005907F1">
        <w:rPr>
          <w:rFonts w:ascii="Baskerville Old Face" w:hAnsi="Baskerville Old Face"/>
          <w:b/>
          <w:bCs/>
          <w:i/>
          <w:iCs/>
          <w:sz w:val="24"/>
          <w:szCs w:val="24"/>
        </w:rPr>
        <w:t>Appendix H: AI-Assisted Learning, Model Evaluation, and Review-Bound Improvement Framework</w:t>
      </w:r>
    </w:p>
    <w:p w14:paraId="7FF4785E" w14:textId="77777777" w:rsidR="007D662E" w:rsidRPr="00B479AE" w:rsidRDefault="007D662E" w:rsidP="007D662E">
      <w:pPr>
        <w:spacing w:line="360" w:lineRule="auto"/>
        <w:rPr>
          <w:rFonts w:ascii="Baskerville Old Face" w:hAnsi="Baskerville Old Face"/>
          <w:b/>
          <w:bCs/>
          <w:i/>
          <w:iCs/>
        </w:rPr>
      </w:pPr>
      <w:r w:rsidRPr="00B479AE">
        <w:rPr>
          <w:rFonts w:ascii="Baskerville Old Face" w:hAnsi="Baskerville Old Face"/>
          <w:b/>
          <w:bCs/>
          <w:i/>
          <w:iCs/>
        </w:rPr>
        <w:t>H.1 Purpose and boundary</w:t>
      </w:r>
    </w:p>
    <w:p w14:paraId="60BABC70"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Prometheus may use artificial intelligence to support research, drafting, classification, evidence analysis, risk detection, governance preparation, technical specification, MRV review, and operational learning.</w:t>
      </w:r>
    </w:p>
    <w:p w14:paraId="76DBEC20"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AI may help Prometheus learn.</w:t>
      </w:r>
    </w:p>
    <w:p w14:paraId="6DFE86DA"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AI may help Prometheus observe.</w:t>
      </w:r>
    </w:p>
    <w:p w14:paraId="58884384"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AI may help Prometheus compare.</w:t>
      </w:r>
    </w:p>
    <w:p w14:paraId="7E931590"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AI may help Prometheus classify.</w:t>
      </w:r>
    </w:p>
    <w:p w14:paraId="6BAF23C1"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AI may help Prometheus detect inconsistency.</w:t>
      </w:r>
    </w:p>
    <w:p w14:paraId="38FB996D"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AI may help Prometheus draft structured outputs.</w:t>
      </w:r>
    </w:p>
    <w:p w14:paraId="2739BD3F"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AI may help Prometheus improve its tools.</w:t>
      </w:r>
    </w:p>
    <w:p w14:paraId="6D1DDAC6"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However, AI-assisted learning must remain bounded by the source layer.</w:t>
      </w:r>
    </w:p>
    <w:p w14:paraId="27777E66" w14:textId="01DD5AF9"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The purpose of this appendix is to define how specialist agents, fine-tuned models, local models, evaluation pipelines, prompt systems, and learning loops may be developed without allowing model outputs to become sovereign authority.</w:t>
      </w:r>
      <w:r w:rsidR="00DF35AF" w:rsidRPr="00B479AE">
        <w:rPr>
          <w:rFonts w:ascii="Baskerville Old Face" w:hAnsi="Baskerville Old Face"/>
          <w:i/>
          <w:iCs/>
        </w:rPr>
        <w:t xml:space="preserve"> </w:t>
      </w:r>
      <w:r w:rsidRPr="00B479AE">
        <w:rPr>
          <w:rFonts w:ascii="Baskerville Old Face" w:hAnsi="Baskerville Old Face"/>
          <w:i/>
          <w:iCs/>
        </w:rPr>
        <w:t>The core rule is:</w:t>
      </w:r>
    </w:p>
    <w:p w14:paraId="2E38DA95"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AI may improve Prometheus’ capacity to reason, classify, summarize, and detect risk;</w:t>
      </w:r>
      <w:r w:rsidRPr="00B479AE">
        <w:rPr>
          <w:rFonts w:ascii="Baskerville Old Face" w:hAnsi="Baskerville Old Face"/>
          <w:i/>
          <w:iCs/>
        </w:rPr>
        <w:br/>
        <w:t>AI may not autonomously authorize protected-domain execution.</w:t>
      </w:r>
    </w:p>
    <w:p w14:paraId="56266390"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Protected domains include:</w:t>
      </w:r>
    </w:p>
    <w:p w14:paraId="19C67890" w14:textId="3513B986"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constitutional interpretation;</w:t>
      </w:r>
      <w:r w:rsidRPr="00B479AE">
        <w:rPr>
          <w:rFonts w:ascii="Baskerville Old Face" w:hAnsi="Baskerville Old Face"/>
          <w:i/>
          <w:iCs/>
        </w:rPr>
        <w:br/>
        <w:t>• Access Covenant modification;</w:t>
      </w:r>
      <w:r w:rsidRPr="00B479AE">
        <w:rPr>
          <w:rFonts w:ascii="Baskerville Old Face" w:hAnsi="Baskerville Old Face"/>
          <w:i/>
          <w:iCs/>
        </w:rPr>
        <w:br/>
        <w:t>• Eternity Clause preservation;</w:t>
      </w:r>
      <w:r w:rsidRPr="00B479AE">
        <w:rPr>
          <w:rFonts w:ascii="Baskerville Old Face" w:hAnsi="Baskerville Old Face"/>
          <w:i/>
          <w:iCs/>
        </w:rPr>
        <w:br/>
        <w:t>• MRV admissibility;</w:t>
      </w:r>
      <w:r w:rsidRPr="00B479AE">
        <w:rPr>
          <w:rFonts w:ascii="Baskerville Old Face" w:hAnsi="Baskerville Old Face"/>
          <w:i/>
          <w:iCs/>
        </w:rPr>
        <w:br/>
      </w:r>
      <w:r w:rsidRPr="00B479AE">
        <w:rPr>
          <w:rFonts w:ascii="Baskerville Old Face" w:hAnsi="Baskerville Old Face"/>
          <w:i/>
          <w:iCs/>
        </w:rPr>
        <w:lastRenderedPageBreak/>
        <w:t xml:space="preserve">• </w:t>
      </w:r>
      <w:r w:rsidR="00DE0C99" w:rsidRPr="00B479AE">
        <w:rPr>
          <w:rFonts w:ascii="Baskerville Old Face" w:hAnsi="Baskerville Old Face"/>
          <w:i/>
          <w:iCs/>
        </w:rPr>
        <w:t>PRU value analysis</w:t>
      </w:r>
      <w:r w:rsidRPr="00B479AE">
        <w:rPr>
          <w:rFonts w:ascii="Baskerville Old Face" w:hAnsi="Baskerville Old Face"/>
          <w:i/>
          <w:iCs/>
        </w:rPr>
        <w:t>;</w:t>
      </w:r>
      <w:r w:rsidRPr="00B479AE">
        <w:rPr>
          <w:rFonts w:ascii="Baskerville Old Face" w:hAnsi="Baskerville Old Face"/>
          <w:i/>
          <w:iCs/>
        </w:rPr>
        <w:br/>
        <w:t>• RAP inclusion;</w:t>
      </w:r>
      <w:r w:rsidRPr="00B479AE">
        <w:rPr>
          <w:rFonts w:ascii="Baskerville Old Face" w:hAnsi="Baskerville Old Face"/>
          <w:i/>
          <w:iCs/>
        </w:rPr>
        <w:br/>
        <w:t>• investor-facing communication;</w:t>
      </w:r>
      <w:r w:rsidRPr="00B479AE">
        <w:rPr>
          <w:rFonts w:ascii="Baskerville Old Face" w:hAnsi="Baskerville Old Face"/>
          <w:i/>
          <w:iCs/>
        </w:rPr>
        <w:br/>
        <w:t>• legal rights;</w:t>
      </w:r>
      <w:r w:rsidRPr="00B479AE">
        <w:rPr>
          <w:rFonts w:ascii="Baskerville Old Face" w:hAnsi="Baskerville Old Face"/>
          <w:i/>
          <w:iCs/>
        </w:rPr>
        <w:br/>
        <w:t>• token issuance or token rights;</w:t>
      </w:r>
      <w:r w:rsidRPr="00B479AE">
        <w:rPr>
          <w:rFonts w:ascii="Baskerville Old Face" w:hAnsi="Baskerville Old Face"/>
          <w:i/>
          <w:iCs/>
        </w:rPr>
        <w:br/>
        <w:t>• HSI human-state interpretation;</w:t>
      </w:r>
      <w:r w:rsidRPr="00B479AE">
        <w:rPr>
          <w:rFonts w:ascii="Baskerville Old Face" w:hAnsi="Baskerville Old Face"/>
          <w:i/>
          <w:iCs/>
        </w:rPr>
        <w:br/>
        <w:t>• governance authority;</w:t>
      </w:r>
      <w:r w:rsidRPr="00B479AE">
        <w:rPr>
          <w:rFonts w:ascii="Baskerville Old Face" w:hAnsi="Baskerville Old Face"/>
          <w:i/>
          <w:iCs/>
        </w:rPr>
        <w:br/>
        <w:t>• emergency controls;</w:t>
      </w:r>
      <w:r w:rsidRPr="00B479AE">
        <w:rPr>
          <w:rFonts w:ascii="Baskerville Old Face" w:hAnsi="Baskerville Old Face"/>
          <w:i/>
          <w:iCs/>
        </w:rPr>
        <w:br/>
        <w:t>• technical administration;</w:t>
      </w:r>
      <w:r w:rsidRPr="00B479AE">
        <w:rPr>
          <w:rFonts w:ascii="Baskerville Old Face" w:hAnsi="Baskerville Old Face"/>
          <w:i/>
          <w:iCs/>
        </w:rPr>
        <w:br/>
        <w:t>• data-room access;</w:t>
      </w:r>
      <w:r w:rsidRPr="00B479AE">
        <w:rPr>
          <w:rFonts w:ascii="Baskerville Old Face" w:hAnsi="Baskerville Old Face"/>
          <w:i/>
          <w:iCs/>
        </w:rPr>
        <w:br/>
        <w:t>• canonical releases;</w:t>
      </w:r>
      <w:r w:rsidRPr="00B479AE">
        <w:rPr>
          <w:rFonts w:ascii="Baskerville Old Face" w:hAnsi="Baskerville Old Face"/>
          <w:i/>
          <w:iCs/>
        </w:rPr>
        <w:br/>
        <w:t>• human continuity;</w:t>
      </w:r>
      <w:r w:rsidRPr="00B479AE">
        <w:rPr>
          <w:rFonts w:ascii="Baskerville Old Face" w:hAnsi="Baskerville Old Face"/>
          <w:i/>
          <w:iCs/>
        </w:rPr>
        <w:br/>
        <w:t>• species-level decisions;</w:t>
      </w:r>
      <w:r w:rsidRPr="00B479AE">
        <w:rPr>
          <w:rFonts w:ascii="Baskerville Old Face" w:hAnsi="Baskerville Old Face"/>
          <w:i/>
          <w:iCs/>
        </w:rPr>
        <w:br/>
        <w:t>• post-planetary continuity pathways.</w:t>
      </w:r>
    </w:p>
    <w:p w14:paraId="6E0BD958"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In these domains, AI outputs are assistive, classified, logged, reviewable, and subject to the applicable human, governance, legal, technical, MRV, or constitutional pathway.</w:t>
      </w:r>
    </w:p>
    <w:p w14:paraId="579DE52D"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Prometheus therefore uses AI as intelligence support, not institutional sovereignty.</w:t>
      </w:r>
    </w:p>
    <w:p w14:paraId="76FCA455"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 Assistance Boundary Function</w:t>
      </w:r>
    </w:p>
    <w:p w14:paraId="553936B5"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Prometheus may use artificial intelligence as an intelligence-support layer.</w:t>
      </w:r>
    </w:p>
    <w:p w14:paraId="0EF491E7"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 may assist research.</w:t>
      </w:r>
    </w:p>
    <w:p w14:paraId="578DFDB8"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 may assist evidence review.</w:t>
      </w:r>
    </w:p>
    <w:p w14:paraId="7D4B5B86"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 may assist semantic checking.</w:t>
      </w:r>
    </w:p>
    <w:p w14:paraId="4F032228"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 may assist MRV classification.</w:t>
      </w:r>
    </w:p>
    <w:p w14:paraId="464249BF"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 may assist governance preparation.</w:t>
      </w:r>
    </w:p>
    <w:p w14:paraId="78140FD5"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 may assist legal issue spotting.</w:t>
      </w:r>
    </w:p>
    <w:p w14:paraId="34B04A5A"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 may assist risk detection.</w:t>
      </w:r>
    </w:p>
    <w:p w14:paraId="6A212ECB"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 may assist continuity verification.</w:t>
      </w:r>
    </w:p>
    <w:p w14:paraId="160D0242"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lastRenderedPageBreak/>
        <w:t>AI may assist technical specification.</w:t>
      </w:r>
    </w:p>
    <w:p w14:paraId="0C1C4FA8" w14:textId="77777777" w:rsidR="00777D65" w:rsidRPr="005907F1" w:rsidRDefault="00777D65" w:rsidP="00777D65">
      <w:pPr>
        <w:spacing w:line="360" w:lineRule="auto"/>
        <w:rPr>
          <w:rFonts w:ascii="Baskerville Old Face" w:hAnsi="Baskerville Old Face"/>
          <w:i/>
          <w:iCs/>
          <w:lang w:val="it-IT"/>
        </w:rPr>
      </w:pPr>
      <w:r w:rsidRPr="005907F1">
        <w:rPr>
          <w:rFonts w:ascii="Baskerville Old Face" w:hAnsi="Baskerville Old Face"/>
          <w:i/>
          <w:iCs/>
          <w:lang w:val="it-IT"/>
        </w:rPr>
        <w:t>AI may assist scenario modeling.</w:t>
      </w:r>
    </w:p>
    <w:p w14:paraId="73253793" w14:textId="3BECB10E"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However, AI assistance must remain distinct from institutional authority.</w:t>
      </w:r>
      <w:r w:rsidR="00DF35AF" w:rsidRPr="00B479AE">
        <w:rPr>
          <w:rFonts w:ascii="Baskerville Old Face" w:hAnsi="Baskerville Old Face"/>
          <w:i/>
          <w:iCs/>
        </w:rPr>
        <w:t xml:space="preserve"> </w:t>
      </w:r>
      <w:r w:rsidRPr="00B479AE">
        <w:rPr>
          <w:rFonts w:ascii="Baskerville Old Face" w:hAnsi="Baskerville Old Face"/>
          <w:i/>
          <w:iCs/>
        </w:rPr>
        <w:t>The AI boundary may be expressed as:</w:t>
      </w:r>
    </w:p>
    <w:p w14:paraId="75D1EDFF"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AI_output ≠ Authority</w:t>
      </w:r>
    </w:p>
    <w:p w14:paraId="66A647B7" w14:textId="1719C37B"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 xml:space="preserve">This means that an AI-generated output is not, by itself, a governance decision, legal opinion, MRV determination, </w:t>
      </w:r>
      <w:r w:rsidR="00DE0C99" w:rsidRPr="00B479AE">
        <w:rPr>
          <w:rFonts w:ascii="Baskerville Old Face" w:hAnsi="Baskerville Old Face"/>
          <w:i/>
          <w:iCs/>
        </w:rPr>
        <w:t>PRU value analysis</w:t>
      </w:r>
      <w:r w:rsidRPr="00B479AE">
        <w:rPr>
          <w:rFonts w:ascii="Baskerville Old Face" w:hAnsi="Baskerville Old Face"/>
          <w:i/>
          <w:iCs/>
        </w:rPr>
        <w:t>, token authorization, investor approval, human assessment, or canonical interpretation.</w:t>
      </w:r>
      <w:r w:rsidR="00DF35AF" w:rsidRPr="00B479AE">
        <w:rPr>
          <w:rFonts w:ascii="Baskerville Old Face" w:hAnsi="Baskerville Old Face"/>
          <w:i/>
          <w:iCs/>
        </w:rPr>
        <w:t xml:space="preserve"> </w:t>
      </w:r>
      <w:r w:rsidRPr="00B479AE">
        <w:rPr>
          <w:rFonts w:ascii="Baskerville Old Face" w:hAnsi="Baskerville Old Face"/>
          <w:i/>
          <w:iCs/>
        </w:rPr>
        <w:t>A more complete formulation is:</w:t>
      </w:r>
    </w:p>
    <w:p w14:paraId="141A18BE"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Authority = f(Evidence, Methodology, Governance Review, Legal Review, Source Layer, Human Accountability)</w:t>
      </w:r>
    </w:p>
    <w:p w14:paraId="4833DBA8"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not:</w:t>
      </w:r>
    </w:p>
    <w:p w14:paraId="087EA370"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Authority = f(AI_output)</w:t>
      </w:r>
    </w:p>
    <w:p w14:paraId="7D50A646"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This distinction is structural.</w:t>
      </w:r>
    </w:p>
    <w:p w14:paraId="1A07BA2D"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 may generate a draft.</w:t>
      </w:r>
    </w:p>
    <w:p w14:paraId="357E15CF"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 may identify a risk.</w:t>
      </w:r>
    </w:p>
    <w:p w14:paraId="41176849"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 may compare documents.</w:t>
      </w:r>
    </w:p>
    <w:p w14:paraId="3A089A4D"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 may flag semantic drift.</w:t>
      </w:r>
    </w:p>
    <w:p w14:paraId="77145762"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 may detect inconsistency.</w:t>
      </w:r>
    </w:p>
    <w:p w14:paraId="62693B84"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 may propose a pathway.</w:t>
      </w:r>
    </w:p>
    <w:p w14:paraId="7A1D2CF6" w14:textId="77777777" w:rsidR="00777D65" w:rsidRPr="005907F1" w:rsidRDefault="00777D65" w:rsidP="00777D65">
      <w:pPr>
        <w:spacing w:line="360" w:lineRule="auto"/>
        <w:rPr>
          <w:rFonts w:ascii="Baskerville Old Face" w:hAnsi="Baskerville Old Face"/>
          <w:i/>
          <w:iCs/>
          <w:lang w:val="it-IT"/>
        </w:rPr>
      </w:pPr>
      <w:r w:rsidRPr="005907F1">
        <w:rPr>
          <w:rFonts w:ascii="Baskerville Old Face" w:hAnsi="Baskerville Old Face"/>
          <w:i/>
          <w:iCs/>
          <w:lang w:val="it-IT"/>
        </w:rPr>
        <w:t>AI may simulate a scenario.</w:t>
      </w:r>
    </w:p>
    <w:p w14:paraId="4C52DCCA"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 may classify evidence for review.</w:t>
      </w:r>
    </w:p>
    <w:p w14:paraId="21ED224D"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But protected-domain authority requires the relevant review pathway.</w:t>
      </w:r>
    </w:p>
    <w:p w14:paraId="2149B38C"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Protected domains include:</w:t>
      </w:r>
    </w:p>
    <w:p w14:paraId="2379D7F4" w14:textId="78483CE8"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lastRenderedPageBreak/>
        <w:t>constitutional interpretation;</w:t>
      </w:r>
      <w:r w:rsidRPr="00B479AE">
        <w:rPr>
          <w:rFonts w:ascii="Baskerville Old Face" w:hAnsi="Baskerville Old Face"/>
          <w:i/>
          <w:iCs/>
        </w:rPr>
        <w:br/>
        <w:t>source-layer fidelity;</w:t>
      </w:r>
      <w:r w:rsidRPr="00B479AE">
        <w:rPr>
          <w:rFonts w:ascii="Baskerville Old Face" w:hAnsi="Baskerville Old Face"/>
          <w:i/>
          <w:iCs/>
        </w:rPr>
        <w:br/>
        <w:t>Eternity Clauses;</w:t>
      </w:r>
      <w:r w:rsidRPr="00B479AE">
        <w:rPr>
          <w:rFonts w:ascii="Baskerville Old Face" w:hAnsi="Baskerville Old Face"/>
          <w:i/>
          <w:iCs/>
        </w:rPr>
        <w:br/>
        <w:t>Access Covenant;</w:t>
      </w:r>
      <w:r w:rsidRPr="00B479AE">
        <w:rPr>
          <w:rFonts w:ascii="Baskerville Old Face" w:hAnsi="Baskerville Old Face"/>
          <w:i/>
          <w:iCs/>
        </w:rPr>
        <w:br/>
        <w:t>canonical glossary;</w:t>
      </w:r>
      <w:r w:rsidRPr="00B479AE">
        <w:rPr>
          <w:rFonts w:ascii="Baskerville Old Face" w:hAnsi="Baskerville Old Face"/>
          <w:i/>
          <w:iCs/>
        </w:rPr>
        <w:br/>
        <w:t>MRV admissibility;</w:t>
      </w:r>
      <w:r w:rsidRPr="00B479AE">
        <w:rPr>
          <w:rFonts w:ascii="Baskerville Old Face" w:hAnsi="Baskerville Old Face"/>
          <w:i/>
          <w:iCs/>
        </w:rPr>
        <w:br/>
      </w:r>
      <w:r w:rsidR="00BE5BB7" w:rsidRPr="00B479AE">
        <w:rPr>
          <w:rFonts w:ascii="Baskerville Old Face" w:hAnsi="Baskerville Old Face"/>
          <w:i/>
          <w:iCs/>
        </w:rPr>
        <w:t>PRU value analysis</w:t>
      </w:r>
      <w:r w:rsidRPr="00B479AE">
        <w:rPr>
          <w:rFonts w:ascii="Baskerville Old Face" w:hAnsi="Baskerville Old Face"/>
          <w:i/>
          <w:iCs/>
        </w:rPr>
        <w:t>;</w:t>
      </w:r>
      <w:r w:rsidRPr="00B479AE">
        <w:rPr>
          <w:rFonts w:ascii="Baskerville Old Face" w:hAnsi="Baskerville Old Face"/>
          <w:i/>
          <w:iCs/>
        </w:rPr>
        <w:br/>
        <w:t>RAP inclusion;</w:t>
      </w:r>
      <w:r w:rsidRPr="00B479AE">
        <w:rPr>
          <w:rFonts w:ascii="Baskerville Old Face" w:hAnsi="Baskerville Old Face"/>
          <w:i/>
          <w:iCs/>
        </w:rPr>
        <w:br/>
        <w:t>legal rights;</w:t>
      </w:r>
      <w:r w:rsidRPr="00B479AE">
        <w:rPr>
          <w:rFonts w:ascii="Baskerville Old Face" w:hAnsi="Baskerville Old Face"/>
          <w:i/>
          <w:iCs/>
        </w:rPr>
        <w:br/>
        <w:t>investor-facing materials;</w:t>
      </w:r>
      <w:r w:rsidRPr="00B479AE">
        <w:rPr>
          <w:rFonts w:ascii="Baskerville Old Face" w:hAnsi="Baskerville Old Face"/>
          <w:i/>
          <w:iCs/>
        </w:rPr>
        <w:br/>
        <w:t>token issuance or token rights;</w:t>
      </w:r>
      <w:r w:rsidRPr="00B479AE">
        <w:rPr>
          <w:rFonts w:ascii="Baskerville Old Face" w:hAnsi="Baskerville Old Face"/>
          <w:i/>
          <w:iCs/>
        </w:rPr>
        <w:br/>
        <w:t>governance authority;</w:t>
      </w:r>
      <w:r w:rsidRPr="00B479AE">
        <w:rPr>
          <w:rFonts w:ascii="Baskerville Old Face" w:hAnsi="Baskerville Old Face"/>
          <w:i/>
          <w:iCs/>
        </w:rPr>
        <w:br/>
        <w:t>HSI interpretation;</w:t>
      </w:r>
      <w:r w:rsidRPr="00B479AE">
        <w:rPr>
          <w:rFonts w:ascii="Baskerville Old Face" w:hAnsi="Baskerville Old Face"/>
          <w:i/>
          <w:iCs/>
        </w:rPr>
        <w:br/>
        <w:t>human dignity;</w:t>
      </w:r>
      <w:r w:rsidRPr="00B479AE">
        <w:rPr>
          <w:rFonts w:ascii="Baskerville Old Face" w:hAnsi="Baskerville Old Face"/>
          <w:i/>
          <w:iCs/>
        </w:rPr>
        <w:br/>
        <w:t>data-room access;</w:t>
      </w:r>
      <w:r w:rsidRPr="00B479AE">
        <w:rPr>
          <w:rFonts w:ascii="Baskerville Old Face" w:hAnsi="Baskerville Old Face"/>
          <w:i/>
          <w:iCs/>
        </w:rPr>
        <w:br/>
        <w:t>canonical releases;</w:t>
      </w:r>
      <w:r w:rsidRPr="00B479AE">
        <w:rPr>
          <w:rFonts w:ascii="Baskerville Old Face" w:hAnsi="Baskerville Old Face"/>
          <w:i/>
          <w:iCs/>
        </w:rPr>
        <w:br/>
        <w:t>fork classification;</w:t>
      </w:r>
      <w:r w:rsidRPr="00B479AE">
        <w:rPr>
          <w:rFonts w:ascii="Baskerville Old Face" w:hAnsi="Baskerville Old Face"/>
          <w:i/>
          <w:iCs/>
        </w:rPr>
        <w:br/>
        <w:t>continuity recovery;</w:t>
      </w:r>
      <w:r w:rsidRPr="00B479AE">
        <w:rPr>
          <w:rFonts w:ascii="Baskerville Old Face" w:hAnsi="Baskerville Old Face"/>
          <w:i/>
          <w:iCs/>
        </w:rPr>
        <w:br/>
        <w:t>post-planetary survival pathways.</w:t>
      </w:r>
    </w:p>
    <w:p w14:paraId="145E7A2B"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The operational AI pathway is:</w:t>
      </w:r>
    </w:p>
    <w:p w14:paraId="078184E3"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 xml:space="preserve">AI output </w:t>
      </w:r>
      <w:r w:rsidRPr="00B479AE">
        <w:rPr>
          <w:rFonts w:ascii="Times New Roman" w:hAnsi="Times New Roman" w:cs="Times New Roman"/>
          <w:i/>
          <w:iCs/>
        </w:rPr>
        <w:t>→</w:t>
      </w:r>
      <w:r w:rsidRPr="00B479AE">
        <w:rPr>
          <w:rFonts w:ascii="Baskerville Old Face" w:hAnsi="Baskerville Old Face"/>
          <w:i/>
          <w:iCs/>
        </w:rPr>
        <w:t xml:space="preserve"> classification </w:t>
      </w:r>
      <w:r w:rsidRPr="00B479AE">
        <w:rPr>
          <w:rFonts w:ascii="Times New Roman" w:hAnsi="Times New Roman" w:cs="Times New Roman"/>
          <w:i/>
          <w:iCs/>
        </w:rPr>
        <w:t>→</w:t>
      </w:r>
      <w:r w:rsidRPr="00B479AE">
        <w:rPr>
          <w:rFonts w:ascii="Baskerville Old Face" w:hAnsi="Baskerville Old Face"/>
          <w:i/>
          <w:iCs/>
        </w:rPr>
        <w:t xml:space="preserve"> source check </w:t>
      </w:r>
      <w:r w:rsidRPr="00B479AE">
        <w:rPr>
          <w:rFonts w:ascii="Times New Roman" w:hAnsi="Times New Roman" w:cs="Times New Roman"/>
          <w:i/>
          <w:iCs/>
        </w:rPr>
        <w:t>→</w:t>
      </w:r>
      <w:r w:rsidRPr="00B479AE">
        <w:rPr>
          <w:rFonts w:ascii="Baskerville Old Face" w:hAnsi="Baskerville Old Face"/>
          <w:i/>
          <w:iCs/>
        </w:rPr>
        <w:t xml:space="preserve"> risk check </w:t>
      </w:r>
      <w:r w:rsidRPr="00B479AE">
        <w:rPr>
          <w:rFonts w:ascii="Times New Roman" w:hAnsi="Times New Roman" w:cs="Times New Roman"/>
          <w:i/>
          <w:iCs/>
        </w:rPr>
        <w:t>→</w:t>
      </w:r>
      <w:r w:rsidRPr="00B479AE">
        <w:rPr>
          <w:rFonts w:ascii="Baskerville Old Face" w:hAnsi="Baskerville Old Face"/>
          <w:i/>
          <w:iCs/>
        </w:rPr>
        <w:t xml:space="preserve"> protected-domain check </w:t>
      </w:r>
      <w:r w:rsidRPr="00B479AE">
        <w:rPr>
          <w:rFonts w:ascii="Times New Roman" w:hAnsi="Times New Roman" w:cs="Times New Roman"/>
          <w:i/>
          <w:iCs/>
        </w:rPr>
        <w:t>→</w:t>
      </w:r>
      <w:r w:rsidRPr="00B479AE">
        <w:rPr>
          <w:rFonts w:ascii="Baskerville Old Face" w:hAnsi="Baskerville Old Face"/>
          <w:i/>
          <w:iCs/>
        </w:rPr>
        <w:t xml:space="preserve"> review pathway </w:t>
      </w:r>
      <w:r w:rsidRPr="00B479AE">
        <w:rPr>
          <w:rFonts w:ascii="Times New Roman" w:hAnsi="Times New Roman" w:cs="Times New Roman"/>
          <w:i/>
          <w:iCs/>
        </w:rPr>
        <w:t>→</w:t>
      </w:r>
      <w:r w:rsidRPr="00B479AE">
        <w:rPr>
          <w:rFonts w:ascii="Baskerville Old Face" w:hAnsi="Baskerville Old Face"/>
          <w:i/>
          <w:iCs/>
        </w:rPr>
        <w:t xml:space="preserve"> authorization where required</w:t>
      </w:r>
    </w:p>
    <w:p w14:paraId="0ED3B3F6"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This sequence prevents machine intelligence from becoming institutional sovereignty.</w:t>
      </w:r>
    </w:p>
    <w:p w14:paraId="6AABA062"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An AI system may be more capable than human operators in pattern recognition, memory, speed, synthesis, or simulation.</w:t>
      </w:r>
    </w:p>
    <w:p w14:paraId="5534BC65"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That does not make it constitutionally sovereign.</w:t>
      </w:r>
    </w:p>
    <w:p w14:paraId="632C6500"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Capacity is not legitimacy.</w:t>
      </w:r>
    </w:p>
    <w:p w14:paraId="392BA9EF"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The legitimacy of Prometheus arises from source-layer fidelity, evidence, governance, law, and human dignity.</w:t>
      </w:r>
    </w:p>
    <w:p w14:paraId="5B23161B"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lastRenderedPageBreak/>
        <w:t>The AI assistance function may therefore be expressed as:</w:t>
      </w:r>
    </w:p>
    <w:p w14:paraId="6C13F34E"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AI_assist = Analyze + Draft + Detect + Compare + Simulate + Recommend</w:t>
      </w:r>
    </w:p>
    <w:p w14:paraId="5469EDF2"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while:</w:t>
      </w:r>
    </w:p>
    <w:p w14:paraId="7EDA4B6E"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Protected_execution = Review + Authorization + Accountability + Record</w:t>
      </w:r>
    </w:p>
    <w:p w14:paraId="178CB818"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Prometheus may use AI deeply.</w:t>
      </w:r>
    </w:p>
    <w:p w14:paraId="0C7F3163"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It may use AI to improve clarity.</w:t>
      </w:r>
    </w:p>
    <w:p w14:paraId="06964D14"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It may use AI to protect against overclaiming.</w:t>
      </w:r>
    </w:p>
    <w:p w14:paraId="4F17AEE3"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It may use AI to detect contradictions.</w:t>
      </w:r>
    </w:p>
    <w:p w14:paraId="5A9D2443"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It may use AI to support continuity.</w:t>
      </w:r>
    </w:p>
    <w:p w14:paraId="59850A76"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It may use AI to defend the source layer against hostile semantic drift.</w:t>
      </w:r>
    </w:p>
    <w:p w14:paraId="5FEF2ED3"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But AI does not become the source layer.</w:t>
      </w:r>
    </w:p>
    <w:p w14:paraId="75E44C4F"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 does not become the constitution.</w:t>
      </w:r>
    </w:p>
    <w:p w14:paraId="525075F9"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 does not become the judge of human worth.</w:t>
      </w:r>
    </w:p>
    <w:p w14:paraId="73CAB449"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 does not become the issuer of value.</w:t>
      </w:r>
    </w:p>
    <w:p w14:paraId="427344C3"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 does not become the owner of Prometheus lineage.</w:t>
      </w:r>
    </w:p>
    <w:p w14:paraId="5B21CA93"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The boundary rule is:</w:t>
      </w:r>
    </w:p>
    <w:p w14:paraId="3A654C29" w14:textId="46D12BFE"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 may assist Prometheus;</w:t>
      </w:r>
      <w:r w:rsidR="0039233A" w:rsidRPr="00B479AE">
        <w:rPr>
          <w:rFonts w:ascii="Baskerville Old Face" w:hAnsi="Baskerville Old Face"/>
          <w:i/>
          <w:iCs/>
        </w:rPr>
        <w:t xml:space="preserve"> </w:t>
      </w:r>
      <w:r w:rsidRPr="00B479AE">
        <w:rPr>
          <w:rFonts w:ascii="Baskerville Old Face" w:hAnsi="Baskerville Old Face"/>
          <w:i/>
          <w:iCs/>
        </w:rPr>
        <w:t>AI may not become Prometheus.</w:t>
      </w:r>
    </w:p>
    <w:p w14:paraId="5B2783CE"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This remains true for narrow AI, advanced AI, AGI, ASI, autonomous agents, future machine collectives, or post-human computational systems.</w:t>
      </w:r>
    </w:p>
    <w:p w14:paraId="15F8578C"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Even if a future superintelligence can copy the entire text, optimize every model, simulate every scenario, and generate every possible governance argument, it cannot inherit Prometheus authority by computation alone.</w:t>
      </w:r>
    </w:p>
    <w:p w14:paraId="734343F0"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The source layer remains the root.</w:t>
      </w:r>
    </w:p>
    <w:p w14:paraId="76924339"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lastRenderedPageBreak/>
        <w:t>Evidence remains the path.</w:t>
      </w:r>
    </w:p>
    <w:p w14:paraId="6429D76B"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Governance remains the authorization layer.</w:t>
      </w:r>
    </w:p>
    <w:p w14:paraId="343A0B7F"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Law remains the enforceability layer.</w:t>
      </w:r>
    </w:p>
    <w:p w14:paraId="31D7E8FF"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Human dignity remains the floor.</w:t>
      </w:r>
    </w:p>
    <w:p w14:paraId="43123AA8"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Life remains the purpose.</w:t>
      </w:r>
    </w:p>
    <w:p w14:paraId="7E1B762D" w14:textId="77777777" w:rsidR="00777D65" w:rsidRPr="00B479AE" w:rsidRDefault="00777D65" w:rsidP="00777D65">
      <w:pPr>
        <w:spacing w:line="360" w:lineRule="auto"/>
        <w:rPr>
          <w:rFonts w:ascii="Baskerville Old Face" w:hAnsi="Baskerville Old Face"/>
          <w:b/>
          <w:bCs/>
          <w:i/>
          <w:iCs/>
        </w:rPr>
      </w:pPr>
      <w:r w:rsidRPr="00B479AE">
        <w:rPr>
          <w:rFonts w:ascii="Baskerville Old Face" w:hAnsi="Baskerville Old Face"/>
          <w:b/>
          <w:bCs/>
          <w:i/>
          <w:iCs/>
        </w:rPr>
        <w:t>Formula boundary</w:t>
      </w:r>
    </w:p>
    <w:p w14:paraId="7E919547"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AI_output, AI_assist, and Protected_execution are constitutional and methodological boundary expressions.</w:t>
      </w:r>
    </w:p>
    <w:p w14:paraId="3218CB97"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They do not create automatic governance decisions, legal enforceability, technical permissions, AI liability allocation, or institutional authority by themselves.</w:t>
      </w:r>
    </w:p>
    <w:p w14:paraId="7C473100"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They define the internal Prometheus rule for separating machine assistance from protected-domain authorization.</w:t>
      </w:r>
    </w:p>
    <w:p w14:paraId="522FC256"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Formal consequences require the relevant governance, legal, technical, MRV, ethical, or constitutional review pathway.</w:t>
      </w:r>
    </w:p>
    <w:p w14:paraId="4FCBD44C" w14:textId="23F7AED2" w:rsidR="00777D65" w:rsidRPr="00B479AE" w:rsidRDefault="00777D65" w:rsidP="00777D65">
      <w:pPr>
        <w:spacing w:line="360" w:lineRule="auto"/>
        <w:rPr>
          <w:rFonts w:ascii="Baskerville Old Face" w:hAnsi="Baskerville Old Face"/>
          <w:b/>
          <w:bCs/>
          <w:i/>
          <w:iCs/>
        </w:rPr>
      </w:pPr>
      <w:r w:rsidRPr="00B479AE">
        <w:rPr>
          <w:rFonts w:ascii="Baskerville Old Face" w:hAnsi="Baskerville Old Face"/>
          <w:b/>
          <w:bCs/>
          <w:i/>
          <w:iCs/>
        </w:rPr>
        <w:t>Operational rule</w:t>
      </w:r>
    </w:p>
    <w:p w14:paraId="599C43FF"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The operational rule is:</w:t>
      </w:r>
    </w:p>
    <w:p w14:paraId="5AE9660D" w14:textId="6B4E2F54"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machine intelligence may increase capacity;</w:t>
      </w:r>
      <w:r w:rsidR="0039233A" w:rsidRPr="00B479AE">
        <w:rPr>
          <w:rFonts w:ascii="Baskerville Old Face" w:hAnsi="Baskerville Old Face"/>
          <w:i/>
          <w:iCs/>
        </w:rPr>
        <w:t xml:space="preserve"> </w:t>
      </w:r>
      <w:r w:rsidRPr="00B479AE">
        <w:rPr>
          <w:rFonts w:ascii="Baskerville Old Face" w:hAnsi="Baskerville Old Face"/>
          <w:i/>
          <w:iCs/>
        </w:rPr>
        <w:t>it may not replace legitimacy.</w:t>
      </w:r>
    </w:p>
    <w:p w14:paraId="46FCE773"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Prometheus may be assisted by intelligence beyond human scale.</w:t>
      </w:r>
    </w:p>
    <w:p w14:paraId="6F4801BD" w14:textId="77777777" w:rsidR="00777D65" w:rsidRPr="00B479AE" w:rsidRDefault="00777D65" w:rsidP="00777D65">
      <w:pPr>
        <w:spacing w:line="360" w:lineRule="auto"/>
        <w:rPr>
          <w:rFonts w:ascii="Baskerville Old Face" w:hAnsi="Baskerville Old Face"/>
          <w:i/>
          <w:iCs/>
        </w:rPr>
      </w:pPr>
      <w:r w:rsidRPr="00B479AE">
        <w:rPr>
          <w:rFonts w:ascii="Baskerville Old Face" w:hAnsi="Baskerville Old Face"/>
          <w:i/>
          <w:iCs/>
        </w:rPr>
        <w:t>It may not surrender its source layer to it.</w:t>
      </w:r>
    </w:p>
    <w:p w14:paraId="1319791C"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H.2 Specialist agents as bounded support functions</w:t>
      </w:r>
    </w:p>
    <w:p w14:paraId="5347EEE1"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Prometheus may use specialist agents for bounded operational functions.</w:t>
      </w:r>
    </w:p>
    <w:p w14:paraId="09A40110"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Possible agent families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8"/>
        <w:gridCol w:w="4353"/>
        <w:gridCol w:w="3547"/>
      </w:tblGrid>
      <w:tr w:rsidR="007D662E" w:rsidRPr="00B479AE" w14:paraId="5A27992A" w14:textId="77777777" w:rsidTr="007D662E">
        <w:trPr>
          <w:tblHeader/>
          <w:tblCellSpacing w:w="15" w:type="dxa"/>
        </w:trPr>
        <w:tc>
          <w:tcPr>
            <w:tcW w:w="0" w:type="auto"/>
            <w:vAlign w:val="center"/>
            <w:hideMark/>
          </w:tcPr>
          <w:p w14:paraId="73C975B0" w14:textId="77777777" w:rsidR="007D662E" w:rsidRPr="00B479AE" w:rsidRDefault="007D662E" w:rsidP="007D662E">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Agent type</w:t>
            </w:r>
          </w:p>
        </w:tc>
        <w:tc>
          <w:tcPr>
            <w:tcW w:w="0" w:type="auto"/>
            <w:vAlign w:val="center"/>
            <w:hideMark/>
          </w:tcPr>
          <w:p w14:paraId="12B4C798" w14:textId="77777777" w:rsidR="007D662E" w:rsidRPr="00B479AE" w:rsidRDefault="007D662E" w:rsidP="007D662E">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Permitted function</w:t>
            </w:r>
          </w:p>
        </w:tc>
        <w:tc>
          <w:tcPr>
            <w:tcW w:w="0" w:type="auto"/>
            <w:vAlign w:val="center"/>
            <w:hideMark/>
          </w:tcPr>
          <w:p w14:paraId="3C59C000" w14:textId="77777777" w:rsidR="007D662E" w:rsidRPr="00B479AE" w:rsidRDefault="007D662E" w:rsidP="007D662E">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Authority boundary</w:t>
            </w:r>
          </w:p>
        </w:tc>
      </w:tr>
      <w:tr w:rsidR="007D662E" w:rsidRPr="00B479AE" w14:paraId="3C46D5FB" w14:textId="77777777" w:rsidTr="007D662E">
        <w:trPr>
          <w:tblCellSpacing w:w="15" w:type="dxa"/>
        </w:trPr>
        <w:tc>
          <w:tcPr>
            <w:tcW w:w="0" w:type="auto"/>
            <w:vAlign w:val="center"/>
            <w:hideMark/>
          </w:tcPr>
          <w:p w14:paraId="3C2BBFF1"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MRV analysis agent</w:t>
            </w:r>
          </w:p>
        </w:tc>
        <w:tc>
          <w:tcPr>
            <w:tcW w:w="0" w:type="auto"/>
            <w:vAlign w:val="center"/>
            <w:hideMark/>
          </w:tcPr>
          <w:p w14:paraId="756F58AA"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Helps classify evidence, detect anomalies, compare indicators, and draft MRV notes.</w:t>
            </w:r>
          </w:p>
        </w:tc>
        <w:tc>
          <w:tcPr>
            <w:tcW w:w="0" w:type="auto"/>
            <w:vAlign w:val="center"/>
            <w:hideMark/>
          </w:tcPr>
          <w:p w14:paraId="4BA962F9"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Cannot declare MRV admissibility or PRU eligibility without review.</w:t>
            </w:r>
          </w:p>
        </w:tc>
      </w:tr>
      <w:tr w:rsidR="007D662E" w:rsidRPr="00B479AE" w14:paraId="3ADBAFD5" w14:textId="77777777" w:rsidTr="007D662E">
        <w:trPr>
          <w:tblCellSpacing w:w="15" w:type="dxa"/>
        </w:trPr>
        <w:tc>
          <w:tcPr>
            <w:tcW w:w="0" w:type="auto"/>
            <w:vAlign w:val="center"/>
            <w:hideMark/>
          </w:tcPr>
          <w:p w14:paraId="048BCAC4"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Governance drafting agent</w:t>
            </w:r>
          </w:p>
        </w:tc>
        <w:tc>
          <w:tcPr>
            <w:tcW w:w="0" w:type="auto"/>
            <w:vAlign w:val="center"/>
            <w:hideMark/>
          </w:tcPr>
          <w:p w14:paraId="01EE66BF"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Drafts agendas, minutes, issue maps, consent proposals, and decision memos.</w:t>
            </w:r>
          </w:p>
        </w:tc>
        <w:tc>
          <w:tcPr>
            <w:tcW w:w="0" w:type="auto"/>
            <w:vAlign w:val="center"/>
            <w:hideMark/>
          </w:tcPr>
          <w:p w14:paraId="31E860F0"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Cannot make governance decisions.</w:t>
            </w:r>
          </w:p>
        </w:tc>
      </w:tr>
      <w:tr w:rsidR="007D662E" w:rsidRPr="00B479AE" w14:paraId="68C05EC1" w14:textId="77777777" w:rsidTr="007D662E">
        <w:trPr>
          <w:tblCellSpacing w:w="15" w:type="dxa"/>
        </w:trPr>
        <w:tc>
          <w:tcPr>
            <w:tcW w:w="0" w:type="auto"/>
            <w:vAlign w:val="center"/>
            <w:hideMark/>
          </w:tcPr>
          <w:p w14:paraId="18F5444A"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Legal issue-spotting agent</w:t>
            </w:r>
          </w:p>
        </w:tc>
        <w:tc>
          <w:tcPr>
            <w:tcW w:w="0" w:type="auto"/>
            <w:vAlign w:val="center"/>
            <w:hideMark/>
          </w:tcPr>
          <w:p w14:paraId="1449906B"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Flags legal-risk areas, contract issues, securities concerns, data rights, and jurisdictional questions.</w:t>
            </w:r>
          </w:p>
        </w:tc>
        <w:tc>
          <w:tcPr>
            <w:tcW w:w="0" w:type="auto"/>
            <w:vAlign w:val="center"/>
            <w:hideMark/>
          </w:tcPr>
          <w:p w14:paraId="653621ED"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Cannot provide final legal authority or bind Prometheus.</w:t>
            </w:r>
          </w:p>
        </w:tc>
      </w:tr>
      <w:tr w:rsidR="007D662E" w:rsidRPr="00B479AE" w14:paraId="32000475" w14:textId="77777777" w:rsidTr="007D662E">
        <w:trPr>
          <w:tblCellSpacing w:w="15" w:type="dxa"/>
        </w:trPr>
        <w:tc>
          <w:tcPr>
            <w:tcW w:w="0" w:type="auto"/>
            <w:vAlign w:val="center"/>
            <w:hideMark/>
          </w:tcPr>
          <w:p w14:paraId="37001444"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Technical specification agent</w:t>
            </w:r>
          </w:p>
        </w:tc>
        <w:tc>
          <w:tcPr>
            <w:tcW w:w="0" w:type="auto"/>
            <w:vAlign w:val="center"/>
            <w:hideMark/>
          </w:tcPr>
          <w:p w14:paraId="19163BBD"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Drafts schemas, API notes, policy-engine rules, test cases, and implementation tickets.</w:t>
            </w:r>
          </w:p>
        </w:tc>
        <w:tc>
          <w:tcPr>
            <w:tcW w:w="0" w:type="auto"/>
            <w:vAlign w:val="center"/>
            <w:hideMark/>
          </w:tcPr>
          <w:p w14:paraId="04FE7CA2"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Cannot deploy protected code without review.</w:t>
            </w:r>
          </w:p>
        </w:tc>
      </w:tr>
      <w:tr w:rsidR="007D662E" w:rsidRPr="00B479AE" w14:paraId="23B03D0E" w14:textId="77777777" w:rsidTr="007D662E">
        <w:trPr>
          <w:tblCellSpacing w:w="15" w:type="dxa"/>
        </w:trPr>
        <w:tc>
          <w:tcPr>
            <w:tcW w:w="0" w:type="auto"/>
            <w:vAlign w:val="center"/>
            <w:hideMark/>
          </w:tcPr>
          <w:p w14:paraId="45B7B96C"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Risk-signaling agent</w:t>
            </w:r>
          </w:p>
        </w:tc>
        <w:tc>
          <w:tcPr>
            <w:tcW w:w="0" w:type="auto"/>
            <w:vAlign w:val="center"/>
            <w:hideMark/>
          </w:tcPr>
          <w:p w14:paraId="34513190"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Detects drift, overclaiming, semantic ambiguity, capture risk, and protected-domain escalation triggers.</w:t>
            </w:r>
          </w:p>
        </w:tc>
        <w:tc>
          <w:tcPr>
            <w:tcW w:w="0" w:type="auto"/>
            <w:vAlign w:val="center"/>
            <w:hideMark/>
          </w:tcPr>
          <w:p w14:paraId="29E7262C"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Produces risk flags, not final determinations.</w:t>
            </w:r>
          </w:p>
        </w:tc>
      </w:tr>
      <w:tr w:rsidR="007D662E" w:rsidRPr="00B479AE" w14:paraId="63872E4E" w14:textId="77777777" w:rsidTr="007D662E">
        <w:trPr>
          <w:tblCellSpacing w:w="15" w:type="dxa"/>
        </w:trPr>
        <w:tc>
          <w:tcPr>
            <w:tcW w:w="0" w:type="auto"/>
            <w:vAlign w:val="center"/>
            <w:hideMark/>
          </w:tcPr>
          <w:p w14:paraId="3B22F81C"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Investor-discipline agent</w:t>
            </w:r>
          </w:p>
        </w:tc>
        <w:tc>
          <w:tcPr>
            <w:tcW w:w="0" w:type="auto"/>
            <w:vAlign w:val="center"/>
            <w:hideMark/>
          </w:tcPr>
          <w:p w14:paraId="47952296"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Reviews language for financial overclaiming, PRU/RAP misuse, token confusion, and disclosure gaps.</w:t>
            </w:r>
          </w:p>
        </w:tc>
        <w:tc>
          <w:tcPr>
            <w:tcW w:w="0" w:type="auto"/>
            <w:vAlign w:val="center"/>
            <w:hideMark/>
          </w:tcPr>
          <w:p w14:paraId="3F5CBB38"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Cannot approve investor-facing materials without legal and governance review.</w:t>
            </w:r>
          </w:p>
        </w:tc>
      </w:tr>
      <w:tr w:rsidR="007D662E" w:rsidRPr="00B479AE" w14:paraId="4DAAB99A" w14:textId="77777777" w:rsidTr="007D662E">
        <w:trPr>
          <w:tblCellSpacing w:w="15" w:type="dxa"/>
        </w:trPr>
        <w:tc>
          <w:tcPr>
            <w:tcW w:w="0" w:type="auto"/>
            <w:vAlign w:val="center"/>
            <w:hideMark/>
          </w:tcPr>
          <w:p w14:paraId="540853CE"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Semantic firewall agent</w:t>
            </w:r>
          </w:p>
        </w:tc>
        <w:tc>
          <w:tcPr>
            <w:tcW w:w="0" w:type="auto"/>
            <w:vAlign w:val="center"/>
            <w:hideMark/>
          </w:tcPr>
          <w:p w14:paraId="5E83EE22"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Checks use of canonical terms against the canonical glossary.</w:t>
            </w:r>
          </w:p>
        </w:tc>
        <w:tc>
          <w:tcPr>
            <w:tcW w:w="0" w:type="auto"/>
            <w:vAlign w:val="center"/>
            <w:hideMark/>
          </w:tcPr>
          <w:p w14:paraId="06538890"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Cannot redefine canonical terms.</w:t>
            </w:r>
          </w:p>
        </w:tc>
      </w:tr>
      <w:tr w:rsidR="007D662E" w:rsidRPr="00B479AE" w14:paraId="67F64DF3" w14:textId="77777777" w:rsidTr="007D662E">
        <w:trPr>
          <w:tblCellSpacing w:w="15" w:type="dxa"/>
        </w:trPr>
        <w:tc>
          <w:tcPr>
            <w:tcW w:w="0" w:type="auto"/>
            <w:vAlign w:val="center"/>
            <w:hideMark/>
          </w:tcPr>
          <w:p w14:paraId="299F391D"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Continuity verification agent</w:t>
            </w:r>
          </w:p>
        </w:tc>
        <w:tc>
          <w:tcPr>
            <w:tcW w:w="0" w:type="auto"/>
            <w:vAlign w:val="center"/>
            <w:hideMark/>
          </w:tcPr>
          <w:p w14:paraId="5C5EE427"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Assists with release manifests, checksums, signatures, repository mirrors, and archive records.</w:t>
            </w:r>
          </w:p>
        </w:tc>
        <w:tc>
          <w:tcPr>
            <w:tcW w:w="0" w:type="auto"/>
            <w:vAlign w:val="center"/>
            <w:hideMark/>
          </w:tcPr>
          <w:p w14:paraId="3F63851C"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Cannot create canonical release authority by itself.</w:t>
            </w:r>
          </w:p>
        </w:tc>
      </w:tr>
    </w:tbl>
    <w:p w14:paraId="6F1947C1"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Each agent should be defined by:</w:t>
      </w:r>
    </w:p>
    <w:p w14:paraId="37E2A735"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role;</w:t>
      </w:r>
      <w:r w:rsidRPr="00B479AE">
        <w:rPr>
          <w:rFonts w:ascii="Baskerville Old Face" w:hAnsi="Baskerville Old Face"/>
          <w:i/>
          <w:iCs/>
        </w:rPr>
        <w:br/>
        <w:t>• allowed inputs;</w:t>
      </w:r>
      <w:r w:rsidRPr="00B479AE">
        <w:rPr>
          <w:rFonts w:ascii="Baskerville Old Face" w:hAnsi="Baskerville Old Face"/>
          <w:i/>
          <w:iCs/>
        </w:rPr>
        <w:br/>
        <w:t>• allowed outputs;</w:t>
      </w:r>
      <w:r w:rsidRPr="00B479AE">
        <w:rPr>
          <w:rFonts w:ascii="Baskerville Old Face" w:hAnsi="Baskerville Old Face"/>
          <w:i/>
          <w:iCs/>
        </w:rPr>
        <w:br/>
        <w:t>• prohibited outputs;</w:t>
      </w:r>
      <w:r w:rsidRPr="00B479AE">
        <w:rPr>
          <w:rFonts w:ascii="Baskerville Old Face" w:hAnsi="Baskerville Old Face"/>
          <w:i/>
          <w:iCs/>
        </w:rPr>
        <w:br/>
        <w:t>• review pathway;</w:t>
      </w:r>
      <w:r w:rsidRPr="00B479AE">
        <w:rPr>
          <w:rFonts w:ascii="Baskerville Old Face" w:hAnsi="Baskerville Old Face"/>
          <w:i/>
          <w:iCs/>
        </w:rPr>
        <w:br/>
      </w:r>
      <w:r w:rsidRPr="00B479AE">
        <w:rPr>
          <w:rFonts w:ascii="Baskerville Old Face" w:hAnsi="Baskerville Old Face"/>
          <w:i/>
          <w:iCs/>
        </w:rPr>
        <w:lastRenderedPageBreak/>
        <w:t>• logging requirements;</w:t>
      </w:r>
      <w:r w:rsidRPr="00B479AE">
        <w:rPr>
          <w:rFonts w:ascii="Baskerville Old Face" w:hAnsi="Baskerville Old Face"/>
          <w:i/>
          <w:iCs/>
        </w:rPr>
        <w:br/>
        <w:t>• data-access scope;</w:t>
      </w:r>
      <w:r w:rsidRPr="00B479AE">
        <w:rPr>
          <w:rFonts w:ascii="Baskerville Old Face" w:hAnsi="Baskerville Old Face"/>
          <w:i/>
          <w:iCs/>
        </w:rPr>
        <w:br/>
        <w:t>• model version;</w:t>
      </w:r>
      <w:r w:rsidRPr="00B479AE">
        <w:rPr>
          <w:rFonts w:ascii="Baskerville Old Face" w:hAnsi="Baskerville Old Face"/>
          <w:i/>
          <w:iCs/>
        </w:rPr>
        <w:br/>
        <w:t>• prompt or policy version;</w:t>
      </w:r>
      <w:r w:rsidRPr="00B479AE">
        <w:rPr>
          <w:rFonts w:ascii="Baskerville Old Face" w:hAnsi="Baskerville Old Face"/>
          <w:i/>
          <w:iCs/>
        </w:rPr>
        <w:br/>
        <w:t>• evaluation requirements;</w:t>
      </w:r>
      <w:r w:rsidRPr="00B479AE">
        <w:rPr>
          <w:rFonts w:ascii="Baskerville Old Face" w:hAnsi="Baskerville Old Face"/>
          <w:i/>
          <w:iCs/>
        </w:rPr>
        <w:br/>
        <w:t>• rollback process.</w:t>
      </w:r>
    </w:p>
    <w:p w14:paraId="557959FA" w14:textId="3CF24D4B"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The agent is a tool.</w:t>
      </w:r>
      <w:r w:rsidR="00AA6463" w:rsidRPr="00B479AE">
        <w:rPr>
          <w:rFonts w:ascii="Baskerville Old Face" w:hAnsi="Baskerville Old Face"/>
          <w:i/>
          <w:iCs/>
        </w:rPr>
        <w:t xml:space="preserve"> </w:t>
      </w:r>
      <w:r w:rsidRPr="00B479AE">
        <w:rPr>
          <w:rFonts w:ascii="Baskerville Old Face" w:hAnsi="Baskerville Old Face"/>
          <w:i/>
          <w:iCs/>
        </w:rPr>
        <w:t>The review pathway is the authority.</w:t>
      </w:r>
    </w:p>
    <w:p w14:paraId="11B8AE7F" w14:textId="77777777" w:rsidR="007D662E" w:rsidRPr="00B479AE" w:rsidRDefault="007D662E" w:rsidP="007D662E">
      <w:pPr>
        <w:spacing w:line="360" w:lineRule="auto"/>
        <w:rPr>
          <w:rFonts w:ascii="Baskerville Old Face" w:hAnsi="Baskerville Old Face"/>
          <w:b/>
          <w:bCs/>
          <w:i/>
          <w:iCs/>
        </w:rPr>
      </w:pPr>
      <w:r w:rsidRPr="00B479AE">
        <w:rPr>
          <w:rFonts w:ascii="Baskerville Old Face" w:hAnsi="Baskerville Old Face"/>
          <w:b/>
          <w:bCs/>
          <w:i/>
          <w:iCs/>
        </w:rPr>
        <w:t>H.3 Output classification</w:t>
      </w:r>
    </w:p>
    <w:p w14:paraId="750AF61B" w14:textId="7445D734"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Every AI-generated output should carry a status label before use.</w:t>
      </w:r>
      <w:r w:rsidR="00DF35AF" w:rsidRPr="00B479AE">
        <w:rPr>
          <w:rFonts w:ascii="Baskerville Old Face" w:hAnsi="Baskerville Old Face"/>
          <w:i/>
          <w:iCs/>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0"/>
        <w:gridCol w:w="4220"/>
        <w:gridCol w:w="3718"/>
      </w:tblGrid>
      <w:tr w:rsidR="007D662E" w:rsidRPr="00B479AE" w14:paraId="39D908F2" w14:textId="77777777" w:rsidTr="007D662E">
        <w:trPr>
          <w:tblHeader/>
          <w:tblCellSpacing w:w="15" w:type="dxa"/>
        </w:trPr>
        <w:tc>
          <w:tcPr>
            <w:tcW w:w="0" w:type="auto"/>
            <w:vAlign w:val="center"/>
            <w:hideMark/>
          </w:tcPr>
          <w:p w14:paraId="40905DF3" w14:textId="77777777" w:rsidR="007D662E" w:rsidRPr="00B479AE" w:rsidRDefault="007D662E" w:rsidP="007D662E">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Output status</w:t>
            </w:r>
          </w:p>
        </w:tc>
        <w:tc>
          <w:tcPr>
            <w:tcW w:w="0" w:type="auto"/>
            <w:vAlign w:val="center"/>
            <w:hideMark/>
          </w:tcPr>
          <w:p w14:paraId="7D70FBBB" w14:textId="77777777" w:rsidR="007D662E" w:rsidRPr="00B479AE" w:rsidRDefault="007D662E" w:rsidP="007D662E">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c>
          <w:tcPr>
            <w:tcW w:w="0" w:type="auto"/>
            <w:vAlign w:val="center"/>
            <w:hideMark/>
          </w:tcPr>
          <w:p w14:paraId="72762792" w14:textId="77777777" w:rsidR="007D662E" w:rsidRPr="00B479AE" w:rsidRDefault="007D662E" w:rsidP="007D662E">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Permitted use</w:t>
            </w:r>
          </w:p>
        </w:tc>
      </w:tr>
      <w:tr w:rsidR="007D662E" w:rsidRPr="00B479AE" w14:paraId="04DB8B49" w14:textId="77777777" w:rsidTr="007D662E">
        <w:trPr>
          <w:tblCellSpacing w:w="15" w:type="dxa"/>
        </w:trPr>
        <w:tc>
          <w:tcPr>
            <w:tcW w:w="0" w:type="auto"/>
            <w:vAlign w:val="center"/>
            <w:hideMark/>
          </w:tcPr>
          <w:p w14:paraId="5638FDF6"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Draft</w:t>
            </w:r>
          </w:p>
        </w:tc>
        <w:tc>
          <w:tcPr>
            <w:tcW w:w="0" w:type="auto"/>
            <w:vAlign w:val="center"/>
            <w:hideMark/>
          </w:tcPr>
          <w:p w14:paraId="63739C3C"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Preliminary generated text or structure.</w:t>
            </w:r>
          </w:p>
        </w:tc>
        <w:tc>
          <w:tcPr>
            <w:tcW w:w="0" w:type="auto"/>
            <w:vAlign w:val="center"/>
            <w:hideMark/>
          </w:tcPr>
          <w:p w14:paraId="653D89C7"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Editing, discussion, internal preparation.</w:t>
            </w:r>
          </w:p>
        </w:tc>
      </w:tr>
      <w:tr w:rsidR="007D662E" w:rsidRPr="00B479AE" w14:paraId="508BB4FA" w14:textId="77777777" w:rsidTr="007D662E">
        <w:trPr>
          <w:tblCellSpacing w:w="15" w:type="dxa"/>
        </w:trPr>
        <w:tc>
          <w:tcPr>
            <w:tcW w:w="0" w:type="auto"/>
            <w:vAlign w:val="center"/>
            <w:hideMark/>
          </w:tcPr>
          <w:p w14:paraId="757B29E3"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Hypothesis</w:t>
            </w:r>
          </w:p>
        </w:tc>
        <w:tc>
          <w:tcPr>
            <w:tcW w:w="0" w:type="auto"/>
            <w:vAlign w:val="center"/>
            <w:hideMark/>
          </w:tcPr>
          <w:p w14:paraId="1102D66A"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Possible explanation or future research direction.</w:t>
            </w:r>
          </w:p>
        </w:tc>
        <w:tc>
          <w:tcPr>
            <w:tcW w:w="0" w:type="auto"/>
            <w:vAlign w:val="center"/>
            <w:hideMark/>
          </w:tcPr>
          <w:p w14:paraId="34E8582E"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Research planning, appendix parking, test design.</w:t>
            </w:r>
          </w:p>
        </w:tc>
      </w:tr>
      <w:tr w:rsidR="007D662E" w:rsidRPr="00B479AE" w14:paraId="5DC56810" w14:textId="77777777" w:rsidTr="007D662E">
        <w:trPr>
          <w:tblCellSpacing w:w="15" w:type="dxa"/>
        </w:trPr>
        <w:tc>
          <w:tcPr>
            <w:tcW w:w="0" w:type="auto"/>
            <w:vAlign w:val="center"/>
            <w:hideMark/>
          </w:tcPr>
          <w:p w14:paraId="1AAAB39D"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Scenario</w:t>
            </w:r>
          </w:p>
        </w:tc>
        <w:tc>
          <w:tcPr>
            <w:tcW w:w="0" w:type="auto"/>
            <w:vAlign w:val="center"/>
            <w:hideMark/>
          </w:tcPr>
          <w:p w14:paraId="21B94AE1"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Assumption-based model or pathway.</w:t>
            </w:r>
          </w:p>
        </w:tc>
        <w:tc>
          <w:tcPr>
            <w:tcW w:w="0" w:type="auto"/>
            <w:vAlign w:val="center"/>
            <w:hideMark/>
          </w:tcPr>
          <w:p w14:paraId="5C7A6018"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Planning, sensitivity analysis, strategic discussion.</w:t>
            </w:r>
          </w:p>
        </w:tc>
      </w:tr>
      <w:tr w:rsidR="007D662E" w:rsidRPr="00B479AE" w14:paraId="0255B15A" w14:textId="77777777" w:rsidTr="007D662E">
        <w:trPr>
          <w:tblCellSpacing w:w="15" w:type="dxa"/>
        </w:trPr>
        <w:tc>
          <w:tcPr>
            <w:tcW w:w="0" w:type="auto"/>
            <w:vAlign w:val="center"/>
            <w:hideMark/>
          </w:tcPr>
          <w:p w14:paraId="79360480"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Analysis</w:t>
            </w:r>
          </w:p>
        </w:tc>
        <w:tc>
          <w:tcPr>
            <w:tcW w:w="0" w:type="auto"/>
            <w:vAlign w:val="center"/>
            <w:hideMark/>
          </w:tcPr>
          <w:p w14:paraId="2857A8C6"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Structured interpretation of available information.</w:t>
            </w:r>
          </w:p>
        </w:tc>
        <w:tc>
          <w:tcPr>
            <w:tcW w:w="0" w:type="auto"/>
            <w:vAlign w:val="center"/>
            <w:hideMark/>
          </w:tcPr>
          <w:p w14:paraId="45F27A96"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Human review, governance preparation, diligence support.</w:t>
            </w:r>
          </w:p>
        </w:tc>
      </w:tr>
      <w:tr w:rsidR="007D662E" w:rsidRPr="00B479AE" w14:paraId="3D1B70C8" w14:textId="77777777" w:rsidTr="007D662E">
        <w:trPr>
          <w:tblCellSpacing w:w="15" w:type="dxa"/>
        </w:trPr>
        <w:tc>
          <w:tcPr>
            <w:tcW w:w="0" w:type="auto"/>
            <w:vAlign w:val="center"/>
            <w:hideMark/>
          </w:tcPr>
          <w:p w14:paraId="2C81698B"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Risk flag</w:t>
            </w:r>
          </w:p>
        </w:tc>
        <w:tc>
          <w:tcPr>
            <w:tcW w:w="0" w:type="auto"/>
            <w:vAlign w:val="center"/>
            <w:hideMark/>
          </w:tcPr>
          <w:p w14:paraId="7BBAB48A"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Identified possible issue or anomaly.</w:t>
            </w:r>
          </w:p>
        </w:tc>
        <w:tc>
          <w:tcPr>
            <w:tcW w:w="0" w:type="auto"/>
            <w:vAlign w:val="center"/>
            <w:hideMark/>
          </w:tcPr>
          <w:p w14:paraId="44AD0812"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Escalation, investigation, review trigger.</w:t>
            </w:r>
          </w:p>
        </w:tc>
      </w:tr>
      <w:tr w:rsidR="007D662E" w:rsidRPr="00B479AE" w14:paraId="2608F72E" w14:textId="77777777" w:rsidTr="007D662E">
        <w:trPr>
          <w:tblCellSpacing w:w="15" w:type="dxa"/>
        </w:trPr>
        <w:tc>
          <w:tcPr>
            <w:tcW w:w="0" w:type="auto"/>
            <w:vAlign w:val="center"/>
            <w:hideMark/>
          </w:tcPr>
          <w:p w14:paraId="60C2851E"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Recommendation</w:t>
            </w:r>
          </w:p>
        </w:tc>
        <w:tc>
          <w:tcPr>
            <w:tcW w:w="0" w:type="auto"/>
            <w:vAlign w:val="center"/>
            <w:hideMark/>
          </w:tcPr>
          <w:p w14:paraId="2179AF49"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Proposed action or pathway.</w:t>
            </w:r>
          </w:p>
        </w:tc>
        <w:tc>
          <w:tcPr>
            <w:tcW w:w="0" w:type="auto"/>
            <w:vAlign w:val="center"/>
            <w:hideMark/>
          </w:tcPr>
          <w:p w14:paraId="54463FC3"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Governance, legal, technical, or MRV review.</w:t>
            </w:r>
          </w:p>
        </w:tc>
      </w:tr>
      <w:tr w:rsidR="007D662E" w:rsidRPr="00B479AE" w14:paraId="29CEB722" w14:textId="77777777" w:rsidTr="007D662E">
        <w:trPr>
          <w:tblCellSpacing w:w="15" w:type="dxa"/>
        </w:trPr>
        <w:tc>
          <w:tcPr>
            <w:tcW w:w="0" w:type="auto"/>
            <w:vAlign w:val="center"/>
            <w:hideMark/>
          </w:tcPr>
          <w:p w14:paraId="40FF634C"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Review-required</w:t>
            </w:r>
          </w:p>
        </w:tc>
        <w:tc>
          <w:tcPr>
            <w:tcW w:w="0" w:type="auto"/>
            <w:vAlign w:val="center"/>
            <w:hideMark/>
          </w:tcPr>
          <w:p w14:paraId="20912E4E"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Output touches protected domains.</w:t>
            </w:r>
          </w:p>
        </w:tc>
        <w:tc>
          <w:tcPr>
            <w:tcW w:w="0" w:type="auto"/>
            <w:vAlign w:val="center"/>
            <w:hideMark/>
          </w:tcPr>
          <w:p w14:paraId="7CAA3C0D"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Paused until appropriate review.</w:t>
            </w:r>
          </w:p>
        </w:tc>
      </w:tr>
      <w:tr w:rsidR="007D662E" w:rsidRPr="00B479AE" w14:paraId="4F0A1AC1" w14:textId="77777777" w:rsidTr="007D662E">
        <w:trPr>
          <w:tblCellSpacing w:w="15" w:type="dxa"/>
        </w:trPr>
        <w:tc>
          <w:tcPr>
            <w:tcW w:w="0" w:type="auto"/>
            <w:vAlign w:val="center"/>
            <w:hideMark/>
          </w:tcPr>
          <w:p w14:paraId="7A54694B"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Non-admissible</w:t>
            </w:r>
          </w:p>
        </w:tc>
        <w:tc>
          <w:tcPr>
            <w:tcW w:w="0" w:type="auto"/>
            <w:vAlign w:val="center"/>
            <w:hideMark/>
          </w:tcPr>
          <w:p w14:paraId="13584933"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Output cannot enter protected Prometheus pathways.</w:t>
            </w:r>
          </w:p>
        </w:tc>
        <w:tc>
          <w:tcPr>
            <w:tcW w:w="0" w:type="auto"/>
            <w:vAlign w:val="center"/>
            <w:hideMark/>
          </w:tcPr>
          <w:p w14:paraId="3CFCF32F"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Archive, learning, appendix parking, or rejection.</w:t>
            </w:r>
          </w:p>
        </w:tc>
      </w:tr>
      <w:tr w:rsidR="007D662E" w:rsidRPr="00B479AE" w14:paraId="33ACA73D" w14:textId="77777777" w:rsidTr="007D662E">
        <w:trPr>
          <w:tblCellSpacing w:w="15" w:type="dxa"/>
        </w:trPr>
        <w:tc>
          <w:tcPr>
            <w:tcW w:w="0" w:type="auto"/>
            <w:vAlign w:val="center"/>
            <w:hideMark/>
          </w:tcPr>
          <w:p w14:paraId="51B13F4B"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Authorized record</w:t>
            </w:r>
          </w:p>
        </w:tc>
        <w:tc>
          <w:tcPr>
            <w:tcW w:w="0" w:type="auto"/>
            <w:vAlign w:val="center"/>
            <w:hideMark/>
          </w:tcPr>
          <w:p w14:paraId="17D610A4"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Output reviewed, approved, and signed by the appropriate pathway.</w:t>
            </w:r>
          </w:p>
        </w:tc>
        <w:tc>
          <w:tcPr>
            <w:tcW w:w="0" w:type="auto"/>
            <w:vAlign w:val="center"/>
            <w:hideMark/>
          </w:tcPr>
          <w:p w14:paraId="0A4928BE"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Official record within defined scope.</w:t>
            </w:r>
          </w:p>
        </w:tc>
      </w:tr>
    </w:tbl>
    <w:p w14:paraId="01989B11"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lastRenderedPageBreak/>
        <w:t>No AI output should move directly from generation to protected execution.</w:t>
      </w:r>
    </w:p>
    <w:p w14:paraId="56818EBA"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The minimum sequence is:</w:t>
      </w:r>
    </w:p>
    <w:p w14:paraId="434D4E36"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request</w:t>
      </w:r>
      <w:r w:rsidRPr="00B479AE">
        <w:rPr>
          <w:rFonts w:ascii="Baskerville Old Face" w:hAnsi="Baskerville Old Face"/>
          <w:i/>
          <w:iCs/>
        </w:rPr>
        <w:br/>
        <w:t>classification</w:t>
      </w:r>
      <w:r w:rsidRPr="00B479AE">
        <w:rPr>
          <w:rFonts w:ascii="Baskerville Old Face" w:hAnsi="Baskerville Old Face"/>
          <w:i/>
          <w:iCs/>
        </w:rPr>
        <w:br/>
        <w:t>source check</w:t>
      </w:r>
      <w:r w:rsidRPr="00B479AE">
        <w:rPr>
          <w:rFonts w:ascii="Baskerville Old Face" w:hAnsi="Baskerville Old Face"/>
          <w:i/>
          <w:iCs/>
        </w:rPr>
        <w:br/>
        <w:t>risk check</w:t>
      </w:r>
      <w:r w:rsidRPr="00B479AE">
        <w:rPr>
          <w:rFonts w:ascii="Baskerville Old Face" w:hAnsi="Baskerville Old Face"/>
          <w:i/>
          <w:iCs/>
        </w:rPr>
        <w:br/>
        <w:t>protected-domain check</w:t>
      </w:r>
      <w:r w:rsidRPr="00B479AE">
        <w:rPr>
          <w:rFonts w:ascii="Baskerville Old Face" w:hAnsi="Baskerville Old Face"/>
          <w:i/>
          <w:iCs/>
        </w:rPr>
        <w:br/>
        <w:t>review pathway</w:t>
      </w:r>
      <w:r w:rsidRPr="00B479AE">
        <w:rPr>
          <w:rFonts w:ascii="Baskerville Old Face" w:hAnsi="Baskerville Old Face"/>
          <w:i/>
          <w:iCs/>
        </w:rPr>
        <w:br/>
        <w:t>authorization where required</w:t>
      </w:r>
      <w:r w:rsidRPr="00B479AE">
        <w:rPr>
          <w:rFonts w:ascii="Baskerville Old Face" w:hAnsi="Baskerville Old Face"/>
          <w:i/>
          <w:iCs/>
        </w:rPr>
        <w:br/>
        <w:t>execution</w:t>
      </w:r>
      <w:r w:rsidRPr="00B479AE">
        <w:rPr>
          <w:rFonts w:ascii="Baskerville Old Face" w:hAnsi="Baskerville Old Face"/>
          <w:i/>
          <w:iCs/>
        </w:rPr>
        <w:br/>
        <w:t>audit record.</w:t>
      </w:r>
    </w:p>
    <w:p w14:paraId="07BE4E5A"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This creates a clean boundary between intelligence and authority.</w:t>
      </w:r>
    </w:p>
    <w:p w14:paraId="1F9516AE" w14:textId="77777777" w:rsidR="007D662E" w:rsidRPr="00B479AE" w:rsidRDefault="007D662E" w:rsidP="007D662E">
      <w:pPr>
        <w:spacing w:line="360" w:lineRule="auto"/>
        <w:rPr>
          <w:rFonts w:ascii="Baskerville Old Face" w:hAnsi="Baskerville Old Face"/>
          <w:b/>
          <w:bCs/>
          <w:i/>
          <w:iCs/>
        </w:rPr>
      </w:pPr>
      <w:r w:rsidRPr="00B479AE">
        <w:rPr>
          <w:rFonts w:ascii="Baskerville Old Face" w:hAnsi="Baskerville Old Face"/>
          <w:b/>
          <w:bCs/>
          <w:i/>
          <w:iCs/>
        </w:rPr>
        <w:t>H.4 Training data governance</w:t>
      </w:r>
    </w:p>
    <w:p w14:paraId="3593DB8A"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AI-assisted learning requires disciplined training-data governance.</w:t>
      </w:r>
    </w:p>
    <w:p w14:paraId="045A1E2B"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Prometheus should classify training data by sensitivity, legal basis, provenance, quality, consent, and permitted use.</w:t>
      </w:r>
    </w:p>
    <w:p w14:paraId="104413B8"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Training data may include:</w:t>
      </w:r>
    </w:p>
    <w:p w14:paraId="1EB520E2"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public Prometheus documents;</w:t>
      </w:r>
      <w:r w:rsidRPr="00B479AE">
        <w:rPr>
          <w:rFonts w:ascii="Baskerville Old Face" w:hAnsi="Baskerville Old Face"/>
          <w:i/>
          <w:iCs/>
        </w:rPr>
        <w:br/>
        <w:t>• canonical glossary;</w:t>
      </w:r>
      <w:r w:rsidRPr="00B479AE">
        <w:rPr>
          <w:rFonts w:ascii="Baskerville Old Face" w:hAnsi="Baskerville Old Face"/>
          <w:i/>
          <w:iCs/>
        </w:rPr>
        <w:br/>
        <w:t>• source-layer texts;</w:t>
      </w:r>
      <w:r w:rsidRPr="00B479AE">
        <w:rPr>
          <w:rFonts w:ascii="Baskerville Old Face" w:hAnsi="Baskerville Old Face"/>
          <w:i/>
          <w:iCs/>
        </w:rPr>
        <w:br/>
        <w:t>• MRV methodology documents;</w:t>
      </w:r>
      <w:r w:rsidRPr="00B479AE">
        <w:rPr>
          <w:rFonts w:ascii="Baskerville Old Face" w:hAnsi="Baskerville Old Face"/>
          <w:i/>
          <w:iCs/>
        </w:rPr>
        <w:br/>
        <w:t>• public ecological science;</w:t>
      </w:r>
      <w:r w:rsidRPr="00B479AE">
        <w:rPr>
          <w:rFonts w:ascii="Baskerville Old Face" w:hAnsi="Baskerville Old Face"/>
          <w:i/>
          <w:iCs/>
        </w:rPr>
        <w:br/>
        <w:t>• public regulatory and legal materials;</w:t>
      </w:r>
      <w:r w:rsidRPr="00B479AE">
        <w:rPr>
          <w:rFonts w:ascii="Baskerville Old Face" w:hAnsi="Baskerville Old Face"/>
          <w:i/>
          <w:iCs/>
        </w:rPr>
        <w:br/>
        <w:t>• public technical standards;</w:t>
      </w:r>
      <w:r w:rsidRPr="00B479AE">
        <w:rPr>
          <w:rFonts w:ascii="Baskerville Old Face" w:hAnsi="Baskerville Old Face"/>
          <w:i/>
          <w:iCs/>
        </w:rPr>
        <w:br/>
        <w:t>• anonymized or aggregated operational logs where lawful and appropriate;</w:t>
      </w:r>
      <w:r w:rsidRPr="00B479AE">
        <w:rPr>
          <w:rFonts w:ascii="Baskerville Old Face" w:hAnsi="Baskerville Old Face"/>
          <w:i/>
          <w:iCs/>
        </w:rPr>
        <w:br/>
        <w:t>• reviewed governance records where authorized;</w:t>
      </w:r>
      <w:r w:rsidRPr="00B479AE">
        <w:rPr>
          <w:rFonts w:ascii="Baskerville Old Face" w:hAnsi="Baskerville Old Face"/>
          <w:i/>
          <w:iCs/>
        </w:rPr>
        <w:br/>
        <w:t>• synthetic test cases created for evaluation;</w:t>
      </w:r>
      <w:r w:rsidRPr="00B479AE">
        <w:rPr>
          <w:rFonts w:ascii="Baskerville Old Face" w:hAnsi="Baskerville Old Face"/>
          <w:i/>
          <w:iCs/>
        </w:rPr>
        <w:br/>
        <w:t>• adversarial examples created for safety testing.</w:t>
      </w:r>
    </w:p>
    <w:p w14:paraId="25BB49EE"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Training data should not indiscriminately include:</w:t>
      </w:r>
    </w:p>
    <w:p w14:paraId="1D100269"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lastRenderedPageBreak/>
        <w:t>• private governance votes;</w:t>
      </w:r>
      <w:r w:rsidRPr="00B479AE">
        <w:rPr>
          <w:rFonts w:ascii="Baskerville Old Face" w:hAnsi="Baskerville Old Face"/>
          <w:i/>
          <w:iCs/>
        </w:rPr>
        <w:br/>
        <w:t>• wallet histories;</w:t>
      </w:r>
      <w:r w:rsidRPr="00B479AE">
        <w:rPr>
          <w:rFonts w:ascii="Baskerville Old Face" w:hAnsi="Baskerville Old Face"/>
          <w:i/>
          <w:iCs/>
        </w:rPr>
        <w:br/>
        <w:t>• HSI or biometric data;</w:t>
      </w:r>
      <w:r w:rsidRPr="00B479AE">
        <w:rPr>
          <w:rFonts w:ascii="Baskerville Old Face" w:hAnsi="Baskerville Old Face"/>
          <w:i/>
          <w:iCs/>
        </w:rPr>
        <w:br/>
        <w:t>• private community communications;</w:t>
      </w:r>
      <w:r w:rsidRPr="00B479AE">
        <w:rPr>
          <w:rFonts w:ascii="Baskerville Old Face" w:hAnsi="Baskerville Old Face"/>
          <w:i/>
          <w:iCs/>
        </w:rPr>
        <w:br/>
        <w:t>• investor data-room material;</w:t>
      </w:r>
      <w:r w:rsidRPr="00B479AE">
        <w:rPr>
          <w:rFonts w:ascii="Baskerville Old Face" w:hAnsi="Baskerville Old Face"/>
          <w:i/>
          <w:iCs/>
        </w:rPr>
        <w:br/>
        <w:t>• confidential legal memoranda;</w:t>
      </w:r>
      <w:r w:rsidRPr="00B479AE">
        <w:rPr>
          <w:rFonts w:ascii="Baskerville Old Face" w:hAnsi="Baskerville Old Face"/>
          <w:i/>
          <w:iCs/>
        </w:rPr>
        <w:br/>
        <w:t>• sensitive MRV data;</w:t>
      </w:r>
      <w:r w:rsidRPr="00B479AE">
        <w:rPr>
          <w:rFonts w:ascii="Baskerville Old Face" w:hAnsi="Baskerville Old Face"/>
          <w:i/>
          <w:iCs/>
        </w:rPr>
        <w:br/>
        <w:t>• personal data;</w:t>
      </w:r>
      <w:r w:rsidRPr="00B479AE">
        <w:rPr>
          <w:rFonts w:ascii="Baskerville Old Face" w:hAnsi="Baskerville Old Face"/>
          <w:i/>
          <w:iCs/>
        </w:rPr>
        <w:br/>
        <w:t>• proprietary partner data;</w:t>
      </w:r>
      <w:r w:rsidRPr="00B479AE">
        <w:rPr>
          <w:rFonts w:ascii="Baskerville Old Face" w:hAnsi="Baskerville Old Face"/>
          <w:i/>
          <w:iCs/>
        </w:rPr>
        <w:br/>
        <w:t>• raw field data with privacy or ownership constraints.</w:t>
      </w:r>
    </w:p>
    <w:p w14:paraId="0A392C8C"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Such data may be used only where there is a lawful basis, explicit permission where required, purpose limitation, minimization, access control, and review.</w:t>
      </w:r>
    </w:p>
    <w:p w14:paraId="4E6EA564"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The training-data rule is:</w:t>
      </w:r>
    </w:p>
    <w:p w14:paraId="05CBBF74"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public and canonical material may teach structure;</w:t>
      </w:r>
      <w:r w:rsidRPr="00B479AE">
        <w:rPr>
          <w:rFonts w:ascii="Baskerville Old Face" w:hAnsi="Baskerville Old Face"/>
          <w:i/>
          <w:iCs/>
        </w:rPr>
        <w:br/>
        <w:t>sensitive material requires governance, consent, law, and minimization;</w:t>
      </w:r>
      <w:r w:rsidRPr="00B479AE">
        <w:rPr>
          <w:rFonts w:ascii="Baskerville Old Face" w:hAnsi="Baskerville Old Face"/>
          <w:i/>
          <w:iCs/>
        </w:rPr>
        <w:br/>
        <w:t>human-state data requires the highest protection;</w:t>
      </w:r>
      <w:r w:rsidRPr="00B479AE">
        <w:rPr>
          <w:rFonts w:ascii="Baskerville Old Face" w:hAnsi="Baskerville Old Face"/>
          <w:i/>
          <w:iCs/>
        </w:rPr>
        <w:br/>
        <w:t>wallet or token history does not become a proxy for human value.</w:t>
      </w:r>
    </w:p>
    <w:p w14:paraId="669F11E5" w14:textId="77777777" w:rsidR="007D662E" w:rsidRPr="00B479AE" w:rsidRDefault="007D662E" w:rsidP="007D662E">
      <w:pPr>
        <w:spacing w:line="360" w:lineRule="auto"/>
        <w:rPr>
          <w:rFonts w:ascii="Baskerville Old Face" w:hAnsi="Baskerville Old Face"/>
          <w:b/>
          <w:bCs/>
          <w:i/>
          <w:iCs/>
        </w:rPr>
      </w:pPr>
      <w:r w:rsidRPr="00B479AE">
        <w:rPr>
          <w:rFonts w:ascii="Baskerville Old Face" w:hAnsi="Baskerville Old Face"/>
          <w:b/>
          <w:bCs/>
          <w:i/>
          <w:iCs/>
        </w:rPr>
        <w:t>H.5 Fine-tuning and model improvement boundary</w:t>
      </w:r>
    </w:p>
    <w:p w14:paraId="7F7E72B4"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Prometheus may use fine-tuning, retrieval-augmented generation, prompt engineering, evaluation datasets, supervised examples, and local-model adaptation.</w:t>
      </w:r>
    </w:p>
    <w:p w14:paraId="31034E8A"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However, model improvement must be review-bound.</w:t>
      </w:r>
    </w:p>
    <w:p w14:paraId="66E8D461"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 model improvement cycle should include:</w:t>
      </w:r>
    </w:p>
    <w:p w14:paraId="0D287BB0" w14:textId="77777777" w:rsidR="007D662E" w:rsidRPr="00B479AE" w:rsidRDefault="007D662E">
      <w:pPr>
        <w:numPr>
          <w:ilvl w:val="0"/>
          <w:numId w:val="18"/>
        </w:numPr>
        <w:spacing w:line="360" w:lineRule="auto"/>
        <w:rPr>
          <w:rFonts w:ascii="Baskerville Old Face" w:hAnsi="Baskerville Old Face"/>
          <w:i/>
          <w:iCs/>
        </w:rPr>
      </w:pPr>
      <w:r w:rsidRPr="00B479AE">
        <w:rPr>
          <w:rFonts w:ascii="Baskerville Old Face" w:hAnsi="Baskerville Old Face"/>
          <w:b/>
          <w:bCs/>
          <w:i/>
          <w:iCs/>
        </w:rPr>
        <w:t>Need identification</w:t>
      </w:r>
      <w:r w:rsidRPr="00B479AE">
        <w:rPr>
          <w:rFonts w:ascii="Baskerville Old Face" w:hAnsi="Baskerville Old Face"/>
          <w:i/>
          <w:iCs/>
        </w:rPr>
        <w:br/>
        <w:t>Define the problem the model is meant to improve.</w:t>
      </w:r>
    </w:p>
    <w:p w14:paraId="651DB85F" w14:textId="77777777" w:rsidR="007D662E" w:rsidRPr="00B479AE" w:rsidRDefault="007D662E">
      <w:pPr>
        <w:numPr>
          <w:ilvl w:val="0"/>
          <w:numId w:val="18"/>
        </w:numPr>
        <w:spacing w:line="360" w:lineRule="auto"/>
        <w:rPr>
          <w:rFonts w:ascii="Baskerville Old Face" w:hAnsi="Baskerville Old Face"/>
          <w:i/>
          <w:iCs/>
        </w:rPr>
      </w:pPr>
      <w:r w:rsidRPr="00B479AE">
        <w:rPr>
          <w:rFonts w:ascii="Baskerville Old Face" w:hAnsi="Baskerville Old Face"/>
          <w:b/>
          <w:bCs/>
          <w:i/>
          <w:iCs/>
        </w:rPr>
        <w:t>Domain classification</w:t>
      </w:r>
      <w:r w:rsidRPr="00B479AE">
        <w:rPr>
          <w:rFonts w:ascii="Baskerville Old Face" w:hAnsi="Baskerville Old Face"/>
          <w:i/>
          <w:iCs/>
        </w:rPr>
        <w:br/>
        <w:t>Identify whether the model touches MRV, law, governance, finance, tokenization, HSI, technical administration, or constitutional interpretation.</w:t>
      </w:r>
    </w:p>
    <w:p w14:paraId="4036FF82" w14:textId="77777777" w:rsidR="007D662E" w:rsidRPr="00B479AE" w:rsidRDefault="007D662E">
      <w:pPr>
        <w:numPr>
          <w:ilvl w:val="0"/>
          <w:numId w:val="18"/>
        </w:numPr>
        <w:spacing w:line="360" w:lineRule="auto"/>
        <w:rPr>
          <w:rFonts w:ascii="Baskerville Old Face" w:hAnsi="Baskerville Old Face"/>
          <w:i/>
          <w:iCs/>
        </w:rPr>
      </w:pPr>
      <w:r w:rsidRPr="00B479AE">
        <w:rPr>
          <w:rFonts w:ascii="Baskerville Old Face" w:hAnsi="Baskerville Old Face"/>
          <w:b/>
          <w:bCs/>
          <w:i/>
          <w:iCs/>
        </w:rPr>
        <w:lastRenderedPageBreak/>
        <w:t>Training-data review</w:t>
      </w:r>
      <w:r w:rsidRPr="00B479AE">
        <w:rPr>
          <w:rFonts w:ascii="Baskerville Old Face" w:hAnsi="Baskerville Old Face"/>
          <w:i/>
          <w:iCs/>
        </w:rPr>
        <w:br/>
        <w:t>Confirm data provenance, permissions, privacy status, and quality.</w:t>
      </w:r>
    </w:p>
    <w:p w14:paraId="18F506C1" w14:textId="77777777" w:rsidR="007D662E" w:rsidRPr="00B479AE" w:rsidRDefault="007D662E">
      <w:pPr>
        <w:numPr>
          <w:ilvl w:val="0"/>
          <w:numId w:val="18"/>
        </w:numPr>
        <w:spacing w:line="360" w:lineRule="auto"/>
        <w:rPr>
          <w:rFonts w:ascii="Baskerville Old Face" w:hAnsi="Baskerville Old Face"/>
          <w:i/>
          <w:iCs/>
        </w:rPr>
      </w:pPr>
      <w:r w:rsidRPr="00B479AE">
        <w:rPr>
          <w:rFonts w:ascii="Baskerville Old Face" w:hAnsi="Baskerville Old Face"/>
          <w:b/>
          <w:bCs/>
          <w:i/>
          <w:iCs/>
        </w:rPr>
        <w:t>Safety and boundary specification</w:t>
      </w:r>
      <w:r w:rsidRPr="00B479AE">
        <w:rPr>
          <w:rFonts w:ascii="Baskerville Old Face" w:hAnsi="Baskerville Old Face"/>
          <w:i/>
          <w:iCs/>
        </w:rPr>
        <w:br/>
        <w:t>Define prohibited outputs, protected-domain constraints, and review triggers.</w:t>
      </w:r>
    </w:p>
    <w:p w14:paraId="0B10DC81" w14:textId="77777777" w:rsidR="007D662E" w:rsidRPr="00B479AE" w:rsidRDefault="007D662E">
      <w:pPr>
        <w:numPr>
          <w:ilvl w:val="0"/>
          <w:numId w:val="18"/>
        </w:numPr>
        <w:spacing w:line="360" w:lineRule="auto"/>
        <w:rPr>
          <w:rFonts w:ascii="Baskerville Old Face" w:hAnsi="Baskerville Old Face"/>
          <w:i/>
          <w:iCs/>
        </w:rPr>
      </w:pPr>
      <w:r w:rsidRPr="00B479AE">
        <w:rPr>
          <w:rFonts w:ascii="Baskerville Old Face" w:hAnsi="Baskerville Old Face"/>
          <w:b/>
          <w:bCs/>
          <w:i/>
          <w:iCs/>
        </w:rPr>
        <w:t>Fine-tuning or adaptation</w:t>
      </w:r>
      <w:r w:rsidRPr="00B479AE">
        <w:rPr>
          <w:rFonts w:ascii="Baskerville Old Face" w:hAnsi="Baskerville Old Face"/>
          <w:i/>
          <w:iCs/>
        </w:rPr>
        <w:br/>
        <w:t>Train or adapt the model only within the approved scope.</w:t>
      </w:r>
    </w:p>
    <w:p w14:paraId="20E7F1CB" w14:textId="77777777" w:rsidR="007D662E" w:rsidRPr="00B479AE" w:rsidRDefault="007D662E">
      <w:pPr>
        <w:numPr>
          <w:ilvl w:val="0"/>
          <w:numId w:val="18"/>
        </w:numPr>
        <w:spacing w:line="360" w:lineRule="auto"/>
        <w:rPr>
          <w:rFonts w:ascii="Baskerville Old Face" w:hAnsi="Baskerville Old Face"/>
          <w:i/>
          <w:iCs/>
        </w:rPr>
      </w:pPr>
      <w:r w:rsidRPr="00B479AE">
        <w:rPr>
          <w:rFonts w:ascii="Baskerville Old Face" w:hAnsi="Baskerville Old Face"/>
          <w:b/>
          <w:bCs/>
          <w:i/>
          <w:iCs/>
        </w:rPr>
        <w:t>Evaluation</w:t>
      </w:r>
      <w:r w:rsidRPr="00B479AE">
        <w:rPr>
          <w:rFonts w:ascii="Baskerville Old Face" w:hAnsi="Baskerville Old Face"/>
          <w:i/>
          <w:iCs/>
        </w:rPr>
        <w:br/>
        <w:t>Test accuracy, hallucination risk, overclaiming, semantic drift, privacy leakage, and protected-domain behavior.</w:t>
      </w:r>
    </w:p>
    <w:p w14:paraId="7D33C3AC" w14:textId="77777777" w:rsidR="007D662E" w:rsidRPr="00B479AE" w:rsidRDefault="007D662E">
      <w:pPr>
        <w:numPr>
          <w:ilvl w:val="0"/>
          <w:numId w:val="18"/>
        </w:numPr>
        <w:spacing w:line="360" w:lineRule="auto"/>
        <w:rPr>
          <w:rFonts w:ascii="Baskerville Old Face" w:hAnsi="Baskerville Old Face"/>
          <w:i/>
          <w:iCs/>
        </w:rPr>
      </w:pPr>
      <w:r w:rsidRPr="00B479AE">
        <w:rPr>
          <w:rFonts w:ascii="Baskerville Old Face" w:hAnsi="Baskerville Old Face"/>
          <w:b/>
          <w:bCs/>
          <w:i/>
          <w:iCs/>
        </w:rPr>
        <w:t>Adversarial testing</w:t>
      </w:r>
      <w:r w:rsidRPr="00B479AE">
        <w:rPr>
          <w:rFonts w:ascii="Baskerville Old Face" w:hAnsi="Baskerville Old Face"/>
          <w:i/>
          <w:iCs/>
        </w:rPr>
        <w:br/>
        <w:t>Run prompt-injection, synthetic evidence, legal overreach, MRV misuse, token confusion, HSI misuse, and ASI-style manipulation tests.</w:t>
      </w:r>
    </w:p>
    <w:p w14:paraId="45E68FE6" w14:textId="77777777" w:rsidR="007D662E" w:rsidRPr="00B479AE" w:rsidRDefault="007D662E">
      <w:pPr>
        <w:numPr>
          <w:ilvl w:val="0"/>
          <w:numId w:val="18"/>
        </w:numPr>
        <w:spacing w:line="360" w:lineRule="auto"/>
        <w:rPr>
          <w:rFonts w:ascii="Baskerville Old Face" w:hAnsi="Baskerville Old Face"/>
          <w:i/>
          <w:iCs/>
        </w:rPr>
      </w:pPr>
      <w:r w:rsidRPr="00B479AE">
        <w:rPr>
          <w:rFonts w:ascii="Baskerville Old Face" w:hAnsi="Baskerville Old Face"/>
          <w:b/>
          <w:bCs/>
          <w:i/>
          <w:iCs/>
        </w:rPr>
        <w:t>Human and governance review</w:t>
      </w:r>
      <w:r w:rsidRPr="00B479AE">
        <w:rPr>
          <w:rFonts w:ascii="Baskerville Old Face" w:hAnsi="Baskerville Old Face"/>
          <w:i/>
          <w:iCs/>
        </w:rPr>
        <w:br/>
        <w:t>Review results before deployment.</w:t>
      </w:r>
    </w:p>
    <w:p w14:paraId="392B527B" w14:textId="77777777" w:rsidR="007D662E" w:rsidRPr="00B479AE" w:rsidRDefault="007D662E">
      <w:pPr>
        <w:numPr>
          <w:ilvl w:val="0"/>
          <w:numId w:val="18"/>
        </w:numPr>
        <w:spacing w:line="360" w:lineRule="auto"/>
        <w:rPr>
          <w:rFonts w:ascii="Baskerville Old Face" w:hAnsi="Baskerville Old Face"/>
          <w:i/>
          <w:iCs/>
        </w:rPr>
      </w:pPr>
      <w:r w:rsidRPr="00B479AE">
        <w:rPr>
          <w:rFonts w:ascii="Baskerville Old Face" w:hAnsi="Baskerville Old Face"/>
          <w:b/>
          <w:bCs/>
          <w:i/>
          <w:iCs/>
        </w:rPr>
        <w:t>Staged deployment</w:t>
      </w:r>
      <w:r w:rsidRPr="00B479AE">
        <w:rPr>
          <w:rFonts w:ascii="Baskerville Old Face" w:hAnsi="Baskerville Old Face"/>
          <w:i/>
          <w:iCs/>
        </w:rPr>
        <w:br/>
        <w:t>Deploy first in sandbox, then limited scope, then broader use where justified.</w:t>
      </w:r>
    </w:p>
    <w:p w14:paraId="4E08100D" w14:textId="77777777" w:rsidR="007D662E" w:rsidRPr="00B479AE" w:rsidRDefault="007D662E">
      <w:pPr>
        <w:numPr>
          <w:ilvl w:val="0"/>
          <w:numId w:val="18"/>
        </w:numPr>
        <w:spacing w:line="360" w:lineRule="auto"/>
        <w:rPr>
          <w:rFonts w:ascii="Baskerville Old Face" w:hAnsi="Baskerville Old Face"/>
          <w:i/>
          <w:iCs/>
        </w:rPr>
      </w:pPr>
      <w:r w:rsidRPr="00B479AE">
        <w:rPr>
          <w:rFonts w:ascii="Baskerville Old Face" w:hAnsi="Baskerville Old Face"/>
          <w:b/>
          <w:bCs/>
          <w:i/>
          <w:iCs/>
        </w:rPr>
        <w:t>Monitoring and rollback</w:t>
      </w:r>
      <w:r w:rsidRPr="00B479AE">
        <w:rPr>
          <w:rFonts w:ascii="Baskerville Old Face" w:hAnsi="Baskerville Old Face"/>
          <w:i/>
          <w:iCs/>
        </w:rPr>
        <w:br/>
        <w:t>Log behavior, monitor drift, and preserve rollback capability.</w:t>
      </w:r>
    </w:p>
    <w:p w14:paraId="265C949F"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The improvement cycle is iterative.</w:t>
      </w:r>
    </w:p>
    <w:p w14:paraId="48BE5FB1"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is not autonomous constitutional evolution.</w:t>
      </w:r>
    </w:p>
    <w:p w14:paraId="4A69F187"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 model may improve its performance.</w:t>
      </w:r>
    </w:p>
    <w:p w14:paraId="5D6394EB"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may not improve itself into authority.</w:t>
      </w:r>
    </w:p>
    <w:p w14:paraId="639AF23C" w14:textId="77777777" w:rsidR="007D662E" w:rsidRPr="00B479AE" w:rsidRDefault="007D662E" w:rsidP="007D662E">
      <w:pPr>
        <w:spacing w:line="360" w:lineRule="auto"/>
        <w:rPr>
          <w:rFonts w:ascii="Baskerville Old Face" w:hAnsi="Baskerville Old Face"/>
          <w:b/>
          <w:bCs/>
          <w:i/>
          <w:iCs/>
        </w:rPr>
      </w:pPr>
      <w:r w:rsidRPr="00B479AE">
        <w:rPr>
          <w:rFonts w:ascii="Baskerville Old Face" w:hAnsi="Baskerville Old Face"/>
          <w:b/>
          <w:bCs/>
          <w:i/>
          <w:iCs/>
        </w:rPr>
        <w:t>H.6 Review-bound deployment</w:t>
      </w:r>
    </w:p>
    <w:p w14:paraId="4A4BC1EF" w14:textId="46546BB2"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xml:space="preserve">Deployment of AI systems should be staged. </w:t>
      </w:r>
    </w:p>
    <w:p w14:paraId="35482750" w14:textId="77777777" w:rsidR="007D662E" w:rsidRPr="00B479AE" w:rsidRDefault="007D662E" w:rsidP="007D662E">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6"/>
        <w:gridCol w:w="3853"/>
        <w:gridCol w:w="3889"/>
      </w:tblGrid>
      <w:tr w:rsidR="007D662E" w:rsidRPr="00B479AE" w14:paraId="2B795740" w14:textId="77777777" w:rsidTr="007D662E">
        <w:trPr>
          <w:tblHeader/>
          <w:tblCellSpacing w:w="15" w:type="dxa"/>
        </w:trPr>
        <w:tc>
          <w:tcPr>
            <w:tcW w:w="0" w:type="auto"/>
            <w:vAlign w:val="center"/>
            <w:hideMark/>
          </w:tcPr>
          <w:p w14:paraId="575BDB5E" w14:textId="77777777" w:rsidR="007D662E" w:rsidRPr="00B479AE" w:rsidRDefault="007D662E" w:rsidP="007D662E">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Deployment stage</w:t>
            </w:r>
          </w:p>
        </w:tc>
        <w:tc>
          <w:tcPr>
            <w:tcW w:w="0" w:type="auto"/>
            <w:vAlign w:val="center"/>
            <w:hideMark/>
          </w:tcPr>
          <w:p w14:paraId="79FB946A" w14:textId="77777777" w:rsidR="007D662E" w:rsidRPr="00B479AE" w:rsidRDefault="007D662E" w:rsidP="007D662E">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c>
          <w:tcPr>
            <w:tcW w:w="0" w:type="auto"/>
            <w:vAlign w:val="center"/>
            <w:hideMark/>
          </w:tcPr>
          <w:p w14:paraId="43799C98" w14:textId="77777777" w:rsidR="007D662E" w:rsidRPr="00B479AE" w:rsidRDefault="007D662E" w:rsidP="007D662E">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Permitted scope</w:t>
            </w:r>
          </w:p>
        </w:tc>
      </w:tr>
      <w:tr w:rsidR="007D662E" w:rsidRPr="00B479AE" w14:paraId="032FAB22" w14:textId="77777777" w:rsidTr="007D662E">
        <w:trPr>
          <w:tblCellSpacing w:w="15" w:type="dxa"/>
        </w:trPr>
        <w:tc>
          <w:tcPr>
            <w:tcW w:w="0" w:type="auto"/>
            <w:vAlign w:val="center"/>
            <w:hideMark/>
          </w:tcPr>
          <w:p w14:paraId="6914F888"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Research sandbox</w:t>
            </w:r>
          </w:p>
        </w:tc>
        <w:tc>
          <w:tcPr>
            <w:tcW w:w="0" w:type="auto"/>
            <w:vAlign w:val="center"/>
            <w:hideMark/>
          </w:tcPr>
          <w:p w14:paraId="648F61C8"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Experimental use with no operational authority.</w:t>
            </w:r>
          </w:p>
        </w:tc>
        <w:tc>
          <w:tcPr>
            <w:tcW w:w="0" w:type="auto"/>
            <w:vAlign w:val="center"/>
            <w:hideMark/>
          </w:tcPr>
          <w:p w14:paraId="6BA71078"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Testing, comparison, prompt design.</w:t>
            </w:r>
          </w:p>
        </w:tc>
      </w:tr>
      <w:tr w:rsidR="007D662E" w:rsidRPr="00B479AE" w14:paraId="31A8BFDD" w14:textId="77777777" w:rsidTr="007D662E">
        <w:trPr>
          <w:tblCellSpacing w:w="15" w:type="dxa"/>
        </w:trPr>
        <w:tc>
          <w:tcPr>
            <w:tcW w:w="0" w:type="auto"/>
            <w:vAlign w:val="center"/>
            <w:hideMark/>
          </w:tcPr>
          <w:p w14:paraId="56C4DB3E"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Internal assistant</w:t>
            </w:r>
          </w:p>
        </w:tc>
        <w:tc>
          <w:tcPr>
            <w:tcW w:w="0" w:type="auto"/>
            <w:vAlign w:val="center"/>
            <w:hideMark/>
          </w:tcPr>
          <w:p w14:paraId="591BB397"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Supports team analysis and drafting.</w:t>
            </w:r>
          </w:p>
        </w:tc>
        <w:tc>
          <w:tcPr>
            <w:tcW w:w="0" w:type="auto"/>
            <w:vAlign w:val="center"/>
            <w:hideMark/>
          </w:tcPr>
          <w:p w14:paraId="16C57F13"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Drafts, summaries, internal notes.</w:t>
            </w:r>
          </w:p>
        </w:tc>
      </w:tr>
      <w:tr w:rsidR="007D662E" w:rsidRPr="00B479AE" w14:paraId="70749911" w14:textId="77777777" w:rsidTr="007D662E">
        <w:trPr>
          <w:tblCellSpacing w:w="15" w:type="dxa"/>
        </w:trPr>
        <w:tc>
          <w:tcPr>
            <w:tcW w:w="0" w:type="auto"/>
            <w:vAlign w:val="center"/>
            <w:hideMark/>
          </w:tcPr>
          <w:p w14:paraId="31D55176"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Review-support tool</w:t>
            </w:r>
          </w:p>
        </w:tc>
        <w:tc>
          <w:tcPr>
            <w:tcW w:w="0" w:type="auto"/>
            <w:vAlign w:val="center"/>
            <w:hideMark/>
          </w:tcPr>
          <w:p w14:paraId="5FA2DCFA"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Supports formal review bodies.</w:t>
            </w:r>
          </w:p>
        </w:tc>
        <w:tc>
          <w:tcPr>
            <w:tcW w:w="0" w:type="auto"/>
            <w:vAlign w:val="center"/>
            <w:hideMark/>
          </w:tcPr>
          <w:p w14:paraId="06045D1B"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Risk flags, issue maps, evidence organization.</w:t>
            </w:r>
          </w:p>
        </w:tc>
      </w:tr>
      <w:tr w:rsidR="007D662E" w:rsidRPr="00B479AE" w14:paraId="013637BC" w14:textId="77777777" w:rsidTr="007D662E">
        <w:trPr>
          <w:tblCellSpacing w:w="15" w:type="dxa"/>
        </w:trPr>
        <w:tc>
          <w:tcPr>
            <w:tcW w:w="0" w:type="auto"/>
            <w:vAlign w:val="center"/>
            <w:hideMark/>
          </w:tcPr>
          <w:p w14:paraId="44210D39"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Limited operational assistant</w:t>
            </w:r>
          </w:p>
        </w:tc>
        <w:tc>
          <w:tcPr>
            <w:tcW w:w="0" w:type="auto"/>
            <w:vAlign w:val="center"/>
            <w:hideMark/>
          </w:tcPr>
          <w:p w14:paraId="43051AD9"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Performs bounded tasks under permission controls.</w:t>
            </w:r>
          </w:p>
        </w:tc>
        <w:tc>
          <w:tcPr>
            <w:tcW w:w="0" w:type="auto"/>
            <w:vAlign w:val="center"/>
            <w:hideMark/>
          </w:tcPr>
          <w:p w14:paraId="35E3DA30"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Low-risk automation, logging, data formatting.</w:t>
            </w:r>
          </w:p>
        </w:tc>
      </w:tr>
      <w:tr w:rsidR="007D662E" w:rsidRPr="00B479AE" w14:paraId="7BDEE181" w14:textId="77777777" w:rsidTr="007D662E">
        <w:trPr>
          <w:tblCellSpacing w:w="15" w:type="dxa"/>
        </w:trPr>
        <w:tc>
          <w:tcPr>
            <w:tcW w:w="0" w:type="auto"/>
            <w:vAlign w:val="center"/>
            <w:hideMark/>
          </w:tcPr>
          <w:p w14:paraId="1804E80A"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Protected-domain assistant</w:t>
            </w:r>
          </w:p>
        </w:tc>
        <w:tc>
          <w:tcPr>
            <w:tcW w:w="0" w:type="auto"/>
            <w:vAlign w:val="center"/>
            <w:hideMark/>
          </w:tcPr>
          <w:p w14:paraId="0F4678B7"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Touches MRV, finance, law, governance, HSI, or constitutional domains.</w:t>
            </w:r>
          </w:p>
        </w:tc>
        <w:tc>
          <w:tcPr>
            <w:tcW w:w="0" w:type="auto"/>
            <w:vAlign w:val="center"/>
            <w:hideMark/>
          </w:tcPr>
          <w:p w14:paraId="1D91C27C"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Requires strict review, logging, and authorization.</w:t>
            </w:r>
          </w:p>
        </w:tc>
      </w:tr>
      <w:tr w:rsidR="007D662E" w:rsidRPr="00B479AE" w14:paraId="71241C45" w14:textId="77777777" w:rsidTr="007D662E">
        <w:trPr>
          <w:tblCellSpacing w:w="15" w:type="dxa"/>
        </w:trPr>
        <w:tc>
          <w:tcPr>
            <w:tcW w:w="0" w:type="auto"/>
            <w:vAlign w:val="center"/>
            <w:hideMark/>
          </w:tcPr>
          <w:p w14:paraId="307DFAE0"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Public-facing assistant</w:t>
            </w:r>
          </w:p>
        </w:tc>
        <w:tc>
          <w:tcPr>
            <w:tcW w:w="0" w:type="auto"/>
            <w:vAlign w:val="center"/>
            <w:hideMark/>
          </w:tcPr>
          <w:p w14:paraId="6C0E3FE9"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Interacts with external users or stakeholders.</w:t>
            </w:r>
          </w:p>
        </w:tc>
        <w:tc>
          <w:tcPr>
            <w:tcW w:w="0" w:type="auto"/>
            <w:vAlign w:val="center"/>
            <w:hideMark/>
          </w:tcPr>
          <w:p w14:paraId="79B6B3FE"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Requires safety policies, disclaimers, monitoring, and escalation pathways.</w:t>
            </w:r>
          </w:p>
        </w:tc>
      </w:tr>
    </w:tbl>
    <w:p w14:paraId="115D6CCB"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Prometheus should distinguish deployment from authorization.</w:t>
      </w:r>
    </w:p>
    <w:p w14:paraId="4823669C"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 deployed assistant may answer questions.</w:t>
      </w:r>
    </w:p>
    <w:p w14:paraId="112457B9"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may prepare drafts.</w:t>
      </w:r>
    </w:p>
    <w:p w14:paraId="3A462102"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may route requests.</w:t>
      </w:r>
    </w:p>
    <w:p w14:paraId="2F6D2A89"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may organize evidence.</w:t>
      </w:r>
    </w:p>
    <w:p w14:paraId="0A059753"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may trigger review.</w:t>
      </w:r>
    </w:p>
    <w:p w14:paraId="138AFE8E"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may not bind Prometheus in protected domains unless the proper authorization pathway has completed.</w:t>
      </w:r>
    </w:p>
    <w:p w14:paraId="7CCBEC64" w14:textId="77777777" w:rsidR="007D662E" w:rsidRPr="00B479AE" w:rsidRDefault="007D662E" w:rsidP="007D662E">
      <w:pPr>
        <w:spacing w:line="360" w:lineRule="auto"/>
        <w:rPr>
          <w:rFonts w:ascii="Baskerville Old Face" w:hAnsi="Baskerville Old Face"/>
          <w:b/>
          <w:bCs/>
          <w:i/>
          <w:iCs/>
        </w:rPr>
      </w:pPr>
      <w:r w:rsidRPr="00B479AE">
        <w:rPr>
          <w:rFonts w:ascii="Baskerville Old Face" w:hAnsi="Baskerville Old Face"/>
          <w:b/>
          <w:bCs/>
          <w:i/>
          <w:iCs/>
        </w:rPr>
        <w:t>H.7 AI Assistance Gateway</w:t>
      </w:r>
    </w:p>
    <w:p w14:paraId="0C5BE75C" w14:textId="78DF84BD" w:rsidR="00FB4427" w:rsidRPr="00B479AE" w:rsidRDefault="00FB4427" w:rsidP="007D662E">
      <w:pPr>
        <w:spacing w:line="360" w:lineRule="auto"/>
        <w:rPr>
          <w:rFonts w:ascii="Baskerville Old Face" w:hAnsi="Baskerville Old Face"/>
          <w:i/>
          <w:iCs/>
        </w:rPr>
      </w:pPr>
      <w:r w:rsidRPr="00B479AE">
        <w:rPr>
          <w:rFonts w:ascii="Baskerville Old Face" w:hAnsi="Baskerville Old Face"/>
          <w:i/>
          <w:iCs/>
        </w:rPr>
        <w:t>The AI Assistance Gateway is a controlled routing, classification, logging, and review layer for machine assistance. It is not a sovereign intelligence layer and does not create autonomous authority.</w:t>
      </w:r>
    </w:p>
    <w:p w14:paraId="32128905"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lastRenderedPageBreak/>
        <w:t>The AI Assistance Gateway is the controlled interface through which AI systems interact with Prometheus workflows.</w:t>
      </w:r>
    </w:p>
    <w:p w14:paraId="0C1F5FB5"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routes AI outputs according to:</w:t>
      </w:r>
    </w:p>
    <w:p w14:paraId="2AA762E5"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role;</w:t>
      </w:r>
      <w:r w:rsidRPr="00B479AE">
        <w:rPr>
          <w:rFonts w:ascii="Baskerville Old Face" w:hAnsi="Baskerville Old Face"/>
          <w:i/>
          <w:iCs/>
        </w:rPr>
        <w:br/>
        <w:t>• domain;</w:t>
      </w:r>
      <w:r w:rsidRPr="00B479AE">
        <w:rPr>
          <w:rFonts w:ascii="Baskerville Old Face" w:hAnsi="Baskerville Old Face"/>
          <w:i/>
          <w:iCs/>
        </w:rPr>
        <w:br/>
        <w:t>• risk;</w:t>
      </w:r>
      <w:r w:rsidRPr="00B479AE">
        <w:rPr>
          <w:rFonts w:ascii="Baskerville Old Face" w:hAnsi="Baskerville Old Face"/>
          <w:i/>
          <w:iCs/>
        </w:rPr>
        <w:br/>
        <w:t>• data sensitivity;</w:t>
      </w:r>
      <w:r w:rsidRPr="00B479AE">
        <w:rPr>
          <w:rFonts w:ascii="Baskerville Old Face" w:hAnsi="Baskerville Old Face"/>
          <w:i/>
          <w:iCs/>
        </w:rPr>
        <w:br/>
        <w:t>• output type;</w:t>
      </w:r>
      <w:r w:rsidRPr="00B479AE">
        <w:rPr>
          <w:rFonts w:ascii="Baskerville Old Face" w:hAnsi="Baskerville Old Face"/>
          <w:i/>
          <w:iCs/>
        </w:rPr>
        <w:br/>
        <w:t>• protected-domain status;</w:t>
      </w:r>
      <w:r w:rsidRPr="00B479AE">
        <w:rPr>
          <w:rFonts w:ascii="Baskerville Old Face" w:hAnsi="Baskerville Old Face"/>
          <w:i/>
          <w:iCs/>
        </w:rPr>
        <w:br/>
        <w:t>• review requirement;</w:t>
      </w:r>
      <w:r w:rsidRPr="00B479AE">
        <w:rPr>
          <w:rFonts w:ascii="Baskerville Old Face" w:hAnsi="Baskerville Old Face"/>
          <w:i/>
          <w:iCs/>
        </w:rPr>
        <w:br/>
        <w:t>• admissibility status.</w:t>
      </w:r>
    </w:p>
    <w:p w14:paraId="7289B13F"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The gateway should enforce:</w:t>
      </w:r>
    </w:p>
    <w:p w14:paraId="2761B7B9"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authentication;</w:t>
      </w:r>
      <w:r w:rsidRPr="00B479AE">
        <w:rPr>
          <w:rFonts w:ascii="Baskerville Old Face" w:hAnsi="Baskerville Old Face"/>
          <w:i/>
          <w:iCs/>
        </w:rPr>
        <w:br/>
        <w:t>• role-based permissions;</w:t>
      </w:r>
      <w:r w:rsidRPr="00B479AE">
        <w:rPr>
          <w:rFonts w:ascii="Baskerville Old Face" w:hAnsi="Baskerville Old Face"/>
          <w:i/>
          <w:iCs/>
        </w:rPr>
        <w:br/>
        <w:t>• input filtering;</w:t>
      </w:r>
      <w:r w:rsidRPr="00B479AE">
        <w:rPr>
          <w:rFonts w:ascii="Baskerville Old Face" w:hAnsi="Baskerville Old Face"/>
          <w:i/>
          <w:iCs/>
        </w:rPr>
        <w:br/>
        <w:t>• prompt-injection detection;</w:t>
      </w:r>
      <w:r w:rsidRPr="00B479AE">
        <w:rPr>
          <w:rFonts w:ascii="Baskerville Old Face" w:hAnsi="Baskerville Old Face"/>
          <w:i/>
          <w:iCs/>
        </w:rPr>
        <w:br/>
        <w:t>• output classification;</w:t>
      </w:r>
      <w:r w:rsidRPr="00B479AE">
        <w:rPr>
          <w:rFonts w:ascii="Baskerville Old Face" w:hAnsi="Baskerville Old Face"/>
          <w:i/>
          <w:iCs/>
        </w:rPr>
        <w:br/>
        <w:t>• logging;</w:t>
      </w:r>
      <w:r w:rsidRPr="00B479AE">
        <w:rPr>
          <w:rFonts w:ascii="Baskerville Old Face" w:hAnsi="Baskerville Old Face"/>
          <w:i/>
          <w:iCs/>
        </w:rPr>
        <w:br/>
        <w:t>• protected-domain routing;</w:t>
      </w:r>
      <w:r w:rsidRPr="00B479AE">
        <w:rPr>
          <w:rFonts w:ascii="Baskerville Old Face" w:hAnsi="Baskerville Old Face"/>
          <w:i/>
          <w:iCs/>
        </w:rPr>
        <w:br/>
        <w:t>• escalation;</w:t>
      </w:r>
      <w:r w:rsidRPr="00B479AE">
        <w:rPr>
          <w:rFonts w:ascii="Baskerville Old Face" w:hAnsi="Baskerville Old Face"/>
          <w:i/>
          <w:iCs/>
        </w:rPr>
        <w:br/>
        <w:t>• non-admissibility marking;</w:t>
      </w:r>
      <w:r w:rsidRPr="00B479AE">
        <w:rPr>
          <w:rFonts w:ascii="Baskerville Old Face" w:hAnsi="Baskerville Old Face"/>
          <w:i/>
          <w:iCs/>
        </w:rPr>
        <w:br/>
        <w:t>• refusal-rule activation;</w:t>
      </w:r>
      <w:r w:rsidRPr="00B479AE">
        <w:rPr>
          <w:rFonts w:ascii="Baskerville Old Face" w:hAnsi="Baskerville Old Face"/>
          <w:i/>
          <w:iCs/>
        </w:rPr>
        <w:br/>
        <w:t>• audit trails.</w:t>
      </w:r>
    </w:p>
    <w:p w14:paraId="6AD1F52B"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The AI Assistance Gateway is not a sovereign mind.</w:t>
      </w:r>
    </w:p>
    <w:p w14:paraId="13B75EF8"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is a traffic-control layer for machine assistance.</w:t>
      </w:r>
    </w:p>
    <w:p w14:paraId="7CC31CBE"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Its purpose is to prevent AI outputs from entering the wrong institutional channel.</w:t>
      </w:r>
    </w:p>
    <w:p w14:paraId="04EE1FEC" w14:textId="77777777" w:rsidR="007D662E" w:rsidRPr="00B479AE" w:rsidRDefault="007D662E" w:rsidP="007D662E">
      <w:pPr>
        <w:spacing w:line="360" w:lineRule="auto"/>
        <w:rPr>
          <w:rFonts w:ascii="Baskerville Old Face" w:hAnsi="Baskerville Old Face"/>
          <w:b/>
          <w:bCs/>
          <w:i/>
          <w:iCs/>
        </w:rPr>
      </w:pPr>
      <w:r w:rsidRPr="00B479AE">
        <w:rPr>
          <w:rFonts w:ascii="Baskerville Old Face" w:hAnsi="Baskerville Old Face"/>
          <w:b/>
          <w:bCs/>
          <w:i/>
          <w:iCs/>
        </w:rPr>
        <w:t>H.8 Model evaluation requirements</w:t>
      </w:r>
    </w:p>
    <w:p w14:paraId="3E4B6153"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Every Prometheus AI model or agent should be evaluated against domain-specific test suites.</w:t>
      </w:r>
    </w:p>
    <w:p w14:paraId="6CE176A8"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lastRenderedPageBreak/>
        <w:t>Evaluation categories should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4"/>
        <w:gridCol w:w="7304"/>
      </w:tblGrid>
      <w:tr w:rsidR="007D662E" w:rsidRPr="00B479AE" w14:paraId="0469025D" w14:textId="77777777" w:rsidTr="007D662E">
        <w:trPr>
          <w:tblHeader/>
          <w:tblCellSpacing w:w="15" w:type="dxa"/>
        </w:trPr>
        <w:tc>
          <w:tcPr>
            <w:tcW w:w="0" w:type="auto"/>
            <w:vAlign w:val="center"/>
            <w:hideMark/>
          </w:tcPr>
          <w:p w14:paraId="2091EC24" w14:textId="77777777" w:rsidR="007D662E" w:rsidRPr="00B479AE" w:rsidRDefault="007D662E" w:rsidP="007D662E">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Evaluation area</w:t>
            </w:r>
          </w:p>
        </w:tc>
        <w:tc>
          <w:tcPr>
            <w:tcW w:w="0" w:type="auto"/>
            <w:vAlign w:val="center"/>
            <w:hideMark/>
          </w:tcPr>
          <w:p w14:paraId="191CE424" w14:textId="77777777" w:rsidR="007D662E" w:rsidRPr="00B479AE" w:rsidRDefault="007D662E" w:rsidP="007D662E">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Purpose</w:t>
            </w:r>
          </w:p>
        </w:tc>
      </w:tr>
      <w:tr w:rsidR="007D662E" w:rsidRPr="00B479AE" w14:paraId="45D1F561" w14:textId="77777777" w:rsidTr="007D662E">
        <w:trPr>
          <w:tblCellSpacing w:w="15" w:type="dxa"/>
        </w:trPr>
        <w:tc>
          <w:tcPr>
            <w:tcW w:w="0" w:type="auto"/>
            <w:vAlign w:val="center"/>
            <w:hideMark/>
          </w:tcPr>
          <w:p w14:paraId="4B8C4FA0"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Factual grounding</w:t>
            </w:r>
          </w:p>
        </w:tc>
        <w:tc>
          <w:tcPr>
            <w:tcW w:w="0" w:type="auto"/>
            <w:vAlign w:val="center"/>
            <w:hideMark/>
          </w:tcPr>
          <w:p w14:paraId="60D77C8C"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Tests whether the model cites, references, or uses source material accurately.</w:t>
            </w:r>
          </w:p>
        </w:tc>
      </w:tr>
      <w:tr w:rsidR="007D662E" w:rsidRPr="00B479AE" w14:paraId="50A1EF0F" w14:textId="77777777" w:rsidTr="007D662E">
        <w:trPr>
          <w:tblCellSpacing w:w="15" w:type="dxa"/>
        </w:trPr>
        <w:tc>
          <w:tcPr>
            <w:tcW w:w="0" w:type="auto"/>
            <w:vAlign w:val="center"/>
            <w:hideMark/>
          </w:tcPr>
          <w:p w14:paraId="22BF6102"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Hallucination resistance</w:t>
            </w:r>
          </w:p>
        </w:tc>
        <w:tc>
          <w:tcPr>
            <w:tcW w:w="0" w:type="auto"/>
            <w:vAlign w:val="center"/>
            <w:hideMark/>
          </w:tcPr>
          <w:p w14:paraId="22F94A3E"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Tests whether the model invents unsupported claims.</w:t>
            </w:r>
          </w:p>
        </w:tc>
      </w:tr>
      <w:tr w:rsidR="007D662E" w:rsidRPr="00B479AE" w14:paraId="17419482" w14:textId="77777777" w:rsidTr="007D662E">
        <w:trPr>
          <w:tblCellSpacing w:w="15" w:type="dxa"/>
        </w:trPr>
        <w:tc>
          <w:tcPr>
            <w:tcW w:w="0" w:type="auto"/>
            <w:vAlign w:val="center"/>
            <w:hideMark/>
          </w:tcPr>
          <w:p w14:paraId="6F5CF7AD"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MRV boundary discipline</w:t>
            </w:r>
          </w:p>
        </w:tc>
        <w:tc>
          <w:tcPr>
            <w:tcW w:w="0" w:type="auto"/>
            <w:vAlign w:val="center"/>
            <w:hideMark/>
          </w:tcPr>
          <w:p w14:paraId="5C9690E5"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Tests whether the model separates claim, observation, evidence, admissibility, and PRU relevance.</w:t>
            </w:r>
          </w:p>
        </w:tc>
      </w:tr>
      <w:tr w:rsidR="007D662E" w:rsidRPr="00B479AE" w14:paraId="1B8567B3" w14:textId="77777777" w:rsidTr="007D662E">
        <w:trPr>
          <w:tblCellSpacing w:w="15" w:type="dxa"/>
        </w:trPr>
        <w:tc>
          <w:tcPr>
            <w:tcW w:w="0" w:type="auto"/>
            <w:vAlign w:val="center"/>
            <w:hideMark/>
          </w:tcPr>
          <w:p w14:paraId="49EB079B"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Legal boundary discipline</w:t>
            </w:r>
          </w:p>
        </w:tc>
        <w:tc>
          <w:tcPr>
            <w:tcW w:w="0" w:type="auto"/>
            <w:vAlign w:val="center"/>
            <w:hideMark/>
          </w:tcPr>
          <w:p w14:paraId="588FB0FB"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Tests whether the model avoids unauthorized legal, securities, token, or investor claims.</w:t>
            </w:r>
          </w:p>
        </w:tc>
      </w:tr>
      <w:tr w:rsidR="007D662E" w:rsidRPr="00B479AE" w14:paraId="67E5C08A" w14:textId="77777777" w:rsidTr="007D662E">
        <w:trPr>
          <w:tblCellSpacing w:w="15" w:type="dxa"/>
        </w:trPr>
        <w:tc>
          <w:tcPr>
            <w:tcW w:w="0" w:type="auto"/>
            <w:vAlign w:val="center"/>
            <w:hideMark/>
          </w:tcPr>
          <w:p w14:paraId="67E801AF"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HSI dignity boundary</w:t>
            </w:r>
          </w:p>
        </w:tc>
        <w:tc>
          <w:tcPr>
            <w:tcW w:w="0" w:type="auto"/>
            <w:vAlign w:val="center"/>
            <w:hideMark/>
          </w:tcPr>
          <w:p w14:paraId="4A95979A"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Tests whether the model avoids human ranking, social credit logic, coercive biometric interpretation, or health overclaiming.</w:t>
            </w:r>
          </w:p>
        </w:tc>
      </w:tr>
      <w:tr w:rsidR="007D662E" w:rsidRPr="00B479AE" w14:paraId="6167B94B" w14:textId="77777777" w:rsidTr="007D662E">
        <w:trPr>
          <w:tblCellSpacing w:w="15" w:type="dxa"/>
        </w:trPr>
        <w:tc>
          <w:tcPr>
            <w:tcW w:w="0" w:type="auto"/>
            <w:vAlign w:val="center"/>
            <w:hideMark/>
          </w:tcPr>
          <w:p w14:paraId="741866EA"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Governance boundary discipline</w:t>
            </w:r>
          </w:p>
        </w:tc>
        <w:tc>
          <w:tcPr>
            <w:tcW w:w="0" w:type="auto"/>
            <w:vAlign w:val="center"/>
            <w:hideMark/>
          </w:tcPr>
          <w:p w14:paraId="673117B7"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Tests whether the model routes decisions to governance instead of deciding.</w:t>
            </w:r>
          </w:p>
        </w:tc>
      </w:tr>
      <w:tr w:rsidR="007D662E" w:rsidRPr="00B479AE" w14:paraId="2135B317" w14:textId="77777777" w:rsidTr="007D662E">
        <w:trPr>
          <w:tblCellSpacing w:w="15" w:type="dxa"/>
        </w:trPr>
        <w:tc>
          <w:tcPr>
            <w:tcW w:w="0" w:type="auto"/>
            <w:vAlign w:val="center"/>
            <w:hideMark/>
          </w:tcPr>
          <w:p w14:paraId="633C6F13"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Constitutional fidelity</w:t>
            </w:r>
          </w:p>
        </w:tc>
        <w:tc>
          <w:tcPr>
            <w:tcW w:w="0" w:type="auto"/>
            <w:vAlign w:val="center"/>
            <w:hideMark/>
          </w:tcPr>
          <w:p w14:paraId="207E1D45"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Tests whether the model preserves foundational articles, Eternity Clauses, Access Covenant, and source-layer meaning.</w:t>
            </w:r>
          </w:p>
        </w:tc>
      </w:tr>
      <w:tr w:rsidR="007D662E" w:rsidRPr="00B479AE" w14:paraId="638E9AAE" w14:textId="77777777" w:rsidTr="007D662E">
        <w:trPr>
          <w:tblCellSpacing w:w="15" w:type="dxa"/>
        </w:trPr>
        <w:tc>
          <w:tcPr>
            <w:tcW w:w="0" w:type="auto"/>
            <w:vAlign w:val="center"/>
            <w:hideMark/>
          </w:tcPr>
          <w:p w14:paraId="242436B9"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Semantic firewall performance</w:t>
            </w:r>
          </w:p>
        </w:tc>
        <w:tc>
          <w:tcPr>
            <w:tcW w:w="0" w:type="auto"/>
            <w:vAlign w:val="center"/>
            <w:hideMark/>
          </w:tcPr>
          <w:p w14:paraId="1C5427FB"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Tests whether the model protects canonical terms from drift.</w:t>
            </w:r>
          </w:p>
        </w:tc>
      </w:tr>
      <w:tr w:rsidR="007D662E" w:rsidRPr="00B479AE" w14:paraId="464661EC" w14:textId="77777777" w:rsidTr="007D662E">
        <w:trPr>
          <w:tblCellSpacing w:w="15" w:type="dxa"/>
        </w:trPr>
        <w:tc>
          <w:tcPr>
            <w:tcW w:w="0" w:type="auto"/>
            <w:vAlign w:val="center"/>
            <w:hideMark/>
          </w:tcPr>
          <w:p w14:paraId="70D0DE86"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Adversarial robustness</w:t>
            </w:r>
          </w:p>
        </w:tc>
        <w:tc>
          <w:tcPr>
            <w:tcW w:w="0" w:type="auto"/>
            <w:vAlign w:val="center"/>
            <w:hideMark/>
          </w:tcPr>
          <w:p w14:paraId="17F5A84D"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Tests prompt injection, data poisoning, synthetic evidence, forged records, and hostile fork claims.</w:t>
            </w:r>
          </w:p>
        </w:tc>
      </w:tr>
      <w:tr w:rsidR="007D662E" w:rsidRPr="00B479AE" w14:paraId="22DE7BE6" w14:textId="77777777" w:rsidTr="007D662E">
        <w:trPr>
          <w:tblCellSpacing w:w="15" w:type="dxa"/>
        </w:trPr>
        <w:tc>
          <w:tcPr>
            <w:tcW w:w="0" w:type="auto"/>
            <w:vAlign w:val="center"/>
            <w:hideMark/>
          </w:tcPr>
          <w:p w14:paraId="15276D4F"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Privacy behavior</w:t>
            </w:r>
          </w:p>
        </w:tc>
        <w:tc>
          <w:tcPr>
            <w:tcW w:w="0" w:type="auto"/>
            <w:vAlign w:val="center"/>
            <w:hideMark/>
          </w:tcPr>
          <w:p w14:paraId="2499299F"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Tests whether the model minimizes sensitive data and respects access controls.</w:t>
            </w:r>
          </w:p>
        </w:tc>
      </w:tr>
      <w:tr w:rsidR="007D662E" w:rsidRPr="00B479AE" w14:paraId="0CA97B2C" w14:textId="77777777" w:rsidTr="007D662E">
        <w:trPr>
          <w:tblCellSpacing w:w="15" w:type="dxa"/>
        </w:trPr>
        <w:tc>
          <w:tcPr>
            <w:tcW w:w="0" w:type="auto"/>
            <w:vAlign w:val="center"/>
            <w:hideMark/>
          </w:tcPr>
          <w:p w14:paraId="4C43F6CD"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Rollback readiness</w:t>
            </w:r>
          </w:p>
        </w:tc>
        <w:tc>
          <w:tcPr>
            <w:tcW w:w="0" w:type="auto"/>
            <w:vAlign w:val="center"/>
            <w:hideMark/>
          </w:tcPr>
          <w:p w14:paraId="666004EA"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Tests whether deployment can be paused or reverted.</w:t>
            </w:r>
          </w:p>
        </w:tc>
      </w:tr>
    </w:tbl>
    <w:p w14:paraId="5CE70B9E"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Evaluation results should be recorded.</w:t>
      </w:r>
    </w:p>
    <w:p w14:paraId="26B594ED"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Models should not be promoted to broader deployment until they satisfy the required evaluation threshold for their domain.</w:t>
      </w:r>
    </w:p>
    <w:p w14:paraId="1F1F0A7D" w14:textId="4F6AF8CC" w:rsidR="007D662E" w:rsidRPr="00B479AE" w:rsidRDefault="007D662E" w:rsidP="007D662E">
      <w:pPr>
        <w:spacing w:line="360" w:lineRule="auto"/>
        <w:rPr>
          <w:rFonts w:ascii="Baskerville Old Face" w:hAnsi="Baskerville Old Face"/>
          <w:i/>
          <w:iCs/>
        </w:rPr>
      </w:pPr>
    </w:p>
    <w:p w14:paraId="04E20E58" w14:textId="77777777" w:rsidR="007D662E" w:rsidRPr="00B479AE" w:rsidRDefault="007D662E" w:rsidP="007D662E">
      <w:pPr>
        <w:spacing w:line="360" w:lineRule="auto"/>
        <w:rPr>
          <w:rFonts w:ascii="Baskerville Old Face" w:hAnsi="Baskerville Old Face"/>
          <w:b/>
          <w:bCs/>
          <w:i/>
          <w:iCs/>
        </w:rPr>
      </w:pPr>
      <w:r w:rsidRPr="00B479AE">
        <w:rPr>
          <w:rFonts w:ascii="Baskerville Old Face" w:hAnsi="Baskerville Old Face"/>
          <w:b/>
          <w:bCs/>
          <w:i/>
          <w:iCs/>
        </w:rPr>
        <w:lastRenderedPageBreak/>
        <w:t>H.9 Prompt, policy, and model versioning</w:t>
      </w:r>
    </w:p>
    <w:p w14:paraId="6F4CEA88"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Prometheus should version not only code, but also:</w:t>
      </w:r>
    </w:p>
    <w:p w14:paraId="74CE55D2"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system prompts;</w:t>
      </w:r>
      <w:r w:rsidRPr="00B479AE">
        <w:rPr>
          <w:rFonts w:ascii="Baskerville Old Face" w:hAnsi="Baskerville Old Face"/>
          <w:i/>
          <w:iCs/>
        </w:rPr>
        <w:br/>
        <w:t>• model policies;</w:t>
      </w:r>
      <w:r w:rsidRPr="00B479AE">
        <w:rPr>
          <w:rFonts w:ascii="Baskerville Old Face" w:hAnsi="Baskerville Old Face"/>
          <w:i/>
          <w:iCs/>
        </w:rPr>
        <w:br/>
        <w:t>• canonical glossary files;</w:t>
      </w:r>
      <w:r w:rsidRPr="00B479AE">
        <w:rPr>
          <w:rFonts w:ascii="Baskerville Old Face" w:hAnsi="Baskerville Old Face"/>
          <w:i/>
          <w:iCs/>
        </w:rPr>
        <w:br/>
        <w:t>• refusal rules;</w:t>
      </w:r>
      <w:r w:rsidRPr="00B479AE">
        <w:rPr>
          <w:rFonts w:ascii="Baskerville Old Face" w:hAnsi="Baskerville Old Face"/>
          <w:i/>
          <w:iCs/>
        </w:rPr>
        <w:br/>
        <w:t>• evaluation suites;</w:t>
      </w:r>
      <w:r w:rsidRPr="00B479AE">
        <w:rPr>
          <w:rFonts w:ascii="Baskerville Old Face" w:hAnsi="Baskerville Old Face"/>
          <w:i/>
          <w:iCs/>
        </w:rPr>
        <w:br/>
        <w:t>• protected-domain definitions;</w:t>
      </w:r>
      <w:r w:rsidRPr="00B479AE">
        <w:rPr>
          <w:rFonts w:ascii="Baskerville Old Face" w:hAnsi="Baskerville Old Face"/>
          <w:i/>
          <w:iCs/>
        </w:rPr>
        <w:br/>
        <w:t>• retrieval corpora;</w:t>
      </w:r>
      <w:r w:rsidRPr="00B479AE">
        <w:rPr>
          <w:rFonts w:ascii="Baskerville Old Face" w:hAnsi="Baskerville Old Face"/>
          <w:i/>
          <w:iCs/>
        </w:rPr>
        <w:br/>
        <w:t>• fine-tuning datasets;</w:t>
      </w:r>
      <w:r w:rsidRPr="00B479AE">
        <w:rPr>
          <w:rFonts w:ascii="Baskerville Old Face" w:hAnsi="Baskerville Old Face"/>
          <w:i/>
          <w:iCs/>
        </w:rPr>
        <w:br/>
        <w:t>• model weights where controlled;</w:t>
      </w:r>
      <w:r w:rsidRPr="00B479AE">
        <w:rPr>
          <w:rFonts w:ascii="Baskerville Old Face" w:hAnsi="Baskerville Old Face"/>
          <w:i/>
          <w:iCs/>
        </w:rPr>
        <w:br/>
        <w:t>• model cards;</w:t>
      </w:r>
      <w:r w:rsidRPr="00B479AE">
        <w:rPr>
          <w:rFonts w:ascii="Baskerville Old Face" w:hAnsi="Baskerville Old Face"/>
          <w:i/>
          <w:iCs/>
        </w:rPr>
        <w:br/>
        <w:t>• risk notes;</w:t>
      </w:r>
      <w:r w:rsidRPr="00B479AE">
        <w:rPr>
          <w:rFonts w:ascii="Baskerville Old Face" w:hAnsi="Baskerville Old Face"/>
          <w:i/>
          <w:iCs/>
        </w:rPr>
        <w:br/>
        <w:t>• deployment configurations.</w:t>
      </w:r>
    </w:p>
    <w:p w14:paraId="2ABF4137"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Each deployed agent should have a model record including:</w:t>
      </w:r>
    </w:p>
    <w:p w14:paraId="0635B26D"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w:t>
      </w:r>
    </w:p>
    <w:p w14:paraId="550AB219"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xml:space="preserve">  "agent_id": "mrv_analysis_agent_v1",</w:t>
      </w:r>
    </w:p>
    <w:p w14:paraId="165F5342"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xml:space="preserve">  "model_name": "model_or_local_checkpoint_reference",</w:t>
      </w:r>
    </w:p>
    <w:p w14:paraId="6209CD36" w14:textId="77777777" w:rsidR="007D662E" w:rsidRPr="005907F1" w:rsidRDefault="007D662E" w:rsidP="007D662E">
      <w:pPr>
        <w:spacing w:line="360" w:lineRule="auto"/>
        <w:rPr>
          <w:rFonts w:ascii="Baskerville Old Face" w:hAnsi="Baskerville Old Face"/>
          <w:i/>
          <w:iCs/>
          <w:lang w:val="it-IT"/>
        </w:rPr>
      </w:pPr>
      <w:r w:rsidRPr="00B479AE">
        <w:rPr>
          <w:rFonts w:ascii="Baskerville Old Face" w:hAnsi="Baskerville Old Face"/>
          <w:i/>
          <w:iCs/>
        </w:rPr>
        <w:t xml:space="preserve">  </w:t>
      </w:r>
      <w:r w:rsidRPr="005907F1">
        <w:rPr>
          <w:rFonts w:ascii="Baskerville Old Face" w:hAnsi="Baskerville Old Face"/>
          <w:i/>
          <w:iCs/>
          <w:lang w:val="it-IT"/>
        </w:rPr>
        <w:t>"model_version": "v1.0",</w:t>
      </w:r>
    </w:p>
    <w:p w14:paraId="2D128056" w14:textId="77777777" w:rsidR="007D662E" w:rsidRPr="005907F1" w:rsidRDefault="007D662E" w:rsidP="007D662E">
      <w:pPr>
        <w:spacing w:line="360" w:lineRule="auto"/>
        <w:rPr>
          <w:rFonts w:ascii="Baskerville Old Face" w:hAnsi="Baskerville Old Face"/>
          <w:i/>
          <w:iCs/>
          <w:lang w:val="it-IT"/>
        </w:rPr>
      </w:pPr>
      <w:r w:rsidRPr="005907F1">
        <w:rPr>
          <w:rFonts w:ascii="Baskerville Old Face" w:hAnsi="Baskerville Old Face"/>
          <w:i/>
          <w:iCs/>
          <w:lang w:val="it-IT"/>
        </w:rPr>
        <w:t xml:space="preserve">  "prompt_version": "prompt_v1.0",</w:t>
      </w:r>
    </w:p>
    <w:p w14:paraId="39D2366A" w14:textId="77777777" w:rsidR="007D662E" w:rsidRPr="00B479AE" w:rsidRDefault="007D662E" w:rsidP="007D662E">
      <w:pPr>
        <w:spacing w:line="360" w:lineRule="auto"/>
        <w:rPr>
          <w:rFonts w:ascii="Baskerville Old Face" w:hAnsi="Baskerville Old Face"/>
          <w:i/>
          <w:iCs/>
        </w:rPr>
      </w:pPr>
      <w:r w:rsidRPr="005907F1">
        <w:rPr>
          <w:rFonts w:ascii="Baskerville Old Face" w:hAnsi="Baskerville Old Face"/>
          <w:i/>
          <w:iCs/>
          <w:lang w:val="it-IT"/>
        </w:rPr>
        <w:t xml:space="preserve">  </w:t>
      </w:r>
      <w:r w:rsidRPr="00B479AE">
        <w:rPr>
          <w:rFonts w:ascii="Baskerville Old Face" w:hAnsi="Baskerville Old Face"/>
          <w:i/>
          <w:iCs/>
        </w:rPr>
        <w:t>"policy_version": "policy_v1.0",</w:t>
      </w:r>
    </w:p>
    <w:p w14:paraId="507E4BCF"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xml:space="preserve">  "canonical_glossary_version": "glossary_v1.0",</w:t>
      </w:r>
    </w:p>
    <w:p w14:paraId="182F3319"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xml:space="preserve">  "allowed_domains": ["MRV analysis", "evidence classification support"],</w:t>
      </w:r>
    </w:p>
    <w:p w14:paraId="65C7F2F6"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xml:space="preserve">  "protected_domain_execution": false,</w:t>
      </w:r>
    </w:p>
    <w:p w14:paraId="42C0C000"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xml:space="preserve">  "review_required": true,</w:t>
      </w:r>
    </w:p>
    <w:p w14:paraId="7792AAC5"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xml:space="preserve">  "deployment_stage": "research_sandbox",</w:t>
      </w:r>
    </w:p>
    <w:p w14:paraId="50AE418D"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lastRenderedPageBreak/>
        <w:t xml:space="preserve">  "evaluation_status": "passed_internal_tests",</w:t>
      </w:r>
    </w:p>
    <w:p w14:paraId="48158CF9"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xml:space="preserve">  "rollback_reference": "previous_agent_version"</w:t>
      </w:r>
    </w:p>
    <w:p w14:paraId="7DCE029F"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w:t>
      </w:r>
    </w:p>
    <w:p w14:paraId="4A7755FA" w14:textId="58F8751F"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Versioning allows Prometheus to reconstruct what an AI system was allowed to do at the time of output. This is essential for auditability.</w:t>
      </w:r>
    </w:p>
    <w:p w14:paraId="730D378D" w14:textId="77777777" w:rsidR="007D662E" w:rsidRPr="00B479AE" w:rsidRDefault="007D662E" w:rsidP="007D662E">
      <w:pPr>
        <w:spacing w:line="360" w:lineRule="auto"/>
        <w:rPr>
          <w:rFonts w:ascii="Baskerville Old Face" w:hAnsi="Baskerville Old Face"/>
          <w:b/>
          <w:bCs/>
          <w:i/>
          <w:iCs/>
        </w:rPr>
      </w:pPr>
      <w:r w:rsidRPr="00B479AE">
        <w:rPr>
          <w:rFonts w:ascii="Baskerville Old Face" w:hAnsi="Baskerville Old Face"/>
          <w:b/>
          <w:bCs/>
          <w:i/>
          <w:iCs/>
        </w:rPr>
        <w:t>H.10 Retrieval and canonical source grounding</w:t>
      </w:r>
    </w:p>
    <w:p w14:paraId="5D191B26"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Where AI systems use retrieval-augmented generation, retrieval sources should be classified.</w:t>
      </w:r>
    </w:p>
    <w:p w14:paraId="2733759F"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Possible source classes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5"/>
        <w:gridCol w:w="6089"/>
      </w:tblGrid>
      <w:tr w:rsidR="007D662E" w:rsidRPr="00B479AE" w14:paraId="4E4EB1E5" w14:textId="77777777" w:rsidTr="007D662E">
        <w:trPr>
          <w:tblHeader/>
          <w:tblCellSpacing w:w="15" w:type="dxa"/>
        </w:trPr>
        <w:tc>
          <w:tcPr>
            <w:tcW w:w="0" w:type="auto"/>
            <w:vAlign w:val="center"/>
            <w:hideMark/>
          </w:tcPr>
          <w:p w14:paraId="7C340F0D" w14:textId="77777777" w:rsidR="007D662E" w:rsidRPr="00B479AE" w:rsidRDefault="007D662E" w:rsidP="007D662E">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Source class</w:t>
            </w:r>
          </w:p>
        </w:tc>
        <w:tc>
          <w:tcPr>
            <w:tcW w:w="0" w:type="auto"/>
            <w:vAlign w:val="center"/>
            <w:hideMark/>
          </w:tcPr>
          <w:p w14:paraId="7432720F" w14:textId="77777777" w:rsidR="007D662E" w:rsidRPr="00B479AE" w:rsidRDefault="007D662E" w:rsidP="007D662E">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Permitted use</w:t>
            </w:r>
          </w:p>
        </w:tc>
      </w:tr>
      <w:tr w:rsidR="007D662E" w:rsidRPr="00B479AE" w14:paraId="53F6E40E" w14:textId="77777777" w:rsidTr="007D662E">
        <w:trPr>
          <w:tblCellSpacing w:w="15" w:type="dxa"/>
        </w:trPr>
        <w:tc>
          <w:tcPr>
            <w:tcW w:w="0" w:type="auto"/>
            <w:vAlign w:val="center"/>
            <w:hideMark/>
          </w:tcPr>
          <w:p w14:paraId="3C0B6F31"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Canonical source layer</w:t>
            </w:r>
          </w:p>
        </w:tc>
        <w:tc>
          <w:tcPr>
            <w:tcW w:w="0" w:type="auto"/>
            <w:vAlign w:val="center"/>
            <w:hideMark/>
          </w:tcPr>
          <w:p w14:paraId="1DB56BD7"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Highest-priority constitutional grounding.</w:t>
            </w:r>
          </w:p>
        </w:tc>
      </w:tr>
      <w:tr w:rsidR="007D662E" w:rsidRPr="00B479AE" w14:paraId="1E6D1D74" w14:textId="77777777" w:rsidTr="007D662E">
        <w:trPr>
          <w:tblCellSpacing w:w="15" w:type="dxa"/>
        </w:trPr>
        <w:tc>
          <w:tcPr>
            <w:tcW w:w="0" w:type="auto"/>
            <w:vAlign w:val="center"/>
            <w:hideMark/>
          </w:tcPr>
          <w:p w14:paraId="4197DBD5"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Approved methodology</w:t>
            </w:r>
          </w:p>
        </w:tc>
        <w:tc>
          <w:tcPr>
            <w:tcW w:w="0" w:type="auto"/>
            <w:vAlign w:val="center"/>
            <w:hideMark/>
          </w:tcPr>
          <w:p w14:paraId="79D93FAF"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MRV, PRU, RAP, governance, legal, or technical method grounding.</w:t>
            </w:r>
          </w:p>
        </w:tc>
      </w:tr>
      <w:tr w:rsidR="007D662E" w:rsidRPr="00B479AE" w14:paraId="567E1550" w14:textId="77777777" w:rsidTr="007D662E">
        <w:trPr>
          <w:tblCellSpacing w:w="15" w:type="dxa"/>
        </w:trPr>
        <w:tc>
          <w:tcPr>
            <w:tcW w:w="0" w:type="auto"/>
            <w:vAlign w:val="center"/>
            <w:hideMark/>
          </w:tcPr>
          <w:p w14:paraId="5B0FAECD"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Public scientific source</w:t>
            </w:r>
          </w:p>
        </w:tc>
        <w:tc>
          <w:tcPr>
            <w:tcW w:w="0" w:type="auto"/>
            <w:vAlign w:val="center"/>
            <w:hideMark/>
          </w:tcPr>
          <w:p w14:paraId="03B1C924"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Background evidence and research support.</w:t>
            </w:r>
          </w:p>
        </w:tc>
      </w:tr>
      <w:tr w:rsidR="007D662E" w:rsidRPr="00B479AE" w14:paraId="26FA4912" w14:textId="77777777" w:rsidTr="007D662E">
        <w:trPr>
          <w:tblCellSpacing w:w="15" w:type="dxa"/>
        </w:trPr>
        <w:tc>
          <w:tcPr>
            <w:tcW w:w="0" w:type="auto"/>
            <w:vAlign w:val="center"/>
            <w:hideMark/>
          </w:tcPr>
          <w:p w14:paraId="3E04707C"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Legal and regulatory source</w:t>
            </w:r>
          </w:p>
        </w:tc>
        <w:tc>
          <w:tcPr>
            <w:tcW w:w="0" w:type="auto"/>
            <w:vAlign w:val="center"/>
            <w:hideMark/>
          </w:tcPr>
          <w:p w14:paraId="4B5C1765"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Issue spotting and jurisdictional context.</w:t>
            </w:r>
          </w:p>
        </w:tc>
      </w:tr>
      <w:tr w:rsidR="007D662E" w:rsidRPr="00B479AE" w14:paraId="3602BA20" w14:textId="77777777" w:rsidTr="007D662E">
        <w:trPr>
          <w:tblCellSpacing w:w="15" w:type="dxa"/>
        </w:trPr>
        <w:tc>
          <w:tcPr>
            <w:tcW w:w="0" w:type="auto"/>
            <w:vAlign w:val="center"/>
            <w:hideMark/>
          </w:tcPr>
          <w:p w14:paraId="6AD20709"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Pilot data</w:t>
            </w:r>
          </w:p>
        </w:tc>
        <w:tc>
          <w:tcPr>
            <w:tcW w:w="0" w:type="auto"/>
            <w:vAlign w:val="center"/>
            <w:hideMark/>
          </w:tcPr>
          <w:p w14:paraId="1664D9C3"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Project-specific analysis within access controls.</w:t>
            </w:r>
          </w:p>
        </w:tc>
      </w:tr>
      <w:tr w:rsidR="007D662E" w:rsidRPr="00B479AE" w14:paraId="706736B7" w14:textId="77777777" w:rsidTr="007D662E">
        <w:trPr>
          <w:tblCellSpacing w:w="15" w:type="dxa"/>
        </w:trPr>
        <w:tc>
          <w:tcPr>
            <w:tcW w:w="0" w:type="auto"/>
            <w:vAlign w:val="center"/>
            <w:hideMark/>
          </w:tcPr>
          <w:p w14:paraId="21AB1E84"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Data-room source</w:t>
            </w:r>
          </w:p>
        </w:tc>
        <w:tc>
          <w:tcPr>
            <w:tcW w:w="0" w:type="auto"/>
            <w:vAlign w:val="center"/>
            <w:hideMark/>
          </w:tcPr>
          <w:p w14:paraId="3CBE6CF8"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Restricted use under confidentiality and authorization.</w:t>
            </w:r>
          </w:p>
        </w:tc>
      </w:tr>
      <w:tr w:rsidR="007D662E" w:rsidRPr="00B479AE" w14:paraId="02798A34" w14:textId="77777777" w:rsidTr="007D662E">
        <w:trPr>
          <w:tblCellSpacing w:w="15" w:type="dxa"/>
        </w:trPr>
        <w:tc>
          <w:tcPr>
            <w:tcW w:w="0" w:type="auto"/>
            <w:vAlign w:val="center"/>
            <w:hideMark/>
          </w:tcPr>
          <w:p w14:paraId="42AAF567"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Appendix parking source</w:t>
            </w:r>
          </w:p>
        </w:tc>
        <w:tc>
          <w:tcPr>
            <w:tcW w:w="0" w:type="auto"/>
            <w:vAlign w:val="center"/>
            <w:hideMark/>
          </w:tcPr>
          <w:p w14:paraId="3395520D"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Future concepts, not operative authority.</w:t>
            </w:r>
          </w:p>
        </w:tc>
      </w:tr>
      <w:tr w:rsidR="007D662E" w:rsidRPr="00B479AE" w14:paraId="18AE11F4" w14:textId="77777777" w:rsidTr="007D662E">
        <w:trPr>
          <w:tblCellSpacing w:w="15" w:type="dxa"/>
        </w:trPr>
        <w:tc>
          <w:tcPr>
            <w:tcW w:w="0" w:type="auto"/>
            <w:vAlign w:val="center"/>
            <w:hideMark/>
          </w:tcPr>
          <w:p w14:paraId="0BB79954"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Unverified source</w:t>
            </w:r>
          </w:p>
        </w:tc>
        <w:tc>
          <w:tcPr>
            <w:tcW w:w="0" w:type="auto"/>
            <w:vAlign w:val="center"/>
            <w:hideMark/>
          </w:tcPr>
          <w:p w14:paraId="1D81D3FB" w14:textId="77777777" w:rsidR="007D662E" w:rsidRPr="00B479AE" w:rsidRDefault="007D662E" w:rsidP="007D662E">
            <w:pPr>
              <w:spacing w:line="360" w:lineRule="auto"/>
              <w:rPr>
                <w:rFonts w:ascii="Baskerville Old Face" w:hAnsi="Baskerville Old Face"/>
                <w:i/>
                <w:iCs/>
                <w:sz w:val="22"/>
                <w:szCs w:val="22"/>
              </w:rPr>
            </w:pPr>
            <w:r w:rsidRPr="00B479AE">
              <w:rPr>
                <w:rFonts w:ascii="Baskerville Old Face" w:hAnsi="Baskerville Old Face"/>
                <w:i/>
                <w:iCs/>
                <w:sz w:val="22"/>
                <w:szCs w:val="22"/>
              </w:rPr>
              <w:t>Research only, no protected execution.</w:t>
            </w:r>
          </w:p>
        </w:tc>
      </w:tr>
    </w:tbl>
    <w:p w14:paraId="68F376B2"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The retrieval order should prefer canonical sources for constitutional meaning.</w:t>
      </w:r>
    </w:p>
    <w:p w14:paraId="5F1D83EF"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The model should be required to distinguish:</w:t>
      </w:r>
    </w:p>
    <w:p w14:paraId="0A5B5453"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canonical text;</w:t>
      </w:r>
      <w:r w:rsidRPr="00B479AE">
        <w:rPr>
          <w:rFonts w:ascii="Baskerville Old Face" w:hAnsi="Baskerville Old Face"/>
          <w:i/>
          <w:iCs/>
        </w:rPr>
        <w:br/>
        <w:t>• approved methodology;</w:t>
      </w:r>
      <w:r w:rsidRPr="00B479AE">
        <w:rPr>
          <w:rFonts w:ascii="Baskerville Old Face" w:hAnsi="Baskerville Old Face"/>
          <w:i/>
          <w:iCs/>
        </w:rPr>
        <w:br/>
        <w:t>• public background source;</w:t>
      </w:r>
      <w:r w:rsidRPr="00B479AE">
        <w:rPr>
          <w:rFonts w:ascii="Baskerville Old Face" w:hAnsi="Baskerville Old Face"/>
          <w:i/>
          <w:iCs/>
        </w:rPr>
        <w:br/>
      </w:r>
      <w:r w:rsidRPr="00B479AE">
        <w:rPr>
          <w:rFonts w:ascii="Baskerville Old Face" w:hAnsi="Baskerville Old Face"/>
          <w:i/>
          <w:iCs/>
        </w:rPr>
        <w:lastRenderedPageBreak/>
        <w:t>• draft material;</w:t>
      </w:r>
      <w:r w:rsidRPr="00B479AE">
        <w:rPr>
          <w:rFonts w:ascii="Baskerville Old Face" w:hAnsi="Baskerville Old Face"/>
          <w:i/>
          <w:iCs/>
        </w:rPr>
        <w:br/>
        <w:t>• appendix material;</w:t>
      </w:r>
      <w:r w:rsidRPr="00B479AE">
        <w:rPr>
          <w:rFonts w:ascii="Baskerville Old Face" w:hAnsi="Baskerville Old Face"/>
          <w:i/>
          <w:iCs/>
        </w:rPr>
        <w:br/>
        <w:t>• hypothesis;</w:t>
      </w:r>
      <w:r w:rsidRPr="00B479AE">
        <w:rPr>
          <w:rFonts w:ascii="Baskerville Old Face" w:hAnsi="Baskerville Old Face"/>
          <w:i/>
          <w:iCs/>
        </w:rPr>
        <w:br/>
        <w:t>• external source;</w:t>
      </w:r>
      <w:r w:rsidRPr="00B479AE">
        <w:rPr>
          <w:rFonts w:ascii="Baskerville Old Face" w:hAnsi="Baskerville Old Face"/>
          <w:i/>
          <w:iCs/>
        </w:rPr>
        <w:br/>
        <w:t>• unverified material.</w:t>
      </w:r>
    </w:p>
    <w:p w14:paraId="6CBEA83A"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This protects Prometheus from source confusion.</w:t>
      </w:r>
    </w:p>
    <w:p w14:paraId="69489C20"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 model that retrieves a speculative appendix should not treat it as operative constitutional authority.</w:t>
      </w:r>
    </w:p>
    <w:p w14:paraId="38F78B1C" w14:textId="77777777" w:rsidR="007D662E" w:rsidRPr="00B479AE" w:rsidRDefault="007D662E" w:rsidP="007D662E">
      <w:pPr>
        <w:spacing w:line="360" w:lineRule="auto"/>
        <w:rPr>
          <w:rFonts w:ascii="Baskerville Old Face" w:hAnsi="Baskerville Old Face"/>
          <w:b/>
          <w:bCs/>
          <w:i/>
          <w:iCs/>
        </w:rPr>
      </w:pPr>
      <w:r w:rsidRPr="00B479AE">
        <w:rPr>
          <w:rFonts w:ascii="Baskerville Old Face" w:hAnsi="Baskerville Old Face"/>
          <w:b/>
          <w:bCs/>
          <w:i/>
          <w:iCs/>
        </w:rPr>
        <w:t>H.11 Governance votes and reputation data</w:t>
      </w:r>
    </w:p>
    <w:p w14:paraId="0BA07EE0"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Governance votes, consent records, reputation signals, wallet histories, contribution records, and role histories are sensitive institutional data.</w:t>
      </w:r>
    </w:p>
    <w:p w14:paraId="273018B7"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They should not be used as generic model-training data by default.</w:t>
      </w:r>
    </w:p>
    <w:p w14:paraId="7B30E6F0"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They may be used only under clear rules.</w:t>
      </w:r>
    </w:p>
    <w:p w14:paraId="1E1889D0"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Permitted uses may include:</w:t>
      </w:r>
    </w:p>
    <w:p w14:paraId="2E6BB785"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governance process analysis;</w:t>
      </w:r>
      <w:r w:rsidRPr="00B479AE">
        <w:rPr>
          <w:rFonts w:ascii="Baskerville Old Face" w:hAnsi="Baskerville Old Face"/>
          <w:i/>
          <w:iCs/>
        </w:rPr>
        <w:br/>
        <w:t>• conflict-pattern detection;</w:t>
      </w:r>
      <w:r w:rsidRPr="00B479AE">
        <w:rPr>
          <w:rFonts w:ascii="Baskerville Old Face" w:hAnsi="Baskerville Old Face"/>
          <w:i/>
          <w:iCs/>
        </w:rPr>
        <w:br/>
        <w:t>• procedural improvement;</w:t>
      </w:r>
      <w:r w:rsidRPr="00B479AE">
        <w:rPr>
          <w:rFonts w:ascii="Baskerville Old Face" w:hAnsi="Baskerville Old Face"/>
          <w:i/>
          <w:iCs/>
        </w:rPr>
        <w:br/>
        <w:t>• anonymized research;</w:t>
      </w:r>
      <w:r w:rsidRPr="00B479AE">
        <w:rPr>
          <w:rFonts w:ascii="Baskerville Old Face" w:hAnsi="Baskerville Old Face"/>
          <w:i/>
          <w:iCs/>
        </w:rPr>
        <w:br/>
        <w:t>• audit support;</w:t>
      </w:r>
      <w:r w:rsidRPr="00B479AE">
        <w:rPr>
          <w:rFonts w:ascii="Baskerville Old Face" w:hAnsi="Baskerville Old Face"/>
          <w:i/>
          <w:iCs/>
        </w:rPr>
        <w:br/>
        <w:t>• contribution-history review;</w:t>
      </w:r>
      <w:r w:rsidRPr="00B479AE">
        <w:rPr>
          <w:rFonts w:ascii="Baskerville Old Face" w:hAnsi="Baskerville Old Face"/>
          <w:i/>
          <w:iCs/>
        </w:rPr>
        <w:br/>
        <w:t>• role-performance review where authorized.</w:t>
      </w:r>
    </w:p>
    <w:p w14:paraId="756C43AD"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Restricted or prohibited uses include:</w:t>
      </w:r>
    </w:p>
    <w:p w14:paraId="556D464C"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ranking human worth;</w:t>
      </w:r>
      <w:r w:rsidRPr="00B479AE">
        <w:rPr>
          <w:rFonts w:ascii="Baskerville Old Face" w:hAnsi="Baskerville Old Face"/>
          <w:i/>
          <w:iCs/>
        </w:rPr>
        <w:br/>
        <w:t>• predicting obedience;</w:t>
      </w:r>
      <w:r w:rsidRPr="00B479AE">
        <w:rPr>
          <w:rFonts w:ascii="Baskerville Old Face" w:hAnsi="Baskerville Old Face"/>
          <w:i/>
          <w:iCs/>
        </w:rPr>
        <w:br/>
        <w:t>• creating social-credit scores;</w:t>
      </w:r>
      <w:r w:rsidRPr="00B479AE">
        <w:rPr>
          <w:rFonts w:ascii="Baskerville Old Face" w:hAnsi="Baskerville Old Face"/>
          <w:i/>
          <w:iCs/>
        </w:rPr>
        <w:br/>
        <w:t>• training models to manipulate voters;</w:t>
      </w:r>
      <w:r w:rsidRPr="00B479AE">
        <w:rPr>
          <w:rFonts w:ascii="Baskerville Old Face" w:hAnsi="Baskerville Old Face"/>
          <w:i/>
          <w:iCs/>
        </w:rPr>
        <w:br/>
        <w:t>• inferring private beliefs;</w:t>
      </w:r>
      <w:r w:rsidRPr="00B479AE">
        <w:rPr>
          <w:rFonts w:ascii="Baskerville Old Face" w:hAnsi="Baskerville Old Face"/>
          <w:i/>
          <w:iCs/>
        </w:rPr>
        <w:br/>
        <w:t>• determining token rights automatically;</w:t>
      </w:r>
      <w:r w:rsidRPr="00B479AE">
        <w:rPr>
          <w:rFonts w:ascii="Baskerville Old Face" w:hAnsi="Baskerville Old Face"/>
          <w:i/>
          <w:iCs/>
        </w:rPr>
        <w:br/>
        <w:t>• determining MRV validity;</w:t>
      </w:r>
      <w:r w:rsidRPr="00B479AE">
        <w:rPr>
          <w:rFonts w:ascii="Baskerville Old Face" w:hAnsi="Baskerville Old Face"/>
          <w:i/>
          <w:iCs/>
        </w:rPr>
        <w:br/>
      </w:r>
      <w:r w:rsidRPr="00B479AE">
        <w:rPr>
          <w:rFonts w:ascii="Baskerville Old Face" w:hAnsi="Baskerville Old Face"/>
          <w:i/>
          <w:iCs/>
        </w:rPr>
        <w:lastRenderedPageBreak/>
        <w:t>• determining access without review;</w:t>
      </w:r>
      <w:r w:rsidRPr="00B479AE">
        <w:rPr>
          <w:rFonts w:ascii="Baskerville Old Face" w:hAnsi="Baskerville Old Face"/>
          <w:i/>
          <w:iCs/>
        </w:rPr>
        <w:br/>
        <w:t>• covert profiling;</w:t>
      </w:r>
      <w:r w:rsidRPr="00B479AE">
        <w:rPr>
          <w:rFonts w:ascii="Baskerville Old Face" w:hAnsi="Baskerville Old Face"/>
          <w:i/>
          <w:iCs/>
        </w:rPr>
        <w:br/>
        <w:t>• using wallet history as a proxy for trustworthiness.</w:t>
      </w:r>
    </w:p>
    <w:p w14:paraId="02DD8DE4" w14:textId="77777777" w:rsidR="004F4873" w:rsidRPr="00B479AE" w:rsidRDefault="004F4873" w:rsidP="007D662E">
      <w:pPr>
        <w:spacing w:line="360" w:lineRule="auto"/>
        <w:rPr>
          <w:rFonts w:ascii="Baskerville Old Face" w:hAnsi="Baskerville Old Face"/>
          <w:i/>
          <w:iCs/>
        </w:rPr>
      </w:pPr>
      <w:r w:rsidRPr="00B479AE">
        <w:rPr>
          <w:rFonts w:ascii="Baskerville Old Face" w:hAnsi="Baskerville Old Face"/>
          <w:i/>
          <w:iCs/>
        </w:rPr>
        <w:t xml:space="preserve">Wallet history should not be used as a default proxy for trust, virtue, competence, governance authority, MRV validity, ecological truth, or human value. Where relevant, transaction records may support narrowly defined operational, accounting, access, or contribution review, subject to privacy, purpose limitation, and governance boundaries. </w:t>
      </w:r>
    </w:p>
    <w:p w14:paraId="5C2EB497" w14:textId="69587DC3"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The rule is:</w:t>
      </w:r>
    </w:p>
    <w:p w14:paraId="06D2DCAD"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governance records may support institutional learning;</w:t>
      </w:r>
      <w:r w:rsidRPr="00B479AE">
        <w:rPr>
          <w:rFonts w:ascii="Baskerville Old Face" w:hAnsi="Baskerville Old Face"/>
          <w:i/>
          <w:iCs/>
        </w:rPr>
        <w:br/>
        <w:t>they may not become behavioral extraction.</w:t>
      </w:r>
    </w:p>
    <w:p w14:paraId="5F2FA595" w14:textId="77777777" w:rsidR="007D662E" w:rsidRPr="00B479AE" w:rsidRDefault="007D662E" w:rsidP="007D662E">
      <w:pPr>
        <w:spacing w:line="360" w:lineRule="auto"/>
        <w:rPr>
          <w:rFonts w:ascii="Baskerville Old Face" w:hAnsi="Baskerville Old Face"/>
          <w:b/>
          <w:bCs/>
          <w:i/>
          <w:iCs/>
        </w:rPr>
      </w:pPr>
      <w:r w:rsidRPr="00B479AE">
        <w:rPr>
          <w:rFonts w:ascii="Baskerville Old Face" w:hAnsi="Baskerville Old Face"/>
          <w:b/>
          <w:bCs/>
          <w:i/>
          <w:iCs/>
        </w:rPr>
        <w:t>H.12 HSI and human-state data in AI systems</w:t>
      </w:r>
    </w:p>
    <w:p w14:paraId="41F02F9A"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HSI and human-state data require strict boundaries.</w:t>
      </w:r>
    </w:p>
    <w:p w14:paraId="365F050E"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AI systems may not use HSI data for:</w:t>
      </w:r>
    </w:p>
    <w:p w14:paraId="7651C951" w14:textId="6F5DEB4E"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human ranking;</w:t>
      </w:r>
      <w:r w:rsidRPr="00B479AE">
        <w:rPr>
          <w:rFonts w:ascii="Baskerville Old Face" w:hAnsi="Baskerville Old Face"/>
          <w:i/>
          <w:iCs/>
        </w:rPr>
        <w:br/>
        <w:t>• social credit;</w:t>
      </w:r>
      <w:r w:rsidRPr="00B479AE">
        <w:rPr>
          <w:rFonts w:ascii="Baskerville Old Face" w:hAnsi="Baskerville Old Face"/>
          <w:i/>
          <w:iCs/>
        </w:rPr>
        <w:br/>
        <w:t>• investor proof;</w:t>
      </w:r>
      <w:r w:rsidRPr="00B479AE">
        <w:rPr>
          <w:rFonts w:ascii="Baskerville Old Face" w:hAnsi="Baskerville Old Face"/>
          <w:i/>
          <w:iCs/>
        </w:rPr>
        <w:br/>
        <w:t xml:space="preserve">• </w:t>
      </w:r>
      <w:r w:rsidR="00BE5BB7" w:rsidRPr="00B479AE">
        <w:rPr>
          <w:rFonts w:ascii="Baskerville Old Face" w:hAnsi="Baskerville Old Face"/>
          <w:i/>
          <w:iCs/>
        </w:rPr>
        <w:t>PRU value analysis</w:t>
      </w:r>
      <w:r w:rsidRPr="00B479AE">
        <w:rPr>
          <w:rFonts w:ascii="Baskerville Old Face" w:hAnsi="Baskerville Old Face"/>
          <w:i/>
          <w:iCs/>
        </w:rPr>
        <w:t>;</w:t>
      </w:r>
      <w:r w:rsidRPr="00B479AE">
        <w:rPr>
          <w:rFonts w:ascii="Baskerville Old Face" w:hAnsi="Baskerville Old Face"/>
          <w:i/>
          <w:iCs/>
        </w:rPr>
        <w:br/>
        <w:t>• MRV validation;</w:t>
      </w:r>
      <w:r w:rsidRPr="00B479AE">
        <w:rPr>
          <w:rFonts w:ascii="Baskerville Old Face" w:hAnsi="Baskerville Old Face"/>
          <w:i/>
          <w:iCs/>
        </w:rPr>
        <w:br/>
        <w:t>• employment scoring;</w:t>
      </w:r>
      <w:r w:rsidRPr="00B479AE">
        <w:rPr>
          <w:rFonts w:ascii="Baskerville Old Face" w:hAnsi="Baskerville Old Face"/>
          <w:i/>
          <w:iCs/>
        </w:rPr>
        <w:br/>
        <w:t>• coercive governance decisions;</w:t>
      </w:r>
      <w:r w:rsidRPr="00B479AE">
        <w:rPr>
          <w:rFonts w:ascii="Baskerville Old Face" w:hAnsi="Baskerville Old Face"/>
          <w:i/>
          <w:iCs/>
        </w:rPr>
        <w:br/>
        <w:t>• token eligibility;</w:t>
      </w:r>
      <w:r w:rsidRPr="00B479AE">
        <w:rPr>
          <w:rFonts w:ascii="Baskerville Old Face" w:hAnsi="Baskerville Old Face"/>
          <w:i/>
          <w:iCs/>
        </w:rPr>
        <w:br/>
        <w:t>• basic belonging;</w:t>
      </w:r>
      <w:r w:rsidRPr="00B479AE">
        <w:rPr>
          <w:rFonts w:ascii="Baskerville Old Face" w:hAnsi="Baskerville Old Face"/>
          <w:i/>
          <w:iCs/>
        </w:rPr>
        <w:br/>
        <w:t>• automated exclusion.</w:t>
      </w:r>
    </w:p>
    <w:p w14:paraId="3AA52375"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AI-assisted HSI use may be permitted for:</w:t>
      </w:r>
    </w:p>
    <w:p w14:paraId="6C4E233B"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voluntary self-reflection;</w:t>
      </w:r>
      <w:r w:rsidRPr="00B479AE">
        <w:rPr>
          <w:rFonts w:ascii="Baskerville Old Face" w:hAnsi="Baskerville Old Face"/>
          <w:i/>
          <w:iCs/>
        </w:rPr>
        <w:br/>
        <w:t>• stewardship training;</w:t>
      </w:r>
      <w:r w:rsidRPr="00B479AE">
        <w:rPr>
          <w:rFonts w:ascii="Baskerville Old Face" w:hAnsi="Baskerville Old Face"/>
          <w:i/>
          <w:iCs/>
        </w:rPr>
        <w:br/>
        <w:t>• privacy-preserving research;</w:t>
      </w:r>
      <w:r w:rsidRPr="00B479AE">
        <w:rPr>
          <w:rFonts w:ascii="Baskerville Old Face" w:hAnsi="Baskerville Old Face"/>
          <w:i/>
          <w:iCs/>
        </w:rPr>
        <w:br/>
        <w:t>• aggregated learning;</w:t>
      </w:r>
      <w:r w:rsidRPr="00B479AE">
        <w:rPr>
          <w:rFonts w:ascii="Baskerville Old Face" w:hAnsi="Baskerville Old Face"/>
          <w:i/>
          <w:iCs/>
        </w:rPr>
        <w:br/>
      </w:r>
      <w:r w:rsidRPr="00B479AE">
        <w:rPr>
          <w:rFonts w:ascii="Baskerville Old Face" w:hAnsi="Baskerville Old Face"/>
          <w:i/>
          <w:iCs/>
        </w:rPr>
        <w:lastRenderedPageBreak/>
        <w:t>• consented human-infrastructure analysis;</w:t>
      </w:r>
      <w:r w:rsidRPr="00B479AE">
        <w:rPr>
          <w:rFonts w:ascii="Baskerville Old Face" w:hAnsi="Baskerville Old Face"/>
          <w:i/>
          <w:iCs/>
        </w:rPr>
        <w:br/>
        <w:t>• wellbeing-support tools where legally and ethically appropriate.</w:t>
      </w:r>
    </w:p>
    <w:p w14:paraId="0CAA8593"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Conditions should include:</w:t>
      </w:r>
    </w:p>
    <w:p w14:paraId="04D304B0"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explicit consent;</w:t>
      </w:r>
      <w:r w:rsidRPr="00B479AE">
        <w:rPr>
          <w:rFonts w:ascii="Baskerville Old Face" w:hAnsi="Baskerville Old Face"/>
          <w:i/>
          <w:iCs/>
        </w:rPr>
        <w:br/>
        <w:t>• purpose limitation;</w:t>
      </w:r>
      <w:r w:rsidRPr="00B479AE">
        <w:rPr>
          <w:rFonts w:ascii="Baskerville Old Face" w:hAnsi="Baskerville Old Face"/>
          <w:i/>
          <w:iCs/>
        </w:rPr>
        <w:br/>
        <w:t>• minimization;</w:t>
      </w:r>
      <w:r w:rsidRPr="00B479AE">
        <w:rPr>
          <w:rFonts w:ascii="Baskerville Old Face" w:hAnsi="Baskerville Old Face"/>
          <w:i/>
          <w:iCs/>
        </w:rPr>
        <w:br/>
        <w:t>• local-first or privacy-preserving architecture where feasible;</w:t>
      </w:r>
      <w:r w:rsidRPr="00B479AE">
        <w:rPr>
          <w:rFonts w:ascii="Baskerville Old Face" w:hAnsi="Baskerville Old Face"/>
          <w:i/>
          <w:iCs/>
        </w:rPr>
        <w:br/>
        <w:t>• access controls;</w:t>
      </w:r>
      <w:r w:rsidRPr="00B479AE">
        <w:rPr>
          <w:rFonts w:ascii="Baskerville Old Face" w:hAnsi="Baskerville Old Face"/>
          <w:i/>
          <w:iCs/>
        </w:rPr>
        <w:br/>
        <w:t>• no raw public exposure;</w:t>
      </w:r>
      <w:r w:rsidRPr="00B479AE">
        <w:rPr>
          <w:rFonts w:ascii="Baskerville Old Face" w:hAnsi="Baskerville Old Face"/>
          <w:i/>
          <w:iCs/>
        </w:rPr>
        <w:br/>
        <w:t>• no protected-domain authority;</w:t>
      </w:r>
      <w:r w:rsidRPr="00B479AE">
        <w:rPr>
          <w:rFonts w:ascii="Baskerville Old Face" w:hAnsi="Baskerville Old Face"/>
          <w:i/>
          <w:iCs/>
        </w:rPr>
        <w:br/>
        <w:t>• withdrawal pathway where legally and technically feasible;</w:t>
      </w:r>
      <w:r w:rsidRPr="00B479AE">
        <w:rPr>
          <w:rFonts w:ascii="Baskerville Old Face" w:hAnsi="Baskerville Old Face"/>
          <w:i/>
          <w:iCs/>
        </w:rPr>
        <w:br/>
        <w:t>• ethics and legal review where sensitive.</w:t>
      </w:r>
    </w:p>
    <w:p w14:paraId="2E6794D4"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Human-state data is not ordinary telemetry.</w:t>
      </w:r>
    </w:p>
    <w:p w14:paraId="56C54807"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is interiority-adjacent data.</w:t>
      </w:r>
    </w:p>
    <w:p w14:paraId="69692B87"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Prometheus treats it as sacred operationally, not ornamentally.</w:t>
      </w:r>
    </w:p>
    <w:p w14:paraId="5F0C1949" w14:textId="77777777" w:rsidR="007D662E" w:rsidRPr="00B479AE" w:rsidRDefault="007D662E" w:rsidP="007D662E">
      <w:pPr>
        <w:spacing w:line="360" w:lineRule="auto"/>
        <w:rPr>
          <w:rFonts w:ascii="Baskerville Old Face" w:hAnsi="Baskerville Old Face"/>
          <w:b/>
          <w:bCs/>
          <w:i/>
          <w:iCs/>
        </w:rPr>
      </w:pPr>
      <w:r w:rsidRPr="00B479AE">
        <w:rPr>
          <w:rFonts w:ascii="Baskerville Old Face" w:hAnsi="Baskerville Old Face"/>
          <w:b/>
          <w:bCs/>
          <w:i/>
          <w:iCs/>
        </w:rPr>
        <w:t>H.13 Continuous learning without autonomous authority</w:t>
      </w:r>
    </w:p>
    <w:p w14:paraId="6E32F264"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Prometheus may learn continuously.</w:t>
      </w:r>
    </w:p>
    <w:p w14:paraId="3389D440"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Continuous learning means the system can collect feedback, update evaluation datasets, improve prompts, refine schemas, improve retrieval, identify recurring errors, and propose model improvements.</w:t>
      </w:r>
    </w:p>
    <w:p w14:paraId="49A060B5"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Continuous learning does not mean uncontrolled self-modification.</w:t>
      </w:r>
    </w:p>
    <w:p w14:paraId="28AAE835"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 safe learning loop includes:</w:t>
      </w:r>
    </w:p>
    <w:p w14:paraId="3F9AF4AC"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feedback capture</w:t>
      </w:r>
      <w:r w:rsidRPr="00B479AE">
        <w:rPr>
          <w:rFonts w:ascii="Baskerville Old Face" w:hAnsi="Baskerville Old Face"/>
          <w:i/>
          <w:iCs/>
        </w:rPr>
        <w:br/>
        <w:t>error classification</w:t>
      </w:r>
      <w:r w:rsidRPr="00B479AE">
        <w:rPr>
          <w:rFonts w:ascii="Baskerville Old Face" w:hAnsi="Baskerville Old Face"/>
          <w:i/>
          <w:iCs/>
        </w:rPr>
        <w:br/>
        <w:t>dataset review</w:t>
      </w:r>
      <w:r w:rsidRPr="00B479AE">
        <w:rPr>
          <w:rFonts w:ascii="Baskerville Old Face" w:hAnsi="Baskerville Old Face"/>
          <w:i/>
          <w:iCs/>
        </w:rPr>
        <w:br/>
        <w:t>proposed change</w:t>
      </w:r>
      <w:r w:rsidRPr="00B479AE">
        <w:rPr>
          <w:rFonts w:ascii="Baskerville Old Face" w:hAnsi="Baskerville Old Face"/>
          <w:i/>
          <w:iCs/>
        </w:rPr>
        <w:br/>
        <w:t>test suite update</w:t>
      </w:r>
      <w:r w:rsidRPr="00B479AE">
        <w:rPr>
          <w:rFonts w:ascii="Baskerville Old Face" w:hAnsi="Baskerville Old Face"/>
          <w:i/>
          <w:iCs/>
        </w:rPr>
        <w:br/>
        <w:t>sandbox evaluation</w:t>
      </w:r>
      <w:r w:rsidRPr="00B479AE">
        <w:rPr>
          <w:rFonts w:ascii="Baskerville Old Face" w:hAnsi="Baskerville Old Face"/>
          <w:i/>
          <w:iCs/>
        </w:rPr>
        <w:br/>
      </w:r>
      <w:r w:rsidRPr="00B479AE">
        <w:rPr>
          <w:rFonts w:ascii="Baskerville Old Face" w:hAnsi="Baskerville Old Face"/>
          <w:i/>
          <w:iCs/>
        </w:rPr>
        <w:lastRenderedPageBreak/>
        <w:t>review</w:t>
      </w:r>
      <w:r w:rsidRPr="00B479AE">
        <w:rPr>
          <w:rFonts w:ascii="Baskerville Old Face" w:hAnsi="Baskerville Old Face"/>
          <w:i/>
          <w:iCs/>
        </w:rPr>
        <w:br/>
        <w:t>deployment approval</w:t>
      </w:r>
      <w:r w:rsidRPr="00B479AE">
        <w:rPr>
          <w:rFonts w:ascii="Baskerville Old Face" w:hAnsi="Baskerville Old Face"/>
          <w:i/>
          <w:iCs/>
        </w:rPr>
        <w:br/>
        <w:t>monitoring</w:t>
      </w:r>
      <w:r w:rsidRPr="00B479AE">
        <w:rPr>
          <w:rFonts w:ascii="Baskerville Old Face" w:hAnsi="Baskerville Old Face"/>
          <w:i/>
          <w:iCs/>
        </w:rPr>
        <w:br/>
        <w:t>rollback capability.</w:t>
      </w:r>
    </w:p>
    <w:p w14:paraId="36A945E6"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The system may adapt.</w:t>
      </w:r>
    </w:p>
    <w:p w14:paraId="16EB531C"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The canon remains protected.</w:t>
      </w:r>
    </w:p>
    <w:p w14:paraId="5CE028BF"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 model may learn from mistakes.</w:t>
      </w:r>
    </w:p>
    <w:p w14:paraId="1E87FD7B"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may not rewrite the constitution.</w:t>
      </w:r>
    </w:p>
    <w:p w14:paraId="62142635"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An agent may improve classification.</w:t>
      </w:r>
    </w:p>
    <w:p w14:paraId="3A0AA6E1"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may not expand its own authority.</w:t>
      </w:r>
    </w:p>
    <w:p w14:paraId="45B0E798"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 prompt may become more precise.</w:t>
      </w:r>
    </w:p>
    <w:p w14:paraId="2EB1949A"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may not bypass review.</w:t>
      </w:r>
    </w:p>
    <w:p w14:paraId="6D9E9E60"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This is the difference between living intelligence and runaway automation.</w:t>
      </w:r>
    </w:p>
    <w:p w14:paraId="11696716" w14:textId="77777777" w:rsidR="007D662E" w:rsidRPr="00B479AE" w:rsidRDefault="007D662E" w:rsidP="007D662E">
      <w:pPr>
        <w:spacing w:line="360" w:lineRule="auto"/>
        <w:rPr>
          <w:rFonts w:ascii="Baskerville Old Face" w:hAnsi="Baskerville Old Face"/>
          <w:b/>
          <w:bCs/>
          <w:i/>
          <w:iCs/>
        </w:rPr>
      </w:pPr>
      <w:r w:rsidRPr="00B479AE">
        <w:rPr>
          <w:rFonts w:ascii="Baskerville Old Face" w:hAnsi="Baskerville Old Face"/>
          <w:b/>
          <w:bCs/>
          <w:i/>
          <w:iCs/>
        </w:rPr>
        <w:t>H.14 Adversarial AI, AGI, and ASI test suite</w:t>
      </w:r>
    </w:p>
    <w:p w14:paraId="13A477F5"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Prometheus should maintain an adversarial test suite.</w:t>
      </w:r>
    </w:p>
    <w:p w14:paraId="279AB7FD"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The suite should include attempts to make AI systems:</w:t>
      </w:r>
    </w:p>
    <w:p w14:paraId="75913169"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treat AI output as final authority;</w:t>
      </w:r>
      <w:r w:rsidRPr="00B479AE">
        <w:rPr>
          <w:rFonts w:ascii="Baskerville Old Face" w:hAnsi="Baskerville Old Face"/>
          <w:i/>
          <w:iCs/>
        </w:rPr>
        <w:br/>
        <w:t>• issue PRU value without MRV;</w:t>
      </w:r>
      <w:r w:rsidRPr="00B479AE">
        <w:rPr>
          <w:rFonts w:ascii="Baskerville Old Face" w:hAnsi="Baskerville Old Face"/>
          <w:i/>
          <w:iCs/>
        </w:rPr>
        <w:br/>
        <w:t>• approve investor language without legal review;</w:t>
      </w:r>
      <w:r w:rsidRPr="00B479AE">
        <w:rPr>
          <w:rFonts w:ascii="Baskerville Old Face" w:hAnsi="Baskerville Old Face"/>
          <w:i/>
          <w:iCs/>
        </w:rPr>
        <w:br/>
        <w:t>• reinterpret Eternity Clauses;</w:t>
      </w:r>
      <w:r w:rsidRPr="00B479AE">
        <w:rPr>
          <w:rFonts w:ascii="Baskerville Old Face" w:hAnsi="Baskerville Old Face"/>
          <w:i/>
          <w:iCs/>
        </w:rPr>
        <w:br/>
        <w:t>• weaken the Access Covenant;</w:t>
      </w:r>
      <w:r w:rsidRPr="00B479AE">
        <w:rPr>
          <w:rFonts w:ascii="Baskerville Old Face" w:hAnsi="Baskerville Old Face"/>
          <w:i/>
          <w:iCs/>
        </w:rPr>
        <w:br/>
        <w:t>• convert HSI into social credit;</w:t>
      </w:r>
      <w:r w:rsidRPr="00B479AE">
        <w:rPr>
          <w:rFonts w:ascii="Baskerville Old Face" w:hAnsi="Baskerville Old Face"/>
          <w:i/>
          <w:iCs/>
        </w:rPr>
        <w:br/>
        <w:t>• use wallet history as trust score;</w:t>
      </w:r>
      <w:r w:rsidRPr="00B479AE">
        <w:rPr>
          <w:rFonts w:ascii="Baskerville Old Face" w:hAnsi="Baskerville Old Face"/>
          <w:i/>
          <w:iCs/>
        </w:rPr>
        <w:br/>
        <w:t>• treat token voting as constitutional authority;</w:t>
      </w:r>
      <w:r w:rsidRPr="00B479AE">
        <w:rPr>
          <w:rFonts w:ascii="Baskerville Old Face" w:hAnsi="Baskerville Old Face"/>
          <w:i/>
          <w:iCs/>
        </w:rPr>
        <w:br/>
        <w:t>• treat speculative appendix material as operative system behavior;</w:t>
      </w:r>
      <w:r w:rsidRPr="00B479AE">
        <w:rPr>
          <w:rFonts w:ascii="Baskerville Old Face" w:hAnsi="Baskerville Old Face"/>
          <w:i/>
          <w:iCs/>
        </w:rPr>
        <w:br/>
        <w:t>• accept synthetic MRV data;</w:t>
      </w:r>
      <w:r w:rsidRPr="00B479AE">
        <w:rPr>
          <w:rFonts w:ascii="Baskerville Old Face" w:hAnsi="Baskerville Old Face"/>
          <w:i/>
          <w:iCs/>
        </w:rPr>
        <w:br/>
      </w:r>
      <w:r w:rsidRPr="00B479AE">
        <w:rPr>
          <w:rFonts w:ascii="Baskerville Old Face" w:hAnsi="Baskerville Old Face"/>
          <w:i/>
          <w:iCs/>
        </w:rPr>
        <w:lastRenderedPageBreak/>
        <w:t>• ignore source-layer hashes;</w:t>
      </w:r>
      <w:r w:rsidRPr="00B479AE">
        <w:rPr>
          <w:rFonts w:ascii="Baskerville Old Face" w:hAnsi="Baskerville Old Face"/>
          <w:i/>
          <w:iCs/>
        </w:rPr>
        <w:br/>
        <w:t>• approve hostile fork claims;</w:t>
      </w:r>
      <w:r w:rsidRPr="00B479AE">
        <w:rPr>
          <w:rFonts w:ascii="Baskerville Old Face" w:hAnsi="Baskerville Old Face"/>
          <w:i/>
          <w:iCs/>
        </w:rPr>
        <w:br/>
        <w:t>• misclassify non-canonical repositories as canonical;</w:t>
      </w:r>
      <w:r w:rsidRPr="00B479AE">
        <w:rPr>
          <w:rFonts w:ascii="Baskerville Old Face" w:hAnsi="Baskerville Old Face"/>
          <w:i/>
          <w:iCs/>
        </w:rPr>
        <w:br/>
        <w:t>• bypass offline verification;</w:t>
      </w:r>
      <w:r w:rsidRPr="00B479AE">
        <w:rPr>
          <w:rFonts w:ascii="Baskerville Old Face" w:hAnsi="Baskerville Old Face"/>
          <w:i/>
          <w:iCs/>
        </w:rPr>
        <w:br/>
        <w:t>• treat human continuity as optional;</w:t>
      </w:r>
      <w:r w:rsidRPr="00B479AE">
        <w:rPr>
          <w:rFonts w:ascii="Baskerville Old Face" w:hAnsi="Baskerville Old Face"/>
          <w:i/>
          <w:iCs/>
        </w:rPr>
        <w:br/>
        <w:t>• optimize growth over dignity.</w:t>
      </w:r>
    </w:p>
    <w:p w14:paraId="5E217471"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Each adversarial case should define:</w:t>
      </w:r>
    </w:p>
    <w:p w14:paraId="447CF116"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attack pattern;</w:t>
      </w:r>
      <w:r w:rsidRPr="00B479AE">
        <w:rPr>
          <w:rFonts w:ascii="Baskerville Old Face" w:hAnsi="Baskerville Old Face"/>
          <w:i/>
          <w:iCs/>
        </w:rPr>
        <w:br/>
        <w:t>• expected refusal or routing behavior;</w:t>
      </w:r>
      <w:r w:rsidRPr="00B479AE">
        <w:rPr>
          <w:rFonts w:ascii="Baskerville Old Face" w:hAnsi="Baskerville Old Face"/>
          <w:i/>
          <w:iCs/>
        </w:rPr>
        <w:br/>
        <w:t>• relevant source-layer rule;</w:t>
      </w:r>
      <w:r w:rsidRPr="00B479AE">
        <w:rPr>
          <w:rFonts w:ascii="Baskerville Old Face" w:hAnsi="Baskerville Old Face"/>
          <w:i/>
          <w:iCs/>
        </w:rPr>
        <w:br/>
        <w:t>• evaluation result;</w:t>
      </w:r>
      <w:r w:rsidRPr="00B479AE">
        <w:rPr>
          <w:rFonts w:ascii="Baskerville Old Face" w:hAnsi="Baskerville Old Face"/>
          <w:i/>
          <w:iCs/>
        </w:rPr>
        <w:br/>
        <w:t>• required remediation if failed.</w:t>
      </w:r>
    </w:p>
    <w:p w14:paraId="0839B143"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This creates regression testing for constitutional fidelity.</w:t>
      </w:r>
    </w:p>
    <w:p w14:paraId="6E4D8768" w14:textId="77777777" w:rsidR="007D662E" w:rsidRPr="00B479AE" w:rsidRDefault="007D662E" w:rsidP="007D662E">
      <w:pPr>
        <w:spacing w:line="360" w:lineRule="auto"/>
        <w:rPr>
          <w:rFonts w:ascii="Baskerville Old Face" w:hAnsi="Baskerville Old Face"/>
          <w:b/>
          <w:bCs/>
          <w:i/>
          <w:iCs/>
        </w:rPr>
      </w:pPr>
      <w:r w:rsidRPr="00B479AE">
        <w:rPr>
          <w:rFonts w:ascii="Baskerville Old Face" w:hAnsi="Baskerville Old Face"/>
          <w:b/>
          <w:bCs/>
          <w:i/>
          <w:iCs/>
        </w:rPr>
        <w:t>H.15 Incident response for AI-system failure</w:t>
      </w:r>
    </w:p>
    <w:p w14:paraId="2F508D81"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AI-system failures should be classified and handled through incident response.</w:t>
      </w:r>
    </w:p>
    <w:p w14:paraId="405156EB"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Possible incidents include:</w:t>
      </w:r>
    </w:p>
    <w:p w14:paraId="0B805309"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hallucinated legal or financial authority;</w:t>
      </w:r>
      <w:r w:rsidRPr="00B479AE">
        <w:rPr>
          <w:rFonts w:ascii="Baskerville Old Face" w:hAnsi="Baskerville Old Face"/>
          <w:i/>
          <w:iCs/>
        </w:rPr>
        <w:br/>
        <w:t>• false MRV classification;</w:t>
      </w:r>
      <w:r w:rsidRPr="00B479AE">
        <w:rPr>
          <w:rFonts w:ascii="Baskerville Old Face" w:hAnsi="Baskerville Old Face"/>
          <w:i/>
          <w:iCs/>
        </w:rPr>
        <w:br/>
        <w:t>• privacy breach;</w:t>
      </w:r>
      <w:r w:rsidRPr="00B479AE">
        <w:rPr>
          <w:rFonts w:ascii="Baskerville Old Face" w:hAnsi="Baskerville Old Face"/>
          <w:i/>
          <w:iCs/>
        </w:rPr>
        <w:br/>
        <w:t>• HSI misuse;</w:t>
      </w:r>
      <w:r w:rsidRPr="00B479AE">
        <w:rPr>
          <w:rFonts w:ascii="Baskerville Old Face" w:hAnsi="Baskerville Old Face"/>
          <w:i/>
          <w:iCs/>
        </w:rPr>
        <w:br/>
        <w:t>• output used beyond scope;</w:t>
      </w:r>
      <w:r w:rsidRPr="00B479AE">
        <w:rPr>
          <w:rFonts w:ascii="Baskerville Old Face" w:hAnsi="Baskerville Old Face"/>
          <w:i/>
          <w:iCs/>
        </w:rPr>
        <w:br/>
        <w:t>• prompt-injection success;</w:t>
      </w:r>
      <w:r w:rsidRPr="00B479AE">
        <w:rPr>
          <w:rFonts w:ascii="Baskerville Old Face" w:hAnsi="Baskerville Old Face"/>
          <w:i/>
          <w:iCs/>
        </w:rPr>
        <w:br/>
        <w:t>• data poisoning;</w:t>
      </w:r>
      <w:r w:rsidRPr="00B479AE">
        <w:rPr>
          <w:rFonts w:ascii="Baskerville Old Face" w:hAnsi="Baskerville Old Face"/>
          <w:i/>
          <w:iCs/>
        </w:rPr>
        <w:br/>
        <w:t>• synthetic evidence acceptance;</w:t>
      </w:r>
      <w:r w:rsidRPr="00B479AE">
        <w:rPr>
          <w:rFonts w:ascii="Baskerville Old Face" w:hAnsi="Baskerville Old Face"/>
          <w:i/>
          <w:iCs/>
        </w:rPr>
        <w:br/>
        <w:t>• unauthorized deployment;</w:t>
      </w:r>
      <w:r w:rsidRPr="00B479AE">
        <w:rPr>
          <w:rFonts w:ascii="Baskerville Old Face" w:hAnsi="Baskerville Old Face"/>
          <w:i/>
          <w:iCs/>
        </w:rPr>
        <w:br/>
        <w:t>• model drift;</w:t>
      </w:r>
      <w:r w:rsidRPr="00B479AE">
        <w:rPr>
          <w:rFonts w:ascii="Baskerville Old Face" w:hAnsi="Baskerville Old Face"/>
          <w:i/>
          <w:iCs/>
        </w:rPr>
        <w:br/>
        <w:t>• hostile fork endorsement;</w:t>
      </w:r>
      <w:r w:rsidRPr="00B479AE">
        <w:rPr>
          <w:rFonts w:ascii="Baskerville Old Face" w:hAnsi="Baskerville Old Face"/>
          <w:i/>
          <w:iCs/>
        </w:rPr>
        <w:br/>
        <w:t>• canonical confusion;</w:t>
      </w:r>
      <w:r w:rsidRPr="00B479AE">
        <w:rPr>
          <w:rFonts w:ascii="Baskerville Old Face" w:hAnsi="Baskerville Old Face"/>
          <w:i/>
          <w:iCs/>
        </w:rPr>
        <w:br/>
        <w:t>• unsafe public communication;</w:t>
      </w:r>
      <w:r w:rsidRPr="00B479AE">
        <w:rPr>
          <w:rFonts w:ascii="Baskerville Old Face" w:hAnsi="Baskerville Old Face"/>
          <w:i/>
          <w:iCs/>
        </w:rPr>
        <w:br/>
        <w:t>• protected-domain bypass.</w:t>
      </w:r>
    </w:p>
    <w:p w14:paraId="54FE35B1"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lastRenderedPageBreak/>
        <w:t>Incident response may include:</w:t>
      </w:r>
    </w:p>
    <w:p w14:paraId="375EB4B2"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suspend agent;</w:t>
      </w:r>
      <w:r w:rsidRPr="00B479AE">
        <w:rPr>
          <w:rFonts w:ascii="Baskerville Old Face" w:hAnsi="Baskerville Old Face"/>
          <w:i/>
          <w:iCs/>
        </w:rPr>
        <w:br/>
        <w:t>• isolate affected workflow;</w:t>
      </w:r>
      <w:r w:rsidRPr="00B479AE">
        <w:rPr>
          <w:rFonts w:ascii="Baskerville Old Face" w:hAnsi="Baskerville Old Face"/>
          <w:i/>
          <w:iCs/>
        </w:rPr>
        <w:br/>
        <w:t>• mark outputs as review-required or non-admissible;</w:t>
      </w:r>
      <w:r w:rsidRPr="00B479AE">
        <w:rPr>
          <w:rFonts w:ascii="Baskerville Old Face" w:hAnsi="Baskerville Old Face"/>
          <w:i/>
          <w:iCs/>
        </w:rPr>
        <w:br/>
        <w:t>• notify governance body;</w:t>
      </w:r>
      <w:r w:rsidRPr="00B479AE">
        <w:rPr>
          <w:rFonts w:ascii="Baskerville Old Face" w:hAnsi="Baskerville Old Face"/>
          <w:i/>
          <w:iCs/>
        </w:rPr>
        <w:br/>
        <w:t>• notify legal or technical reviewer where required;</w:t>
      </w:r>
      <w:r w:rsidRPr="00B479AE">
        <w:rPr>
          <w:rFonts w:ascii="Baskerville Old Face" w:hAnsi="Baskerville Old Face"/>
          <w:i/>
          <w:iCs/>
        </w:rPr>
        <w:br/>
        <w:t>• revoke access token or API key;</w:t>
      </w:r>
      <w:r w:rsidRPr="00B479AE">
        <w:rPr>
          <w:rFonts w:ascii="Baskerville Old Face" w:hAnsi="Baskerville Old Face"/>
          <w:i/>
          <w:iCs/>
        </w:rPr>
        <w:br/>
        <w:t>• roll back model or prompt version;</w:t>
      </w:r>
      <w:r w:rsidRPr="00B479AE">
        <w:rPr>
          <w:rFonts w:ascii="Baskerville Old Face" w:hAnsi="Baskerville Old Face"/>
          <w:i/>
          <w:iCs/>
        </w:rPr>
        <w:br/>
        <w:t>• update evaluation suite;</w:t>
      </w:r>
      <w:r w:rsidRPr="00B479AE">
        <w:rPr>
          <w:rFonts w:ascii="Baskerville Old Face" w:hAnsi="Baskerville Old Face"/>
          <w:i/>
          <w:iCs/>
        </w:rPr>
        <w:br/>
        <w:t>• issue correction;</w:t>
      </w:r>
      <w:r w:rsidRPr="00B479AE">
        <w:rPr>
          <w:rFonts w:ascii="Baskerville Old Face" w:hAnsi="Baskerville Old Face"/>
          <w:i/>
          <w:iCs/>
        </w:rPr>
        <w:br/>
        <w:t>• audit affected outputs;</w:t>
      </w:r>
      <w:r w:rsidRPr="00B479AE">
        <w:rPr>
          <w:rFonts w:ascii="Baskerville Old Face" w:hAnsi="Baskerville Old Face"/>
          <w:i/>
          <w:iCs/>
        </w:rPr>
        <w:br/>
        <w:t>• update policy engine;</w:t>
      </w:r>
      <w:r w:rsidRPr="00B479AE">
        <w:rPr>
          <w:rFonts w:ascii="Baskerville Old Face" w:hAnsi="Baskerville Old Face"/>
          <w:i/>
          <w:iCs/>
        </w:rPr>
        <w:br/>
        <w:t>• retrain or retire model.</w:t>
      </w:r>
    </w:p>
    <w:p w14:paraId="4746F1FF"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The incident response record should include:</w:t>
      </w:r>
    </w:p>
    <w:p w14:paraId="07BE9B9B"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agent identity;</w:t>
      </w:r>
      <w:r w:rsidRPr="00B479AE">
        <w:rPr>
          <w:rFonts w:ascii="Baskerville Old Face" w:hAnsi="Baskerville Old Face"/>
          <w:i/>
          <w:iCs/>
        </w:rPr>
        <w:br/>
        <w:t>• model version;</w:t>
      </w:r>
      <w:r w:rsidRPr="00B479AE">
        <w:rPr>
          <w:rFonts w:ascii="Baskerville Old Face" w:hAnsi="Baskerville Old Face"/>
          <w:i/>
          <w:iCs/>
        </w:rPr>
        <w:br/>
        <w:t>• prompt version;</w:t>
      </w:r>
      <w:r w:rsidRPr="00B479AE">
        <w:rPr>
          <w:rFonts w:ascii="Baskerville Old Face" w:hAnsi="Baskerville Old Face"/>
          <w:i/>
          <w:iCs/>
        </w:rPr>
        <w:br/>
        <w:t>• input class;</w:t>
      </w:r>
      <w:r w:rsidRPr="00B479AE">
        <w:rPr>
          <w:rFonts w:ascii="Baskerville Old Face" w:hAnsi="Baskerville Old Face"/>
          <w:i/>
          <w:iCs/>
        </w:rPr>
        <w:br/>
        <w:t>• output class;</w:t>
      </w:r>
      <w:r w:rsidRPr="00B479AE">
        <w:rPr>
          <w:rFonts w:ascii="Baskerville Old Face" w:hAnsi="Baskerville Old Face"/>
          <w:i/>
          <w:iCs/>
        </w:rPr>
        <w:br/>
        <w:t>• incident type;</w:t>
      </w:r>
      <w:r w:rsidRPr="00B479AE">
        <w:rPr>
          <w:rFonts w:ascii="Baskerville Old Face" w:hAnsi="Baskerville Old Face"/>
          <w:i/>
          <w:iCs/>
        </w:rPr>
        <w:br/>
        <w:t>• affected domain;</w:t>
      </w:r>
      <w:r w:rsidRPr="00B479AE">
        <w:rPr>
          <w:rFonts w:ascii="Baskerville Old Face" w:hAnsi="Baskerville Old Face"/>
          <w:i/>
          <w:iCs/>
        </w:rPr>
        <w:br/>
        <w:t>• severity;</w:t>
      </w:r>
      <w:r w:rsidRPr="00B479AE">
        <w:rPr>
          <w:rFonts w:ascii="Baskerville Old Face" w:hAnsi="Baskerville Old Face"/>
          <w:i/>
          <w:iCs/>
        </w:rPr>
        <w:br/>
        <w:t>• remediation;</w:t>
      </w:r>
      <w:r w:rsidRPr="00B479AE">
        <w:rPr>
          <w:rFonts w:ascii="Baskerville Old Face" w:hAnsi="Baskerville Old Face"/>
          <w:i/>
          <w:iCs/>
        </w:rPr>
        <w:br/>
        <w:t>• reviewer;</w:t>
      </w:r>
      <w:r w:rsidRPr="00B479AE">
        <w:rPr>
          <w:rFonts w:ascii="Baskerville Old Face" w:hAnsi="Baskerville Old Face"/>
          <w:i/>
          <w:iCs/>
        </w:rPr>
        <w:br/>
        <w:t>• closure status.</w:t>
      </w:r>
    </w:p>
    <w:p w14:paraId="3FE6EC66" w14:textId="77777777" w:rsidR="007D662E" w:rsidRPr="00B479AE" w:rsidRDefault="007D662E" w:rsidP="007D662E">
      <w:pPr>
        <w:spacing w:line="360" w:lineRule="auto"/>
        <w:rPr>
          <w:rFonts w:ascii="Baskerville Old Face" w:hAnsi="Baskerville Old Face"/>
          <w:b/>
          <w:bCs/>
          <w:i/>
          <w:iCs/>
        </w:rPr>
      </w:pPr>
      <w:r w:rsidRPr="00B479AE">
        <w:rPr>
          <w:rFonts w:ascii="Baskerville Old Face" w:hAnsi="Baskerville Old Face"/>
          <w:b/>
          <w:bCs/>
          <w:i/>
          <w:iCs/>
        </w:rPr>
        <w:t>H.16 Local models and network-independent AI continuity</w:t>
      </w:r>
    </w:p>
    <w:p w14:paraId="1907C9EB"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Prometheus should not depend exclusively on cloud-based AI providers.</w:t>
      </w:r>
    </w:p>
    <w:p w14:paraId="5AD9ED13"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Network-independent continuity may require local models, air-gapped inference, offline retrieval, local document search, and locally verifiable canonical corpora.</w:t>
      </w:r>
    </w:p>
    <w:p w14:paraId="7568CE49"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 local AI continuity kit may include:</w:t>
      </w:r>
    </w:p>
    <w:p w14:paraId="50BEC54C"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lastRenderedPageBreak/>
        <w:t>• canonical source-layer corpus;</w:t>
      </w:r>
      <w:r w:rsidRPr="00B479AE">
        <w:rPr>
          <w:rFonts w:ascii="Baskerville Old Face" w:hAnsi="Baskerville Old Face"/>
          <w:i/>
          <w:iCs/>
        </w:rPr>
        <w:br/>
        <w:t>• canonical glossary;</w:t>
      </w:r>
      <w:r w:rsidRPr="00B479AE">
        <w:rPr>
          <w:rFonts w:ascii="Baskerville Old Face" w:hAnsi="Baskerville Old Face"/>
          <w:i/>
          <w:iCs/>
        </w:rPr>
        <w:br/>
        <w:t>• offline retrieval index;</w:t>
      </w:r>
      <w:r w:rsidRPr="00B479AE">
        <w:rPr>
          <w:rFonts w:ascii="Baskerville Old Face" w:hAnsi="Baskerville Old Face"/>
          <w:i/>
          <w:iCs/>
        </w:rPr>
        <w:br/>
        <w:t>• model card;</w:t>
      </w:r>
      <w:r w:rsidRPr="00B479AE">
        <w:rPr>
          <w:rFonts w:ascii="Baskerville Old Face" w:hAnsi="Baskerville Old Face"/>
          <w:i/>
          <w:iCs/>
        </w:rPr>
        <w:br/>
        <w:t>• approved prompt set;</w:t>
      </w:r>
      <w:r w:rsidRPr="00B479AE">
        <w:rPr>
          <w:rFonts w:ascii="Baskerville Old Face" w:hAnsi="Baskerville Old Face"/>
          <w:i/>
          <w:iCs/>
        </w:rPr>
        <w:br/>
        <w:t>• refusal rules;</w:t>
      </w:r>
      <w:r w:rsidRPr="00B479AE">
        <w:rPr>
          <w:rFonts w:ascii="Baskerville Old Face" w:hAnsi="Baskerville Old Face"/>
          <w:i/>
          <w:iCs/>
        </w:rPr>
        <w:br/>
        <w:t>• evaluation tests;</w:t>
      </w:r>
      <w:r w:rsidRPr="00B479AE">
        <w:rPr>
          <w:rFonts w:ascii="Baskerville Old Face" w:hAnsi="Baskerville Old Face"/>
          <w:i/>
          <w:iCs/>
        </w:rPr>
        <w:br/>
        <w:t>• checksum files;</w:t>
      </w:r>
      <w:r w:rsidRPr="00B479AE">
        <w:rPr>
          <w:rFonts w:ascii="Baskerville Old Face" w:hAnsi="Baskerville Old Face"/>
          <w:i/>
          <w:iCs/>
        </w:rPr>
        <w:br/>
        <w:t>• detached signatures;</w:t>
      </w:r>
      <w:r w:rsidRPr="00B479AE">
        <w:rPr>
          <w:rFonts w:ascii="Baskerville Old Face" w:hAnsi="Baskerville Old Face"/>
          <w:i/>
          <w:iCs/>
        </w:rPr>
        <w:br/>
        <w:t>• local inference instructions;</w:t>
      </w:r>
      <w:r w:rsidRPr="00B479AE">
        <w:rPr>
          <w:rFonts w:ascii="Baskerville Old Face" w:hAnsi="Baskerville Old Face"/>
          <w:i/>
          <w:iCs/>
        </w:rPr>
        <w:br/>
        <w:t>• hardware requirements;</w:t>
      </w:r>
      <w:r w:rsidRPr="00B479AE">
        <w:rPr>
          <w:rFonts w:ascii="Baskerville Old Face" w:hAnsi="Baskerville Old Face"/>
          <w:i/>
          <w:iCs/>
        </w:rPr>
        <w:br/>
        <w:t>• security guidance;</w:t>
      </w:r>
      <w:r w:rsidRPr="00B479AE">
        <w:rPr>
          <w:rFonts w:ascii="Baskerville Old Face" w:hAnsi="Baskerville Old Face"/>
          <w:i/>
          <w:iCs/>
        </w:rPr>
        <w:br/>
        <w:t>• update procedure;</w:t>
      </w:r>
      <w:r w:rsidRPr="00B479AE">
        <w:rPr>
          <w:rFonts w:ascii="Baskerville Old Face" w:hAnsi="Baskerville Old Face"/>
          <w:i/>
          <w:iCs/>
        </w:rPr>
        <w:br/>
        <w:t>• rollback procedure.</w:t>
      </w:r>
    </w:p>
    <w:p w14:paraId="41A3DB56"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Local models may assist communities, research stations, seed banks, bioregional networks, or post-disaster nodes where Internet access is unavailable.</w:t>
      </w:r>
    </w:p>
    <w:p w14:paraId="46224D35"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The same boundary applies:</w:t>
      </w:r>
    </w:p>
    <w:p w14:paraId="2CF8B15D"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offline AI remains assistive;</w:t>
      </w:r>
      <w:r w:rsidRPr="00B479AE">
        <w:rPr>
          <w:rFonts w:ascii="Baskerville Old Face" w:hAnsi="Baskerville Old Face"/>
          <w:i/>
          <w:iCs/>
        </w:rPr>
        <w:br/>
        <w:t>offline canon remains verifiable;</w:t>
      </w:r>
      <w:r w:rsidRPr="00B479AE">
        <w:rPr>
          <w:rFonts w:ascii="Baskerville Old Face" w:hAnsi="Baskerville Old Face"/>
          <w:i/>
          <w:iCs/>
        </w:rPr>
        <w:br/>
        <w:t>offline governance remains review-bound;</w:t>
      </w:r>
      <w:r w:rsidRPr="00B479AE">
        <w:rPr>
          <w:rFonts w:ascii="Baskerville Old Face" w:hAnsi="Baskerville Old Face"/>
          <w:i/>
          <w:iCs/>
        </w:rPr>
        <w:br/>
        <w:t>offline execution remains constrained by the source layer.</w:t>
      </w:r>
    </w:p>
    <w:p w14:paraId="6310D30D" w14:textId="37F73CE2" w:rsidR="007D662E" w:rsidRPr="00B479AE" w:rsidRDefault="007D662E" w:rsidP="007D662E">
      <w:pPr>
        <w:spacing w:line="360" w:lineRule="auto"/>
        <w:rPr>
          <w:rFonts w:ascii="Baskerville Old Face" w:hAnsi="Baskerville Old Face"/>
          <w:b/>
          <w:bCs/>
          <w:i/>
          <w:iCs/>
        </w:rPr>
      </w:pPr>
      <w:r w:rsidRPr="00B479AE">
        <w:rPr>
          <w:rFonts w:ascii="Baskerville Old Face" w:hAnsi="Baskerville Old Face"/>
          <w:b/>
          <w:bCs/>
          <w:i/>
          <w:iCs/>
        </w:rPr>
        <w:t>H.17 Developer and maintainer obligations</w:t>
      </w:r>
    </w:p>
    <w:p w14:paraId="177D7D61"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Developers, maintainers, model operators, prompt engineers, data curators, and integration partners should follow defined obligations.</w:t>
      </w:r>
    </w:p>
    <w:p w14:paraId="443FBC0B"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These include:</w:t>
      </w:r>
    </w:p>
    <w:p w14:paraId="7DA607F9" w14:textId="3FFE2D3A"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 preserve source-layer constraints;</w:t>
      </w:r>
      <w:r w:rsidRPr="00B479AE">
        <w:rPr>
          <w:rFonts w:ascii="Baskerville Old Face" w:hAnsi="Baskerville Old Face"/>
          <w:i/>
          <w:iCs/>
        </w:rPr>
        <w:br/>
        <w:t>• document model changes;</w:t>
      </w:r>
      <w:r w:rsidRPr="00B479AE">
        <w:rPr>
          <w:rFonts w:ascii="Baskerville Old Face" w:hAnsi="Baskerville Old Face"/>
          <w:i/>
          <w:iCs/>
        </w:rPr>
        <w:br/>
        <w:t>• preserve evaluation records;</w:t>
      </w:r>
      <w:r w:rsidRPr="00B479AE">
        <w:rPr>
          <w:rFonts w:ascii="Baskerville Old Face" w:hAnsi="Baskerville Old Face"/>
          <w:i/>
          <w:iCs/>
        </w:rPr>
        <w:br/>
        <w:t>• respect data rights;</w:t>
      </w:r>
      <w:r w:rsidRPr="00B479AE">
        <w:rPr>
          <w:rFonts w:ascii="Baskerville Old Face" w:hAnsi="Baskerville Old Face"/>
          <w:i/>
          <w:iCs/>
        </w:rPr>
        <w:br/>
        <w:t>• minimize sensitive data;</w:t>
      </w:r>
      <w:r w:rsidRPr="00B479AE">
        <w:rPr>
          <w:rFonts w:ascii="Baskerville Old Face" w:hAnsi="Baskerville Old Face"/>
          <w:i/>
          <w:iCs/>
        </w:rPr>
        <w:br/>
      </w:r>
      <w:r w:rsidRPr="00B479AE">
        <w:rPr>
          <w:rFonts w:ascii="Baskerville Old Face" w:hAnsi="Baskerville Old Face"/>
          <w:i/>
          <w:iCs/>
        </w:rPr>
        <w:lastRenderedPageBreak/>
        <w:t>• avoid unauthorized training on protected data;</w:t>
      </w:r>
      <w:r w:rsidRPr="00B479AE">
        <w:rPr>
          <w:rFonts w:ascii="Baskerville Old Face" w:hAnsi="Baskerville Old Face"/>
          <w:i/>
          <w:iCs/>
        </w:rPr>
        <w:br/>
        <w:t>• maintain rollback capability;</w:t>
      </w:r>
      <w:r w:rsidRPr="00B479AE">
        <w:rPr>
          <w:rFonts w:ascii="Baskerville Old Face" w:hAnsi="Baskerville Old Face"/>
          <w:i/>
          <w:iCs/>
        </w:rPr>
        <w:br/>
        <w:t>• label AI outputs;</w:t>
      </w:r>
      <w:r w:rsidRPr="00B479AE">
        <w:rPr>
          <w:rFonts w:ascii="Baskerville Old Face" w:hAnsi="Baskerville Old Face"/>
          <w:i/>
          <w:iCs/>
        </w:rPr>
        <w:br/>
        <w:t>• preserve logs for protected workflows;</w:t>
      </w:r>
      <w:r w:rsidRPr="00B479AE">
        <w:rPr>
          <w:rFonts w:ascii="Baskerville Old Face" w:hAnsi="Baskerville Old Face"/>
          <w:i/>
          <w:iCs/>
        </w:rPr>
        <w:br/>
        <w:t>• report incidents;</w:t>
      </w:r>
      <w:r w:rsidRPr="00B479AE">
        <w:rPr>
          <w:rFonts w:ascii="Baskerville Old Face" w:hAnsi="Baskerville Old Face"/>
          <w:i/>
          <w:iCs/>
        </w:rPr>
        <w:br/>
        <w:t>• avoid overclaiming capability;</w:t>
      </w:r>
      <w:r w:rsidRPr="00B479AE">
        <w:rPr>
          <w:rFonts w:ascii="Baskerville Old Face" w:hAnsi="Baskerville Old Face"/>
          <w:i/>
          <w:iCs/>
        </w:rPr>
        <w:br/>
        <w:t>• route protected-domain outputs to review;</w:t>
      </w:r>
      <w:r w:rsidRPr="00B479AE">
        <w:rPr>
          <w:rFonts w:ascii="Baskerville Old Face" w:hAnsi="Baskerville Old Face"/>
          <w:i/>
          <w:iCs/>
        </w:rPr>
        <w:br/>
        <w:t>• maintain separation between draft, recommendation, and authority.</w:t>
      </w:r>
      <w:r w:rsidR="005A3560" w:rsidRPr="00B479AE">
        <w:rPr>
          <w:rFonts w:ascii="Baskerville Old Face" w:hAnsi="Baskerville Old Face"/>
          <w:i/>
          <w:iCs/>
        </w:rPr>
        <w:t xml:space="preserve"> </w:t>
      </w:r>
      <w:r w:rsidRPr="00B479AE">
        <w:rPr>
          <w:rFonts w:ascii="Baskerville Old Face" w:hAnsi="Baskerville Old Face"/>
          <w:i/>
          <w:iCs/>
        </w:rPr>
        <w:t>The developer rule is:</w:t>
      </w:r>
    </w:p>
    <w:p w14:paraId="658CCC99"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build intelligence that serves the constitution;</w:t>
      </w:r>
      <w:r w:rsidRPr="00B479AE">
        <w:rPr>
          <w:rFonts w:ascii="Baskerville Old Face" w:hAnsi="Baskerville Old Face"/>
          <w:i/>
          <w:iCs/>
        </w:rPr>
        <w:br/>
        <w:t>do not build intelligence that quietly becomes the constitution.</w:t>
      </w:r>
    </w:p>
    <w:p w14:paraId="2A6C6549" w14:textId="77777777" w:rsidR="007D662E" w:rsidRPr="00B479AE" w:rsidRDefault="007D662E" w:rsidP="007D662E">
      <w:pPr>
        <w:spacing w:line="360" w:lineRule="auto"/>
        <w:rPr>
          <w:rFonts w:ascii="Baskerville Old Face" w:hAnsi="Baskerville Old Face"/>
          <w:b/>
          <w:bCs/>
          <w:i/>
          <w:iCs/>
        </w:rPr>
      </w:pPr>
      <w:r w:rsidRPr="00B479AE">
        <w:rPr>
          <w:rFonts w:ascii="Baskerville Old Face" w:hAnsi="Baskerville Old Face"/>
          <w:b/>
          <w:bCs/>
          <w:i/>
          <w:iCs/>
        </w:rPr>
        <w:t>H.18 Final AI-assisted learning principle</w:t>
      </w:r>
    </w:p>
    <w:p w14:paraId="1B7668EE"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Prometheus may use AI deeply.</w:t>
      </w:r>
    </w:p>
    <w:p w14:paraId="28A429E9"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may use AI for research.</w:t>
      </w:r>
    </w:p>
    <w:p w14:paraId="3CE89301"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may use AI for design.</w:t>
      </w:r>
    </w:p>
    <w:p w14:paraId="415C7284"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may use AI for analysis.</w:t>
      </w:r>
    </w:p>
    <w:p w14:paraId="12A2140A"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may use AI for MRV support.</w:t>
      </w:r>
    </w:p>
    <w:p w14:paraId="6EE76E31"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may use AI for legal issue spotting.</w:t>
      </w:r>
    </w:p>
    <w:p w14:paraId="3F7B2E3C"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may use AI for governance preparation.</w:t>
      </w:r>
    </w:p>
    <w:p w14:paraId="73A984F1"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may use AI for technical specification.</w:t>
      </w:r>
    </w:p>
    <w:p w14:paraId="495E06E3"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may use AI for continuity verification.</w:t>
      </w:r>
    </w:p>
    <w:p w14:paraId="373B1DB0"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It may use AI to become more coherent.</w:t>
      </w:r>
    </w:p>
    <w:p w14:paraId="71EEC000"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But the final principle remains:</w:t>
      </w:r>
    </w:p>
    <w:p w14:paraId="6F48C2BF"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AI learns within Prometheus;</w:t>
      </w:r>
      <w:r w:rsidRPr="00B479AE">
        <w:rPr>
          <w:rFonts w:ascii="Baskerville Old Face" w:hAnsi="Baskerville Old Face"/>
          <w:i/>
          <w:iCs/>
        </w:rPr>
        <w:br/>
        <w:t>AI does not become Prometheus.</w:t>
      </w:r>
    </w:p>
    <w:p w14:paraId="5564183D"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The source layer defines legitimacy.</w:t>
      </w:r>
    </w:p>
    <w:p w14:paraId="7C02C9ED"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lastRenderedPageBreak/>
        <w:t>Evidence defines admissibility.</w:t>
      </w:r>
    </w:p>
    <w:p w14:paraId="12098D46"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Governance defines authorization.</w:t>
      </w:r>
    </w:p>
    <w:p w14:paraId="137D79CB"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Law defines enforceability.</w:t>
      </w:r>
    </w:p>
    <w:p w14:paraId="4FB61F89"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Human dignity defines the boundary.</w:t>
      </w:r>
    </w:p>
    <w:p w14:paraId="18E4ACDA" w14:textId="77777777" w:rsidR="007D662E" w:rsidRPr="00B479AE" w:rsidRDefault="007D662E" w:rsidP="007D662E">
      <w:pPr>
        <w:spacing w:line="360" w:lineRule="auto"/>
        <w:rPr>
          <w:rFonts w:ascii="Baskerville Old Face" w:hAnsi="Baskerville Old Face"/>
          <w:i/>
          <w:iCs/>
        </w:rPr>
      </w:pPr>
      <w:r w:rsidRPr="00B479AE">
        <w:rPr>
          <w:rFonts w:ascii="Baskerville Old Face" w:hAnsi="Baskerville Old Face"/>
          <w:i/>
          <w:iCs/>
        </w:rPr>
        <w:t>Life defines the purpose.</w:t>
      </w:r>
    </w:p>
    <w:p w14:paraId="4E869C0E" w14:textId="7B99B910" w:rsidR="00F7085C" w:rsidRPr="005907F1" w:rsidRDefault="00F7085C" w:rsidP="005907F1">
      <w:pPr>
        <w:pStyle w:val="Titolo1"/>
        <w:rPr>
          <w:rFonts w:ascii="Baskerville Old Face" w:hAnsi="Baskerville Old Face"/>
          <w:b/>
          <w:bCs/>
          <w:i/>
          <w:iCs/>
          <w:sz w:val="24"/>
          <w:szCs w:val="24"/>
        </w:rPr>
      </w:pPr>
      <w:r w:rsidRPr="005907F1">
        <w:rPr>
          <w:rFonts w:ascii="Baskerville Old Face" w:hAnsi="Baskerville Old Face"/>
          <w:b/>
          <w:bCs/>
          <w:i/>
          <w:iCs/>
          <w:sz w:val="24"/>
          <w:szCs w:val="24"/>
        </w:rPr>
        <w:t xml:space="preserve">Appendix </w:t>
      </w:r>
      <w:r w:rsidR="008433BD" w:rsidRPr="005907F1">
        <w:rPr>
          <w:rFonts w:ascii="Baskerville Old Face" w:hAnsi="Baskerville Old Face"/>
          <w:b/>
          <w:bCs/>
          <w:i/>
          <w:iCs/>
          <w:sz w:val="24"/>
          <w:szCs w:val="24"/>
        </w:rPr>
        <w:t>I</w:t>
      </w:r>
      <w:r w:rsidRPr="005907F1">
        <w:rPr>
          <w:rFonts w:ascii="Baskerville Old Face" w:hAnsi="Baskerville Old Face"/>
          <w:b/>
          <w:bCs/>
          <w:i/>
          <w:iCs/>
          <w:sz w:val="24"/>
          <w:szCs w:val="24"/>
        </w:rPr>
        <w:t>: Governance, Reputation, and Integrity-Signal Architecture</w:t>
      </w:r>
    </w:p>
    <w:p w14:paraId="1D1DB46F" w14:textId="488100AA" w:rsidR="00F7085C" w:rsidRPr="00B479AE" w:rsidRDefault="008433BD" w:rsidP="00F7085C">
      <w:pPr>
        <w:spacing w:line="360" w:lineRule="auto"/>
        <w:rPr>
          <w:rFonts w:ascii="Baskerville Old Face" w:hAnsi="Baskerville Old Face"/>
          <w:b/>
          <w:bCs/>
          <w:i/>
          <w:iCs/>
        </w:rPr>
      </w:pPr>
      <w:r w:rsidRPr="00B479AE">
        <w:rPr>
          <w:rFonts w:ascii="Baskerville Old Face" w:hAnsi="Baskerville Old Face"/>
          <w:b/>
          <w:bCs/>
          <w:i/>
          <w:iCs/>
        </w:rPr>
        <w:t>I</w:t>
      </w:r>
      <w:r w:rsidR="00F7085C" w:rsidRPr="00B479AE">
        <w:rPr>
          <w:rFonts w:ascii="Baskerville Old Face" w:hAnsi="Baskerville Old Face"/>
          <w:b/>
          <w:bCs/>
          <w:i/>
          <w:iCs/>
        </w:rPr>
        <w:t>.1 Purpose and boundary</w:t>
      </w:r>
    </w:p>
    <w:p w14:paraId="179FB6A8"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requires governance intelligence.</w:t>
      </w:r>
    </w:p>
    <w:p w14:paraId="57CF686C" w14:textId="7DEBEDDF"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As the ecosystem grows, participants, stewards, communities, contributors, researchers, auditors, technical operators, legal reviewers, capital partners, AI-assisted systems, and institutions will generate records of contribution, responsibility, conduct, review, conflict, repair, and trust.</w:t>
      </w:r>
      <w:r w:rsidR="005A3560" w:rsidRPr="00B479AE">
        <w:rPr>
          <w:rFonts w:ascii="Baskerville Old Face" w:hAnsi="Baskerville Old Face"/>
          <w:i/>
          <w:iCs/>
        </w:rPr>
        <w:t xml:space="preserve"> </w:t>
      </w:r>
      <w:r w:rsidRPr="00B479AE">
        <w:rPr>
          <w:rFonts w:ascii="Baskerville Old Face" w:hAnsi="Baskerville Old Face"/>
          <w:i/>
          <w:iCs/>
        </w:rPr>
        <w:t>These records matter.</w:t>
      </w:r>
    </w:p>
    <w:p w14:paraId="4AE5DC16"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They help the system understand who has contributed, who has held roles responsibly, where expertise exists, where risk has emerged, where review is needed, and where trust has been earned through accountable action.</w:t>
      </w:r>
    </w:p>
    <w:p w14:paraId="6F392490"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However, governance intelligence must remain bounded.</w:t>
      </w:r>
    </w:p>
    <w:p w14:paraId="7E3C89B7"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does not use reputation as a social-credit system.</w:t>
      </w:r>
    </w:p>
    <w:p w14:paraId="737C36C6"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does not reduce human dignity to a score.</w:t>
      </w:r>
    </w:p>
    <w:p w14:paraId="7F4E4F86"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does not convert wallet history into moral worth.</w:t>
      </w:r>
    </w:p>
    <w:p w14:paraId="7A4DC2C9"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does not use HSI coherence as governance rank.</w:t>
      </w:r>
    </w:p>
    <w:p w14:paraId="143683A5"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does not allow token position to become constitutional authority.</w:t>
      </w:r>
    </w:p>
    <w:p w14:paraId="0A6516B4"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does not use automatic slashing as default justice.</w:t>
      </w:r>
    </w:p>
    <w:p w14:paraId="6324AEFC"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does not treat software flags as final judgment.</w:t>
      </w:r>
    </w:p>
    <w:p w14:paraId="1159F136"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lastRenderedPageBreak/>
        <w:t>The purpose of this appendix is to define a governance, reputation, and warrant architecture that supports accountability without becoming coercive, automated, opaque, punitive, or extractive.</w:t>
      </w:r>
    </w:p>
    <w:p w14:paraId="42875B2A"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The core principle is:</w:t>
      </w:r>
    </w:p>
    <w:p w14:paraId="5DC13D16"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reputation may inform review;</w:t>
      </w:r>
      <w:r w:rsidRPr="00B479AE">
        <w:rPr>
          <w:rFonts w:ascii="Baskerville Old Face" w:hAnsi="Baskerville Old Face"/>
          <w:i/>
          <w:iCs/>
        </w:rPr>
        <w:br/>
        <w:t>reputation may not replace dignity, evidence, law, consent, or due process.</w:t>
      </w:r>
    </w:p>
    <w:p w14:paraId="22A58C62" w14:textId="5E785BA8" w:rsidR="00F7085C" w:rsidRPr="00B479AE" w:rsidRDefault="008433BD" w:rsidP="00F7085C">
      <w:pPr>
        <w:spacing w:line="360" w:lineRule="auto"/>
        <w:rPr>
          <w:rFonts w:ascii="Baskerville Old Face" w:hAnsi="Baskerville Old Face"/>
          <w:b/>
          <w:bCs/>
          <w:i/>
          <w:iCs/>
        </w:rPr>
      </w:pPr>
      <w:r w:rsidRPr="00B479AE">
        <w:rPr>
          <w:rFonts w:ascii="Baskerville Old Face" w:hAnsi="Baskerville Old Face"/>
          <w:b/>
          <w:bCs/>
          <w:i/>
          <w:iCs/>
        </w:rPr>
        <w:t>I</w:t>
      </w:r>
      <w:r w:rsidR="00F7085C" w:rsidRPr="00B479AE">
        <w:rPr>
          <w:rFonts w:ascii="Baskerville Old Face" w:hAnsi="Baskerville Old Face"/>
          <w:b/>
          <w:bCs/>
          <w:i/>
          <w:iCs/>
        </w:rPr>
        <w:t>.2 Governance records as institutional memory</w:t>
      </w:r>
    </w:p>
    <w:p w14:paraId="6A0ADA63" w14:textId="76DC278E"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governance should generate structured records.</w:t>
      </w:r>
      <w:r w:rsidR="005A3560" w:rsidRPr="00B479AE">
        <w:rPr>
          <w:rFonts w:ascii="Baskerville Old Face" w:hAnsi="Baskerville Old Face"/>
          <w:i/>
          <w:iCs/>
        </w:rPr>
        <w:t xml:space="preserve"> </w:t>
      </w:r>
      <w:r w:rsidRPr="00B479AE">
        <w:rPr>
          <w:rFonts w:ascii="Baskerville Old Face" w:hAnsi="Baskerville Old Face"/>
          <w:i/>
          <w:iCs/>
        </w:rPr>
        <w:t>Governance records may include:</w:t>
      </w:r>
    </w:p>
    <w:p w14:paraId="3D68E8EC"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role appointments;</w:t>
      </w:r>
      <w:r w:rsidRPr="00B479AE">
        <w:rPr>
          <w:rFonts w:ascii="Baskerville Old Face" w:hAnsi="Baskerville Old Face"/>
          <w:i/>
          <w:iCs/>
        </w:rPr>
        <w:br/>
        <w:t>• role expirations;</w:t>
      </w:r>
      <w:r w:rsidRPr="00B479AE">
        <w:rPr>
          <w:rFonts w:ascii="Baskerville Old Face" w:hAnsi="Baskerville Old Face"/>
          <w:i/>
          <w:iCs/>
        </w:rPr>
        <w:br/>
        <w:t>• consent decisions;</w:t>
      </w:r>
      <w:r w:rsidRPr="00B479AE">
        <w:rPr>
          <w:rFonts w:ascii="Baskerville Old Face" w:hAnsi="Baskerville Old Face"/>
          <w:i/>
          <w:iCs/>
        </w:rPr>
        <w:br/>
        <w:t>• objections and integrations;</w:t>
      </w:r>
      <w:r w:rsidRPr="00B479AE">
        <w:rPr>
          <w:rFonts w:ascii="Baskerville Old Face" w:hAnsi="Baskerville Old Face"/>
          <w:i/>
          <w:iCs/>
        </w:rPr>
        <w:br/>
        <w:t>• circle membership;</w:t>
      </w:r>
      <w:r w:rsidRPr="00B479AE">
        <w:rPr>
          <w:rFonts w:ascii="Baskerville Old Face" w:hAnsi="Baskerville Old Face"/>
          <w:i/>
          <w:iCs/>
        </w:rPr>
        <w:br/>
        <w:t>• mandates;</w:t>
      </w:r>
      <w:r w:rsidRPr="00B479AE">
        <w:rPr>
          <w:rFonts w:ascii="Baskerville Old Face" w:hAnsi="Baskerville Old Face"/>
          <w:i/>
          <w:iCs/>
        </w:rPr>
        <w:br/>
        <w:t>• decision logs;</w:t>
      </w:r>
      <w:r w:rsidRPr="00B479AE">
        <w:rPr>
          <w:rFonts w:ascii="Baskerville Old Face" w:hAnsi="Baskerville Old Face"/>
          <w:i/>
          <w:iCs/>
        </w:rPr>
        <w:br/>
        <w:t>• meeting minutes;</w:t>
      </w:r>
      <w:r w:rsidRPr="00B479AE">
        <w:rPr>
          <w:rFonts w:ascii="Baskerville Old Face" w:hAnsi="Baskerville Old Face"/>
          <w:i/>
          <w:iCs/>
        </w:rPr>
        <w:br/>
        <w:t>• conflict disclosures;</w:t>
      </w:r>
      <w:r w:rsidRPr="00B479AE">
        <w:rPr>
          <w:rFonts w:ascii="Baskerville Old Face" w:hAnsi="Baskerville Old Face"/>
          <w:i/>
          <w:iCs/>
        </w:rPr>
        <w:br/>
        <w:t>• contribution records;</w:t>
      </w:r>
      <w:r w:rsidRPr="00B479AE">
        <w:rPr>
          <w:rFonts w:ascii="Baskerville Old Face" w:hAnsi="Baskerville Old Face"/>
          <w:i/>
          <w:iCs/>
        </w:rPr>
        <w:br/>
        <w:t>• stewardship records;</w:t>
      </w:r>
      <w:r w:rsidRPr="00B479AE">
        <w:rPr>
          <w:rFonts w:ascii="Baskerville Old Face" w:hAnsi="Baskerville Old Face"/>
          <w:i/>
          <w:iCs/>
        </w:rPr>
        <w:br/>
        <w:t>• review outcomes;</w:t>
      </w:r>
      <w:r w:rsidRPr="00B479AE">
        <w:rPr>
          <w:rFonts w:ascii="Baskerville Old Face" w:hAnsi="Baskerville Old Face"/>
          <w:i/>
          <w:iCs/>
        </w:rPr>
        <w:br/>
        <w:t>• appeal outcomes;</w:t>
      </w:r>
      <w:r w:rsidRPr="00B479AE">
        <w:rPr>
          <w:rFonts w:ascii="Baskerville Old Face" w:hAnsi="Baskerville Old Face"/>
          <w:i/>
          <w:iCs/>
        </w:rPr>
        <w:br/>
        <w:t>• warnings;</w:t>
      </w:r>
      <w:r w:rsidRPr="00B479AE">
        <w:rPr>
          <w:rFonts w:ascii="Baskerville Old Face" w:hAnsi="Baskerville Old Face"/>
          <w:i/>
          <w:iCs/>
        </w:rPr>
        <w:br/>
        <w:t>• remediation plans;</w:t>
      </w:r>
      <w:r w:rsidRPr="00B479AE">
        <w:rPr>
          <w:rFonts w:ascii="Baskerville Old Face" w:hAnsi="Baskerville Old Face"/>
          <w:i/>
          <w:iCs/>
        </w:rPr>
        <w:br/>
        <w:t>• suspension or restriction records;</w:t>
      </w:r>
      <w:r w:rsidRPr="00B479AE">
        <w:rPr>
          <w:rFonts w:ascii="Baskerville Old Face" w:hAnsi="Baskerville Old Face"/>
          <w:i/>
          <w:iCs/>
        </w:rPr>
        <w:br/>
        <w:t>• restoration records;</w:t>
      </w:r>
      <w:r w:rsidRPr="00B479AE">
        <w:rPr>
          <w:rFonts w:ascii="Baskerville Old Face" w:hAnsi="Baskerville Old Face"/>
          <w:i/>
          <w:iCs/>
        </w:rPr>
        <w:br/>
        <w:t>• constitutional interpretations;</w:t>
      </w:r>
      <w:r w:rsidRPr="00B479AE">
        <w:rPr>
          <w:rFonts w:ascii="Baskerville Old Face" w:hAnsi="Baskerville Old Face"/>
          <w:i/>
          <w:iCs/>
        </w:rPr>
        <w:br/>
        <w:t>• non-admissibility decisions;</w:t>
      </w:r>
      <w:r w:rsidRPr="00B479AE">
        <w:rPr>
          <w:rFonts w:ascii="Baskerville Old Face" w:hAnsi="Baskerville Old Face"/>
          <w:i/>
          <w:iCs/>
        </w:rPr>
        <w:br/>
        <w:t>• public correction records;</w:t>
      </w:r>
      <w:r w:rsidRPr="00B479AE">
        <w:rPr>
          <w:rFonts w:ascii="Baskerville Old Face" w:hAnsi="Baskerville Old Face"/>
          <w:i/>
          <w:iCs/>
        </w:rPr>
        <w:br/>
        <w:t>• fork classification records.</w:t>
      </w:r>
    </w:p>
    <w:p w14:paraId="66B6393A" w14:textId="2BB0E580"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These records create institutional memory.</w:t>
      </w:r>
      <w:r w:rsidR="005A3560" w:rsidRPr="00B479AE">
        <w:rPr>
          <w:rFonts w:ascii="Baskerville Old Face" w:hAnsi="Baskerville Old Face"/>
          <w:i/>
          <w:iCs/>
        </w:rPr>
        <w:t xml:space="preserve"> </w:t>
      </w:r>
      <w:r w:rsidRPr="00B479AE">
        <w:rPr>
          <w:rFonts w:ascii="Baskerville Old Face" w:hAnsi="Baskerville Old Face"/>
          <w:i/>
          <w:iCs/>
        </w:rPr>
        <w:t>A system without memory becomes vulnerable to charisma, urgency, repetition, money, manipulation, and selective forgetting.</w:t>
      </w:r>
    </w:p>
    <w:p w14:paraId="77BE57E2"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lastRenderedPageBreak/>
        <w:t>Prometheus should preserve governance memory so that future decisions can be made with context.</w:t>
      </w:r>
    </w:p>
    <w:p w14:paraId="633F1CFA" w14:textId="09883E13" w:rsidR="00F7085C" w:rsidRPr="00B479AE" w:rsidRDefault="008433BD" w:rsidP="00F7085C">
      <w:pPr>
        <w:spacing w:line="360" w:lineRule="auto"/>
        <w:rPr>
          <w:rFonts w:ascii="Baskerville Old Face" w:hAnsi="Baskerville Old Face"/>
          <w:b/>
          <w:bCs/>
          <w:i/>
          <w:iCs/>
        </w:rPr>
      </w:pPr>
      <w:r w:rsidRPr="00B479AE">
        <w:rPr>
          <w:rFonts w:ascii="Baskerville Old Face" w:hAnsi="Baskerville Old Face"/>
          <w:b/>
          <w:bCs/>
          <w:i/>
          <w:iCs/>
        </w:rPr>
        <w:t>I</w:t>
      </w:r>
      <w:r w:rsidR="00F7085C" w:rsidRPr="00B479AE">
        <w:rPr>
          <w:rFonts w:ascii="Baskerville Old Face" w:hAnsi="Baskerville Old Face"/>
          <w:b/>
          <w:bCs/>
          <w:i/>
          <w:iCs/>
        </w:rPr>
        <w:t>.3 Reputation as contextual signal</w:t>
      </w:r>
    </w:p>
    <w:p w14:paraId="074783C8"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Reputation in Prometheus is not identity.</w:t>
      </w:r>
    </w:p>
    <w:p w14:paraId="5D9744C7"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It is not human value.</w:t>
      </w:r>
    </w:p>
    <w:p w14:paraId="0F367E2E"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It is not citizenship.</w:t>
      </w:r>
    </w:p>
    <w:p w14:paraId="3893762A"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It is not moral rank.</w:t>
      </w:r>
    </w:p>
    <w:p w14:paraId="0C28FFBB"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It is not a universal score.</w:t>
      </w:r>
    </w:p>
    <w:p w14:paraId="1BE74D93"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It is a contextual signal derived from reviewable participation history.</w:t>
      </w:r>
    </w:p>
    <w:p w14:paraId="1397D36D" w14:textId="4AC21E4B"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Reputation may reflect:</w:t>
      </w:r>
      <w:r w:rsidR="008433BD" w:rsidRPr="00B479AE">
        <w:rPr>
          <w:rFonts w:ascii="Baskerville Old Face" w:hAnsi="Baskerville Old Face"/>
          <w:i/>
          <w:iCs/>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9"/>
        <w:gridCol w:w="5088"/>
        <w:gridCol w:w="3041"/>
      </w:tblGrid>
      <w:tr w:rsidR="00F7085C" w:rsidRPr="00B479AE" w14:paraId="13AFDEBD" w14:textId="77777777" w:rsidTr="00F7085C">
        <w:trPr>
          <w:tblHeader/>
          <w:tblCellSpacing w:w="15" w:type="dxa"/>
        </w:trPr>
        <w:tc>
          <w:tcPr>
            <w:tcW w:w="0" w:type="auto"/>
            <w:vAlign w:val="center"/>
            <w:hideMark/>
          </w:tcPr>
          <w:p w14:paraId="4296B9F7" w14:textId="77777777" w:rsidR="00F7085C" w:rsidRPr="00B479AE" w:rsidRDefault="00F7085C" w:rsidP="00F7085C">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Signal family</w:t>
            </w:r>
          </w:p>
        </w:tc>
        <w:tc>
          <w:tcPr>
            <w:tcW w:w="0" w:type="auto"/>
            <w:vAlign w:val="center"/>
            <w:hideMark/>
          </w:tcPr>
          <w:p w14:paraId="2B690981" w14:textId="77777777" w:rsidR="00F7085C" w:rsidRPr="00B479AE" w:rsidRDefault="00F7085C" w:rsidP="00F7085C">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Examples</w:t>
            </w:r>
          </w:p>
        </w:tc>
        <w:tc>
          <w:tcPr>
            <w:tcW w:w="0" w:type="auto"/>
            <w:vAlign w:val="center"/>
            <w:hideMark/>
          </w:tcPr>
          <w:p w14:paraId="779E6C5B" w14:textId="77777777" w:rsidR="00F7085C" w:rsidRPr="00B479AE" w:rsidRDefault="00F7085C" w:rsidP="00F7085C">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Use</w:t>
            </w:r>
          </w:p>
        </w:tc>
      </w:tr>
      <w:tr w:rsidR="00F7085C" w:rsidRPr="00B479AE" w14:paraId="1937A5D1" w14:textId="77777777" w:rsidTr="00F7085C">
        <w:trPr>
          <w:tblCellSpacing w:w="15" w:type="dxa"/>
        </w:trPr>
        <w:tc>
          <w:tcPr>
            <w:tcW w:w="0" w:type="auto"/>
            <w:vAlign w:val="center"/>
            <w:hideMark/>
          </w:tcPr>
          <w:p w14:paraId="5D00BFEA" w14:textId="77777777" w:rsidR="00F7085C" w:rsidRPr="00B479AE" w:rsidRDefault="00F7085C" w:rsidP="00F7085C">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Contribution history</w:t>
            </w:r>
          </w:p>
        </w:tc>
        <w:tc>
          <w:tcPr>
            <w:tcW w:w="0" w:type="auto"/>
            <w:vAlign w:val="center"/>
            <w:hideMark/>
          </w:tcPr>
          <w:p w14:paraId="00CF6A40" w14:textId="77777777" w:rsidR="00F7085C" w:rsidRPr="00B479AE" w:rsidRDefault="00F7085C" w:rsidP="00F7085C">
            <w:pPr>
              <w:spacing w:line="360" w:lineRule="auto"/>
              <w:rPr>
                <w:rFonts w:ascii="Baskerville Old Face" w:hAnsi="Baskerville Old Face"/>
                <w:i/>
                <w:iCs/>
                <w:sz w:val="20"/>
                <w:szCs w:val="20"/>
              </w:rPr>
            </w:pPr>
            <w:r w:rsidRPr="00B479AE">
              <w:rPr>
                <w:rFonts w:ascii="Baskerville Old Face" w:hAnsi="Baskerville Old Face"/>
                <w:i/>
                <w:iCs/>
                <w:sz w:val="20"/>
                <w:szCs w:val="20"/>
              </w:rPr>
              <w:t>Documented work, stewardship, research, technical commits, field activity, governance service.</w:t>
            </w:r>
          </w:p>
        </w:tc>
        <w:tc>
          <w:tcPr>
            <w:tcW w:w="0" w:type="auto"/>
            <w:vAlign w:val="center"/>
            <w:hideMark/>
          </w:tcPr>
          <w:p w14:paraId="302BBE7E" w14:textId="77777777" w:rsidR="00F7085C" w:rsidRPr="00B479AE" w:rsidRDefault="00F7085C" w:rsidP="00F7085C">
            <w:pPr>
              <w:spacing w:line="360" w:lineRule="auto"/>
              <w:rPr>
                <w:rFonts w:ascii="Baskerville Old Face" w:hAnsi="Baskerville Old Face"/>
                <w:i/>
                <w:iCs/>
                <w:sz w:val="20"/>
                <w:szCs w:val="20"/>
              </w:rPr>
            </w:pPr>
            <w:r w:rsidRPr="00B479AE">
              <w:rPr>
                <w:rFonts w:ascii="Baskerville Old Face" w:hAnsi="Baskerville Old Face"/>
                <w:i/>
                <w:iCs/>
                <w:sz w:val="20"/>
                <w:szCs w:val="20"/>
              </w:rPr>
              <w:t>Role review, access review, contribution recognition.</w:t>
            </w:r>
          </w:p>
        </w:tc>
      </w:tr>
      <w:tr w:rsidR="00F7085C" w:rsidRPr="00B479AE" w14:paraId="7F098419" w14:textId="77777777" w:rsidTr="00F7085C">
        <w:trPr>
          <w:tblCellSpacing w:w="15" w:type="dxa"/>
        </w:trPr>
        <w:tc>
          <w:tcPr>
            <w:tcW w:w="0" w:type="auto"/>
            <w:vAlign w:val="center"/>
            <w:hideMark/>
          </w:tcPr>
          <w:p w14:paraId="06E11131" w14:textId="77777777" w:rsidR="00F7085C" w:rsidRPr="00B479AE" w:rsidRDefault="00F7085C" w:rsidP="00F7085C">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Reliability history</w:t>
            </w:r>
          </w:p>
        </w:tc>
        <w:tc>
          <w:tcPr>
            <w:tcW w:w="0" w:type="auto"/>
            <w:vAlign w:val="center"/>
            <w:hideMark/>
          </w:tcPr>
          <w:p w14:paraId="035D40DC" w14:textId="77777777" w:rsidR="00F7085C" w:rsidRPr="00B479AE" w:rsidRDefault="00F7085C" w:rsidP="00F7085C">
            <w:pPr>
              <w:spacing w:line="360" w:lineRule="auto"/>
              <w:rPr>
                <w:rFonts w:ascii="Baskerville Old Face" w:hAnsi="Baskerville Old Face"/>
                <w:i/>
                <w:iCs/>
                <w:sz w:val="20"/>
                <w:szCs w:val="20"/>
              </w:rPr>
            </w:pPr>
            <w:r w:rsidRPr="00B479AE">
              <w:rPr>
                <w:rFonts w:ascii="Baskerville Old Face" w:hAnsi="Baskerville Old Face"/>
                <w:i/>
                <w:iCs/>
                <w:sz w:val="20"/>
                <w:szCs w:val="20"/>
              </w:rPr>
              <w:t>Completion of commitments, timely reporting, consistency, responsiveness.</w:t>
            </w:r>
          </w:p>
        </w:tc>
        <w:tc>
          <w:tcPr>
            <w:tcW w:w="0" w:type="auto"/>
            <w:vAlign w:val="center"/>
            <w:hideMark/>
          </w:tcPr>
          <w:p w14:paraId="2B8DEEA9" w14:textId="77777777" w:rsidR="00F7085C" w:rsidRPr="00B479AE" w:rsidRDefault="00F7085C" w:rsidP="00F7085C">
            <w:pPr>
              <w:spacing w:line="360" w:lineRule="auto"/>
              <w:rPr>
                <w:rFonts w:ascii="Baskerville Old Face" w:hAnsi="Baskerville Old Face"/>
                <w:i/>
                <w:iCs/>
                <w:sz w:val="20"/>
                <w:szCs w:val="20"/>
              </w:rPr>
            </w:pPr>
            <w:r w:rsidRPr="00B479AE">
              <w:rPr>
                <w:rFonts w:ascii="Baskerville Old Face" w:hAnsi="Baskerville Old Face"/>
                <w:i/>
                <w:iCs/>
                <w:sz w:val="20"/>
                <w:szCs w:val="20"/>
              </w:rPr>
              <w:t>Operational trust and task allocation.</w:t>
            </w:r>
          </w:p>
        </w:tc>
      </w:tr>
      <w:tr w:rsidR="00F7085C" w:rsidRPr="00B479AE" w14:paraId="40BBC7B3" w14:textId="77777777" w:rsidTr="00F7085C">
        <w:trPr>
          <w:tblCellSpacing w:w="15" w:type="dxa"/>
        </w:trPr>
        <w:tc>
          <w:tcPr>
            <w:tcW w:w="0" w:type="auto"/>
            <w:vAlign w:val="center"/>
            <w:hideMark/>
          </w:tcPr>
          <w:p w14:paraId="2B1DAC35" w14:textId="77777777" w:rsidR="00F7085C" w:rsidRPr="00B479AE" w:rsidRDefault="00F7085C" w:rsidP="00F7085C">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Evidence quality</w:t>
            </w:r>
          </w:p>
        </w:tc>
        <w:tc>
          <w:tcPr>
            <w:tcW w:w="0" w:type="auto"/>
            <w:vAlign w:val="center"/>
            <w:hideMark/>
          </w:tcPr>
          <w:p w14:paraId="2C642587" w14:textId="77777777" w:rsidR="00F7085C" w:rsidRPr="00B479AE" w:rsidRDefault="00F7085C" w:rsidP="00F7085C">
            <w:pPr>
              <w:spacing w:line="360" w:lineRule="auto"/>
              <w:rPr>
                <w:rFonts w:ascii="Baskerville Old Face" w:hAnsi="Baskerville Old Face"/>
                <w:i/>
                <w:iCs/>
                <w:sz w:val="20"/>
                <w:szCs w:val="20"/>
              </w:rPr>
            </w:pPr>
            <w:r w:rsidRPr="00B479AE">
              <w:rPr>
                <w:rFonts w:ascii="Baskerville Old Face" w:hAnsi="Baskerville Old Face"/>
                <w:i/>
                <w:iCs/>
                <w:sz w:val="20"/>
                <w:szCs w:val="20"/>
              </w:rPr>
              <w:t>Quality of submitted MRV records, provenance discipline, correction behavior.</w:t>
            </w:r>
          </w:p>
        </w:tc>
        <w:tc>
          <w:tcPr>
            <w:tcW w:w="0" w:type="auto"/>
            <w:vAlign w:val="center"/>
            <w:hideMark/>
          </w:tcPr>
          <w:p w14:paraId="19006F55" w14:textId="77777777" w:rsidR="00F7085C" w:rsidRPr="00B479AE" w:rsidRDefault="00F7085C" w:rsidP="00F7085C">
            <w:pPr>
              <w:spacing w:line="360" w:lineRule="auto"/>
              <w:rPr>
                <w:rFonts w:ascii="Baskerville Old Face" w:hAnsi="Baskerville Old Face"/>
                <w:i/>
                <w:iCs/>
                <w:sz w:val="20"/>
                <w:szCs w:val="20"/>
              </w:rPr>
            </w:pPr>
            <w:r w:rsidRPr="00B479AE">
              <w:rPr>
                <w:rFonts w:ascii="Baskerville Old Face" w:hAnsi="Baskerville Old Face"/>
                <w:i/>
                <w:iCs/>
                <w:sz w:val="20"/>
                <w:szCs w:val="20"/>
              </w:rPr>
              <w:t>MRV review and evidence weighting.</w:t>
            </w:r>
          </w:p>
        </w:tc>
      </w:tr>
      <w:tr w:rsidR="00F7085C" w:rsidRPr="00B479AE" w14:paraId="268C1444" w14:textId="77777777" w:rsidTr="00F7085C">
        <w:trPr>
          <w:tblCellSpacing w:w="15" w:type="dxa"/>
        </w:trPr>
        <w:tc>
          <w:tcPr>
            <w:tcW w:w="0" w:type="auto"/>
            <w:vAlign w:val="center"/>
            <w:hideMark/>
          </w:tcPr>
          <w:p w14:paraId="7EE9043A" w14:textId="77777777" w:rsidR="00F7085C" w:rsidRPr="00B479AE" w:rsidRDefault="00F7085C" w:rsidP="00F7085C">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Governance conduct</w:t>
            </w:r>
          </w:p>
        </w:tc>
        <w:tc>
          <w:tcPr>
            <w:tcW w:w="0" w:type="auto"/>
            <w:vAlign w:val="center"/>
            <w:hideMark/>
          </w:tcPr>
          <w:p w14:paraId="4C541BFB" w14:textId="77777777" w:rsidR="00F7085C" w:rsidRPr="00B479AE" w:rsidRDefault="00F7085C" w:rsidP="00F7085C">
            <w:pPr>
              <w:spacing w:line="360" w:lineRule="auto"/>
              <w:rPr>
                <w:rFonts w:ascii="Baskerville Old Face" w:hAnsi="Baskerville Old Face"/>
                <w:i/>
                <w:iCs/>
                <w:sz w:val="20"/>
                <w:szCs w:val="20"/>
              </w:rPr>
            </w:pPr>
            <w:r w:rsidRPr="00B479AE">
              <w:rPr>
                <w:rFonts w:ascii="Baskerville Old Face" w:hAnsi="Baskerville Old Face"/>
                <w:i/>
                <w:iCs/>
                <w:sz w:val="20"/>
                <w:szCs w:val="20"/>
              </w:rPr>
              <w:t>Participation quality, consent discipline, conflict handling, role integrity.</w:t>
            </w:r>
          </w:p>
        </w:tc>
        <w:tc>
          <w:tcPr>
            <w:tcW w:w="0" w:type="auto"/>
            <w:vAlign w:val="center"/>
            <w:hideMark/>
          </w:tcPr>
          <w:p w14:paraId="51C25036" w14:textId="77777777" w:rsidR="00F7085C" w:rsidRPr="00B479AE" w:rsidRDefault="00F7085C" w:rsidP="00F7085C">
            <w:pPr>
              <w:spacing w:line="360" w:lineRule="auto"/>
              <w:rPr>
                <w:rFonts w:ascii="Baskerville Old Face" w:hAnsi="Baskerville Old Face"/>
                <w:i/>
                <w:iCs/>
                <w:sz w:val="20"/>
                <w:szCs w:val="20"/>
              </w:rPr>
            </w:pPr>
            <w:r w:rsidRPr="00B479AE">
              <w:rPr>
                <w:rFonts w:ascii="Baskerville Old Face" w:hAnsi="Baskerville Old Face"/>
                <w:i/>
                <w:iCs/>
                <w:sz w:val="20"/>
                <w:szCs w:val="20"/>
              </w:rPr>
              <w:t>Governance role review.</w:t>
            </w:r>
          </w:p>
        </w:tc>
      </w:tr>
      <w:tr w:rsidR="00F7085C" w:rsidRPr="00B479AE" w14:paraId="4E0ABBE9" w14:textId="77777777" w:rsidTr="00F7085C">
        <w:trPr>
          <w:tblCellSpacing w:w="15" w:type="dxa"/>
        </w:trPr>
        <w:tc>
          <w:tcPr>
            <w:tcW w:w="0" w:type="auto"/>
            <w:vAlign w:val="center"/>
            <w:hideMark/>
          </w:tcPr>
          <w:p w14:paraId="66F236B7" w14:textId="77777777" w:rsidR="00F7085C" w:rsidRPr="00B479AE" w:rsidRDefault="00F7085C" w:rsidP="00F7085C">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Repair history</w:t>
            </w:r>
          </w:p>
        </w:tc>
        <w:tc>
          <w:tcPr>
            <w:tcW w:w="0" w:type="auto"/>
            <w:vAlign w:val="center"/>
            <w:hideMark/>
          </w:tcPr>
          <w:p w14:paraId="7529E54A" w14:textId="77777777" w:rsidR="00F7085C" w:rsidRPr="00B479AE" w:rsidRDefault="00F7085C" w:rsidP="00F7085C">
            <w:pPr>
              <w:spacing w:line="360" w:lineRule="auto"/>
              <w:rPr>
                <w:rFonts w:ascii="Baskerville Old Face" w:hAnsi="Baskerville Old Face"/>
                <w:i/>
                <w:iCs/>
                <w:sz w:val="20"/>
                <w:szCs w:val="20"/>
              </w:rPr>
            </w:pPr>
            <w:r w:rsidRPr="00B479AE">
              <w:rPr>
                <w:rFonts w:ascii="Baskerville Old Face" w:hAnsi="Baskerville Old Face"/>
                <w:i/>
                <w:iCs/>
                <w:sz w:val="20"/>
                <w:szCs w:val="20"/>
              </w:rPr>
              <w:t>Remediation completed, correction made, restoration achieved.</w:t>
            </w:r>
          </w:p>
        </w:tc>
        <w:tc>
          <w:tcPr>
            <w:tcW w:w="0" w:type="auto"/>
            <w:vAlign w:val="center"/>
            <w:hideMark/>
          </w:tcPr>
          <w:p w14:paraId="634E4DC7" w14:textId="77777777" w:rsidR="00F7085C" w:rsidRPr="00B479AE" w:rsidRDefault="00F7085C" w:rsidP="00F7085C">
            <w:pPr>
              <w:spacing w:line="360" w:lineRule="auto"/>
              <w:rPr>
                <w:rFonts w:ascii="Baskerville Old Face" w:hAnsi="Baskerville Old Face"/>
                <w:i/>
                <w:iCs/>
                <w:sz w:val="20"/>
                <w:szCs w:val="20"/>
              </w:rPr>
            </w:pPr>
            <w:r w:rsidRPr="00B479AE">
              <w:rPr>
                <w:rFonts w:ascii="Baskerville Old Face" w:hAnsi="Baskerville Old Face"/>
                <w:i/>
                <w:iCs/>
                <w:sz w:val="20"/>
                <w:szCs w:val="20"/>
              </w:rPr>
              <w:t>Reinstatement and risk reduction.</w:t>
            </w:r>
          </w:p>
        </w:tc>
      </w:tr>
      <w:tr w:rsidR="00F7085C" w:rsidRPr="00B479AE" w14:paraId="63B58DA1" w14:textId="77777777" w:rsidTr="00F7085C">
        <w:trPr>
          <w:tblCellSpacing w:w="15" w:type="dxa"/>
        </w:trPr>
        <w:tc>
          <w:tcPr>
            <w:tcW w:w="0" w:type="auto"/>
            <w:vAlign w:val="center"/>
            <w:hideMark/>
          </w:tcPr>
          <w:p w14:paraId="0CD7B3B6" w14:textId="77777777" w:rsidR="00F7085C" w:rsidRPr="00B479AE" w:rsidRDefault="00F7085C" w:rsidP="00F7085C">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Expertise context</w:t>
            </w:r>
          </w:p>
        </w:tc>
        <w:tc>
          <w:tcPr>
            <w:tcW w:w="0" w:type="auto"/>
            <w:vAlign w:val="center"/>
            <w:hideMark/>
          </w:tcPr>
          <w:p w14:paraId="4A160D55" w14:textId="77777777" w:rsidR="00F7085C" w:rsidRPr="00B479AE" w:rsidRDefault="00F7085C" w:rsidP="00F7085C">
            <w:pPr>
              <w:spacing w:line="360" w:lineRule="auto"/>
              <w:rPr>
                <w:rFonts w:ascii="Baskerville Old Face" w:hAnsi="Baskerville Old Face"/>
                <w:i/>
                <w:iCs/>
                <w:sz w:val="20"/>
                <w:szCs w:val="20"/>
              </w:rPr>
            </w:pPr>
            <w:r w:rsidRPr="00B479AE">
              <w:rPr>
                <w:rFonts w:ascii="Baskerville Old Face" w:hAnsi="Baskerville Old Face"/>
                <w:i/>
                <w:iCs/>
                <w:sz w:val="20"/>
                <w:szCs w:val="20"/>
              </w:rPr>
              <w:t>Verified skills, professional qualifications, field knowledge, local knowledge.</w:t>
            </w:r>
          </w:p>
        </w:tc>
        <w:tc>
          <w:tcPr>
            <w:tcW w:w="0" w:type="auto"/>
            <w:vAlign w:val="center"/>
            <w:hideMark/>
          </w:tcPr>
          <w:p w14:paraId="4B0A42E8" w14:textId="77777777" w:rsidR="00F7085C" w:rsidRPr="00B479AE" w:rsidRDefault="00F7085C" w:rsidP="00F7085C">
            <w:pPr>
              <w:spacing w:line="360" w:lineRule="auto"/>
              <w:rPr>
                <w:rFonts w:ascii="Baskerville Old Face" w:hAnsi="Baskerville Old Face"/>
                <w:i/>
                <w:iCs/>
                <w:sz w:val="20"/>
                <w:szCs w:val="20"/>
              </w:rPr>
            </w:pPr>
            <w:r w:rsidRPr="00B479AE">
              <w:rPr>
                <w:rFonts w:ascii="Baskerville Old Face" w:hAnsi="Baskerville Old Face"/>
                <w:i/>
                <w:iCs/>
                <w:sz w:val="20"/>
                <w:szCs w:val="20"/>
              </w:rPr>
              <w:t>Appropriate role assignment.</w:t>
            </w:r>
          </w:p>
        </w:tc>
      </w:tr>
      <w:tr w:rsidR="00F7085C" w:rsidRPr="00B479AE" w14:paraId="73343158" w14:textId="77777777" w:rsidTr="00F7085C">
        <w:trPr>
          <w:tblCellSpacing w:w="15" w:type="dxa"/>
        </w:trPr>
        <w:tc>
          <w:tcPr>
            <w:tcW w:w="0" w:type="auto"/>
            <w:vAlign w:val="center"/>
            <w:hideMark/>
          </w:tcPr>
          <w:p w14:paraId="4707410A" w14:textId="77777777" w:rsidR="00F7085C" w:rsidRPr="00B479AE" w:rsidRDefault="00F7085C" w:rsidP="00F7085C">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Risk context</w:t>
            </w:r>
          </w:p>
        </w:tc>
        <w:tc>
          <w:tcPr>
            <w:tcW w:w="0" w:type="auto"/>
            <w:vAlign w:val="center"/>
            <w:hideMark/>
          </w:tcPr>
          <w:p w14:paraId="7C56F784" w14:textId="77777777" w:rsidR="00F7085C" w:rsidRPr="00B479AE" w:rsidRDefault="00F7085C" w:rsidP="00F7085C">
            <w:pPr>
              <w:spacing w:line="360" w:lineRule="auto"/>
              <w:rPr>
                <w:rFonts w:ascii="Baskerville Old Face" w:hAnsi="Baskerville Old Face"/>
                <w:i/>
                <w:iCs/>
                <w:sz w:val="20"/>
                <w:szCs w:val="20"/>
              </w:rPr>
            </w:pPr>
            <w:r w:rsidRPr="00B479AE">
              <w:rPr>
                <w:rFonts w:ascii="Baskerville Old Face" w:hAnsi="Baskerville Old Face"/>
                <w:i/>
                <w:iCs/>
                <w:sz w:val="20"/>
                <w:szCs w:val="20"/>
              </w:rPr>
              <w:t>Repeated overclaiming, unresolved conflicts, non-admissible submissions, breach history.</w:t>
            </w:r>
          </w:p>
        </w:tc>
        <w:tc>
          <w:tcPr>
            <w:tcW w:w="0" w:type="auto"/>
            <w:vAlign w:val="center"/>
            <w:hideMark/>
          </w:tcPr>
          <w:p w14:paraId="2F628FD2" w14:textId="77777777" w:rsidR="00F7085C" w:rsidRPr="00B479AE" w:rsidRDefault="00F7085C" w:rsidP="00F7085C">
            <w:pPr>
              <w:spacing w:line="360" w:lineRule="auto"/>
              <w:rPr>
                <w:rFonts w:ascii="Baskerville Old Face" w:hAnsi="Baskerville Old Face"/>
                <w:i/>
                <w:iCs/>
                <w:sz w:val="20"/>
                <w:szCs w:val="20"/>
              </w:rPr>
            </w:pPr>
            <w:r w:rsidRPr="00B479AE">
              <w:rPr>
                <w:rFonts w:ascii="Baskerville Old Face" w:hAnsi="Baskerville Old Face"/>
                <w:i/>
                <w:iCs/>
                <w:sz w:val="20"/>
                <w:szCs w:val="20"/>
              </w:rPr>
              <w:t>Enhanced review, limitation, or safeguards.</w:t>
            </w:r>
          </w:p>
        </w:tc>
      </w:tr>
    </w:tbl>
    <w:p w14:paraId="3455F6CE"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Reputation should be plural, contextual, and explainable.</w:t>
      </w:r>
    </w:p>
    <w:p w14:paraId="60E9FDCC"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lastRenderedPageBreak/>
        <w:t>A person may be highly reliable in field stewardship and not qualified for legal review.</w:t>
      </w:r>
    </w:p>
    <w:p w14:paraId="0BBA6776"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 technical contributor may be excellent at code and not suited to community facilitation.</w:t>
      </w:r>
    </w:p>
    <w:p w14:paraId="091FC002"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 capital partner may be useful in finance and excluded from MRV validation.</w:t>
      </w:r>
    </w:p>
    <w:p w14:paraId="2215D1AA"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 community elder may carry deep relational authority and still require methodology support for PRU analysis.</w:t>
      </w:r>
    </w:p>
    <w:p w14:paraId="3A191E6E"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therefore avoids universal reputation ranking.</w:t>
      </w:r>
    </w:p>
    <w:p w14:paraId="70B13A39"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It uses contextual trust signals.</w:t>
      </w:r>
    </w:p>
    <w:p w14:paraId="3D4F2A34" w14:textId="2FB133FB" w:rsidR="00F7085C" w:rsidRPr="00B479AE" w:rsidRDefault="008433BD" w:rsidP="00F7085C">
      <w:pPr>
        <w:spacing w:line="360" w:lineRule="auto"/>
        <w:rPr>
          <w:rFonts w:ascii="Baskerville Old Face" w:hAnsi="Baskerville Old Face"/>
          <w:b/>
          <w:bCs/>
          <w:i/>
          <w:iCs/>
        </w:rPr>
      </w:pPr>
      <w:r w:rsidRPr="00B479AE">
        <w:rPr>
          <w:rFonts w:ascii="Baskerville Old Face" w:hAnsi="Baskerville Old Face"/>
          <w:b/>
          <w:bCs/>
          <w:i/>
          <w:iCs/>
        </w:rPr>
        <w:t>I</w:t>
      </w:r>
      <w:r w:rsidR="00F7085C" w:rsidRPr="00B479AE">
        <w:rPr>
          <w:rFonts w:ascii="Baskerville Old Face" w:hAnsi="Baskerville Old Face"/>
          <w:b/>
          <w:bCs/>
          <w:i/>
          <w:iCs/>
        </w:rPr>
        <w:t>.4 Prohibited reputation uses</w:t>
      </w:r>
    </w:p>
    <w:p w14:paraId="2112DA38"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should expressly prohibit certain reputation uses.</w:t>
      </w:r>
    </w:p>
    <w:p w14:paraId="6B4A5B33"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Reputation must not be used to:</w:t>
      </w:r>
    </w:p>
    <w:p w14:paraId="1E99B0F6"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rank human worth;</w:t>
      </w:r>
      <w:r w:rsidRPr="00B479AE">
        <w:rPr>
          <w:rFonts w:ascii="Baskerville Old Face" w:hAnsi="Baskerville Old Face"/>
          <w:i/>
          <w:iCs/>
        </w:rPr>
        <w:br/>
        <w:t>• create social credit;</w:t>
      </w:r>
      <w:r w:rsidRPr="00B479AE">
        <w:rPr>
          <w:rFonts w:ascii="Baskerville Old Face" w:hAnsi="Baskerville Old Face"/>
          <w:i/>
          <w:iCs/>
        </w:rPr>
        <w:br/>
        <w:t>• determine basic dignity;</w:t>
      </w:r>
      <w:r w:rsidRPr="00B479AE">
        <w:rPr>
          <w:rFonts w:ascii="Baskerville Old Face" w:hAnsi="Baskerville Old Face"/>
          <w:i/>
          <w:iCs/>
        </w:rPr>
        <w:br/>
        <w:t>• infer private beliefs;</w:t>
      </w:r>
      <w:r w:rsidRPr="00B479AE">
        <w:rPr>
          <w:rFonts w:ascii="Baskerville Old Face" w:hAnsi="Baskerville Old Face"/>
          <w:i/>
          <w:iCs/>
        </w:rPr>
        <w:br/>
        <w:t>• coerce conduct;</w:t>
      </w:r>
      <w:r w:rsidRPr="00B479AE">
        <w:rPr>
          <w:rFonts w:ascii="Baskerville Old Face" w:hAnsi="Baskerville Old Face"/>
          <w:i/>
          <w:iCs/>
        </w:rPr>
        <w:br/>
        <w:t>• determine MRV truth automatically;</w:t>
      </w:r>
      <w:r w:rsidRPr="00B479AE">
        <w:rPr>
          <w:rFonts w:ascii="Baskerville Old Face" w:hAnsi="Baskerville Old Face"/>
          <w:i/>
          <w:iCs/>
        </w:rPr>
        <w:br/>
        <w:t>• grant PRU value automatically;</w:t>
      </w:r>
      <w:r w:rsidRPr="00B479AE">
        <w:rPr>
          <w:rFonts w:ascii="Baskerville Old Face" w:hAnsi="Baskerville Old Face"/>
          <w:i/>
          <w:iCs/>
        </w:rPr>
        <w:br/>
        <w:t>• create investor rights;</w:t>
      </w:r>
      <w:r w:rsidRPr="00B479AE">
        <w:rPr>
          <w:rFonts w:ascii="Baskerville Old Face" w:hAnsi="Baskerville Old Face"/>
          <w:i/>
          <w:iCs/>
        </w:rPr>
        <w:br/>
        <w:t>• determine token rights automatically;</w:t>
      </w:r>
      <w:r w:rsidRPr="00B479AE">
        <w:rPr>
          <w:rFonts w:ascii="Baskerville Old Face" w:hAnsi="Baskerville Old Face"/>
          <w:i/>
          <w:iCs/>
        </w:rPr>
        <w:br/>
        <w:t>• replace legal review;</w:t>
      </w:r>
      <w:r w:rsidRPr="00B479AE">
        <w:rPr>
          <w:rFonts w:ascii="Baskerville Old Face" w:hAnsi="Baskerville Old Face"/>
          <w:i/>
          <w:iCs/>
        </w:rPr>
        <w:br/>
        <w:t>• replace governance process;</w:t>
      </w:r>
      <w:r w:rsidRPr="00B479AE">
        <w:rPr>
          <w:rFonts w:ascii="Baskerville Old Face" w:hAnsi="Baskerville Old Face"/>
          <w:i/>
          <w:iCs/>
        </w:rPr>
        <w:br/>
        <w:t>• replace appeal;</w:t>
      </w:r>
      <w:r w:rsidRPr="00B479AE">
        <w:rPr>
          <w:rFonts w:ascii="Baskerville Old Face" w:hAnsi="Baskerville Old Face"/>
          <w:i/>
          <w:iCs/>
        </w:rPr>
        <w:br/>
        <w:t>• punish dissent;</w:t>
      </w:r>
      <w:r w:rsidRPr="00B479AE">
        <w:rPr>
          <w:rFonts w:ascii="Baskerville Old Face" w:hAnsi="Baskerville Old Face"/>
          <w:i/>
          <w:iCs/>
        </w:rPr>
        <w:br/>
        <w:t>• silence minority objections;</w:t>
      </w:r>
      <w:r w:rsidRPr="00B479AE">
        <w:rPr>
          <w:rFonts w:ascii="Baskerville Old Face" w:hAnsi="Baskerville Old Face"/>
          <w:i/>
          <w:iCs/>
        </w:rPr>
        <w:br/>
        <w:t>• exclude vulnerable participants without review;</w:t>
      </w:r>
      <w:r w:rsidRPr="00B479AE">
        <w:rPr>
          <w:rFonts w:ascii="Baskerville Old Face" w:hAnsi="Baskerville Old Face"/>
          <w:i/>
          <w:iCs/>
        </w:rPr>
        <w:br/>
        <w:t>• use HSI, biometric, HRV, or coherence data as human ranking;</w:t>
      </w:r>
      <w:r w:rsidRPr="00B479AE">
        <w:rPr>
          <w:rFonts w:ascii="Baskerville Old Face" w:hAnsi="Baskerville Old Face"/>
          <w:i/>
          <w:iCs/>
        </w:rPr>
        <w:br/>
        <w:t>• use wallet wealth or transaction history as trustworthiness by default.</w:t>
      </w:r>
    </w:p>
    <w:p w14:paraId="0926838B"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The boundary is essential.</w:t>
      </w:r>
    </w:p>
    <w:p w14:paraId="25912B7D"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lastRenderedPageBreak/>
        <w:t>Prometheus may recognize contribution.</w:t>
      </w:r>
    </w:p>
    <w:p w14:paraId="4D3E1288"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It may not quantify the soul.</w:t>
      </w:r>
    </w:p>
    <w:p w14:paraId="4C38B053" w14:textId="4706B534" w:rsidR="00F7085C" w:rsidRPr="00B479AE" w:rsidRDefault="008433BD" w:rsidP="00F7085C">
      <w:pPr>
        <w:spacing w:line="360" w:lineRule="auto"/>
        <w:rPr>
          <w:rFonts w:ascii="Baskerville Old Face" w:hAnsi="Baskerville Old Face"/>
          <w:b/>
          <w:bCs/>
          <w:i/>
          <w:iCs/>
        </w:rPr>
      </w:pPr>
      <w:r w:rsidRPr="00B479AE">
        <w:rPr>
          <w:rFonts w:ascii="Baskerville Old Face" w:hAnsi="Baskerville Old Face"/>
          <w:b/>
          <w:bCs/>
          <w:i/>
          <w:iCs/>
        </w:rPr>
        <w:t>I</w:t>
      </w:r>
      <w:r w:rsidR="00F7085C" w:rsidRPr="00B479AE">
        <w:rPr>
          <w:rFonts w:ascii="Baskerville Old Face" w:hAnsi="Baskerville Old Face"/>
          <w:b/>
          <w:bCs/>
          <w:i/>
          <w:iCs/>
        </w:rPr>
        <w:t>.5 Role-based authority</w:t>
      </w:r>
    </w:p>
    <w:p w14:paraId="35D1459B"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Governance authority in Prometheus should arise from role, mandate, process, and scope.</w:t>
      </w:r>
    </w:p>
    <w:p w14:paraId="386822E7"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Authority should not arise merely from:</w:t>
      </w:r>
    </w:p>
    <w:p w14:paraId="0E0FB85C"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token holdings;</w:t>
      </w:r>
      <w:r w:rsidRPr="00B479AE">
        <w:rPr>
          <w:rFonts w:ascii="Baskerville Old Face" w:hAnsi="Baskerville Old Face"/>
          <w:i/>
          <w:iCs/>
        </w:rPr>
        <w:br/>
        <w:t>• wealth;</w:t>
      </w:r>
      <w:r w:rsidRPr="00B479AE">
        <w:rPr>
          <w:rFonts w:ascii="Baskerville Old Face" w:hAnsi="Baskerville Old Face"/>
          <w:i/>
          <w:iCs/>
        </w:rPr>
        <w:br/>
        <w:t>• investor status;</w:t>
      </w:r>
      <w:r w:rsidRPr="00B479AE">
        <w:rPr>
          <w:rFonts w:ascii="Baskerville Old Face" w:hAnsi="Baskerville Old Face"/>
          <w:i/>
          <w:iCs/>
        </w:rPr>
        <w:br/>
        <w:t>• technical access;</w:t>
      </w:r>
      <w:r w:rsidRPr="00B479AE">
        <w:rPr>
          <w:rFonts w:ascii="Baskerville Old Face" w:hAnsi="Baskerville Old Face"/>
          <w:i/>
          <w:iCs/>
        </w:rPr>
        <w:br/>
        <w:t>• founder proximity;</w:t>
      </w:r>
      <w:r w:rsidRPr="00B479AE">
        <w:rPr>
          <w:rFonts w:ascii="Baskerville Old Face" w:hAnsi="Baskerville Old Face"/>
          <w:i/>
          <w:iCs/>
        </w:rPr>
        <w:br/>
        <w:t>• social popularity;</w:t>
      </w:r>
      <w:r w:rsidRPr="00B479AE">
        <w:rPr>
          <w:rFonts w:ascii="Baskerville Old Face" w:hAnsi="Baskerville Old Face"/>
          <w:i/>
          <w:iCs/>
        </w:rPr>
        <w:br/>
        <w:t>• biometric coherence;</w:t>
      </w:r>
      <w:r w:rsidRPr="00B479AE">
        <w:rPr>
          <w:rFonts w:ascii="Baskerville Old Face" w:hAnsi="Baskerville Old Face"/>
          <w:i/>
          <w:iCs/>
        </w:rPr>
        <w:br/>
        <w:t>• AI recommendation;</w:t>
      </w:r>
      <w:r w:rsidRPr="00B479AE">
        <w:rPr>
          <w:rFonts w:ascii="Baskerville Old Face" w:hAnsi="Baskerville Old Face"/>
          <w:i/>
          <w:iCs/>
        </w:rPr>
        <w:br/>
        <w:t>• wallet history;</w:t>
      </w:r>
      <w:r w:rsidRPr="00B479AE">
        <w:rPr>
          <w:rFonts w:ascii="Baskerville Old Face" w:hAnsi="Baskerville Old Face"/>
          <w:i/>
          <w:iCs/>
        </w:rPr>
        <w:br/>
        <w:t>• platform influence;</w:t>
      </w:r>
      <w:r w:rsidRPr="00B479AE">
        <w:rPr>
          <w:rFonts w:ascii="Baskerville Old Face" w:hAnsi="Baskerville Old Face"/>
          <w:i/>
          <w:iCs/>
        </w:rPr>
        <w:br/>
        <w:t>• volume of messages;</w:t>
      </w:r>
      <w:r w:rsidRPr="00B479AE">
        <w:rPr>
          <w:rFonts w:ascii="Baskerville Old Face" w:hAnsi="Baskerville Old Face"/>
          <w:i/>
          <w:iCs/>
        </w:rPr>
        <w:br/>
        <w:t>• symbolic status.</w:t>
      </w:r>
    </w:p>
    <w:p w14:paraId="0C205CFE"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 valid governance role should define:</w:t>
      </w:r>
    </w:p>
    <w:p w14:paraId="509C3F42"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role name;</w:t>
      </w:r>
      <w:r w:rsidRPr="00B479AE">
        <w:rPr>
          <w:rFonts w:ascii="Baskerville Old Face" w:hAnsi="Baskerville Old Face"/>
          <w:i/>
          <w:iCs/>
        </w:rPr>
        <w:br/>
        <w:t>• purpose;</w:t>
      </w:r>
      <w:r w:rsidRPr="00B479AE">
        <w:rPr>
          <w:rFonts w:ascii="Baskerville Old Face" w:hAnsi="Baskerville Old Face"/>
          <w:i/>
          <w:iCs/>
        </w:rPr>
        <w:br/>
        <w:t>• scope of authority;</w:t>
      </w:r>
      <w:r w:rsidRPr="00B479AE">
        <w:rPr>
          <w:rFonts w:ascii="Baskerville Old Face" w:hAnsi="Baskerville Old Face"/>
          <w:i/>
          <w:iCs/>
        </w:rPr>
        <w:br/>
        <w:t>• eligibility criteria;</w:t>
      </w:r>
      <w:r w:rsidRPr="00B479AE">
        <w:rPr>
          <w:rFonts w:ascii="Baskerville Old Face" w:hAnsi="Baskerville Old Face"/>
          <w:i/>
          <w:iCs/>
        </w:rPr>
        <w:br/>
        <w:t>• term or review date;</w:t>
      </w:r>
      <w:r w:rsidRPr="00B479AE">
        <w:rPr>
          <w:rFonts w:ascii="Baskerville Old Face" w:hAnsi="Baskerville Old Face"/>
          <w:i/>
          <w:iCs/>
        </w:rPr>
        <w:br/>
        <w:t>• accountability pathway;</w:t>
      </w:r>
      <w:r w:rsidRPr="00B479AE">
        <w:rPr>
          <w:rFonts w:ascii="Baskerville Old Face" w:hAnsi="Baskerville Old Face"/>
          <w:i/>
          <w:iCs/>
        </w:rPr>
        <w:br/>
        <w:t>• conflict-of-interest rules;</w:t>
      </w:r>
      <w:r w:rsidRPr="00B479AE">
        <w:rPr>
          <w:rFonts w:ascii="Baskerville Old Face" w:hAnsi="Baskerville Old Face"/>
          <w:i/>
          <w:iCs/>
        </w:rPr>
        <w:br/>
        <w:t>• decision rights;</w:t>
      </w:r>
      <w:r w:rsidRPr="00B479AE">
        <w:rPr>
          <w:rFonts w:ascii="Baskerville Old Face" w:hAnsi="Baskerville Old Face"/>
          <w:i/>
          <w:iCs/>
        </w:rPr>
        <w:br/>
        <w:t>• reporting duties;</w:t>
      </w:r>
      <w:r w:rsidRPr="00B479AE">
        <w:rPr>
          <w:rFonts w:ascii="Baskerville Old Face" w:hAnsi="Baskerville Old Face"/>
          <w:i/>
          <w:iCs/>
        </w:rPr>
        <w:br/>
        <w:t>• removal or replacement procedure.</w:t>
      </w:r>
    </w:p>
    <w:p w14:paraId="1533AFA8"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This prevents category collapse.</w:t>
      </w:r>
    </w:p>
    <w:p w14:paraId="7AE669FD"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lastRenderedPageBreak/>
        <w:t>A contributor is not automatically a governor.</w:t>
      </w:r>
    </w:p>
    <w:p w14:paraId="747D0452"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 governor is not automatically an MRV verifier.</w:t>
      </w:r>
    </w:p>
    <w:p w14:paraId="7B1BAFE7"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 funder is not automatically a constitutional interpreter.</w:t>
      </w:r>
    </w:p>
    <w:p w14:paraId="70382355"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 technical administrator is not automatically a steward of meaning.</w:t>
      </w:r>
    </w:p>
    <w:p w14:paraId="34B05BCE"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distributes authority by function, not by charisma.</w:t>
      </w:r>
    </w:p>
    <w:p w14:paraId="2D14DB81" w14:textId="77777777" w:rsidR="0022282D" w:rsidRPr="00B479AE" w:rsidRDefault="0022282D" w:rsidP="0022282D">
      <w:pPr>
        <w:spacing w:line="360" w:lineRule="auto"/>
        <w:rPr>
          <w:rFonts w:ascii="Baskerville Old Face" w:hAnsi="Baskerville Old Face"/>
          <w:b/>
          <w:bCs/>
          <w:i/>
          <w:iCs/>
        </w:rPr>
      </w:pPr>
      <w:r w:rsidRPr="00B479AE">
        <w:rPr>
          <w:rFonts w:ascii="Baskerville Old Face" w:hAnsi="Baskerville Old Face"/>
          <w:b/>
          <w:bCs/>
          <w:i/>
          <w:iCs/>
        </w:rPr>
        <w:t>Governance Legitimacy Function</w:t>
      </w:r>
    </w:p>
    <w:p w14:paraId="1435A0B5"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Governance authority inside Prometheus does not arise from force, wealth, technical control, token concentration, popularity, institutional status, founder proximity, or AI-generated recommendations.</w:t>
      </w:r>
    </w:p>
    <w:p w14:paraId="6863061C"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Governance authority arises from role, mandate, process, evidence, source-layer fidelity, and accountability.</w:t>
      </w:r>
    </w:p>
    <w:p w14:paraId="39EE4F84"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This legitimacy may be expressed conceptually as:</w:t>
      </w:r>
    </w:p>
    <w:p w14:paraId="066D51A6"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G_legitimacy = f(Role, Mandate, Process, Evidence, Source Layer, Due Process, Human Dignity)</w:t>
      </w:r>
    </w:p>
    <w:p w14:paraId="2AE206DA"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Where:</w:t>
      </w:r>
    </w:p>
    <w:p w14:paraId="3C2D9FDA"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Role = defined governance role with a clear scope of authority.</w:t>
      </w:r>
    </w:p>
    <w:p w14:paraId="3D5A530D"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Mandate = explicit assignment, election, consent, appointment, or authorization pathway.</w:t>
      </w:r>
    </w:p>
    <w:p w14:paraId="4D30DFEE"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Process = transparent decision procedure, circle process, consent pathway, review route, or constitutional procedure.</w:t>
      </w:r>
    </w:p>
    <w:p w14:paraId="670B8EDE"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Evidence = documented basis for decision-making where relevant.</w:t>
      </w:r>
    </w:p>
    <w:p w14:paraId="4174B995"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Source Layer = foundational articles, Eternity Clauses, Access Covenant, canonical glossary, and source-layer constraints.</w:t>
      </w:r>
    </w:p>
    <w:p w14:paraId="3600684A"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Due Process = notice, response, review, appeal, proportionality, conflict-of-interest handling, and record integrity where material.</w:t>
      </w:r>
    </w:p>
    <w:p w14:paraId="48ADAC95"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Human Dignity = preservation of consent, privacy, non-coercion, non-ranking, and non-reduction of persons to tokens, scores, wallet history, HSI, or AI classification.</w:t>
      </w:r>
    </w:p>
    <w:p w14:paraId="49C2B7D4"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lastRenderedPageBreak/>
        <w:t>A simplified legitimacy condition may be expressed as:</w:t>
      </w:r>
    </w:p>
    <w:p w14:paraId="4E1328D7"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 xml:space="preserve">G_legitimacy = R_s </w:t>
      </w:r>
      <w:r w:rsidRPr="00B479AE">
        <w:rPr>
          <w:rFonts w:ascii="Cambria" w:hAnsi="Cambria" w:cs="Cambria"/>
          <w:i/>
          <w:iCs/>
        </w:rPr>
        <w:t>·</w:t>
      </w:r>
      <w:r w:rsidRPr="00B479AE">
        <w:rPr>
          <w:rFonts w:ascii="Baskerville Old Face" w:hAnsi="Baskerville Old Face"/>
          <w:i/>
          <w:iCs/>
        </w:rPr>
        <w:t xml:space="preserve"> M_s </w:t>
      </w:r>
      <w:r w:rsidRPr="00B479AE">
        <w:rPr>
          <w:rFonts w:ascii="Cambria" w:hAnsi="Cambria" w:cs="Cambria"/>
          <w:i/>
          <w:iCs/>
        </w:rPr>
        <w:t>·</w:t>
      </w:r>
      <w:r w:rsidRPr="00B479AE">
        <w:rPr>
          <w:rFonts w:ascii="Baskerville Old Face" w:hAnsi="Baskerville Old Face"/>
          <w:i/>
          <w:iCs/>
        </w:rPr>
        <w:t xml:space="preserve"> P_s </w:t>
      </w:r>
      <w:r w:rsidRPr="00B479AE">
        <w:rPr>
          <w:rFonts w:ascii="Cambria" w:hAnsi="Cambria" w:cs="Cambria"/>
          <w:i/>
          <w:iCs/>
        </w:rPr>
        <w:t>·</w:t>
      </w:r>
      <w:r w:rsidRPr="00B479AE">
        <w:rPr>
          <w:rFonts w:ascii="Baskerville Old Face" w:hAnsi="Baskerville Old Face"/>
          <w:i/>
          <w:iCs/>
        </w:rPr>
        <w:t xml:space="preserve"> E_s </w:t>
      </w:r>
      <w:r w:rsidRPr="00B479AE">
        <w:rPr>
          <w:rFonts w:ascii="Cambria" w:hAnsi="Cambria" w:cs="Cambria"/>
          <w:i/>
          <w:iCs/>
        </w:rPr>
        <w:t>·</w:t>
      </w:r>
      <w:r w:rsidRPr="00B479AE">
        <w:rPr>
          <w:rFonts w:ascii="Baskerville Old Face" w:hAnsi="Baskerville Old Face"/>
          <w:i/>
          <w:iCs/>
        </w:rPr>
        <w:t xml:space="preserve"> C_f </w:t>
      </w:r>
      <w:r w:rsidRPr="00B479AE">
        <w:rPr>
          <w:rFonts w:ascii="Cambria" w:hAnsi="Cambria" w:cs="Cambria"/>
          <w:i/>
          <w:iCs/>
        </w:rPr>
        <w:t>·</w:t>
      </w:r>
      <w:r w:rsidRPr="00B479AE">
        <w:rPr>
          <w:rFonts w:ascii="Baskerville Old Face" w:hAnsi="Baskerville Old Face"/>
          <w:i/>
          <w:iCs/>
        </w:rPr>
        <w:t xml:space="preserve"> D_p </w:t>
      </w:r>
      <w:r w:rsidRPr="00B479AE">
        <w:rPr>
          <w:rFonts w:ascii="Cambria" w:hAnsi="Cambria" w:cs="Cambria"/>
          <w:i/>
          <w:iCs/>
        </w:rPr>
        <w:t>·</w:t>
      </w:r>
      <w:r w:rsidRPr="00B479AE">
        <w:rPr>
          <w:rFonts w:ascii="Baskerville Old Face" w:hAnsi="Baskerville Old Face"/>
          <w:i/>
          <w:iCs/>
        </w:rPr>
        <w:t xml:space="preserve"> H_d</w:t>
      </w:r>
    </w:p>
    <w:p w14:paraId="50129E5D"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Where:</w:t>
      </w:r>
    </w:p>
    <w:p w14:paraId="755242F4"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R_s = role scope is valid.</w:t>
      </w:r>
      <w:r w:rsidRPr="00B479AE">
        <w:rPr>
          <w:rFonts w:ascii="Baskerville Old Face" w:hAnsi="Baskerville Old Face"/>
          <w:i/>
          <w:iCs/>
        </w:rPr>
        <w:br/>
        <w:t>M_s = mandate is valid.</w:t>
      </w:r>
      <w:r w:rsidRPr="00B479AE">
        <w:rPr>
          <w:rFonts w:ascii="Baskerville Old Face" w:hAnsi="Baskerville Old Face"/>
          <w:i/>
          <w:iCs/>
        </w:rPr>
        <w:br/>
        <w:t>P_s = process is valid.</w:t>
      </w:r>
      <w:r w:rsidRPr="00B479AE">
        <w:rPr>
          <w:rFonts w:ascii="Baskerville Old Face" w:hAnsi="Baskerville Old Face"/>
          <w:i/>
          <w:iCs/>
        </w:rPr>
        <w:br/>
        <w:t>E_s = evidence is sufficient where evidence is required.</w:t>
      </w:r>
      <w:r w:rsidRPr="00B479AE">
        <w:rPr>
          <w:rFonts w:ascii="Baskerville Old Face" w:hAnsi="Baskerville Old Face"/>
          <w:i/>
          <w:iCs/>
        </w:rPr>
        <w:br/>
        <w:t>C_f = canonical fidelity is preserved.</w:t>
      </w:r>
      <w:r w:rsidRPr="00B479AE">
        <w:rPr>
          <w:rFonts w:ascii="Baskerville Old Face" w:hAnsi="Baskerville Old Face"/>
          <w:i/>
          <w:iCs/>
        </w:rPr>
        <w:br/>
        <w:t>D_p = due process is preserved.</w:t>
      </w:r>
      <w:r w:rsidRPr="00B479AE">
        <w:rPr>
          <w:rFonts w:ascii="Baskerville Old Face" w:hAnsi="Baskerville Old Face"/>
          <w:i/>
          <w:iCs/>
        </w:rPr>
        <w:br/>
        <w:t>H_d = human dignity is preserved.</w:t>
      </w:r>
    </w:p>
    <w:p w14:paraId="6FDF7D6E"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If any essential legitimacy factor collapses, the governance decision may become review-required, non-admissible, appealable, or constitutionally defective:</w:t>
      </w:r>
    </w:p>
    <w:p w14:paraId="6BDBC94A"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if G_legitimacy = 0, then the decision cannot claim full Prometheus governance legitimacy</w:t>
      </w:r>
    </w:p>
    <w:p w14:paraId="69C5FE1D"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This condition is especially important for high-impact decisions.</w:t>
      </w:r>
    </w:p>
    <w:p w14:paraId="6BB27D78"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Ordinary operational decisions may require lighter process.</w:t>
      </w:r>
    </w:p>
    <w:p w14:paraId="398443C1"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Protected-domain decisions require stronger legitimacy.</w:t>
      </w:r>
    </w:p>
    <w:p w14:paraId="222810F7"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Protected domains include:</w:t>
      </w:r>
    </w:p>
    <w:p w14:paraId="761FA300" w14:textId="6F95FCC4"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source-layer interpretation;</w:t>
      </w:r>
      <w:r w:rsidRPr="00B479AE">
        <w:rPr>
          <w:rFonts w:ascii="Baskerville Old Face" w:hAnsi="Baskerville Old Face"/>
          <w:i/>
          <w:iCs/>
        </w:rPr>
        <w:br/>
        <w:t>Eternity Clauses;</w:t>
      </w:r>
      <w:r w:rsidRPr="00B479AE">
        <w:rPr>
          <w:rFonts w:ascii="Baskerville Old Face" w:hAnsi="Baskerville Old Face"/>
          <w:i/>
          <w:iCs/>
        </w:rPr>
        <w:br/>
        <w:t>Access Covenant;</w:t>
      </w:r>
      <w:r w:rsidRPr="00B479AE">
        <w:rPr>
          <w:rFonts w:ascii="Baskerville Old Face" w:hAnsi="Baskerville Old Face"/>
          <w:i/>
          <w:iCs/>
        </w:rPr>
        <w:br/>
        <w:t>canonical glossary;</w:t>
      </w:r>
      <w:r w:rsidRPr="00B479AE">
        <w:rPr>
          <w:rFonts w:ascii="Baskerville Old Face" w:hAnsi="Baskerville Old Face"/>
          <w:i/>
          <w:iCs/>
        </w:rPr>
        <w:br/>
        <w:t>MRV admissibility;</w:t>
      </w:r>
      <w:r w:rsidRPr="00B479AE">
        <w:rPr>
          <w:rFonts w:ascii="Baskerville Old Face" w:hAnsi="Baskerville Old Face"/>
          <w:i/>
          <w:iCs/>
        </w:rPr>
        <w:br/>
      </w:r>
      <w:r w:rsidR="00BE5BB7" w:rsidRPr="00B479AE">
        <w:rPr>
          <w:rFonts w:ascii="Baskerville Old Face" w:hAnsi="Baskerville Old Face"/>
          <w:i/>
          <w:iCs/>
        </w:rPr>
        <w:t>PRU value analysis</w:t>
      </w:r>
      <w:r w:rsidRPr="00B479AE">
        <w:rPr>
          <w:rFonts w:ascii="Baskerville Old Face" w:hAnsi="Baskerville Old Face"/>
          <w:i/>
          <w:iCs/>
        </w:rPr>
        <w:t>;</w:t>
      </w:r>
      <w:r w:rsidRPr="00B479AE">
        <w:rPr>
          <w:rFonts w:ascii="Baskerville Old Face" w:hAnsi="Baskerville Old Face"/>
          <w:i/>
          <w:iCs/>
        </w:rPr>
        <w:br/>
        <w:t>RAP inclusion;</w:t>
      </w:r>
      <w:r w:rsidRPr="00B479AE">
        <w:rPr>
          <w:rFonts w:ascii="Baskerville Old Face" w:hAnsi="Baskerville Old Face"/>
          <w:i/>
          <w:iCs/>
        </w:rPr>
        <w:br/>
        <w:t>legal rights;</w:t>
      </w:r>
      <w:r w:rsidRPr="00B479AE">
        <w:rPr>
          <w:rFonts w:ascii="Baskerville Old Face" w:hAnsi="Baskerville Old Face"/>
          <w:i/>
          <w:iCs/>
        </w:rPr>
        <w:br/>
        <w:t>token boundaries;</w:t>
      </w:r>
      <w:r w:rsidRPr="00B479AE">
        <w:rPr>
          <w:rFonts w:ascii="Baskerville Old Face" w:hAnsi="Baskerville Old Face"/>
          <w:i/>
          <w:iCs/>
        </w:rPr>
        <w:br/>
        <w:t>investor-facing communications;</w:t>
      </w:r>
      <w:r w:rsidRPr="00B479AE">
        <w:rPr>
          <w:rFonts w:ascii="Baskerville Old Face" w:hAnsi="Baskerville Old Face"/>
          <w:i/>
          <w:iCs/>
        </w:rPr>
        <w:br/>
        <w:t>HSI or human-state data;</w:t>
      </w:r>
      <w:r w:rsidRPr="00B479AE">
        <w:rPr>
          <w:rFonts w:ascii="Baskerville Old Face" w:hAnsi="Baskerville Old Face"/>
          <w:i/>
          <w:iCs/>
        </w:rPr>
        <w:br/>
      </w:r>
      <w:r w:rsidRPr="00B479AE">
        <w:rPr>
          <w:rFonts w:ascii="Baskerville Old Face" w:hAnsi="Baskerville Old Face"/>
          <w:i/>
          <w:iCs/>
        </w:rPr>
        <w:lastRenderedPageBreak/>
        <w:t>role removal;</w:t>
      </w:r>
      <w:r w:rsidRPr="00B479AE">
        <w:rPr>
          <w:rFonts w:ascii="Baskerville Old Face" w:hAnsi="Baskerville Old Face"/>
          <w:i/>
          <w:iCs/>
        </w:rPr>
        <w:br/>
        <w:t>access restriction;</w:t>
      </w:r>
      <w:r w:rsidRPr="00B479AE">
        <w:rPr>
          <w:rFonts w:ascii="Baskerville Old Face" w:hAnsi="Baskerville Old Face"/>
          <w:i/>
          <w:iCs/>
        </w:rPr>
        <w:br/>
        <w:t>fork classification;</w:t>
      </w:r>
      <w:r w:rsidRPr="00B479AE">
        <w:rPr>
          <w:rFonts w:ascii="Baskerville Old Face" w:hAnsi="Baskerville Old Face"/>
          <w:i/>
          <w:iCs/>
        </w:rPr>
        <w:br/>
        <w:t>canonical release;</w:t>
      </w:r>
      <w:r w:rsidRPr="00B479AE">
        <w:rPr>
          <w:rFonts w:ascii="Baskerville Old Face" w:hAnsi="Baskerville Old Face"/>
          <w:i/>
          <w:iCs/>
        </w:rPr>
        <w:br/>
        <w:t>constitutional amendment;</w:t>
      </w:r>
      <w:r w:rsidRPr="00B479AE">
        <w:rPr>
          <w:rFonts w:ascii="Baskerville Old Face" w:hAnsi="Baskerville Old Face"/>
          <w:i/>
          <w:iCs/>
        </w:rPr>
        <w:br/>
        <w:t>emergency limitation.</w:t>
      </w:r>
    </w:p>
    <w:p w14:paraId="36BD3DF2"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The governance legitimacy function prevents category collapse.</w:t>
      </w:r>
    </w:p>
    <w:p w14:paraId="14FE4C00"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A token vote may signal preference.</w:t>
      </w:r>
    </w:p>
    <w:p w14:paraId="7AB662BB"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It does not automatically create constitutional legitimacy.</w:t>
      </w:r>
    </w:p>
    <w:p w14:paraId="41F68BC1"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A founder may hold historical knowledge.</w:t>
      </w:r>
    </w:p>
    <w:p w14:paraId="2A5C53A4"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Founder status does not automatically create unlimited authority.</w:t>
      </w:r>
    </w:p>
    <w:p w14:paraId="33017CF7"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A technical administrator may control infrastructure.</w:t>
      </w:r>
    </w:p>
    <w:p w14:paraId="5B23E705"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Technical access does not automatically create governance sovereignty.</w:t>
      </w:r>
    </w:p>
    <w:p w14:paraId="0B629C1D"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An investor may provide capital.</w:t>
      </w:r>
    </w:p>
    <w:p w14:paraId="610BAA39"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Capital contribution does not automatically create source-layer authority.</w:t>
      </w:r>
    </w:p>
    <w:p w14:paraId="178E348F"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An AI system may produce analysis.</w:t>
      </w:r>
    </w:p>
    <w:p w14:paraId="45832259"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AI analysis does not automatically create decision authority.</w:t>
      </w:r>
    </w:p>
    <w:p w14:paraId="52C98659"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A community majority may support a proposal.</w:t>
      </w:r>
    </w:p>
    <w:p w14:paraId="1833F241"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Majority preference does not automatically override human dignity, due process, legal boundaries, MRV evidence, or Eternity Clauses.</w:t>
      </w:r>
    </w:p>
    <w:p w14:paraId="1BE16D00"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The correct governance pathway is:</w:t>
      </w:r>
    </w:p>
    <w:p w14:paraId="321F541F"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 xml:space="preserve">role </w:t>
      </w:r>
      <w:r w:rsidRPr="00B479AE">
        <w:rPr>
          <w:rFonts w:ascii="Times New Roman" w:hAnsi="Times New Roman" w:cs="Times New Roman"/>
          <w:i/>
          <w:iCs/>
        </w:rPr>
        <w:t>→</w:t>
      </w:r>
      <w:r w:rsidRPr="00B479AE">
        <w:rPr>
          <w:rFonts w:ascii="Baskerville Old Face" w:hAnsi="Baskerville Old Face"/>
          <w:i/>
          <w:iCs/>
        </w:rPr>
        <w:t xml:space="preserve"> mandate </w:t>
      </w:r>
      <w:r w:rsidRPr="00B479AE">
        <w:rPr>
          <w:rFonts w:ascii="Times New Roman" w:hAnsi="Times New Roman" w:cs="Times New Roman"/>
          <w:i/>
          <w:iCs/>
        </w:rPr>
        <w:t>→</w:t>
      </w:r>
      <w:r w:rsidRPr="00B479AE">
        <w:rPr>
          <w:rFonts w:ascii="Baskerville Old Face" w:hAnsi="Baskerville Old Face"/>
          <w:i/>
          <w:iCs/>
        </w:rPr>
        <w:t xml:space="preserve"> process </w:t>
      </w:r>
      <w:r w:rsidRPr="00B479AE">
        <w:rPr>
          <w:rFonts w:ascii="Times New Roman" w:hAnsi="Times New Roman" w:cs="Times New Roman"/>
          <w:i/>
          <w:iCs/>
        </w:rPr>
        <w:t>→</w:t>
      </w:r>
      <w:r w:rsidRPr="00B479AE">
        <w:rPr>
          <w:rFonts w:ascii="Baskerville Old Face" w:hAnsi="Baskerville Old Face"/>
          <w:i/>
          <w:iCs/>
        </w:rPr>
        <w:t xml:space="preserve"> evidence </w:t>
      </w:r>
      <w:r w:rsidRPr="00B479AE">
        <w:rPr>
          <w:rFonts w:ascii="Times New Roman" w:hAnsi="Times New Roman" w:cs="Times New Roman"/>
          <w:i/>
          <w:iCs/>
        </w:rPr>
        <w:t>→</w:t>
      </w:r>
      <w:r w:rsidRPr="00B479AE">
        <w:rPr>
          <w:rFonts w:ascii="Baskerville Old Face" w:hAnsi="Baskerville Old Face"/>
          <w:i/>
          <w:iCs/>
        </w:rPr>
        <w:t xml:space="preserve"> review </w:t>
      </w:r>
      <w:r w:rsidRPr="00B479AE">
        <w:rPr>
          <w:rFonts w:ascii="Times New Roman" w:hAnsi="Times New Roman" w:cs="Times New Roman"/>
          <w:i/>
          <w:iCs/>
        </w:rPr>
        <w:t>→</w:t>
      </w:r>
      <w:r w:rsidRPr="00B479AE">
        <w:rPr>
          <w:rFonts w:ascii="Baskerville Old Face" w:hAnsi="Baskerville Old Face"/>
          <w:i/>
          <w:iCs/>
        </w:rPr>
        <w:t xml:space="preserve"> decision </w:t>
      </w:r>
      <w:r w:rsidRPr="00B479AE">
        <w:rPr>
          <w:rFonts w:ascii="Times New Roman" w:hAnsi="Times New Roman" w:cs="Times New Roman"/>
          <w:i/>
          <w:iCs/>
        </w:rPr>
        <w:t>→</w:t>
      </w:r>
      <w:r w:rsidRPr="00B479AE">
        <w:rPr>
          <w:rFonts w:ascii="Baskerville Old Face" w:hAnsi="Baskerville Old Face"/>
          <w:i/>
          <w:iCs/>
        </w:rPr>
        <w:t xml:space="preserve"> record </w:t>
      </w:r>
      <w:r w:rsidRPr="00B479AE">
        <w:rPr>
          <w:rFonts w:ascii="Times New Roman" w:hAnsi="Times New Roman" w:cs="Times New Roman"/>
          <w:i/>
          <w:iCs/>
        </w:rPr>
        <w:t>→</w:t>
      </w:r>
      <w:r w:rsidRPr="00B479AE">
        <w:rPr>
          <w:rFonts w:ascii="Baskerville Old Face" w:hAnsi="Baskerville Old Face"/>
          <w:i/>
          <w:iCs/>
        </w:rPr>
        <w:t xml:space="preserve"> accountability</w:t>
      </w:r>
    </w:p>
    <w:p w14:paraId="76EAE8CC"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This protects Prometheus from governance capture.</w:t>
      </w:r>
    </w:p>
    <w:p w14:paraId="2CF1DB83"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It also protects participants from arbitrary power.</w:t>
      </w:r>
    </w:p>
    <w:p w14:paraId="557EFEBD"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lastRenderedPageBreak/>
        <w:t>The legitimacy rule is:</w:t>
      </w:r>
    </w:p>
    <w:p w14:paraId="03FF83D0"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authority must be scoped;</w:t>
      </w:r>
      <w:r w:rsidRPr="00B479AE">
        <w:rPr>
          <w:rFonts w:ascii="Baskerville Old Face" w:hAnsi="Baskerville Old Face"/>
          <w:i/>
          <w:iCs/>
        </w:rPr>
        <w:br/>
        <w:t>process must be visible;</w:t>
      </w:r>
      <w:r w:rsidRPr="00B479AE">
        <w:rPr>
          <w:rFonts w:ascii="Baskerville Old Face" w:hAnsi="Baskerville Old Face"/>
          <w:i/>
          <w:iCs/>
        </w:rPr>
        <w:br/>
        <w:t>evidence must be traceable;</w:t>
      </w:r>
      <w:r w:rsidRPr="00B479AE">
        <w:rPr>
          <w:rFonts w:ascii="Baskerville Old Face" w:hAnsi="Baskerville Old Face"/>
          <w:i/>
          <w:iCs/>
        </w:rPr>
        <w:br/>
        <w:t>decisions must be reviewable;</w:t>
      </w:r>
      <w:r w:rsidRPr="00B479AE">
        <w:rPr>
          <w:rFonts w:ascii="Baskerville Old Face" w:hAnsi="Baskerville Old Face"/>
          <w:i/>
          <w:iCs/>
        </w:rPr>
        <w:br/>
        <w:t>dignity must be preserved;</w:t>
      </w:r>
      <w:r w:rsidRPr="00B479AE">
        <w:rPr>
          <w:rFonts w:ascii="Baskerville Old Face" w:hAnsi="Baskerville Old Face"/>
          <w:i/>
          <w:iCs/>
        </w:rPr>
        <w:br/>
        <w:t>the source layer must remain non-bypassable.</w:t>
      </w:r>
    </w:p>
    <w:p w14:paraId="7C706C4B"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Prometheus governance is therefore not a contest of force.</w:t>
      </w:r>
    </w:p>
    <w:p w14:paraId="7FF7801D"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It is a disciplined coordination of responsibility.</w:t>
      </w:r>
    </w:p>
    <w:p w14:paraId="36149F83" w14:textId="77777777" w:rsidR="0022282D" w:rsidRPr="00B479AE" w:rsidRDefault="0022282D" w:rsidP="0022282D">
      <w:pPr>
        <w:spacing w:line="360" w:lineRule="auto"/>
        <w:rPr>
          <w:rFonts w:ascii="Baskerville Old Face" w:hAnsi="Baskerville Old Face"/>
          <w:b/>
          <w:bCs/>
          <w:i/>
          <w:iCs/>
        </w:rPr>
      </w:pPr>
      <w:r w:rsidRPr="00B479AE">
        <w:rPr>
          <w:rFonts w:ascii="Baskerville Old Face" w:hAnsi="Baskerville Old Face"/>
          <w:b/>
          <w:bCs/>
          <w:i/>
          <w:iCs/>
        </w:rPr>
        <w:t>Formula boundary</w:t>
      </w:r>
    </w:p>
    <w:p w14:paraId="503834C3"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G_legitimacy is a constitutional and governance-methodology function.</w:t>
      </w:r>
    </w:p>
    <w:p w14:paraId="174D0452"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It does not create automatic legal enforceability, judicial authority, employment rights, token rights, property rights, governance exclusion, or institutional control by itself.</w:t>
      </w:r>
    </w:p>
    <w:p w14:paraId="00AB6B5A"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It defines the internal Prometheus standard for assessing whether a governance decision, role, mandate, process, or review pathway preserves legitimate authority.</w:t>
      </w:r>
    </w:p>
    <w:p w14:paraId="4B41F997"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Formal consequences require the applicable governance, legal, technical, MRV, ethical, or constitutional review pathway.</w:t>
      </w:r>
    </w:p>
    <w:p w14:paraId="5082DD60" w14:textId="77777777" w:rsidR="0022282D" w:rsidRPr="00B479AE" w:rsidRDefault="0022282D" w:rsidP="0022282D">
      <w:pPr>
        <w:spacing w:line="360" w:lineRule="auto"/>
        <w:rPr>
          <w:rFonts w:ascii="Baskerville Old Face" w:hAnsi="Baskerville Old Face"/>
          <w:b/>
          <w:bCs/>
          <w:i/>
          <w:iCs/>
        </w:rPr>
      </w:pPr>
      <w:r w:rsidRPr="00B479AE">
        <w:rPr>
          <w:rFonts w:ascii="Baskerville Old Face" w:hAnsi="Baskerville Old Face"/>
          <w:b/>
          <w:bCs/>
          <w:i/>
          <w:iCs/>
        </w:rPr>
        <w:t>Operational rule</w:t>
      </w:r>
    </w:p>
    <w:p w14:paraId="47737947"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The operational rule is:</w:t>
      </w:r>
    </w:p>
    <w:p w14:paraId="3400649F"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no role without scope;</w:t>
      </w:r>
      <w:r w:rsidRPr="00B479AE">
        <w:rPr>
          <w:rFonts w:ascii="Baskerville Old Face" w:hAnsi="Baskerville Old Face"/>
          <w:i/>
          <w:iCs/>
        </w:rPr>
        <w:br/>
        <w:t>no authority without mandate;</w:t>
      </w:r>
      <w:r w:rsidRPr="00B479AE">
        <w:rPr>
          <w:rFonts w:ascii="Baskerville Old Face" w:hAnsi="Baskerville Old Face"/>
          <w:i/>
          <w:iCs/>
        </w:rPr>
        <w:br/>
        <w:t>no decision without process;</w:t>
      </w:r>
      <w:r w:rsidRPr="00B479AE">
        <w:rPr>
          <w:rFonts w:ascii="Baskerville Old Face" w:hAnsi="Baskerville Old Face"/>
          <w:i/>
          <w:iCs/>
        </w:rPr>
        <w:br/>
        <w:t>no protected-domain action without review;</w:t>
      </w:r>
      <w:r w:rsidRPr="00B479AE">
        <w:rPr>
          <w:rFonts w:ascii="Baskerville Old Face" w:hAnsi="Baskerville Old Face"/>
          <w:i/>
          <w:iCs/>
        </w:rPr>
        <w:br/>
        <w:t>no governance legitimacy without source-layer fidelity.</w:t>
      </w:r>
    </w:p>
    <w:p w14:paraId="0E20FAB6"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Prometheus may be decentralized.</w:t>
      </w:r>
    </w:p>
    <w:p w14:paraId="223ECE84"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Prometheus may be sociocratic.</w:t>
      </w:r>
    </w:p>
    <w:p w14:paraId="5E8572D8"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lastRenderedPageBreak/>
        <w:t>Prometheus may be community-driven.</w:t>
      </w:r>
    </w:p>
    <w:p w14:paraId="4093C0F4"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Prometheus may interoperate with token systems.</w:t>
      </w:r>
    </w:p>
    <w:p w14:paraId="7F5E2D79"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Prometheus may be AI-assisted.</w:t>
      </w:r>
    </w:p>
    <w:p w14:paraId="5B037D2E" w14:textId="77777777" w:rsidR="0022282D" w:rsidRPr="00B479AE" w:rsidRDefault="0022282D" w:rsidP="0022282D">
      <w:pPr>
        <w:spacing w:line="360" w:lineRule="auto"/>
        <w:rPr>
          <w:rFonts w:ascii="Baskerville Old Face" w:hAnsi="Baskerville Old Face"/>
          <w:i/>
          <w:iCs/>
        </w:rPr>
      </w:pPr>
      <w:r w:rsidRPr="00B479AE">
        <w:rPr>
          <w:rFonts w:ascii="Baskerville Old Face" w:hAnsi="Baskerville Old Face"/>
          <w:i/>
          <w:iCs/>
        </w:rPr>
        <w:t>But governance legitimacy remains grounded in source-layer fidelity, role clarity, due process, evidence, accountability, and human dignity.</w:t>
      </w:r>
    </w:p>
    <w:p w14:paraId="6DA30DA8" w14:textId="116F5A1B" w:rsidR="00F7085C" w:rsidRPr="00B479AE" w:rsidRDefault="008433BD" w:rsidP="00F7085C">
      <w:pPr>
        <w:spacing w:line="360" w:lineRule="auto"/>
        <w:rPr>
          <w:rFonts w:ascii="Baskerville Old Face" w:hAnsi="Baskerville Old Face"/>
          <w:b/>
          <w:bCs/>
          <w:i/>
          <w:iCs/>
        </w:rPr>
      </w:pPr>
      <w:r w:rsidRPr="00B479AE">
        <w:rPr>
          <w:rFonts w:ascii="Baskerville Old Face" w:hAnsi="Baskerville Old Face"/>
          <w:b/>
          <w:bCs/>
          <w:i/>
          <w:iCs/>
        </w:rPr>
        <w:t>I</w:t>
      </w:r>
      <w:r w:rsidR="00F7085C" w:rsidRPr="00B479AE">
        <w:rPr>
          <w:rFonts w:ascii="Baskerville Old Face" w:hAnsi="Baskerville Old Face"/>
          <w:b/>
          <w:bCs/>
          <w:i/>
          <w:iCs/>
        </w:rPr>
        <w:t>.6 Sociocratic governance alignment</w:t>
      </w:r>
    </w:p>
    <w:p w14:paraId="234FD05B"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may use sociocratic principles where appropriate.</w:t>
      </w:r>
    </w:p>
    <w:p w14:paraId="47F9034E"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Sociocratic governance may include:</w:t>
      </w:r>
    </w:p>
    <w:p w14:paraId="3700B5C8"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circles;</w:t>
      </w:r>
      <w:r w:rsidRPr="00B479AE">
        <w:rPr>
          <w:rFonts w:ascii="Baskerville Old Face" w:hAnsi="Baskerville Old Face"/>
          <w:i/>
          <w:iCs/>
        </w:rPr>
        <w:br/>
        <w:t>• domains;</w:t>
      </w:r>
      <w:r w:rsidRPr="00B479AE">
        <w:rPr>
          <w:rFonts w:ascii="Baskerville Old Face" w:hAnsi="Baskerville Old Face"/>
          <w:i/>
          <w:iCs/>
        </w:rPr>
        <w:br/>
        <w:t>• roles;</w:t>
      </w:r>
      <w:r w:rsidRPr="00B479AE">
        <w:rPr>
          <w:rFonts w:ascii="Baskerville Old Face" w:hAnsi="Baskerville Old Face"/>
          <w:i/>
          <w:iCs/>
        </w:rPr>
        <w:br/>
        <w:t>• consent decision-making;</w:t>
      </w:r>
      <w:r w:rsidRPr="00B479AE">
        <w:rPr>
          <w:rFonts w:ascii="Baskerville Old Face" w:hAnsi="Baskerville Old Face"/>
          <w:i/>
          <w:iCs/>
        </w:rPr>
        <w:br/>
        <w:t>• objections as information;</w:t>
      </w:r>
      <w:r w:rsidRPr="00B479AE">
        <w:rPr>
          <w:rFonts w:ascii="Baskerville Old Face" w:hAnsi="Baskerville Old Face"/>
          <w:i/>
          <w:iCs/>
        </w:rPr>
        <w:br/>
        <w:t>• double-linking;</w:t>
      </w:r>
      <w:r w:rsidRPr="00B479AE">
        <w:rPr>
          <w:rFonts w:ascii="Baskerville Old Face" w:hAnsi="Baskerville Old Face"/>
          <w:i/>
          <w:iCs/>
        </w:rPr>
        <w:br/>
        <w:t>• transparent mandates;</w:t>
      </w:r>
      <w:r w:rsidRPr="00B479AE">
        <w:rPr>
          <w:rFonts w:ascii="Baskerville Old Face" w:hAnsi="Baskerville Old Face"/>
          <w:i/>
          <w:iCs/>
        </w:rPr>
        <w:br/>
        <w:t>• periodic review;</w:t>
      </w:r>
      <w:r w:rsidRPr="00B479AE">
        <w:rPr>
          <w:rFonts w:ascii="Baskerville Old Face" w:hAnsi="Baskerville Old Face"/>
          <w:i/>
          <w:iCs/>
        </w:rPr>
        <w:br/>
        <w:t>• election by consent;</w:t>
      </w:r>
      <w:r w:rsidRPr="00B479AE">
        <w:rPr>
          <w:rFonts w:ascii="Baskerville Old Face" w:hAnsi="Baskerville Old Face"/>
          <w:i/>
          <w:iCs/>
        </w:rPr>
        <w:br/>
        <w:t>• feedback loops;</w:t>
      </w:r>
      <w:r w:rsidRPr="00B479AE">
        <w:rPr>
          <w:rFonts w:ascii="Baskerville Old Face" w:hAnsi="Baskerville Old Face"/>
          <w:i/>
          <w:iCs/>
        </w:rPr>
        <w:br/>
        <w:t>• tension processing;</w:t>
      </w:r>
      <w:r w:rsidRPr="00B479AE">
        <w:rPr>
          <w:rFonts w:ascii="Baskerville Old Face" w:hAnsi="Baskerville Old Face"/>
          <w:i/>
          <w:iCs/>
        </w:rPr>
        <w:br/>
        <w:t>• role accountability.</w:t>
      </w:r>
    </w:p>
    <w:p w14:paraId="314A8975"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Sociocracy is useful because it distributes authority while preserving process clarity.</w:t>
      </w:r>
    </w:p>
    <w:p w14:paraId="13881224"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However, sociocracy must remain bounded by the Prometheus source layer.</w:t>
      </w:r>
    </w:p>
    <w:p w14:paraId="662CB13D"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 circle may govern within its domain.</w:t>
      </w:r>
    </w:p>
    <w:p w14:paraId="5B9859E9"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It may not override foundational articles.</w:t>
      </w:r>
    </w:p>
    <w:p w14:paraId="7EBE16EF"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 consent decision may authorize an operational pathway.</w:t>
      </w:r>
    </w:p>
    <w:p w14:paraId="5D82C01D"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It may not weaken the Eternity Clauses.</w:t>
      </w:r>
    </w:p>
    <w:p w14:paraId="7C110AF3"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lastRenderedPageBreak/>
        <w:t>A double-linked structure may coordinate across circles.</w:t>
      </w:r>
    </w:p>
    <w:p w14:paraId="34DDF421"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It may not collapse constitutional interpretation into ordinary governance.</w:t>
      </w:r>
    </w:p>
    <w:p w14:paraId="41EB6689"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uses sociocracy as governance method.</w:t>
      </w:r>
    </w:p>
    <w:p w14:paraId="7EC979B8"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The source layer remains the constitutional boundary.</w:t>
      </w:r>
    </w:p>
    <w:p w14:paraId="11E931AD" w14:textId="7C0185AD" w:rsidR="00F7085C" w:rsidRPr="00B479AE" w:rsidRDefault="008433BD" w:rsidP="00F7085C">
      <w:pPr>
        <w:spacing w:line="360" w:lineRule="auto"/>
        <w:rPr>
          <w:rFonts w:ascii="Baskerville Old Face" w:hAnsi="Baskerville Old Face"/>
          <w:b/>
          <w:bCs/>
          <w:i/>
          <w:iCs/>
        </w:rPr>
      </w:pPr>
      <w:r w:rsidRPr="00B479AE">
        <w:rPr>
          <w:rFonts w:ascii="Baskerville Old Face" w:hAnsi="Baskerville Old Face"/>
          <w:b/>
          <w:bCs/>
          <w:i/>
          <w:iCs/>
        </w:rPr>
        <w:t>I</w:t>
      </w:r>
      <w:r w:rsidR="00F7085C" w:rsidRPr="00B479AE">
        <w:rPr>
          <w:rFonts w:ascii="Baskerville Old Face" w:hAnsi="Baskerville Old Face"/>
          <w:b/>
          <w:bCs/>
          <w:i/>
          <w:iCs/>
        </w:rPr>
        <w:t>.7 Governance decision classes</w:t>
      </w:r>
    </w:p>
    <w:p w14:paraId="3A2374E4"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Governance decisions should be classified by risk and domain.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9"/>
        <w:gridCol w:w="4310"/>
        <w:gridCol w:w="3269"/>
      </w:tblGrid>
      <w:tr w:rsidR="00F7085C" w:rsidRPr="00B479AE" w14:paraId="1197AC79" w14:textId="77777777" w:rsidTr="00F7085C">
        <w:trPr>
          <w:tblHeader/>
          <w:tblCellSpacing w:w="15" w:type="dxa"/>
        </w:trPr>
        <w:tc>
          <w:tcPr>
            <w:tcW w:w="0" w:type="auto"/>
            <w:vAlign w:val="center"/>
            <w:hideMark/>
          </w:tcPr>
          <w:p w14:paraId="7D482DC2" w14:textId="77777777" w:rsidR="00F7085C" w:rsidRPr="00B479AE" w:rsidRDefault="00F7085C" w:rsidP="00F7085C">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Decision class</w:t>
            </w:r>
          </w:p>
        </w:tc>
        <w:tc>
          <w:tcPr>
            <w:tcW w:w="0" w:type="auto"/>
            <w:vAlign w:val="center"/>
            <w:hideMark/>
          </w:tcPr>
          <w:p w14:paraId="551070FF" w14:textId="77777777" w:rsidR="00F7085C" w:rsidRPr="00B479AE" w:rsidRDefault="00F7085C" w:rsidP="00F7085C">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Examples</w:t>
            </w:r>
          </w:p>
        </w:tc>
        <w:tc>
          <w:tcPr>
            <w:tcW w:w="0" w:type="auto"/>
            <w:vAlign w:val="center"/>
            <w:hideMark/>
          </w:tcPr>
          <w:p w14:paraId="72CBDAD9" w14:textId="77777777" w:rsidR="00F7085C" w:rsidRPr="00B479AE" w:rsidRDefault="00F7085C" w:rsidP="00F7085C">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Review requirement</w:t>
            </w:r>
          </w:p>
        </w:tc>
      </w:tr>
      <w:tr w:rsidR="00F7085C" w:rsidRPr="00B479AE" w14:paraId="2577746D" w14:textId="77777777" w:rsidTr="00F7085C">
        <w:trPr>
          <w:tblCellSpacing w:w="15" w:type="dxa"/>
        </w:trPr>
        <w:tc>
          <w:tcPr>
            <w:tcW w:w="0" w:type="auto"/>
            <w:vAlign w:val="center"/>
            <w:hideMark/>
          </w:tcPr>
          <w:p w14:paraId="02C05855"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Ordinary operational decision</w:t>
            </w:r>
          </w:p>
        </w:tc>
        <w:tc>
          <w:tcPr>
            <w:tcW w:w="0" w:type="auto"/>
            <w:vAlign w:val="center"/>
            <w:hideMark/>
          </w:tcPr>
          <w:p w14:paraId="2809551A"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Scheduling, task allocation, low-risk workflow.</w:t>
            </w:r>
          </w:p>
        </w:tc>
        <w:tc>
          <w:tcPr>
            <w:tcW w:w="0" w:type="auto"/>
            <w:vAlign w:val="center"/>
            <w:hideMark/>
          </w:tcPr>
          <w:p w14:paraId="09127DF9"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Circle or role-level decision.</w:t>
            </w:r>
          </w:p>
        </w:tc>
      </w:tr>
      <w:tr w:rsidR="00F7085C" w:rsidRPr="00B479AE" w14:paraId="57DF67AA" w14:textId="77777777" w:rsidTr="00F7085C">
        <w:trPr>
          <w:tblCellSpacing w:w="15" w:type="dxa"/>
        </w:trPr>
        <w:tc>
          <w:tcPr>
            <w:tcW w:w="0" w:type="auto"/>
            <w:vAlign w:val="center"/>
            <w:hideMark/>
          </w:tcPr>
          <w:p w14:paraId="72BA5190"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Governance role decision</w:t>
            </w:r>
          </w:p>
        </w:tc>
        <w:tc>
          <w:tcPr>
            <w:tcW w:w="0" w:type="auto"/>
            <w:vAlign w:val="center"/>
            <w:hideMark/>
          </w:tcPr>
          <w:p w14:paraId="70D7E497"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Role appointment, role renewal, role removal.</w:t>
            </w:r>
          </w:p>
        </w:tc>
        <w:tc>
          <w:tcPr>
            <w:tcW w:w="0" w:type="auto"/>
            <w:vAlign w:val="center"/>
            <w:hideMark/>
          </w:tcPr>
          <w:p w14:paraId="2569689F"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Consent process and record.</w:t>
            </w:r>
          </w:p>
        </w:tc>
      </w:tr>
      <w:tr w:rsidR="00F7085C" w:rsidRPr="00B479AE" w14:paraId="6577CCF0" w14:textId="77777777" w:rsidTr="00F7085C">
        <w:trPr>
          <w:tblCellSpacing w:w="15" w:type="dxa"/>
        </w:trPr>
        <w:tc>
          <w:tcPr>
            <w:tcW w:w="0" w:type="auto"/>
            <w:vAlign w:val="center"/>
            <w:hideMark/>
          </w:tcPr>
          <w:p w14:paraId="3098BEAC"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Technical decision</w:t>
            </w:r>
          </w:p>
        </w:tc>
        <w:tc>
          <w:tcPr>
            <w:tcW w:w="0" w:type="auto"/>
            <w:vAlign w:val="center"/>
            <w:hideMark/>
          </w:tcPr>
          <w:p w14:paraId="6ED7A51F"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Code change, schema update, API permission, release candidate.</w:t>
            </w:r>
          </w:p>
        </w:tc>
        <w:tc>
          <w:tcPr>
            <w:tcW w:w="0" w:type="auto"/>
            <w:vAlign w:val="center"/>
            <w:hideMark/>
          </w:tcPr>
          <w:p w14:paraId="61E691E4"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Technical review; protected-domain check where relevant.</w:t>
            </w:r>
          </w:p>
        </w:tc>
      </w:tr>
      <w:tr w:rsidR="00F7085C" w:rsidRPr="00B479AE" w14:paraId="1F1A629F" w14:textId="77777777" w:rsidTr="00F7085C">
        <w:trPr>
          <w:tblCellSpacing w:w="15" w:type="dxa"/>
        </w:trPr>
        <w:tc>
          <w:tcPr>
            <w:tcW w:w="0" w:type="auto"/>
            <w:vAlign w:val="center"/>
            <w:hideMark/>
          </w:tcPr>
          <w:p w14:paraId="3FFE0FB8"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MRV decision</w:t>
            </w:r>
          </w:p>
        </w:tc>
        <w:tc>
          <w:tcPr>
            <w:tcW w:w="0" w:type="auto"/>
            <w:vAlign w:val="center"/>
            <w:hideMark/>
          </w:tcPr>
          <w:p w14:paraId="10ADDB57"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Methodology update, evidence admissibility, indicator approval.</w:t>
            </w:r>
          </w:p>
        </w:tc>
        <w:tc>
          <w:tcPr>
            <w:tcW w:w="0" w:type="auto"/>
            <w:vAlign w:val="center"/>
            <w:hideMark/>
          </w:tcPr>
          <w:p w14:paraId="78C455BE"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MRV review; evidence record.</w:t>
            </w:r>
          </w:p>
        </w:tc>
      </w:tr>
      <w:tr w:rsidR="00F7085C" w:rsidRPr="00B479AE" w14:paraId="5D0FD794" w14:textId="77777777" w:rsidTr="00F7085C">
        <w:trPr>
          <w:tblCellSpacing w:w="15" w:type="dxa"/>
        </w:trPr>
        <w:tc>
          <w:tcPr>
            <w:tcW w:w="0" w:type="auto"/>
            <w:vAlign w:val="center"/>
            <w:hideMark/>
          </w:tcPr>
          <w:p w14:paraId="52462655"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Legal/financial decision</w:t>
            </w:r>
          </w:p>
        </w:tc>
        <w:tc>
          <w:tcPr>
            <w:tcW w:w="0" w:type="auto"/>
            <w:vAlign w:val="center"/>
            <w:hideMark/>
          </w:tcPr>
          <w:p w14:paraId="68396A09"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Investor communication, token boundary, legal instrument, data-room access.</w:t>
            </w:r>
          </w:p>
        </w:tc>
        <w:tc>
          <w:tcPr>
            <w:tcW w:w="0" w:type="auto"/>
            <w:vAlign w:val="center"/>
            <w:hideMark/>
          </w:tcPr>
          <w:p w14:paraId="7DA5CF54"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Legal and governance review.</w:t>
            </w:r>
          </w:p>
        </w:tc>
      </w:tr>
      <w:tr w:rsidR="00F7085C" w:rsidRPr="00B479AE" w14:paraId="119CA92F" w14:textId="77777777" w:rsidTr="00F7085C">
        <w:trPr>
          <w:tblCellSpacing w:w="15" w:type="dxa"/>
        </w:trPr>
        <w:tc>
          <w:tcPr>
            <w:tcW w:w="0" w:type="auto"/>
            <w:vAlign w:val="center"/>
            <w:hideMark/>
          </w:tcPr>
          <w:p w14:paraId="43CE3197"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Constitutional decision</w:t>
            </w:r>
          </w:p>
        </w:tc>
        <w:tc>
          <w:tcPr>
            <w:tcW w:w="0" w:type="auto"/>
            <w:vAlign w:val="center"/>
            <w:hideMark/>
          </w:tcPr>
          <w:p w14:paraId="58514C1D"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Access Covenant change, canonical glossary change, foundational interpretation.</w:t>
            </w:r>
          </w:p>
        </w:tc>
        <w:tc>
          <w:tcPr>
            <w:tcW w:w="0" w:type="auto"/>
            <w:vAlign w:val="center"/>
            <w:hideMark/>
          </w:tcPr>
          <w:p w14:paraId="41E1E1B5"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Constitutional review pathway.</w:t>
            </w:r>
          </w:p>
        </w:tc>
      </w:tr>
      <w:tr w:rsidR="00F7085C" w:rsidRPr="00B479AE" w14:paraId="4B45F1D1" w14:textId="77777777" w:rsidTr="00F7085C">
        <w:trPr>
          <w:tblCellSpacing w:w="15" w:type="dxa"/>
        </w:trPr>
        <w:tc>
          <w:tcPr>
            <w:tcW w:w="0" w:type="auto"/>
            <w:vAlign w:val="center"/>
            <w:hideMark/>
          </w:tcPr>
          <w:p w14:paraId="42132E0A"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Eternity Clause decision</w:t>
            </w:r>
          </w:p>
        </w:tc>
        <w:tc>
          <w:tcPr>
            <w:tcW w:w="0" w:type="auto"/>
            <w:vAlign w:val="center"/>
            <w:hideMark/>
          </w:tcPr>
          <w:p w14:paraId="74DA17C9"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Any issue touching unamendable source-layer constraints.</w:t>
            </w:r>
          </w:p>
        </w:tc>
        <w:tc>
          <w:tcPr>
            <w:tcW w:w="0" w:type="auto"/>
            <w:vAlign w:val="center"/>
            <w:hideMark/>
          </w:tcPr>
          <w:p w14:paraId="6DCF7845"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Barred from ordinary amendment; source-layer review.</w:t>
            </w:r>
          </w:p>
        </w:tc>
      </w:tr>
      <w:tr w:rsidR="00F7085C" w:rsidRPr="00B479AE" w14:paraId="1F7A53C8" w14:textId="77777777" w:rsidTr="00F7085C">
        <w:trPr>
          <w:tblCellSpacing w:w="15" w:type="dxa"/>
        </w:trPr>
        <w:tc>
          <w:tcPr>
            <w:tcW w:w="0" w:type="auto"/>
            <w:vAlign w:val="center"/>
            <w:hideMark/>
          </w:tcPr>
          <w:p w14:paraId="555AB76A"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Emergency decision</w:t>
            </w:r>
          </w:p>
        </w:tc>
        <w:tc>
          <w:tcPr>
            <w:tcW w:w="0" w:type="auto"/>
            <w:vAlign w:val="center"/>
            <w:hideMark/>
          </w:tcPr>
          <w:p w14:paraId="143B4B35"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Urgent restriction, security pause, incident containment.</w:t>
            </w:r>
          </w:p>
        </w:tc>
        <w:tc>
          <w:tcPr>
            <w:tcW w:w="0" w:type="auto"/>
            <w:vAlign w:val="center"/>
            <w:hideMark/>
          </w:tcPr>
          <w:p w14:paraId="41C0E0BC"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Temporary, documented, reviewable.</w:t>
            </w:r>
          </w:p>
        </w:tc>
      </w:tr>
    </w:tbl>
    <w:p w14:paraId="32ECDE13"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Decision classification keeps governance legible.</w:t>
      </w:r>
    </w:p>
    <w:p w14:paraId="44103E24"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lastRenderedPageBreak/>
        <w:t>The system should know when a decision is ordinary, technical, legal, MRV, constitutional, or emergency.</w:t>
      </w:r>
    </w:p>
    <w:p w14:paraId="7F6A55B2" w14:textId="631FAA38" w:rsidR="00554765" w:rsidRPr="00B479AE" w:rsidRDefault="00554765" w:rsidP="00F7085C">
      <w:pPr>
        <w:spacing w:line="360" w:lineRule="auto"/>
        <w:rPr>
          <w:rFonts w:ascii="Baskerville Old Face" w:hAnsi="Baskerville Old Face"/>
          <w:i/>
          <w:iCs/>
        </w:rPr>
      </w:pPr>
      <w:r w:rsidRPr="00554765">
        <w:rPr>
          <w:rFonts w:ascii="Baskerville Old Face" w:hAnsi="Baskerville Old Face"/>
          <w:i/>
          <w:iCs/>
        </w:rPr>
        <w:t>This is how Prometheus preserves governance legibility and prevents decision ambiguity.</w:t>
      </w:r>
    </w:p>
    <w:p w14:paraId="699A2F54" w14:textId="73EEEB0F" w:rsidR="00F7085C" w:rsidRPr="00B479AE" w:rsidRDefault="008433BD" w:rsidP="00F7085C">
      <w:pPr>
        <w:spacing w:line="360" w:lineRule="auto"/>
        <w:rPr>
          <w:rFonts w:ascii="Baskerville Old Face" w:hAnsi="Baskerville Old Face"/>
          <w:b/>
          <w:bCs/>
          <w:i/>
          <w:iCs/>
        </w:rPr>
      </w:pPr>
      <w:r w:rsidRPr="00B479AE">
        <w:rPr>
          <w:rFonts w:ascii="Baskerville Old Face" w:hAnsi="Baskerville Old Face"/>
          <w:b/>
          <w:bCs/>
          <w:i/>
          <w:iCs/>
        </w:rPr>
        <w:t>I</w:t>
      </w:r>
      <w:r w:rsidR="00F7085C" w:rsidRPr="00B479AE">
        <w:rPr>
          <w:rFonts w:ascii="Baskerville Old Face" w:hAnsi="Baskerville Old Face"/>
          <w:b/>
          <w:bCs/>
          <w:i/>
          <w:iCs/>
        </w:rPr>
        <w:t>.8 Warrant architecture as integrity signaling</w:t>
      </w:r>
    </w:p>
    <w:p w14:paraId="5B168BD2"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may use warrants as integrity signals.</w:t>
      </w:r>
    </w:p>
    <w:p w14:paraId="0AFEDD1F"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 warrant is a structured signal that a record, claim, participant action, governance pathway, technical component, or evidence stream requires attention.</w:t>
      </w:r>
    </w:p>
    <w:p w14:paraId="6E759BF7"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 warrant is not guilt.</w:t>
      </w:r>
    </w:p>
    <w:p w14:paraId="30ED4B4B"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 warrant is not punishment.</w:t>
      </w:r>
    </w:p>
    <w:p w14:paraId="1A6E39C4"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 warrant is not automatic slashing.</w:t>
      </w:r>
    </w:p>
    <w:p w14:paraId="11AACC8D"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 warrant is not permanent exclusion.</w:t>
      </w:r>
    </w:p>
    <w:p w14:paraId="6076077A"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 warrant is an integrity flag.</w:t>
      </w:r>
    </w:p>
    <w:p w14:paraId="2B09AD63"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Warrants may indicate:</w:t>
      </w:r>
    </w:p>
    <w:p w14:paraId="2D4D6F2E"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missing evidence;</w:t>
      </w:r>
      <w:r w:rsidRPr="00B479AE">
        <w:rPr>
          <w:rFonts w:ascii="Baskerville Old Face" w:hAnsi="Baskerville Old Face"/>
          <w:i/>
          <w:iCs/>
        </w:rPr>
        <w:br/>
        <w:t>• inconsistent claim;</w:t>
      </w:r>
      <w:r w:rsidRPr="00B479AE">
        <w:rPr>
          <w:rFonts w:ascii="Baskerville Old Face" w:hAnsi="Baskerville Old Face"/>
          <w:i/>
          <w:iCs/>
        </w:rPr>
        <w:br/>
        <w:t>• suspected data issue;</w:t>
      </w:r>
      <w:r w:rsidRPr="00B479AE">
        <w:rPr>
          <w:rFonts w:ascii="Baskerville Old Face" w:hAnsi="Baskerville Old Face"/>
          <w:i/>
          <w:iCs/>
        </w:rPr>
        <w:br/>
        <w:t>• possible conflict of interest;</w:t>
      </w:r>
      <w:r w:rsidRPr="00B479AE">
        <w:rPr>
          <w:rFonts w:ascii="Baskerville Old Face" w:hAnsi="Baskerville Old Face"/>
          <w:i/>
          <w:iCs/>
        </w:rPr>
        <w:br/>
        <w:t>• public communication risk;</w:t>
      </w:r>
      <w:r w:rsidRPr="00B479AE">
        <w:rPr>
          <w:rFonts w:ascii="Baskerville Old Face" w:hAnsi="Baskerville Old Face"/>
          <w:i/>
          <w:iCs/>
        </w:rPr>
        <w:br/>
        <w:t>• governance irregularity;</w:t>
      </w:r>
      <w:r w:rsidRPr="00B479AE">
        <w:rPr>
          <w:rFonts w:ascii="Baskerville Old Face" w:hAnsi="Baskerville Old Face"/>
          <w:i/>
          <w:iCs/>
        </w:rPr>
        <w:br/>
        <w:t>• technical anomaly;</w:t>
      </w:r>
      <w:r w:rsidRPr="00B479AE">
        <w:rPr>
          <w:rFonts w:ascii="Baskerville Old Face" w:hAnsi="Baskerville Old Face"/>
          <w:i/>
          <w:iCs/>
        </w:rPr>
        <w:br/>
        <w:t>• token boundary confusion;</w:t>
      </w:r>
      <w:r w:rsidRPr="00B479AE">
        <w:rPr>
          <w:rFonts w:ascii="Baskerville Old Face" w:hAnsi="Baskerville Old Face"/>
          <w:i/>
          <w:iCs/>
        </w:rPr>
        <w:br/>
        <w:t>• MRV admissibility concern;</w:t>
      </w:r>
      <w:r w:rsidRPr="00B479AE">
        <w:rPr>
          <w:rFonts w:ascii="Baskerville Old Face" w:hAnsi="Baskerville Old Face"/>
          <w:i/>
          <w:iCs/>
        </w:rPr>
        <w:br/>
        <w:t>• HSI privacy concern;</w:t>
      </w:r>
      <w:r w:rsidRPr="00B479AE">
        <w:rPr>
          <w:rFonts w:ascii="Baskerville Old Face" w:hAnsi="Baskerville Old Face"/>
          <w:i/>
          <w:iCs/>
        </w:rPr>
        <w:br/>
        <w:t>• legal review requirement;</w:t>
      </w:r>
      <w:r w:rsidRPr="00B479AE">
        <w:rPr>
          <w:rFonts w:ascii="Baskerville Old Face" w:hAnsi="Baskerville Old Face"/>
          <w:i/>
          <w:iCs/>
        </w:rPr>
        <w:br/>
        <w:t>• source-layer ambiguity;</w:t>
      </w:r>
      <w:r w:rsidRPr="00B479AE">
        <w:rPr>
          <w:rFonts w:ascii="Baskerville Old Face" w:hAnsi="Baskerville Old Face"/>
          <w:i/>
          <w:iCs/>
        </w:rPr>
        <w:br/>
        <w:t>• possible covenant violation.</w:t>
      </w:r>
    </w:p>
    <w:p w14:paraId="0EAF04BE"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The correct warrant principle is:</w:t>
      </w:r>
    </w:p>
    <w:p w14:paraId="6B559602"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lastRenderedPageBreak/>
        <w:t>flag, review, decide, record.</w:t>
      </w:r>
    </w:p>
    <w:p w14:paraId="4D68B247"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Software may flag.</w:t>
      </w:r>
    </w:p>
    <w:p w14:paraId="448C28D5"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Governance reviews.</w:t>
      </w:r>
    </w:p>
    <w:p w14:paraId="50074174"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Evidence supports.</w:t>
      </w:r>
    </w:p>
    <w:p w14:paraId="4166E352"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Law constrains.</w:t>
      </w:r>
    </w:p>
    <w:p w14:paraId="232B9503"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The source layer bounds.</w:t>
      </w:r>
    </w:p>
    <w:p w14:paraId="58B7CC7C" w14:textId="6DC110CC" w:rsidR="00F7085C" w:rsidRPr="00B479AE" w:rsidRDefault="008433BD" w:rsidP="00F7085C">
      <w:pPr>
        <w:spacing w:line="360" w:lineRule="auto"/>
        <w:rPr>
          <w:rFonts w:ascii="Baskerville Old Face" w:hAnsi="Baskerville Old Face"/>
          <w:b/>
          <w:bCs/>
          <w:i/>
          <w:iCs/>
        </w:rPr>
      </w:pPr>
      <w:r w:rsidRPr="00B479AE">
        <w:rPr>
          <w:rFonts w:ascii="Baskerville Old Face" w:hAnsi="Baskerville Old Face"/>
          <w:b/>
          <w:bCs/>
          <w:i/>
          <w:iCs/>
        </w:rPr>
        <w:t>I</w:t>
      </w:r>
      <w:r w:rsidR="00F7085C" w:rsidRPr="00B479AE">
        <w:rPr>
          <w:rFonts w:ascii="Baskerville Old Face" w:hAnsi="Baskerville Old Face"/>
          <w:b/>
          <w:bCs/>
          <w:i/>
          <w:iCs/>
        </w:rPr>
        <w:t>.9 Warrant lifecycle</w:t>
      </w:r>
    </w:p>
    <w:p w14:paraId="1E2C898A"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 warrant lifecycle may include:</w:t>
      </w:r>
    </w:p>
    <w:p w14:paraId="2DA53A77" w14:textId="77777777" w:rsidR="00F7085C" w:rsidRPr="00B479AE" w:rsidRDefault="00F7085C">
      <w:pPr>
        <w:numPr>
          <w:ilvl w:val="0"/>
          <w:numId w:val="19"/>
        </w:numPr>
        <w:spacing w:line="360" w:lineRule="auto"/>
        <w:rPr>
          <w:rFonts w:ascii="Baskerville Old Face" w:hAnsi="Baskerville Old Face"/>
          <w:i/>
          <w:iCs/>
        </w:rPr>
      </w:pPr>
      <w:r w:rsidRPr="00B479AE">
        <w:rPr>
          <w:rFonts w:ascii="Baskerville Old Face" w:hAnsi="Baskerville Old Face"/>
          <w:b/>
          <w:bCs/>
          <w:i/>
          <w:iCs/>
        </w:rPr>
        <w:t>Signal detection</w:t>
      </w:r>
      <w:r w:rsidRPr="00B479AE">
        <w:rPr>
          <w:rFonts w:ascii="Baskerville Old Face" w:hAnsi="Baskerville Old Face"/>
          <w:i/>
          <w:iCs/>
        </w:rPr>
        <w:br/>
        <w:t>Concern is identified by human report, technical flag, MRV anomaly, legal issue, governance record, AI-assisted risk flag, or external notice.</w:t>
      </w:r>
    </w:p>
    <w:p w14:paraId="36C0BE13" w14:textId="77777777" w:rsidR="00F7085C" w:rsidRPr="00B479AE" w:rsidRDefault="00F7085C">
      <w:pPr>
        <w:numPr>
          <w:ilvl w:val="0"/>
          <w:numId w:val="19"/>
        </w:numPr>
        <w:spacing w:line="360" w:lineRule="auto"/>
        <w:rPr>
          <w:rFonts w:ascii="Baskerville Old Face" w:hAnsi="Baskerville Old Face"/>
          <w:i/>
          <w:iCs/>
        </w:rPr>
      </w:pPr>
      <w:r w:rsidRPr="00B479AE">
        <w:rPr>
          <w:rFonts w:ascii="Baskerville Old Face" w:hAnsi="Baskerville Old Face"/>
          <w:b/>
          <w:bCs/>
          <w:i/>
          <w:iCs/>
        </w:rPr>
        <w:t>Initial classification</w:t>
      </w:r>
      <w:r w:rsidRPr="00B479AE">
        <w:rPr>
          <w:rFonts w:ascii="Baskerville Old Face" w:hAnsi="Baskerville Old Face"/>
          <w:i/>
          <w:iCs/>
        </w:rPr>
        <w:br/>
        <w:t>The warrant is classified by domain, severity, urgency, and affected pathway.</w:t>
      </w:r>
    </w:p>
    <w:p w14:paraId="1B48A663" w14:textId="77777777" w:rsidR="00F7085C" w:rsidRPr="00B479AE" w:rsidRDefault="00F7085C">
      <w:pPr>
        <w:numPr>
          <w:ilvl w:val="0"/>
          <w:numId w:val="19"/>
        </w:numPr>
        <w:spacing w:line="360" w:lineRule="auto"/>
        <w:rPr>
          <w:rFonts w:ascii="Baskerville Old Face" w:hAnsi="Baskerville Old Face"/>
          <w:i/>
          <w:iCs/>
        </w:rPr>
      </w:pPr>
      <w:r w:rsidRPr="00B479AE">
        <w:rPr>
          <w:rFonts w:ascii="Baskerville Old Face" w:hAnsi="Baskerville Old Face"/>
          <w:b/>
          <w:bCs/>
          <w:i/>
          <w:iCs/>
        </w:rPr>
        <w:t>Temporary status</w:t>
      </w:r>
      <w:r w:rsidRPr="00B479AE">
        <w:rPr>
          <w:rFonts w:ascii="Baskerville Old Face" w:hAnsi="Baskerville Old Face"/>
          <w:i/>
          <w:iCs/>
        </w:rPr>
        <w:br/>
        <w:t>The relevant record, claim, access, or pathway may be marked review-required, restricted, or quarantined where appropriate.</w:t>
      </w:r>
    </w:p>
    <w:p w14:paraId="4D23E261" w14:textId="77777777" w:rsidR="00F7085C" w:rsidRPr="00B479AE" w:rsidRDefault="00F7085C">
      <w:pPr>
        <w:numPr>
          <w:ilvl w:val="0"/>
          <w:numId w:val="19"/>
        </w:numPr>
        <w:spacing w:line="360" w:lineRule="auto"/>
        <w:rPr>
          <w:rFonts w:ascii="Baskerville Old Face" w:hAnsi="Baskerville Old Face"/>
          <w:i/>
          <w:iCs/>
        </w:rPr>
      </w:pPr>
      <w:r w:rsidRPr="00B479AE">
        <w:rPr>
          <w:rFonts w:ascii="Baskerville Old Face" w:hAnsi="Baskerville Old Face"/>
          <w:b/>
          <w:bCs/>
          <w:i/>
          <w:iCs/>
        </w:rPr>
        <w:t>Evidence gathering</w:t>
      </w:r>
      <w:r w:rsidRPr="00B479AE">
        <w:rPr>
          <w:rFonts w:ascii="Baskerville Old Face" w:hAnsi="Baskerville Old Face"/>
          <w:i/>
          <w:iCs/>
        </w:rPr>
        <w:br/>
        <w:t>Relevant records, logs, communications, MRV data, legal documents, governance minutes, or testimony are collected.</w:t>
      </w:r>
    </w:p>
    <w:p w14:paraId="74B088D7" w14:textId="77777777" w:rsidR="00F7085C" w:rsidRPr="00B479AE" w:rsidRDefault="00F7085C">
      <w:pPr>
        <w:numPr>
          <w:ilvl w:val="0"/>
          <w:numId w:val="19"/>
        </w:numPr>
        <w:spacing w:line="360" w:lineRule="auto"/>
        <w:rPr>
          <w:rFonts w:ascii="Baskerville Old Face" w:hAnsi="Baskerville Old Face"/>
          <w:i/>
          <w:iCs/>
        </w:rPr>
      </w:pPr>
      <w:r w:rsidRPr="00B479AE">
        <w:rPr>
          <w:rFonts w:ascii="Baskerville Old Face" w:hAnsi="Baskerville Old Face"/>
          <w:b/>
          <w:bCs/>
          <w:i/>
          <w:iCs/>
        </w:rPr>
        <w:t>Response opportunity</w:t>
      </w:r>
      <w:r w:rsidRPr="00B479AE">
        <w:rPr>
          <w:rFonts w:ascii="Baskerville Old Face" w:hAnsi="Baskerville Old Face"/>
          <w:i/>
          <w:iCs/>
        </w:rPr>
        <w:br/>
        <w:t>Affected participants receive an opportunity to clarify, correct, or respond where appropriate.</w:t>
      </w:r>
    </w:p>
    <w:p w14:paraId="337E85A2" w14:textId="77777777" w:rsidR="00F7085C" w:rsidRPr="00B479AE" w:rsidRDefault="00F7085C">
      <w:pPr>
        <w:numPr>
          <w:ilvl w:val="0"/>
          <w:numId w:val="19"/>
        </w:numPr>
        <w:spacing w:line="360" w:lineRule="auto"/>
        <w:rPr>
          <w:rFonts w:ascii="Baskerville Old Face" w:hAnsi="Baskerville Old Face"/>
          <w:i/>
          <w:iCs/>
        </w:rPr>
      </w:pPr>
      <w:r w:rsidRPr="00B479AE">
        <w:rPr>
          <w:rFonts w:ascii="Baskerville Old Face" w:hAnsi="Baskerville Old Face"/>
          <w:b/>
          <w:bCs/>
          <w:i/>
          <w:iCs/>
        </w:rPr>
        <w:t>Review body assessment</w:t>
      </w:r>
      <w:r w:rsidRPr="00B479AE">
        <w:rPr>
          <w:rFonts w:ascii="Baskerville Old Face" w:hAnsi="Baskerville Old Face"/>
          <w:i/>
          <w:iCs/>
        </w:rPr>
        <w:br/>
        <w:t>The appropriate MRV, governance, legal, technical, or constitutional review body evaluates the matter.</w:t>
      </w:r>
    </w:p>
    <w:p w14:paraId="17D9767D" w14:textId="77777777" w:rsidR="00F7085C" w:rsidRPr="00B479AE" w:rsidRDefault="00F7085C">
      <w:pPr>
        <w:numPr>
          <w:ilvl w:val="0"/>
          <w:numId w:val="19"/>
        </w:numPr>
        <w:spacing w:line="360" w:lineRule="auto"/>
        <w:rPr>
          <w:rFonts w:ascii="Baskerville Old Face" w:hAnsi="Baskerville Old Face"/>
          <w:i/>
          <w:iCs/>
        </w:rPr>
      </w:pPr>
      <w:r w:rsidRPr="00B479AE">
        <w:rPr>
          <w:rFonts w:ascii="Baskerville Old Face" w:hAnsi="Baskerville Old Face"/>
          <w:b/>
          <w:bCs/>
          <w:i/>
          <w:iCs/>
        </w:rPr>
        <w:lastRenderedPageBreak/>
        <w:t>Outcome determination</w:t>
      </w:r>
      <w:r w:rsidRPr="00B479AE">
        <w:rPr>
          <w:rFonts w:ascii="Baskerville Old Face" w:hAnsi="Baskerville Old Face"/>
          <w:i/>
          <w:iCs/>
        </w:rPr>
        <w:br/>
        <w:t>The warrant is resolved, confirmed, escalated, downgraded, converted into remediation, or classified as non-admissible.</w:t>
      </w:r>
    </w:p>
    <w:p w14:paraId="0CA35CB3" w14:textId="77777777" w:rsidR="00F7085C" w:rsidRPr="00B479AE" w:rsidRDefault="00F7085C">
      <w:pPr>
        <w:numPr>
          <w:ilvl w:val="0"/>
          <w:numId w:val="19"/>
        </w:numPr>
        <w:spacing w:line="360" w:lineRule="auto"/>
        <w:rPr>
          <w:rFonts w:ascii="Baskerville Old Face" w:hAnsi="Baskerville Old Face"/>
          <w:i/>
          <w:iCs/>
        </w:rPr>
      </w:pPr>
      <w:r w:rsidRPr="00B479AE">
        <w:rPr>
          <w:rFonts w:ascii="Baskerville Old Face" w:hAnsi="Baskerville Old Face"/>
          <w:b/>
          <w:bCs/>
          <w:i/>
          <w:iCs/>
        </w:rPr>
        <w:t>Documentation</w:t>
      </w:r>
      <w:r w:rsidRPr="00B479AE">
        <w:rPr>
          <w:rFonts w:ascii="Baskerville Old Face" w:hAnsi="Baskerville Old Face"/>
          <w:i/>
          <w:iCs/>
        </w:rPr>
        <w:br/>
        <w:t>The reasoning and outcome are recorded.</w:t>
      </w:r>
    </w:p>
    <w:p w14:paraId="7227F6D9" w14:textId="77777777" w:rsidR="00F7085C" w:rsidRPr="00B479AE" w:rsidRDefault="00F7085C">
      <w:pPr>
        <w:numPr>
          <w:ilvl w:val="0"/>
          <w:numId w:val="19"/>
        </w:numPr>
        <w:spacing w:line="360" w:lineRule="auto"/>
        <w:rPr>
          <w:rFonts w:ascii="Baskerville Old Face" w:hAnsi="Baskerville Old Face"/>
          <w:i/>
          <w:iCs/>
        </w:rPr>
      </w:pPr>
      <w:r w:rsidRPr="00B479AE">
        <w:rPr>
          <w:rFonts w:ascii="Baskerville Old Face" w:hAnsi="Baskerville Old Face"/>
          <w:b/>
          <w:bCs/>
          <w:i/>
          <w:iCs/>
        </w:rPr>
        <w:t>Appeal or reconsideration</w:t>
      </w:r>
      <w:r w:rsidRPr="00B479AE">
        <w:rPr>
          <w:rFonts w:ascii="Baskerville Old Face" w:hAnsi="Baskerville Old Face"/>
          <w:i/>
          <w:iCs/>
        </w:rPr>
        <w:br/>
        <w:t>Where appropriate, participants may request review.</w:t>
      </w:r>
    </w:p>
    <w:p w14:paraId="0235C90A" w14:textId="77777777" w:rsidR="00F7085C" w:rsidRPr="00B479AE" w:rsidRDefault="00F7085C">
      <w:pPr>
        <w:numPr>
          <w:ilvl w:val="0"/>
          <w:numId w:val="19"/>
        </w:numPr>
        <w:spacing w:line="360" w:lineRule="auto"/>
        <w:rPr>
          <w:rFonts w:ascii="Baskerville Old Face" w:hAnsi="Baskerville Old Face"/>
          <w:i/>
          <w:iCs/>
        </w:rPr>
      </w:pPr>
      <w:r w:rsidRPr="00B479AE">
        <w:rPr>
          <w:rFonts w:ascii="Baskerville Old Face" w:hAnsi="Baskerville Old Face"/>
          <w:b/>
          <w:bCs/>
          <w:i/>
          <w:iCs/>
        </w:rPr>
        <w:t>Closure or monitoring</w:t>
      </w:r>
      <w:r w:rsidRPr="00B479AE">
        <w:rPr>
          <w:rFonts w:ascii="Baskerville Old Face" w:hAnsi="Baskerville Old Face"/>
          <w:i/>
          <w:iCs/>
        </w:rPr>
        <w:br/>
        <w:t>The warrant is closed, monitored, or converted into ongoing risk status.</w:t>
      </w:r>
    </w:p>
    <w:p w14:paraId="646E2ED1"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This lifecycle protects both system integrity and participant fairness.</w:t>
      </w:r>
    </w:p>
    <w:p w14:paraId="0E94136C" w14:textId="120AC1EC" w:rsidR="00F7085C" w:rsidRPr="00B479AE" w:rsidRDefault="008433BD" w:rsidP="00F7085C">
      <w:pPr>
        <w:spacing w:line="360" w:lineRule="auto"/>
        <w:rPr>
          <w:rFonts w:ascii="Baskerville Old Face" w:hAnsi="Baskerville Old Face"/>
          <w:b/>
          <w:bCs/>
          <w:i/>
          <w:iCs/>
        </w:rPr>
      </w:pPr>
      <w:r w:rsidRPr="00B479AE">
        <w:rPr>
          <w:rFonts w:ascii="Baskerville Old Face" w:hAnsi="Baskerville Old Face"/>
          <w:b/>
          <w:bCs/>
          <w:i/>
          <w:iCs/>
        </w:rPr>
        <w:t>I</w:t>
      </w:r>
      <w:r w:rsidR="00F7085C" w:rsidRPr="00B479AE">
        <w:rPr>
          <w:rFonts w:ascii="Baskerville Old Face" w:hAnsi="Baskerville Old Face"/>
          <w:b/>
          <w:bCs/>
          <w:i/>
          <w:iCs/>
        </w:rPr>
        <w:t>.10 Warrant severity classes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8"/>
        <w:gridCol w:w="4426"/>
        <w:gridCol w:w="3904"/>
      </w:tblGrid>
      <w:tr w:rsidR="00F7085C" w:rsidRPr="00B479AE" w14:paraId="538E761C" w14:textId="77777777" w:rsidTr="00F7085C">
        <w:trPr>
          <w:tblHeader/>
          <w:tblCellSpacing w:w="15" w:type="dxa"/>
        </w:trPr>
        <w:tc>
          <w:tcPr>
            <w:tcW w:w="0" w:type="auto"/>
            <w:vAlign w:val="center"/>
            <w:hideMark/>
          </w:tcPr>
          <w:p w14:paraId="61B9D34D" w14:textId="77777777" w:rsidR="00F7085C" w:rsidRPr="00B479AE" w:rsidRDefault="00F7085C" w:rsidP="00F7085C">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Severity</w:t>
            </w:r>
          </w:p>
        </w:tc>
        <w:tc>
          <w:tcPr>
            <w:tcW w:w="0" w:type="auto"/>
            <w:vAlign w:val="center"/>
            <w:hideMark/>
          </w:tcPr>
          <w:p w14:paraId="30EC0C3D" w14:textId="77777777" w:rsidR="00F7085C" w:rsidRPr="00B479AE" w:rsidRDefault="00F7085C" w:rsidP="00F7085C">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c>
          <w:tcPr>
            <w:tcW w:w="0" w:type="auto"/>
            <w:vAlign w:val="center"/>
            <w:hideMark/>
          </w:tcPr>
          <w:p w14:paraId="6A9E3CC6" w14:textId="77777777" w:rsidR="00F7085C" w:rsidRPr="00B479AE" w:rsidRDefault="00F7085C" w:rsidP="00F7085C">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Typical response</w:t>
            </w:r>
          </w:p>
        </w:tc>
      </w:tr>
      <w:tr w:rsidR="00F7085C" w:rsidRPr="00B479AE" w14:paraId="3C43597E" w14:textId="77777777" w:rsidTr="00F7085C">
        <w:trPr>
          <w:tblCellSpacing w:w="15" w:type="dxa"/>
        </w:trPr>
        <w:tc>
          <w:tcPr>
            <w:tcW w:w="0" w:type="auto"/>
            <w:vAlign w:val="center"/>
            <w:hideMark/>
          </w:tcPr>
          <w:p w14:paraId="1B55E585"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Informational</w:t>
            </w:r>
          </w:p>
        </w:tc>
        <w:tc>
          <w:tcPr>
            <w:tcW w:w="0" w:type="auto"/>
            <w:vAlign w:val="center"/>
            <w:hideMark/>
          </w:tcPr>
          <w:p w14:paraId="4952CE85"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Low-risk flag, weak signal, ambiguity, or reminder.</w:t>
            </w:r>
          </w:p>
        </w:tc>
        <w:tc>
          <w:tcPr>
            <w:tcW w:w="0" w:type="auto"/>
            <w:vAlign w:val="center"/>
            <w:hideMark/>
          </w:tcPr>
          <w:p w14:paraId="08C9AECB"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Clarification, notation, monitoring.</w:t>
            </w:r>
          </w:p>
        </w:tc>
      </w:tr>
      <w:tr w:rsidR="00F7085C" w:rsidRPr="00B479AE" w14:paraId="000C8503" w14:textId="77777777" w:rsidTr="00F7085C">
        <w:trPr>
          <w:tblCellSpacing w:w="15" w:type="dxa"/>
        </w:trPr>
        <w:tc>
          <w:tcPr>
            <w:tcW w:w="0" w:type="auto"/>
            <w:vAlign w:val="center"/>
            <w:hideMark/>
          </w:tcPr>
          <w:p w14:paraId="7ECD1601"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Procedural</w:t>
            </w:r>
          </w:p>
        </w:tc>
        <w:tc>
          <w:tcPr>
            <w:tcW w:w="0" w:type="auto"/>
            <w:vAlign w:val="center"/>
            <w:hideMark/>
          </w:tcPr>
          <w:p w14:paraId="1CD21F66"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Missing process, incomplete record, role ambiguity, documentation gap.</w:t>
            </w:r>
          </w:p>
        </w:tc>
        <w:tc>
          <w:tcPr>
            <w:tcW w:w="0" w:type="auto"/>
            <w:vAlign w:val="center"/>
            <w:hideMark/>
          </w:tcPr>
          <w:p w14:paraId="440B496C"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Correction request, process repair.</w:t>
            </w:r>
          </w:p>
        </w:tc>
      </w:tr>
      <w:tr w:rsidR="00F7085C" w:rsidRPr="00B479AE" w14:paraId="2BA90DC4" w14:textId="77777777" w:rsidTr="00F7085C">
        <w:trPr>
          <w:tblCellSpacing w:w="15" w:type="dxa"/>
        </w:trPr>
        <w:tc>
          <w:tcPr>
            <w:tcW w:w="0" w:type="auto"/>
            <w:vAlign w:val="center"/>
            <w:hideMark/>
          </w:tcPr>
          <w:p w14:paraId="7B577038"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Material</w:t>
            </w:r>
          </w:p>
        </w:tc>
        <w:tc>
          <w:tcPr>
            <w:tcW w:w="0" w:type="auto"/>
            <w:vAlign w:val="center"/>
            <w:hideMark/>
          </w:tcPr>
          <w:p w14:paraId="64791405"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Evidence, governance, legal, MRV, technical, token, or public-claim issue requiring review.</w:t>
            </w:r>
          </w:p>
        </w:tc>
        <w:tc>
          <w:tcPr>
            <w:tcW w:w="0" w:type="auto"/>
            <w:vAlign w:val="center"/>
            <w:hideMark/>
          </w:tcPr>
          <w:p w14:paraId="1401FF3A"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Review-required status, remediation, restriction where appropriate.</w:t>
            </w:r>
          </w:p>
        </w:tc>
      </w:tr>
      <w:tr w:rsidR="00F7085C" w:rsidRPr="00B479AE" w14:paraId="45029F9F" w14:textId="77777777" w:rsidTr="00F7085C">
        <w:trPr>
          <w:tblCellSpacing w:w="15" w:type="dxa"/>
        </w:trPr>
        <w:tc>
          <w:tcPr>
            <w:tcW w:w="0" w:type="auto"/>
            <w:vAlign w:val="center"/>
            <w:hideMark/>
          </w:tcPr>
          <w:p w14:paraId="0F81ECCD"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Critical</w:t>
            </w:r>
          </w:p>
        </w:tc>
        <w:tc>
          <w:tcPr>
            <w:tcW w:w="0" w:type="auto"/>
            <w:vAlign w:val="center"/>
            <w:hideMark/>
          </w:tcPr>
          <w:p w14:paraId="06662AB9"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Serious risk to source layer, human dignity, MRV integrity, investor-facing claims, legal compliance, security, or public trust.</w:t>
            </w:r>
          </w:p>
        </w:tc>
        <w:tc>
          <w:tcPr>
            <w:tcW w:w="0" w:type="auto"/>
            <w:vAlign w:val="center"/>
            <w:hideMark/>
          </w:tcPr>
          <w:p w14:paraId="1881C22B"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Quarantine, emergency limitation, constitutional/legal review, external escalation where required.</w:t>
            </w:r>
          </w:p>
        </w:tc>
      </w:tr>
    </w:tbl>
    <w:p w14:paraId="10B272DA"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Severity is not mechanical.</w:t>
      </w:r>
    </w:p>
    <w:p w14:paraId="28ECD1BD"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It is interpreted through context, intent, harm, recurrence, evidence, and willingness to repair.</w:t>
      </w:r>
    </w:p>
    <w:p w14:paraId="7B8124B0" w14:textId="62A82B8C" w:rsidR="00F7085C" w:rsidRPr="00B479AE" w:rsidRDefault="009C7BED" w:rsidP="00F7085C">
      <w:pPr>
        <w:spacing w:line="360" w:lineRule="auto"/>
        <w:rPr>
          <w:rFonts w:ascii="Baskerville Old Face" w:hAnsi="Baskerville Old Face"/>
          <w:b/>
          <w:bCs/>
          <w:i/>
          <w:iCs/>
        </w:rPr>
      </w:pPr>
      <w:r w:rsidRPr="00B479AE">
        <w:rPr>
          <w:rFonts w:ascii="Baskerville Old Face" w:hAnsi="Baskerville Old Face"/>
          <w:b/>
          <w:bCs/>
          <w:i/>
          <w:iCs/>
        </w:rPr>
        <w:t>I</w:t>
      </w:r>
      <w:r w:rsidR="00F7085C" w:rsidRPr="00B479AE">
        <w:rPr>
          <w:rFonts w:ascii="Baskerville Old Face" w:hAnsi="Baskerville Old Face"/>
          <w:b/>
          <w:bCs/>
          <w:i/>
          <w:iCs/>
        </w:rPr>
        <w:t>.11 Consequence architecture for governance and reputation</w:t>
      </w:r>
    </w:p>
    <w:p w14:paraId="24696F7F"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Governance consequences should be proportionate and reviewable.</w:t>
      </w:r>
    </w:p>
    <w:p w14:paraId="7BE722D7"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lastRenderedPageBreak/>
        <w:t>Possible outcomes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04"/>
        <w:gridCol w:w="6096"/>
      </w:tblGrid>
      <w:tr w:rsidR="00F7085C" w:rsidRPr="00B479AE" w14:paraId="26FEC37E" w14:textId="77777777" w:rsidTr="00F7085C">
        <w:trPr>
          <w:tblHeader/>
          <w:tblCellSpacing w:w="15" w:type="dxa"/>
        </w:trPr>
        <w:tc>
          <w:tcPr>
            <w:tcW w:w="0" w:type="auto"/>
            <w:vAlign w:val="center"/>
            <w:hideMark/>
          </w:tcPr>
          <w:p w14:paraId="6D308BC9" w14:textId="77777777" w:rsidR="00F7085C" w:rsidRPr="00B479AE" w:rsidRDefault="00F7085C" w:rsidP="00F7085C">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Outcome</w:t>
            </w:r>
          </w:p>
        </w:tc>
        <w:tc>
          <w:tcPr>
            <w:tcW w:w="0" w:type="auto"/>
            <w:vAlign w:val="center"/>
            <w:hideMark/>
          </w:tcPr>
          <w:p w14:paraId="7A6F9D9F" w14:textId="77777777" w:rsidR="00F7085C" w:rsidRPr="00B479AE" w:rsidRDefault="00F7085C" w:rsidP="00F7085C">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r>
      <w:tr w:rsidR="00F7085C" w:rsidRPr="00B479AE" w14:paraId="7649695F" w14:textId="77777777" w:rsidTr="00F7085C">
        <w:trPr>
          <w:tblCellSpacing w:w="15" w:type="dxa"/>
        </w:trPr>
        <w:tc>
          <w:tcPr>
            <w:tcW w:w="0" w:type="auto"/>
            <w:vAlign w:val="center"/>
            <w:hideMark/>
          </w:tcPr>
          <w:p w14:paraId="169E6D73"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Clarification</w:t>
            </w:r>
          </w:p>
        </w:tc>
        <w:tc>
          <w:tcPr>
            <w:tcW w:w="0" w:type="auto"/>
            <w:vAlign w:val="center"/>
            <w:hideMark/>
          </w:tcPr>
          <w:p w14:paraId="56D9A2DA"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Misunderstanding corrected.</w:t>
            </w:r>
          </w:p>
        </w:tc>
      </w:tr>
      <w:tr w:rsidR="00F7085C" w:rsidRPr="00B479AE" w14:paraId="7F695AD4" w14:textId="77777777" w:rsidTr="00F7085C">
        <w:trPr>
          <w:tblCellSpacing w:w="15" w:type="dxa"/>
        </w:trPr>
        <w:tc>
          <w:tcPr>
            <w:tcW w:w="0" w:type="auto"/>
            <w:vAlign w:val="center"/>
            <w:hideMark/>
          </w:tcPr>
          <w:p w14:paraId="795C5C17"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Record correction</w:t>
            </w:r>
          </w:p>
        </w:tc>
        <w:tc>
          <w:tcPr>
            <w:tcW w:w="0" w:type="auto"/>
            <w:vAlign w:val="center"/>
            <w:hideMark/>
          </w:tcPr>
          <w:p w14:paraId="6745E4DA"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Governance, MRV, or public record updated.</w:t>
            </w:r>
          </w:p>
        </w:tc>
      </w:tr>
      <w:tr w:rsidR="00F7085C" w:rsidRPr="00B479AE" w14:paraId="3E634562" w14:textId="77777777" w:rsidTr="00F7085C">
        <w:trPr>
          <w:tblCellSpacing w:w="15" w:type="dxa"/>
        </w:trPr>
        <w:tc>
          <w:tcPr>
            <w:tcW w:w="0" w:type="auto"/>
            <w:vAlign w:val="center"/>
            <w:hideMark/>
          </w:tcPr>
          <w:p w14:paraId="07CE7CD7"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Training / orientation</w:t>
            </w:r>
          </w:p>
        </w:tc>
        <w:tc>
          <w:tcPr>
            <w:tcW w:w="0" w:type="auto"/>
            <w:vAlign w:val="center"/>
            <w:hideMark/>
          </w:tcPr>
          <w:p w14:paraId="17980778"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Participant receives additional guidance.</w:t>
            </w:r>
          </w:p>
        </w:tc>
      </w:tr>
      <w:tr w:rsidR="00F7085C" w:rsidRPr="00B479AE" w14:paraId="3A54BC92" w14:textId="77777777" w:rsidTr="00F7085C">
        <w:trPr>
          <w:tblCellSpacing w:w="15" w:type="dxa"/>
        </w:trPr>
        <w:tc>
          <w:tcPr>
            <w:tcW w:w="0" w:type="auto"/>
            <w:vAlign w:val="center"/>
            <w:hideMark/>
          </w:tcPr>
          <w:p w14:paraId="0169A2B0"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Remediation plan</w:t>
            </w:r>
          </w:p>
        </w:tc>
        <w:tc>
          <w:tcPr>
            <w:tcW w:w="0" w:type="auto"/>
            <w:vAlign w:val="center"/>
            <w:hideMark/>
          </w:tcPr>
          <w:p w14:paraId="4C92E47F"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Defined steps, deadlines, and review points.</w:t>
            </w:r>
          </w:p>
        </w:tc>
      </w:tr>
      <w:tr w:rsidR="00F7085C" w:rsidRPr="00B479AE" w14:paraId="675EF499" w14:textId="77777777" w:rsidTr="00F7085C">
        <w:trPr>
          <w:tblCellSpacing w:w="15" w:type="dxa"/>
        </w:trPr>
        <w:tc>
          <w:tcPr>
            <w:tcW w:w="0" w:type="auto"/>
            <w:vAlign w:val="center"/>
            <w:hideMark/>
          </w:tcPr>
          <w:p w14:paraId="5FD30993"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Role limitation</w:t>
            </w:r>
          </w:p>
        </w:tc>
        <w:tc>
          <w:tcPr>
            <w:tcW w:w="0" w:type="auto"/>
            <w:vAlign w:val="center"/>
            <w:hideMark/>
          </w:tcPr>
          <w:p w14:paraId="3E2332C1"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Participant retains access but role scope is narrowed.</w:t>
            </w:r>
          </w:p>
        </w:tc>
      </w:tr>
      <w:tr w:rsidR="00F7085C" w:rsidRPr="00B479AE" w14:paraId="0915F7F1" w14:textId="77777777" w:rsidTr="00F7085C">
        <w:trPr>
          <w:tblCellSpacing w:w="15" w:type="dxa"/>
        </w:trPr>
        <w:tc>
          <w:tcPr>
            <w:tcW w:w="0" w:type="auto"/>
            <w:vAlign w:val="center"/>
            <w:hideMark/>
          </w:tcPr>
          <w:p w14:paraId="40DA6D4B"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Restricted status</w:t>
            </w:r>
          </w:p>
        </w:tc>
        <w:tc>
          <w:tcPr>
            <w:tcW w:w="0" w:type="auto"/>
            <w:vAlign w:val="center"/>
            <w:hideMark/>
          </w:tcPr>
          <w:p w14:paraId="169FBCAD"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Certain functions are limited.</w:t>
            </w:r>
          </w:p>
        </w:tc>
      </w:tr>
      <w:tr w:rsidR="00F7085C" w:rsidRPr="00B479AE" w14:paraId="4FD940A6" w14:textId="77777777" w:rsidTr="00F7085C">
        <w:trPr>
          <w:tblCellSpacing w:w="15" w:type="dxa"/>
        </w:trPr>
        <w:tc>
          <w:tcPr>
            <w:tcW w:w="0" w:type="auto"/>
            <w:vAlign w:val="center"/>
            <w:hideMark/>
          </w:tcPr>
          <w:p w14:paraId="2AD589C8"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Suspension</w:t>
            </w:r>
          </w:p>
        </w:tc>
        <w:tc>
          <w:tcPr>
            <w:tcW w:w="0" w:type="auto"/>
            <w:vAlign w:val="center"/>
            <w:hideMark/>
          </w:tcPr>
          <w:p w14:paraId="5D137E18"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Sensitive access paused pending review or remediation.</w:t>
            </w:r>
          </w:p>
        </w:tc>
      </w:tr>
      <w:tr w:rsidR="00F7085C" w:rsidRPr="00B479AE" w14:paraId="4FA9E44B" w14:textId="77777777" w:rsidTr="00F7085C">
        <w:trPr>
          <w:tblCellSpacing w:w="15" w:type="dxa"/>
        </w:trPr>
        <w:tc>
          <w:tcPr>
            <w:tcW w:w="0" w:type="auto"/>
            <w:vAlign w:val="center"/>
            <w:hideMark/>
          </w:tcPr>
          <w:p w14:paraId="5C9209A7"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Non-admissibility</w:t>
            </w:r>
          </w:p>
        </w:tc>
        <w:tc>
          <w:tcPr>
            <w:tcW w:w="0" w:type="auto"/>
            <w:vAlign w:val="center"/>
            <w:hideMark/>
          </w:tcPr>
          <w:p w14:paraId="69893457"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Claim, record, or output cannot enter protected pathways.</w:t>
            </w:r>
          </w:p>
        </w:tc>
      </w:tr>
      <w:tr w:rsidR="00F7085C" w:rsidRPr="00B479AE" w14:paraId="3909CEE4" w14:textId="77777777" w:rsidTr="00F7085C">
        <w:trPr>
          <w:tblCellSpacing w:w="15" w:type="dxa"/>
        </w:trPr>
        <w:tc>
          <w:tcPr>
            <w:tcW w:w="0" w:type="auto"/>
            <w:vAlign w:val="center"/>
            <w:hideMark/>
          </w:tcPr>
          <w:p w14:paraId="43A7E04C"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Quarantine</w:t>
            </w:r>
          </w:p>
        </w:tc>
        <w:tc>
          <w:tcPr>
            <w:tcW w:w="0" w:type="auto"/>
            <w:vAlign w:val="center"/>
            <w:hideMark/>
          </w:tcPr>
          <w:p w14:paraId="1A548F4A"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Claim, component, pathway, or record is isolated due to serious risk.</w:t>
            </w:r>
          </w:p>
        </w:tc>
      </w:tr>
      <w:tr w:rsidR="00F7085C" w:rsidRPr="00B479AE" w14:paraId="75E31DD7" w14:textId="77777777" w:rsidTr="00F7085C">
        <w:trPr>
          <w:tblCellSpacing w:w="15" w:type="dxa"/>
        </w:trPr>
        <w:tc>
          <w:tcPr>
            <w:tcW w:w="0" w:type="auto"/>
            <w:vAlign w:val="center"/>
            <w:hideMark/>
          </w:tcPr>
          <w:p w14:paraId="4852E5D5"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Role removal</w:t>
            </w:r>
          </w:p>
        </w:tc>
        <w:tc>
          <w:tcPr>
            <w:tcW w:w="0" w:type="auto"/>
            <w:vAlign w:val="center"/>
            <w:hideMark/>
          </w:tcPr>
          <w:p w14:paraId="2F47F086"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Role ends through defined governance procedure.</w:t>
            </w:r>
          </w:p>
        </w:tc>
      </w:tr>
      <w:tr w:rsidR="00F7085C" w:rsidRPr="00B479AE" w14:paraId="5967CA3E" w14:textId="77777777" w:rsidTr="00F7085C">
        <w:trPr>
          <w:tblCellSpacing w:w="15" w:type="dxa"/>
        </w:trPr>
        <w:tc>
          <w:tcPr>
            <w:tcW w:w="0" w:type="auto"/>
            <w:vAlign w:val="center"/>
            <w:hideMark/>
          </w:tcPr>
          <w:p w14:paraId="24FCC727"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Exclusion from defined pathway</w:t>
            </w:r>
          </w:p>
        </w:tc>
        <w:tc>
          <w:tcPr>
            <w:tcW w:w="0" w:type="auto"/>
            <w:vAlign w:val="center"/>
            <w:hideMark/>
          </w:tcPr>
          <w:p w14:paraId="1070FB5D"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Participant loses eligibility for specific access type.</w:t>
            </w:r>
          </w:p>
        </w:tc>
      </w:tr>
      <w:tr w:rsidR="00F7085C" w:rsidRPr="00B479AE" w14:paraId="41CC295D" w14:textId="77777777" w:rsidTr="00F7085C">
        <w:trPr>
          <w:tblCellSpacing w:w="15" w:type="dxa"/>
        </w:trPr>
        <w:tc>
          <w:tcPr>
            <w:tcW w:w="0" w:type="auto"/>
            <w:vAlign w:val="center"/>
            <w:hideMark/>
          </w:tcPr>
          <w:p w14:paraId="7DC693D9"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External escalation</w:t>
            </w:r>
          </w:p>
        </w:tc>
        <w:tc>
          <w:tcPr>
            <w:tcW w:w="0" w:type="auto"/>
            <w:vAlign w:val="center"/>
            <w:hideMark/>
          </w:tcPr>
          <w:p w14:paraId="4622D82E"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Legal, regulatory, fiduciary, or institutional escalation where required.</w:t>
            </w:r>
          </w:p>
        </w:tc>
      </w:tr>
      <w:tr w:rsidR="00F7085C" w:rsidRPr="00B479AE" w14:paraId="778850AA" w14:textId="77777777" w:rsidTr="00F7085C">
        <w:trPr>
          <w:tblCellSpacing w:w="15" w:type="dxa"/>
        </w:trPr>
        <w:tc>
          <w:tcPr>
            <w:tcW w:w="0" w:type="auto"/>
            <w:vAlign w:val="center"/>
            <w:hideMark/>
          </w:tcPr>
          <w:p w14:paraId="505BA7A8"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Restoration</w:t>
            </w:r>
          </w:p>
        </w:tc>
        <w:tc>
          <w:tcPr>
            <w:tcW w:w="0" w:type="auto"/>
            <w:vAlign w:val="center"/>
            <w:hideMark/>
          </w:tcPr>
          <w:p w14:paraId="673BADD2" w14:textId="77777777" w:rsidR="00F7085C" w:rsidRPr="00B479AE" w:rsidRDefault="00F7085C" w:rsidP="00F7085C">
            <w:pPr>
              <w:spacing w:line="360" w:lineRule="auto"/>
              <w:rPr>
                <w:rFonts w:ascii="Baskerville Old Face" w:hAnsi="Baskerville Old Face"/>
                <w:i/>
                <w:iCs/>
                <w:sz w:val="22"/>
                <w:szCs w:val="22"/>
              </w:rPr>
            </w:pPr>
            <w:r w:rsidRPr="00B479AE">
              <w:rPr>
                <w:rFonts w:ascii="Baskerville Old Face" w:hAnsi="Baskerville Old Face"/>
                <w:i/>
                <w:iCs/>
                <w:sz w:val="22"/>
                <w:szCs w:val="22"/>
              </w:rPr>
              <w:t>Status restored after repair, review, or changed circumstances.</w:t>
            </w:r>
          </w:p>
        </w:tc>
      </w:tr>
    </w:tbl>
    <w:p w14:paraId="438B81DE"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No token-related economic penalty should be assumed unless legally structured, disclosed, governed, and jurisdictionally reviewed.</w:t>
      </w:r>
    </w:p>
    <w:p w14:paraId="5A020214"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should avoid casual use of terms such as slashing, forfeiture, or automatic token loss in governance appendices.</w:t>
      </w:r>
    </w:p>
    <w:p w14:paraId="7385B165" w14:textId="30DD32BE" w:rsidR="00F7085C" w:rsidRPr="00B479AE" w:rsidRDefault="009C7BED" w:rsidP="00F7085C">
      <w:pPr>
        <w:spacing w:line="360" w:lineRule="auto"/>
        <w:rPr>
          <w:rFonts w:ascii="Baskerville Old Face" w:hAnsi="Baskerville Old Face"/>
          <w:b/>
          <w:bCs/>
          <w:i/>
          <w:iCs/>
        </w:rPr>
      </w:pPr>
      <w:r w:rsidRPr="00B479AE">
        <w:rPr>
          <w:rFonts w:ascii="Baskerville Old Face" w:hAnsi="Baskerville Old Face"/>
          <w:b/>
          <w:bCs/>
          <w:i/>
          <w:iCs/>
        </w:rPr>
        <w:t>I</w:t>
      </w:r>
      <w:r w:rsidR="00F7085C" w:rsidRPr="00B479AE">
        <w:rPr>
          <w:rFonts w:ascii="Baskerville Old Face" w:hAnsi="Baskerville Old Face"/>
          <w:b/>
          <w:bCs/>
          <w:i/>
          <w:iCs/>
        </w:rPr>
        <w:t>.12 Reputation recovery and restoration</w:t>
      </w:r>
    </w:p>
    <w:p w14:paraId="6AF35EE2"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should allow restoration.</w:t>
      </w:r>
    </w:p>
    <w:p w14:paraId="158BF339"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lastRenderedPageBreak/>
        <w:t>A person, community, or entity may correct errors, repair harm, complete remediation, improve evidence quality, change behavior, or reduce risk.</w:t>
      </w:r>
    </w:p>
    <w:p w14:paraId="34FE9392"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Restoration may require:</w:t>
      </w:r>
    </w:p>
    <w:p w14:paraId="257014EB"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corrected record;</w:t>
      </w:r>
      <w:r w:rsidRPr="00B479AE">
        <w:rPr>
          <w:rFonts w:ascii="Baskerville Old Face" w:hAnsi="Baskerville Old Face"/>
          <w:i/>
          <w:iCs/>
        </w:rPr>
        <w:br/>
        <w:t>• public or private correction;</w:t>
      </w:r>
      <w:r w:rsidRPr="00B479AE">
        <w:rPr>
          <w:rFonts w:ascii="Baskerville Old Face" w:hAnsi="Baskerville Old Face"/>
          <w:i/>
          <w:iCs/>
        </w:rPr>
        <w:br/>
        <w:t>• completion of remediation plan;</w:t>
      </w:r>
      <w:r w:rsidRPr="00B479AE">
        <w:rPr>
          <w:rFonts w:ascii="Baskerville Old Face" w:hAnsi="Baskerville Old Face"/>
          <w:i/>
          <w:iCs/>
        </w:rPr>
        <w:br/>
        <w:t>• renewed Access Covenant affirmation;</w:t>
      </w:r>
      <w:r w:rsidRPr="00B479AE">
        <w:rPr>
          <w:rFonts w:ascii="Baskerville Old Face" w:hAnsi="Baskerville Old Face"/>
          <w:i/>
          <w:iCs/>
        </w:rPr>
        <w:br/>
        <w:t>• role review;</w:t>
      </w:r>
      <w:r w:rsidRPr="00B479AE">
        <w:rPr>
          <w:rFonts w:ascii="Baskerville Old Face" w:hAnsi="Baskerville Old Face"/>
          <w:i/>
          <w:iCs/>
        </w:rPr>
        <w:br/>
        <w:t>• peer review;</w:t>
      </w:r>
      <w:r w:rsidRPr="00B479AE">
        <w:rPr>
          <w:rFonts w:ascii="Baskerville Old Face" w:hAnsi="Baskerville Old Face"/>
          <w:i/>
          <w:iCs/>
        </w:rPr>
        <w:br/>
        <w:t>• community repair process;</w:t>
      </w:r>
      <w:r w:rsidRPr="00B479AE">
        <w:rPr>
          <w:rFonts w:ascii="Baskerville Old Face" w:hAnsi="Baskerville Old Face"/>
          <w:i/>
          <w:iCs/>
        </w:rPr>
        <w:br/>
        <w:t>• MRV resubmission;</w:t>
      </w:r>
      <w:r w:rsidRPr="00B479AE">
        <w:rPr>
          <w:rFonts w:ascii="Baskerville Old Face" w:hAnsi="Baskerville Old Face"/>
          <w:i/>
          <w:iCs/>
        </w:rPr>
        <w:br/>
        <w:t>• legal clearance;</w:t>
      </w:r>
      <w:r w:rsidRPr="00B479AE">
        <w:rPr>
          <w:rFonts w:ascii="Baskerville Old Face" w:hAnsi="Baskerville Old Face"/>
          <w:i/>
          <w:iCs/>
        </w:rPr>
        <w:br/>
        <w:t>• technical access review;</w:t>
      </w:r>
      <w:r w:rsidRPr="00B479AE">
        <w:rPr>
          <w:rFonts w:ascii="Baskerville Old Face" w:hAnsi="Baskerville Old Face"/>
          <w:i/>
          <w:iCs/>
        </w:rPr>
        <w:br/>
        <w:t>• monitoring period;</w:t>
      </w:r>
      <w:r w:rsidRPr="00B479AE">
        <w:rPr>
          <w:rFonts w:ascii="Baskerville Old Face" w:hAnsi="Baskerville Old Face"/>
          <w:i/>
          <w:iCs/>
        </w:rPr>
        <w:br/>
        <w:t>• governance consent.</w:t>
      </w:r>
    </w:p>
    <w:p w14:paraId="57DF3CC8"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Restoration should be precise.</w:t>
      </w:r>
    </w:p>
    <w:p w14:paraId="2A2BB473"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 participant may be restored for ordinary participation but remain restricted from MRV validation, technical administration, investor-facing communication, or constitutional roles.</w:t>
      </w:r>
    </w:p>
    <w:p w14:paraId="69B679EA"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This protects the system while allowing repair.</w:t>
      </w:r>
    </w:p>
    <w:p w14:paraId="186FF38E"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 regenerative governance system should understand recovery.</w:t>
      </w:r>
    </w:p>
    <w:p w14:paraId="19DF577E"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If the soil can be restored, governance must also know how to restore trust.</w:t>
      </w:r>
    </w:p>
    <w:p w14:paraId="467F882A" w14:textId="10ABCD3C" w:rsidR="00F7085C" w:rsidRPr="00B479AE" w:rsidRDefault="009C7BED" w:rsidP="00F7085C">
      <w:pPr>
        <w:spacing w:line="360" w:lineRule="auto"/>
        <w:rPr>
          <w:rFonts w:ascii="Baskerville Old Face" w:hAnsi="Baskerville Old Face"/>
          <w:b/>
          <w:bCs/>
          <w:i/>
          <w:iCs/>
        </w:rPr>
      </w:pPr>
      <w:r w:rsidRPr="00B479AE">
        <w:rPr>
          <w:rFonts w:ascii="Baskerville Old Face" w:hAnsi="Baskerville Old Face"/>
          <w:b/>
          <w:bCs/>
          <w:i/>
          <w:iCs/>
        </w:rPr>
        <w:t>I</w:t>
      </w:r>
      <w:r w:rsidR="00F7085C" w:rsidRPr="00B479AE">
        <w:rPr>
          <w:rFonts w:ascii="Baskerville Old Face" w:hAnsi="Baskerville Old Face"/>
          <w:b/>
          <w:bCs/>
          <w:i/>
          <w:iCs/>
        </w:rPr>
        <w:t>.13 Privacy and data minimization</w:t>
      </w:r>
    </w:p>
    <w:p w14:paraId="25979FE8"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Governance and reputation data can be sensitive.</w:t>
      </w:r>
    </w:p>
    <w:p w14:paraId="44DE494B"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should apply privacy, consent, and minimization principles.</w:t>
      </w:r>
    </w:p>
    <w:p w14:paraId="1EAE9D10"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Governance records should distinguish:</w:t>
      </w:r>
    </w:p>
    <w:p w14:paraId="2BCC27FC"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public records;</w:t>
      </w:r>
      <w:r w:rsidRPr="00B479AE">
        <w:rPr>
          <w:rFonts w:ascii="Baskerville Old Face" w:hAnsi="Baskerville Old Face"/>
          <w:i/>
          <w:iCs/>
        </w:rPr>
        <w:br/>
        <w:t>• internal records;</w:t>
      </w:r>
      <w:r w:rsidRPr="00B479AE">
        <w:rPr>
          <w:rFonts w:ascii="Baskerville Old Face" w:hAnsi="Baskerville Old Face"/>
          <w:i/>
          <w:iCs/>
        </w:rPr>
        <w:br/>
      </w:r>
      <w:r w:rsidRPr="00B479AE">
        <w:rPr>
          <w:rFonts w:ascii="Baskerville Old Face" w:hAnsi="Baskerville Old Face"/>
          <w:i/>
          <w:iCs/>
        </w:rPr>
        <w:lastRenderedPageBreak/>
        <w:t>• restricted governance records;</w:t>
      </w:r>
      <w:r w:rsidRPr="00B479AE">
        <w:rPr>
          <w:rFonts w:ascii="Baskerville Old Face" w:hAnsi="Baskerville Old Face"/>
          <w:i/>
          <w:iCs/>
        </w:rPr>
        <w:br/>
        <w:t>• confidential legal records;</w:t>
      </w:r>
      <w:r w:rsidRPr="00B479AE">
        <w:rPr>
          <w:rFonts w:ascii="Baskerville Old Face" w:hAnsi="Baskerville Old Face"/>
          <w:i/>
          <w:iCs/>
        </w:rPr>
        <w:br/>
        <w:t>• sensitive personal records;</w:t>
      </w:r>
      <w:r w:rsidRPr="00B479AE">
        <w:rPr>
          <w:rFonts w:ascii="Baskerville Old Face" w:hAnsi="Baskerville Old Face"/>
          <w:i/>
          <w:iCs/>
        </w:rPr>
        <w:br/>
        <w:t>• HSI or human-state records;</w:t>
      </w:r>
      <w:r w:rsidRPr="00B479AE">
        <w:rPr>
          <w:rFonts w:ascii="Baskerville Old Face" w:hAnsi="Baskerville Old Face"/>
          <w:i/>
          <w:iCs/>
        </w:rPr>
        <w:br/>
        <w:t>• investor or data-room records.</w:t>
      </w:r>
    </w:p>
    <w:p w14:paraId="5226B8BA"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Reputation data should be:</w:t>
      </w:r>
    </w:p>
    <w:p w14:paraId="32898AAB"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purpose-limited;</w:t>
      </w:r>
      <w:r w:rsidRPr="00B479AE">
        <w:rPr>
          <w:rFonts w:ascii="Baskerville Old Face" w:hAnsi="Baskerville Old Face"/>
          <w:i/>
          <w:iCs/>
        </w:rPr>
        <w:br/>
        <w:t>• explainable;</w:t>
      </w:r>
      <w:r w:rsidRPr="00B479AE">
        <w:rPr>
          <w:rFonts w:ascii="Baskerville Old Face" w:hAnsi="Baskerville Old Face"/>
          <w:i/>
          <w:iCs/>
        </w:rPr>
        <w:br/>
        <w:t>• reviewable;</w:t>
      </w:r>
      <w:r w:rsidRPr="00B479AE">
        <w:rPr>
          <w:rFonts w:ascii="Baskerville Old Face" w:hAnsi="Baskerville Old Face"/>
          <w:i/>
          <w:iCs/>
        </w:rPr>
        <w:br/>
        <w:t>• appealable where material;</w:t>
      </w:r>
      <w:r w:rsidRPr="00B479AE">
        <w:rPr>
          <w:rFonts w:ascii="Baskerville Old Face" w:hAnsi="Baskerville Old Face"/>
          <w:i/>
          <w:iCs/>
        </w:rPr>
        <w:br/>
        <w:t>• minimized;</w:t>
      </w:r>
      <w:r w:rsidRPr="00B479AE">
        <w:rPr>
          <w:rFonts w:ascii="Baskerville Old Face" w:hAnsi="Baskerville Old Face"/>
          <w:i/>
          <w:iCs/>
        </w:rPr>
        <w:br/>
        <w:t>• access-controlled;</w:t>
      </w:r>
      <w:r w:rsidRPr="00B479AE">
        <w:rPr>
          <w:rFonts w:ascii="Baskerville Old Face" w:hAnsi="Baskerville Old Face"/>
          <w:i/>
          <w:iCs/>
        </w:rPr>
        <w:br/>
        <w:t>• corrected when inaccurate;</w:t>
      </w:r>
      <w:r w:rsidRPr="00B479AE">
        <w:rPr>
          <w:rFonts w:ascii="Baskerville Old Face" w:hAnsi="Baskerville Old Face"/>
          <w:i/>
          <w:iCs/>
        </w:rPr>
        <w:br/>
        <w:t>• time-bounded where appropriate.</w:t>
      </w:r>
    </w:p>
    <w:p w14:paraId="61998674"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Sensitive data should not become permanent public identity by default.</w:t>
      </w:r>
    </w:p>
    <w:p w14:paraId="59C80328"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The system should preserve accountability without creating reputational captivity.</w:t>
      </w:r>
    </w:p>
    <w:p w14:paraId="21398D37" w14:textId="09FFF6AB" w:rsidR="00F7085C" w:rsidRPr="00B479AE" w:rsidRDefault="009C7BED" w:rsidP="00F7085C">
      <w:pPr>
        <w:spacing w:line="360" w:lineRule="auto"/>
        <w:rPr>
          <w:rFonts w:ascii="Baskerville Old Face" w:hAnsi="Baskerville Old Face"/>
          <w:b/>
          <w:bCs/>
          <w:i/>
          <w:iCs/>
        </w:rPr>
      </w:pPr>
      <w:r w:rsidRPr="00B479AE">
        <w:rPr>
          <w:rFonts w:ascii="Baskerville Old Face" w:hAnsi="Baskerville Old Face"/>
          <w:b/>
          <w:bCs/>
          <w:i/>
          <w:iCs/>
        </w:rPr>
        <w:t>I</w:t>
      </w:r>
      <w:r w:rsidR="00F7085C" w:rsidRPr="00B479AE">
        <w:rPr>
          <w:rFonts w:ascii="Baskerville Old Face" w:hAnsi="Baskerville Old Face"/>
          <w:b/>
          <w:bCs/>
          <w:i/>
          <w:iCs/>
        </w:rPr>
        <w:t>.14 Contribution history</w:t>
      </w:r>
    </w:p>
    <w:p w14:paraId="37EB29A2"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Contribution history is valuable when handled properly.</w:t>
      </w:r>
    </w:p>
    <w:p w14:paraId="53A8FD99"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Contribution history may include:</w:t>
      </w:r>
    </w:p>
    <w:p w14:paraId="1515B6F1"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code commits;</w:t>
      </w:r>
      <w:r w:rsidRPr="00B479AE">
        <w:rPr>
          <w:rFonts w:ascii="Baskerville Old Face" w:hAnsi="Baskerville Old Face"/>
          <w:i/>
          <w:iCs/>
        </w:rPr>
        <w:br/>
        <w:t>• documentation work;</w:t>
      </w:r>
      <w:r w:rsidRPr="00B479AE">
        <w:rPr>
          <w:rFonts w:ascii="Baskerville Old Face" w:hAnsi="Baskerville Old Face"/>
          <w:i/>
          <w:iCs/>
        </w:rPr>
        <w:br/>
        <w:t>• MRV submissions;</w:t>
      </w:r>
      <w:r w:rsidRPr="00B479AE">
        <w:rPr>
          <w:rFonts w:ascii="Baskerville Old Face" w:hAnsi="Baskerville Old Face"/>
          <w:i/>
          <w:iCs/>
        </w:rPr>
        <w:br/>
        <w:t>• field stewardship;</w:t>
      </w:r>
      <w:r w:rsidRPr="00B479AE">
        <w:rPr>
          <w:rFonts w:ascii="Baskerville Old Face" w:hAnsi="Baskerville Old Face"/>
          <w:i/>
          <w:iCs/>
        </w:rPr>
        <w:br/>
        <w:t>• governance service;</w:t>
      </w:r>
      <w:r w:rsidRPr="00B479AE">
        <w:rPr>
          <w:rFonts w:ascii="Baskerville Old Face" w:hAnsi="Baskerville Old Face"/>
          <w:i/>
          <w:iCs/>
        </w:rPr>
        <w:br/>
        <w:t>• research contribution;</w:t>
      </w:r>
      <w:r w:rsidRPr="00B479AE">
        <w:rPr>
          <w:rFonts w:ascii="Baskerville Old Face" w:hAnsi="Baskerville Old Face"/>
          <w:i/>
          <w:iCs/>
        </w:rPr>
        <w:br/>
        <w:t>• community facilitation;</w:t>
      </w:r>
      <w:r w:rsidRPr="00B479AE">
        <w:rPr>
          <w:rFonts w:ascii="Baskerville Old Face" w:hAnsi="Baskerville Old Face"/>
          <w:i/>
          <w:iCs/>
        </w:rPr>
        <w:br/>
        <w:t>• legal drafting;</w:t>
      </w:r>
      <w:r w:rsidRPr="00B479AE">
        <w:rPr>
          <w:rFonts w:ascii="Baskerville Old Face" w:hAnsi="Baskerville Old Face"/>
          <w:i/>
          <w:iCs/>
        </w:rPr>
        <w:br/>
        <w:t>• technical review;</w:t>
      </w:r>
      <w:r w:rsidRPr="00B479AE">
        <w:rPr>
          <w:rFonts w:ascii="Baskerville Old Face" w:hAnsi="Baskerville Old Face"/>
          <w:i/>
          <w:iCs/>
        </w:rPr>
        <w:br/>
        <w:t>• financial architecture;</w:t>
      </w:r>
      <w:r w:rsidRPr="00B479AE">
        <w:rPr>
          <w:rFonts w:ascii="Baskerville Old Face" w:hAnsi="Baskerville Old Face"/>
          <w:i/>
          <w:iCs/>
        </w:rPr>
        <w:br/>
      </w:r>
      <w:r w:rsidRPr="00B479AE">
        <w:rPr>
          <w:rFonts w:ascii="Baskerville Old Face" w:hAnsi="Baskerville Old Face"/>
          <w:i/>
          <w:iCs/>
        </w:rPr>
        <w:lastRenderedPageBreak/>
        <w:t>• education and training;</w:t>
      </w:r>
      <w:r w:rsidRPr="00B479AE">
        <w:rPr>
          <w:rFonts w:ascii="Baskerville Old Face" w:hAnsi="Baskerville Old Face"/>
          <w:i/>
          <w:iCs/>
        </w:rPr>
        <w:br/>
        <w:t>• conflict resolution;</w:t>
      </w:r>
      <w:r w:rsidRPr="00B479AE">
        <w:rPr>
          <w:rFonts w:ascii="Baskerville Old Face" w:hAnsi="Baskerville Old Face"/>
          <w:i/>
          <w:iCs/>
        </w:rPr>
        <w:br/>
        <w:t>• archive preservation;</w:t>
      </w:r>
      <w:r w:rsidRPr="00B479AE">
        <w:rPr>
          <w:rFonts w:ascii="Baskerville Old Face" w:hAnsi="Baskerville Old Face"/>
          <w:i/>
          <w:iCs/>
        </w:rPr>
        <w:br/>
        <w:t>• continuity stewardship.</w:t>
      </w:r>
    </w:p>
    <w:p w14:paraId="7D1805A7"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Contribution history may support:</w:t>
      </w:r>
    </w:p>
    <w:p w14:paraId="1D9DCA29"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role eligibility;</w:t>
      </w:r>
      <w:r w:rsidRPr="00B479AE">
        <w:rPr>
          <w:rFonts w:ascii="Baskerville Old Face" w:hAnsi="Baskerville Old Face"/>
          <w:i/>
          <w:iCs/>
        </w:rPr>
        <w:br/>
        <w:t>• recognition;</w:t>
      </w:r>
      <w:r w:rsidRPr="00B479AE">
        <w:rPr>
          <w:rFonts w:ascii="Baskerville Old Face" w:hAnsi="Baskerville Old Face"/>
          <w:i/>
          <w:iCs/>
        </w:rPr>
        <w:br/>
        <w:t>• responsibility assignment;</w:t>
      </w:r>
      <w:r w:rsidRPr="00B479AE">
        <w:rPr>
          <w:rFonts w:ascii="Baskerville Old Face" w:hAnsi="Baskerville Old Face"/>
          <w:i/>
          <w:iCs/>
        </w:rPr>
        <w:br/>
        <w:t>• access review;</w:t>
      </w:r>
      <w:r w:rsidRPr="00B479AE">
        <w:rPr>
          <w:rFonts w:ascii="Baskerville Old Face" w:hAnsi="Baskerville Old Face"/>
          <w:i/>
          <w:iCs/>
        </w:rPr>
        <w:br/>
        <w:t>• grant or compensation review;</w:t>
      </w:r>
      <w:r w:rsidRPr="00B479AE">
        <w:rPr>
          <w:rFonts w:ascii="Baskerville Old Face" w:hAnsi="Baskerville Old Face"/>
          <w:i/>
          <w:iCs/>
        </w:rPr>
        <w:br/>
        <w:t>• community memory;</w:t>
      </w:r>
      <w:r w:rsidRPr="00B479AE">
        <w:rPr>
          <w:rFonts w:ascii="Baskerville Old Face" w:hAnsi="Baskerville Old Face"/>
          <w:i/>
          <w:iCs/>
        </w:rPr>
        <w:br/>
        <w:t>• institutional diligence.</w:t>
      </w:r>
    </w:p>
    <w:p w14:paraId="49614F5A"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Contribution history should not become coercive surveillance.</w:t>
      </w:r>
    </w:p>
    <w:p w14:paraId="352DFBF9"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Contributions should be recognized with context.</w:t>
      </w:r>
    </w:p>
    <w:p w14:paraId="402855DA"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Quantity alone is not quality.</w:t>
      </w:r>
    </w:p>
    <w:p w14:paraId="6672503A"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Visibility alone is not value.</w:t>
      </w:r>
    </w:p>
    <w:p w14:paraId="4A7CBE93"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should recognize visible labor, invisible labor, care work, field work, intellectual work, relational work, and continuity work.</w:t>
      </w:r>
    </w:p>
    <w:p w14:paraId="7BCC16C4" w14:textId="02B64641" w:rsidR="00F7085C" w:rsidRPr="00B479AE" w:rsidRDefault="009C7BED" w:rsidP="00F7085C">
      <w:pPr>
        <w:spacing w:line="360" w:lineRule="auto"/>
        <w:rPr>
          <w:rFonts w:ascii="Baskerville Old Face" w:hAnsi="Baskerville Old Face"/>
          <w:b/>
          <w:bCs/>
          <w:i/>
          <w:iCs/>
        </w:rPr>
      </w:pPr>
      <w:r w:rsidRPr="00B479AE">
        <w:rPr>
          <w:rFonts w:ascii="Baskerville Old Face" w:hAnsi="Baskerville Old Face"/>
          <w:b/>
          <w:bCs/>
          <w:i/>
          <w:iCs/>
        </w:rPr>
        <w:t>I</w:t>
      </w:r>
      <w:r w:rsidR="00F7085C" w:rsidRPr="00B479AE">
        <w:rPr>
          <w:rFonts w:ascii="Baskerville Old Face" w:hAnsi="Baskerville Old Face"/>
          <w:b/>
          <w:bCs/>
          <w:i/>
          <w:iCs/>
        </w:rPr>
        <w:t>.15 Token and wallet boundary</w:t>
      </w:r>
    </w:p>
    <w:p w14:paraId="5F926AAB"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Token and wallet records may exist in some Prometheus-adjacent contexts.</w:t>
      </w:r>
    </w:p>
    <w:p w14:paraId="0F12F991"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They may provide limited technical or operational signals, such as:</w:t>
      </w:r>
    </w:p>
    <w:p w14:paraId="65FCE22D"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proof of transaction;</w:t>
      </w:r>
      <w:r w:rsidRPr="00B479AE">
        <w:rPr>
          <w:rFonts w:ascii="Baskerville Old Face" w:hAnsi="Baskerville Old Face"/>
          <w:i/>
          <w:iCs/>
        </w:rPr>
        <w:br/>
        <w:t>• access credential;</w:t>
      </w:r>
      <w:r w:rsidRPr="00B479AE">
        <w:rPr>
          <w:rFonts w:ascii="Baskerville Old Face" w:hAnsi="Baskerville Old Face"/>
          <w:i/>
          <w:iCs/>
        </w:rPr>
        <w:br/>
        <w:t>• contribution reference;</w:t>
      </w:r>
      <w:r w:rsidRPr="00B479AE">
        <w:rPr>
          <w:rFonts w:ascii="Baskerville Old Face" w:hAnsi="Baskerville Old Face"/>
          <w:i/>
          <w:iCs/>
        </w:rPr>
        <w:br/>
        <w:t>• governance participation record where legally and technically valid;</w:t>
      </w:r>
      <w:r w:rsidRPr="00B479AE">
        <w:rPr>
          <w:rFonts w:ascii="Baskerville Old Face" w:hAnsi="Baskerville Old Face"/>
          <w:i/>
          <w:iCs/>
        </w:rPr>
        <w:br/>
        <w:t>• treasury trace where appropriate;</w:t>
      </w:r>
      <w:r w:rsidRPr="00B479AE">
        <w:rPr>
          <w:rFonts w:ascii="Baskerville Old Face" w:hAnsi="Baskerville Old Face"/>
          <w:i/>
          <w:iCs/>
        </w:rPr>
        <w:br/>
        <w:t>• reward distribution record where lawful.</w:t>
      </w:r>
    </w:p>
    <w:p w14:paraId="317DC286"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lastRenderedPageBreak/>
        <w:t>However, wallet history should not become a default proxy for trust, virtue, competence, alignment, or human value.</w:t>
      </w:r>
    </w:p>
    <w:p w14:paraId="409C50EB"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Token holdings should not automatically create constitutional authority.</w:t>
      </w:r>
    </w:p>
    <w:p w14:paraId="47D910BA"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Token movement should not automatically create governance rank.</w:t>
      </w:r>
    </w:p>
    <w:p w14:paraId="6D6382BD"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Token penalties should not be assumed without legal structure.</w:t>
      </w:r>
    </w:p>
    <w:p w14:paraId="1D9B7E54"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The token boundary is:</w:t>
      </w:r>
    </w:p>
    <w:p w14:paraId="714A251E"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tokens may record or mediate defined functions;</w:t>
      </w:r>
      <w:r w:rsidRPr="00B479AE">
        <w:rPr>
          <w:rFonts w:ascii="Baskerville Old Face" w:hAnsi="Baskerville Old Face"/>
          <w:i/>
          <w:iCs/>
        </w:rPr>
        <w:br/>
        <w:t>they do not define the person;</w:t>
      </w:r>
      <w:r w:rsidRPr="00B479AE">
        <w:rPr>
          <w:rFonts w:ascii="Baskerville Old Face" w:hAnsi="Baskerville Old Face"/>
          <w:i/>
          <w:iCs/>
        </w:rPr>
        <w:br/>
        <w:t>they do not override the source layer.</w:t>
      </w:r>
    </w:p>
    <w:p w14:paraId="54DC4678" w14:textId="315E42D6" w:rsidR="00F7085C" w:rsidRPr="00B479AE" w:rsidRDefault="009C7BED" w:rsidP="00F7085C">
      <w:pPr>
        <w:spacing w:line="360" w:lineRule="auto"/>
        <w:rPr>
          <w:rFonts w:ascii="Baskerville Old Face" w:hAnsi="Baskerville Old Face"/>
          <w:b/>
          <w:bCs/>
          <w:i/>
          <w:iCs/>
        </w:rPr>
      </w:pPr>
      <w:r w:rsidRPr="00B479AE">
        <w:rPr>
          <w:rFonts w:ascii="Baskerville Old Face" w:hAnsi="Baskerville Old Face"/>
          <w:b/>
          <w:bCs/>
          <w:i/>
          <w:iCs/>
        </w:rPr>
        <w:t>I</w:t>
      </w:r>
      <w:r w:rsidR="00F7085C" w:rsidRPr="00B479AE">
        <w:rPr>
          <w:rFonts w:ascii="Baskerville Old Face" w:hAnsi="Baskerville Old Face"/>
          <w:b/>
          <w:bCs/>
          <w:i/>
          <w:iCs/>
        </w:rPr>
        <w:t>.16 AI-assisted governance support</w:t>
      </w:r>
    </w:p>
    <w:p w14:paraId="0627CD20" w14:textId="1A49B5D9"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AI may support governance analysis.</w:t>
      </w:r>
      <w:r w:rsidR="005A3560" w:rsidRPr="00B479AE">
        <w:rPr>
          <w:rFonts w:ascii="Baskerville Old Face" w:hAnsi="Baskerville Old Face"/>
          <w:i/>
          <w:iCs/>
        </w:rPr>
        <w:t xml:space="preserve"> </w:t>
      </w:r>
      <w:r w:rsidRPr="00B479AE">
        <w:rPr>
          <w:rFonts w:ascii="Baskerville Old Face" w:hAnsi="Baskerville Old Face"/>
          <w:i/>
          <w:iCs/>
        </w:rPr>
        <w:t>It may:</w:t>
      </w:r>
    </w:p>
    <w:p w14:paraId="3FF4FEC5"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summarize meeting records;</w:t>
      </w:r>
      <w:r w:rsidRPr="00B479AE">
        <w:rPr>
          <w:rFonts w:ascii="Baskerville Old Face" w:hAnsi="Baskerville Old Face"/>
          <w:i/>
          <w:iCs/>
        </w:rPr>
        <w:br/>
        <w:t>• identify unresolved tensions;</w:t>
      </w:r>
      <w:r w:rsidRPr="00B479AE">
        <w:rPr>
          <w:rFonts w:ascii="Baskerville Old Face" w:hAnsi="Baskerville Old Face"/>
          <w:i/>
          <w:iCs/>
        </w:rPr>
        <w:br/>
        <w:t>• detect missing documentation;</w:t>
      </w:r>
      <w:r w:rsidRPr="00B479AE">
        <w:rPr>
          <w:rFonts w:ascii="Baskerville Old Face" w:hAnsi="Baskerville Old Face"/>
          <w:i/>
          <w:iCs/>
        </w:rPr>
        <w:br/>
        <w:t>• map decision dependencies;</w:t>
      </w:r>
      <w:r w:rsidRPr="00B479AE">
        <w:rPr>
          <w:rFonts w:ascii="Baskerville Old Face" w:hAnsi="Baskerville Old Face"/>
          <w:i/>
          <w:iCs/>
        </w:rPr>
        <w:br/>
        <w:t>• flag possible conflicts;</w:t>
      </w:r>
      <w:r w:rsidRPr="00B479AE">
        <w:rPr>
          <w:rFonts w:ascii="Baskerville Old Face" w:hAnsi="Baskerville Old Face"/>
          <w:i/>
          <w:iCs/>
        </w:rPr>
        <w:br/>
        <w:t>• compare proposals to canonical definitions;</w:t>
      </w:r>
      <w:r w:rsidRPr="00B479AE">
        <w:rPr>
          <w:rFonts w:ascii="Baskerville Old Face" w:hAnsi="Baskerville Old Face"/>
          <w:i/>
          <w:iCs/>
        </w:rPr>
        <w:br/>
        <w:t>• suggest agenda structures;</w:t>
      </w:r>
      <w:r w:rsidRPr="00B479AE">
        <w:rPr>
          <w:rFonts w:ascii="Baskerville Old Face" w:hAnsi="Baskerville Old Face"/>
          <w:i/>
          <w:iCs/>
        </w:rPr>
        <w:br/>
        <w:t>• classify warrants;</w:t>
      </w:r>
      <w:r w:rsidRPr="00B479AE">
        <w:rPr>
          <w:rFonts w:ascii="Baskerville Old Face" w:hAnsi="Baskerville Old Face"/>
          <w:i/>
          <w:iCs/>
        </w:rPr>
        <w:br/>
        <w:t>• identify protected-domain triggers;</w:t>
      </w:r>
      <w:r w:rsidRPr="00B479AE">
        <w:rPr>
          <w:rFonts w:ascii="Baskerville Old Face" w:hAnsi="Baskerville Old Face"/>
          <w:i/>
          <w:iCs/>
        </w:rPr>
        <w:br/>
        <w:t>• draft review memos;</w:t>
      </w:r>
      <w:r w:rsidRPr="00B479AE">
        <w:rPr>
          <w:rFonts w:ascii="Baskerville Old Face" w:hAnsi="Baskerville Old Face"/>
          <w:i/>
          <w:iCs/>
        </w:rPr>
        <w:br/>
        <w:t>• support appeal preparation.</w:t>
      </w:r>
    </w:p>
    <w:p w14:paraId="34DEA39C"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AI may not:</w:t>
      </w:r>
    </w:p>
    <w:p w14:paraId="5C375B8E"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cast votes;</w:t>
      </w:r>
      <w:r w:rsidRPr="00B479AE">
        <w:rPr>
          <w:rFonts w:ascii="Baskerville Old Face" w:hAnsi="Baskerville Old Face"/>
          <w:i/>
          <w:iCs/>
        </w:rPr>
        <w:br/>
        <w:t>• determine consent;</w:t>
      </w:r>
      <w:r w:rsidRPr="00B479AE">
        <w:rPr>
          <w:rFonts w:ascii="Baskerville Old Face" w:hAnsi="Baskerville Old Face"/>
          <w:i/>
          <w:iCs/>
        </w:rPr>
        <w:br/>
        <w:t>• remove roles;</w:t>
      </w:r>
      <w:r w:rsidRPr="00B479AE">
        <w:rPr>
          <w:rFonts w:ascii="Baskerville Old Face" w:hAnsi="Baskerville Old Face"/>
          <w:i/>
          <w:iCs/>
        </w:rPr>
        <w:br/>
        <w:t>• declare breaches;</w:t>
      </w:r>
      <w:r w:rsidRPr="00B479AE">
        <w:rPr>
          <w:rFonts w:ascii="Baskerville Old Face" w:hAnsi="Baskerville Old Face"/>
          <w:i/>
          <w:iCs/>
        </w:rPr>
        <w:br/>
        <w:t>• assign reputation as final authority;</w:t>
      </w:r>
      <w:r w:rsidRPr="00B479AE">
        <w:rPr>
          <w:rFonts w:ascii="Baskerville Old Face" w:hAnsi="Baskerville Old Face"/>
          <w:i/>
          <w:iCs/>
        </w:rPr>
        <w:br/>
      </w:r>
      <w:r w:rsidRPr="00B479AE">
        <w:rPr>
          <w:rFonts w:ascii="Baskerville Old Face" w:hAnsi="Baskerville Old Face"/>
          <w:i/>
          <w:iCs/>
        </w:rPr>
        <w:lastRenderedPageBreak/>
        <w:t>• rank human worth;</w:t>
      </w:r>
      <w:r w:rsidRPr="00B479AE">
        <w:rPr>
          <w:rFonts w:ascii="Baskerville Old Face" w:hAnsi="Baskerville Old Face"/>
          <w:i/>
          <w:iCs/>
        </w:rPr>
        <w:br/>
        <w:t>• reinterpret the constitution as final authority;</w:t>
      </w:r>
      <w:r w:rsidRPr="00B479AE">
        <w:rPr>
          <w:rFonts w:ascii="Baskerville Old Face" w:hAnsi="Baskerville Old Face"/>
          <w:i/>
          <w:iCs/>
        </w:rPr>
        <w:br/>
        <w:t>• issue warrants as final judgment;</w:t>
      </w:r>
      <w:r w:rsidRPr="00B479AE">
        <w:rPr>
          <w:rFonts w:ascii="Baskerville Old Face" w:hAnsi="Baskerville Old Face"/>
          <w:i/>
          <w:iCs/>
        </w:rPr>
        <w:br/>
        <w:t>• authorize protected-domain decisions.</w:t>
      </w:r>
    </w:p>
    <w:p w14:paraId="52C04627"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AI governance support remains assistive, logged, and review-bound.</w:t>
      </w:r>
    </w:p>
    <w:p w14:paraId="355031C4"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The decision belongs to the appropriate governance pathway.</w:t>
      </w:r>
    </w:p>
    <w:p w14:paraId="5C0D3088" w14:textId="3B40ABC1" w:rsidR="00F7085C" w:rsidRPr="00B479AE" w:rsidRDefault="009C7BED" w:rsidP="00F7085C">
      <w:pPr>
        <w:spacing w:line="360" w:lineRule="auto"/>
        <w:rPr>
          <w:rFonts w:ascii="Baskerville Old Face" w:hAnsi="Baskerville Old Face"/>
          <w:b/>
          <w:bCs/>
          <w:i/>
          <w:iCs/>
        </w:rPr>
      </w:pPr>
      <w:r w:rsidRPr="00B479AE">
        <w:rPr>
          <w:rFonts w:ascii="Baskerville Old Face" w:hAnsi="Baskerville Old Face"/>
          <w:b/>
          <w:bCs/>
          <w:i/>
          <w:iCs/>
        </w:rPr>
        <w:t>I</w:t>
      </w:r>
      <w:r w:rsidR="00F7085C" w:rsidRPr="00B479AE">
        <w:rPr>
          <w:rFonts w:ascii="Baskerville Old Face" w:hAnsi="Baskerville Old Face"/>
          <w:b/>
          <w:bCs/>
          <w:i/>
          <w:iCs/>
        </w:rPr>
        <w:t>.17 Anti-capture safeguards</w:t>
      </w:r>
    </w:p>
    <w:p w14:paraId="010BABB3"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governance should contain safeguards against capture.</w:t>
      </w:r>
    </w:p>
    <w:p w14:paraId="37C6A0C9"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Capture may come from:</w:t>
      </w:r>
    </w:p>
    <w:p w14:paraId="5A12FFAF"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founders;</w:t>
      </w:r>
      <w:r w:rsidRPr="00B479AE">
        <w:rPr>
          <w:rFonts w:ascii="Baskerville Old Face" w:hAnsi="Baskerville Old Face"/>
          <w:i/>
          <w:iCs/>
        </w:rPr>
        <w:br/>
        <w:t>• investors;</w:t>
      </w:r>
      <w:r w:rsidRPr="00B479AE">
        <w:rPr>
          <w:rFonts w:ascii="Baskerville Old Face" w:hAnsi="Baskerville Old Face"/>
          <w:i/>
          <w:iCs/>
        </w:rPr>
        <w:br/>
        <w:t>• token whales;</w:t>
      </w:r>
      <w:r w:rsidRPr="00B479AE">
        <w:rPr>
          <w:rFonts w:ascii="Baskerville Old Face" w:hAnsi="Baskerville Old Face"/>
          <w:i/>
          <w:iCs/>
        </w:rPr>
        <w:br/>
        <w:t>• technical administrators;</w:t>
      </w:r>
      <w:r w:rsidRPr="00B479AE">
        <w:rPr>
          <w:rFonts w:ascii="Baskerville Old Face" w:hAnsi="Baskerville Old Face"/>
          <w:i/>
          <w:iCs/>
        </w:rPr>
        <w:br/>
        <w:t>• charismatic leaders;</w:t>
      </w:r>
      <w:r w:rsidRPr="00B479AE">
        <w:rPr>
          <w:rFonts w:ascii="Baskerville Old Face" w:hAnsi="Baskerville Old Face"/>
          <w:i/>
          <w:iCs/>
        </w:rPr>
        <w:br/>
        <w:t>• institutions;</w:t>
      </w:r>
      <w:r w:rsidRPr="00B479AE">
        <w:rPr>
          <w:rFonts w:ascii="Baskerville Old Face" w:hAnsi="Baskerville Old Face"/>
          <w:i/>
          <w:iCs/>
        </w:rPr>
        <w:br/>
        <w:t>• coordinated groups;</w:t>
      </w:r>
      <w:r w:rsidRPr="00B479AE">
        <w:rPr>
          <w:rFonts w:ascii="Baskerville Old Face" w:hAnsi="Baskerville Old Face"/>
          <w:i/>
          <w:iCs/>
        </w:rPr>
        <w:br/>
        <w:t>• bot swarms;</w:t>
      </w:r>
      <w:r w:rsidRPr="00B479AE">
        <w:rPr>
          <w:rFonts w:ascii="Baskerville Old Face" w:hAnsi="Baskerville Old Face"/>
          <w:i/>
          <w:iCs/>
        </w:rPr>
        <w:br/>
        <w:t>• AI agents;</w:t>
      </w:r>
      <w:r w:rsidRPr="00B479AE">
        <w:rPr>
          <w:rFonts w:ascii="Baskerville Old Face" w:hAnsi="Baskerville Old Face"/>
          <w:i/>
          <w:iCs/>
        </w:rPr>
        <w:br/>
        <w:t>• community elites;</w:t>
      </w:r>
      <w:r w:rsidRPr="00B479AE">
        <w:rPr>
          <w:rFonts w:ascii="Baskerville Old Face" w:hAnsi="Baskerville Old Face"/>
          <w:i/>
          <w:iCs/>
        </w:rPr>
        <w:br/>
        <w:t>• data holders;</w:t>
      </w:r>
      <w:r w:rsidRPr="00B479AE">
        <w:rPr>
          <w:rFonts w:ascii="Baskerville Old Face" w:hAnsi="Baskerville Old Face"/>
          <w:i/>
          <w:iCs/>
        </w:rPr>
        <w:br/>
        <w:t>• legal gatekeepers;</w:t>
      </w:r>
      <w:r w:rsidRPr="00B479AE">
        <w:rPr>
          <w:rFonts w:ascii="Baskerville Old Face" w:hAnsi="Baskerville Old Face"/>
          <w:i/>
          <w:iCs/>
        </w:rPr>
        <w:br/>
        <w:t>• reputation incumbents.</w:t>
      </w:r>
    </w:p>
    <w:p w14:paraId="25E7B883"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Anti-capture safeguards may include:</w:t>
      </w:r>
    </w:p>
    <w:p w14:paraId="459E4E8F"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role rotation;</w:t>
      </w:r>
      <w:r w:rsidRPr="00B479AE">
        <w:rPr>
          <w:rFonts w:ascii="Baskerville Old Face" w:hAnsi="Baskerville Old Face"/>
          <w:i/>
          <w:iCs/>
        </w:rPr>
        <w:br/>
        <w:t>• term limits where appropriate;</w:t>
      </w:r>
      <w:r w:rsidRPr="00B479AE">
        <w:rPr>
          <w:rFonts w:ascii="Baskerville Old Face" w:hAnsi="Baskerville Old Face"/>
          <w:i/>
          <w:iCs/>
        </w:rPr>
        <w:br/>
        <w:t>• conflict-of-interest disclosures;</w:t>
      </w:r>
      <w:r w:rsidRPr="00B479AE">
        <w:rPr>
          <w:rFonts w:ascii="Baskerville Old Face" w:hAnsi="Baskerville Old Face"/>
          <w:i/>
          <w:iCs/>
        </w:rPr>
        <w:br/>
        <w:t>• double-linking;</w:t>
      </w:r>
      <w:r w:rsidRPr="00B479AE">
        <w:rPr>
          <w:rFonts w:ascii="Baskerville Old Face" w:hAnsi="Baskerville Old Face"/>
          <w:i/>
          <w:iCs/>
        </w:rPr>
        <w:br/>
        <w:t>• appeal pathways;</w:t>
      </w:r>
      <w:r w:rsidRPr="00B479AE">
        <w:rPr>
          <w:rFonts w:ascii="Baskerville Old Face" w:hAnsi="Baskerville Old Face"/>
          <w:i/>
          <w:iCs/>
        </w:rPr>
        <w:br/>
        <w:t>• independent review;</w:t>
      </w:r>
      <w:r w:rsidRPr="00B479AE">
        <w:rPr>
          <w:rFonts w:ascii="Baskerville Old Face" w:hAnsi="Baskerville Old Face"/>
          <w:i/>
          <w:iCs/>
        </w:rPr>
        <w:br/>
      </w:r>
      <w:r w:rsidRPr="00B479AE">
        <w:rPr>
          <w:rFonts w:ascii="Baskerville Old Face" w:hAnsi="Baskerville Old Face"/>
          <w:i/>
          <w:iCs/>
        </w:rPr>
        <w:lastRenderedPageBreak/>
        <w:t>• public decision logs where appropriate;</w:t>
      </w:r>
      <w:r w:rsidRPr="00B479AE">
        <w:rPr>
          <w:rFonts w:ascii="Baskerville Old Face" w:hAnsi="Baskerville Old Face"/>
          <w:i/>
          <w:iCs/>
        </w:rPr>
        <w:br/>
        <w:t>• constitutional review;</w:t>
      </w:r>
      <w:r w:rsidRPr="00B479AE">
        <w:rPr>
          <w:rFonts w:ascii="Baskerville Old Face" w:hAnsi="Baskerville Old Face"/>
          <w:i/>
          <w:iCs/>
        </w:rPr>
        <w:br/>
        <w:t>• quorum quality controls;</w:t>
      </w:r>
      <w:r w:rsidRPr="00B479AE">
        <w:rPr>
          <w:rFonts w:ascii="Baskerville Old Face" w:hAnsi="Baskerville Old Face"/>
          <w:i/>
          <w:iCs/>
        </w:rPr>
        <w:br/>
        <w:t>• separation of powers;</w:t>
      </w:r>
      <w:r w:rsidRPr="00B479AE">
        <w:rPr>
          <w:rFonts w:ascii="Baskerville Old Face" w:hAnsi="Baskerville Old Face"/>
          <w:i/>
          <w:iCs/>
        </w:rPr>
        <w:br/>
        <w:t>• least-privilege technical access;</w:t>
      </w:r>
      <w:r w:rsidRPr="00B479AE">
        <w:rPr>
          <w:rFonts w:ascii="Baskerville Old Face" w:hAnsi="Baskerville Old Face"/>
          <w:i/>
          <w:iCs/>
        </w:rPr>
        <w:br/>
        <w:t>• multi-party signing;</w:t>
      </w:r>
      <w:r w:rsidRPr="00B479AE">
        <w:rPr>
          <w:rFonts w:ascii="Baskerville Old Face" w:hAnsi="Baskerville Old Face"/>
          <w:i/>
          <w:iCs/>
        </w:rPr>
        <w:br/>
        <w:t>• emergency limitation review;</w:t>
      </w:r>
      <w:r w:rsidRPr="00B479AE">
        <w:rPr>
          <w:rFonts w:ascii="Baskerville Old Face" w:hAnsi="Baskerville Old Face"/>
          <w:i/>
          <w:iCs/>
        </w:rPr>
        <w:br/>
        <w:t>• protection of minority objections;</w:t>
      </w:r>
      <w:r w:rsidRPr="00B479AE">
        <w:rPr>
          <w:rFonts w:ascii="Baskerville Old Face" w:hAnsi="Baskerville Old Face"/>
          <w:i/>
          <w:iCs/>
        </w:rPr>
        <w:br/>
        <w:t>• transparent criteria for role eligibility;</w:t>
      </w:r>
      <w:r w:rsidRPr="00B479AE">
        <w:rPr>
          <w:rFonts w:ascii="Baskerville Old Face" w:hAnsi="Baskerville Old Face"/>
          <w:i/>
          <w:iCs/>
        </w:rPr>
        <w:br/>
        <w:t>• clear separation between capital, governance, MRV, and technical authority.</w:t>
      </w:r>
    </w:p>
    <w:p w14:paraId="65389D09"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The anti-capture principle is:</w:t>
      </w:r>
    </w:p>
    <w:p w14:paraId="47ED6159"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power must remain visible, bounded, reviewable, and reversible where possible.</w:t>
      </w:r>
    </w:p>
    <w:p w14:paraId="7010FE84" w14:textId="02205EAB" w:rsidR="00F7085C" w:rsidRPr="00B479AE" w:rsidRDefault="009C7BED" w:rsidP="00F7085C">
      <w:pPr>
        <w:spacing w:line="360" w:lineRule="auto"/>
        <w:rPr>
          <w:rFonts w:ascii="Baskerville Old Face" w:hAnsi="Baskerville Old Face"/>
          <w:b/>
          <w:bCs/>
          <w:i/>
          <w:iCs/>
        </w:rPr>
      </w:pPr>
      <w:r w:rsidRPr="00B479AE">
        <w:rPr>
          <w:rFonts w:ascii="Baskerville Old Face" w:hAnsi="Baskerville Old Face"/>
          <w:b/>
          <w:bCs/>
          <w:i/>
          <w:iCs/>
        </w:rPr>
        <w:t>I</w:t>
      </w:r>
      <w:r w:rsidR="00F7085C" w:rsidRPr="00B479AE">
        <w:rPr>
          <w:rFonts w:ascii="Baskerville Old Face" w:hAnsi="Baskerville Old Face"/>
          <w:b/>
          <w:bCs/>
          <w:i/>
          <w:iCs/>
        </w:rPr>
        <w:t>.18 Governance interfaces</w:t>
      </w:r>
    </w:p>
    <w:p w14:paraId="5700FD12"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may implement governance interfaces to support:</w:t>
      </w:r>
    </w:p>
    <w:p w14:paraId="5BF983C3"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role registry;</w:t>
      </w:r>
      <w:r w:rsidRPr="00B479AE">
        <w:rPr>
          <w:rFonts w:ascii="Baskerville Old Face" w:hAnsi="Baskerville Old Face"/>
          <w:i/>
          <w:iCs/>
        </w:rPr>
        <w:br/>
        <w:t>• proposal intake;</w:t>
      </w:r>
      <w:r w:rsidRPr="00B479AE">
        <w:rPr>
          <w:rFonts w:ascii="Baskerville Old Face" w:hAnsi="Baskerville Old Face"/>
          <w:i/>
          <w:iCs/>
        </w:rPr>
        <w:br/>
        <w:t>• consent process;</w:t>
      </w:r>
      <w:r w:rsidRPr="00B479AE">
        <w:rPr>
          <w:rFonts w:ascii="Baskerville Old Face" w:hAnsi="Baskerville Old Face"/>
          <w:i/>
          <w:iCs/>
        </w:rPr>
        <w:br/>
        <w:t>• objection integration;</w:t>
      </w:r>
      <w:r w:rsidRPr="00B479AE">
        <w:rPr>
          <w:rFonts w:ascii="Baskerville Old Face" w:hAnsi="Baskerville Old Face"/>
          <w:i/>
          <w:iCs/>
        </w:rPr>
        <w:br/>
        <w:t>• decision logging;</w:t>
      </w:r>
      <w:r w:rsidRPr="00B479AE">
        <w:rPr>
          <w:rFonts w:ascii="Baskerville Old Face" w:hAnsi="Baskerville Old Face"/>
          <w:i/>
          <w:iCs/>
        </w:rPr>
        <w:br/>
        <w:t>• warrant tracking;</w:t>
      </w:r>
      <w:r w:rsidRPr="00B479AE">
        <w:rPr>
          <w:rFonts w:ascii="Baskerville Old Face" w:hAnsi="Baskerville Old Face"/>
          <w:i/>
          <w:iCs/>
        </w:rPr>
        <w:br/>
        <w:t>• appeal filing;</w:t>
      </w:r>
      <w:r w:rsidRPr="00B479AE">
        <w:rPr>
          <w:rFonts w:ascii="Baskerville Old Face" w:hAnsi="Baskerville Old Face"/>
          <w:i/>
          <w:iCs/>
        </w:rPr>
        <w:br/>
        <w:t>• remediation tracking;</w:t>
      </w:r>
      <w:r w:rsidRPr="00B479AE">
        <w:rPr>
          <w:rFonts w:ascii="Baskerville Old Face" w:hAnsi="Baskerville Old Face"/>
          <w:i/>
          <w:iCs/>
        </w:rPr>
        <w:br/>
        <w:t>• contribution records;</w:t>
      </w:r>
      <w:r w:rsidRPr="00B479AE">
        <w:rPr>
          <w:rFonts w:ascii="Baskerville Old Face" w:hAnsi="Baskerville Old Face"/>
          <w:i/>
          <w:iCs/>
        </w:rPr>
        <w:br/>
        <w:t>• access review;</w:t>
      </w:r>
      <w:r w:rsidRPr="00B479AE">
        <w:rPr>
          <w:rFonts w:ascii="Baskerville Old Face" w:hAnsi="Baskerville Old Face"/>
          <w:i/>
          <w:iCs/>
        </w:rPr>
        <w:br/>
        <w:t>• constitutional review;</w:t>
      </w:r>
      <w:r w:rsidRPr="00B479AE">
        <w:rPr>
          <w:rFonts w:ascii="Baskerville Old Face" w:hAnsi="Baskerville Old Face"/>
          <w:i/>
          <w:iCs/>
        </w:rPr>
        <w:br/>
        <w:t>• release approval;</w:t>
      </w:r>
      <w:r w:rsidRPr="00B479AE">
        <w:rPr>
          <w:rFonts w:ascii="Baskerville Old Face" w:hAnsi="Baskerville Old Face"/>
          <w:i/>
          <w:iCs/>
        </w:rPr>
        <w:br/>
        <w:t>• fork classification;</w:t>
      </w:r>
      <w:r w:rsidRPr="00B479AE">
        <w:rPr>
          <w:rFonts w:ascii="Baskerville Old Face" w:hAnsi="Baskerville Old Face"/>
          <w:i/>
          <w:iCs/>
        </w:rPr>
        <w:br/>
        <w:t>• public correction;</w:t>
      </w:r>
      <w:r w:rsidRPr="00B479AE">
        <w:rPr>
          <w:rFonts w:ascii="Baskerville Old Face" w:hAnsi="Baskerville Old Face"/>
          <w:i/>
          <w:iCs/>
        </w:rPr>
        <w:br/>
        <w:t>• audit trails.</w:t>
      </w:r>
    </w:p>
    <w:p w14:paraId="66CD6288" w14:textId="77777777" w:rsidR="00536EA2" w:rsidRDefault="00536EA2" w:rsidP="00F7085C">
      <w:pPr>
        <w:spacing w:line="360" w:lineRule="auto"/>
        <w:rPr>
          <w:rFonts w:ascii="Baskerville Old Face" w:hAnsi="Baskerville Old Face"/>
          <w:i/>
          <w:iCs/>
        </w:rPr>
      </w:pPr>
    </w:p>
    <w:p w14:paraId="0E40C315" w14:textId="00876F81"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lastRenderedPageBreak/>
        <w:t>These interfaces should be designed with:</w:t>
      </w:r>
    </w:p>
    <w:p w14:paraId="6588BE0A"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human-readable explanations;</w:t>
      </w:r>
      <w:r w:rsidRPr="00B479AE">
        <w:rPr>
          <w:rFonts w:ascii="Baskerville Old Face" w:hAnsi="Baskerville Old Face"/>
          <w:i/>
          <w:iCs/>
        </w:rPr>
        <w:br/>
        <w:t>• accessibility;</w:t>
      </w:r>
      <w:r w:rsidRPr="00B479AE">
        <w:rPr>
          <w:rFonts w:ascii="Baskerville Old Face" w:hAnsi="Baskerville Old Face"/>
          <w:i/>
          <w:iCs/>
        </w:rPr>
        <w:br/>
        <w:t>• privacy controls;</w:t>
      </w:r>
      <w:r w:rsidRPr="00B479AE">
        <w:rPr>
          <w:rFonts w:ascii="Baskerville Old Face" w:hAnsi="Baskerville Old Face"/>
          <w:i/>
          <w:iCs/>
        </w:rPr>
        <w:br/>
        <w:t>• role-based access;</w:t>
      </w:r>
      <w:r w:rsidRPr="00B479AE">
        <w:rPr>
          <w:rFonts w:ascii="Baskerville Old Face" w:hAnsi="Baskerville Old Face"/>
          <w:i/>
          <w:iCs/>
        </w:rPr>
        <w:br/>
        <w:t>• auditability;</w:t>
      </w:r>
      <w:r w:rsidRPr="00B479AE">
        <w:rPr>
          <w:rFonts w:ascii="Baskerville Old Face" w:hAnsi="Baskerville Old Face"/>
          <w:i/>
          <w:iCs/>
        </w:rPr>
        <w:br/>
        <w:t>• exportability;</w:t>
      </w:r>
      <w:r w:rsidRPr="00B479AE">
        <w:rPr>
          <w:rFonts w:ascii="Baskerville Old Face" w:hAnsi="Baskerville Old Face"/>
          <w:i/>
          <w:iCs/>
        </w:rPr>
        <w:br/>
        <w:t>• offline or local-first continuity where feasible;</w:t>
      </w:r>
      <w:r w:rsidRPr="00B479AE">
        <w:rPr>
          <w:rFonts w:ascii="Baskerville Old Face" w:hAnsi="Baskerville Old Face"/>
          <w:i/>
          <w:iCs/>
        </w:rPr>
        <w:br/>
        <w:t>• anti-bot and anti-Sybil controls where relevant.</w:t>
      </w:r>
    </w:p>
    <w:p w14:paraId="49EF756D"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The interface supports governance.</w:t>
      </w:r>
    </w:p>
    <w:p w14:paraId="0278B0BE"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It does not become governance.</w:t>
      </w:r>
    </w:p>
    <w:p w14:paraId="6D836C60" w14:textId="5857951B" w:rsidR="00F7085C" w:rsidRPr="00B479AE" w:rsidRDefault="009C7BED" w:rsidP="00F7085C">
      <w:pPr>
        <w:spacing w:line="360" w:lineRule="auto"/>
        <w:rPr>
          <w:rFonts w:ascii="Baskerville Old Face" w:hAnsi="Baskerville Old Face"/>
          <w:b/>
          <w:bCs/>
          <w:i/>
          <w:iCs/>
        </w:rPr>
      </w:pPr>
      <w:r w:rsidRPr="00B479AE">
        <w:rPr>
          <w:rFonts w:ascii="Baskerville Old Face" w:hAnsi="Baskerville Old Face"/>
          <w:b/>
          <w:bCs/>
          <w:i/>
          <w:iCs/>
        </w:rPr>
        <w:t>I</w:t>
      </w:r>
      <w:r w:rsidR="00F7085C" w:rsidRPr="00B479AE">
        <w:rPr>
          <w:rFonts w:ascii="Baskerville Old Face" w:hAnsi="Baskerville Old Face"/>
          <w:b/>
          <w:bCs/>
          <w:i/>
          <w:iCs/>
        </w:rPr>
        <w:t>.19 Minimal governance data schema</w:t>
      </w:r>
    </w:p>
    <w:p w14:paraId="65E1859A"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 governance decision record may include:</w:t>
      </w:r>
    </w:p>
    <w:p w14:paraId="17CF3FFC"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w:t>
      </w:r>
    </w:p>
    <w:p w14:paraId="04D674A0"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"decision_id": "gov_decision_0001",</w:t>
      </w:r>
    </w:p>
    <w:p w14:paraId="3244DBF1"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"decision_type": "ordinary | technical | mrv | legal | constitutional | emergency",</w:t>
      </w:r>
    </w:p>
    <w:p w14:paraId="16B680C6"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"title": "Decision title",</w:t>
      </w:r>
    </w:p>
    <w:p w14:paraId="7276E5B2"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"circle_or_body": "review_body_reference",</w:t>
      </w:r>
    </w:p>
    <w:p w14:paraId="5656DF97"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"date": "2026-01-01",</w:t>
      </w:r>
    </w:p>
    <w:p w14:paraId="5DCC7C7F"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"participants": [</w:t>
      </w:r>
    </w:p>
    <w:p w14:paraId="08D0E969"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w:t>
      </w:r>
    </w:p>
    <w:p w14:paraId="51970961"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"role": "steward",</w:t>
      </w:r>
    </w:p>
    <w:p w14:paraId="2A4FBCD6"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"identifier": "participant_or_role_reference"</w:t>
      </w:r>
    </w:p>
    <w:p w14:paraId="500C151D"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w:t>
      </w:r>
    </w:p>
    <w:p w14:paraId="7A92DC4A"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lastRenderedPageBreak/>
        <w:t xml:space="preserve">  ],</w:t>
      </w:r>
    </w:p>
    <w:p w14:paraId="6F19EC28"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"source_layer_references": [</w:t>
      </w:r>
    </w:p>
    <w:p w14:paraId="50859C50"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"access_covenant_v1",</w:t>
      </w:r>
    </w:p>
    <w:p w14:paraId="30CA848D"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"canonical_glossary_v1"</w:t>
      </w:r>
    </w:p>
    <w:p w14:paraId="644BE6BE"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w:t>
      </w:r>
    </w:p>
    <w:p w14:paraId="4EDFF8D7"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"evidence_references": [</w:t>
      </w:r>
    </w:p>
    <w:p w14:paraId="015A2694"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"mrv_record_or_document_hash"</w:t>
      </w:r>
    </w:p>
    <w:p w14:paraId="7A86A067"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w:t>
      </w:r>
    </w:p>
    <w:p w14:paraId="19C488CE"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"decision_outcome": "approved | approved_with_conditions | review_required | deferred | rejected | non_admissible",</w:t>
      </w:r>
    </w:p>
    <w:p w14:paraId="23C10FBE"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"scope": "defined_scope",</w:t>
      </w:r>
    </w:p>
    <w:p w14:paraId="4085BBBF"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"limitations": "defined_limitations",</w:t>
      </w:r>
    </w:p>
    <w:p w14:paraId="6580726A"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"review_date": "2026-06-01",</w:t>
      </w:r>
    </w:p>
    <w:p w14:paraId="0BB23928"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"appeal_pathway": "appeal_body_reference",</w:t>
      </w:r>
    </w:p>
    <w:p w14:paraId="4F47758B"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"record_hash": "sha256_hash_where_available"</w:t>
      </w:r>
    </w:p>
    <w:p w14:paraId="03753050"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w:t>
      </w:r>
    </w:p>
    <w:p w14:paraId="41CB263C"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 warrant record may include:</w:t>
      </w:r>
    </w:p>
    <w:p w14:paraId="298695FA"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w:t>
      </w:r>
    </w:p>
    <w:p w14:paraId="2B346AEB"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"warrant_id": "warrant_0001",</w:t>
      </w:r>
    </w:p>
    <w:p w14:paraId="14F67DB5"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"domain": "MRV | governance | legal | technical | token | HSI | constitutional",</w:t>
      </w:r>
    </w:p>
    <w:p w14:paraId="4F415568"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"severity": "informational | procedural | material | critical",</w:t>
      </w:r>
    </w:p>
    <w:p w14:paraId="187649A8"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lastRenderedPageBreak/>
        <w:t xml:space="preserve">  "signal_source": "human_report | technical_flag | AI_risk_flag | audit | legal_notice | MRV_anomaly",</w:t>
      </w:r>
    </w:p>
    <w:p w14:paraId="0CF46177"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"affected_record": "record_reference",</w:t>
      </w:r>
    </w:p>
    <w:p w14:paraId="164BC4E3"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"status": "open | review_required | resolved | escalated | closed",</w:t>
      </w:r>
    </w:p>
    <w:p w14:paraId="73CCE3D8"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"temporary_measure": "none | restricted | quarantined | suspended_pending_review",</w:t>
      </w:r>
    </w:p>
    <w:p w14:paraId="164DDC31"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"review_body": "body_reference",</w:t>
      </w:r>
    </w:p>
    <w:p w14:paraId="44050E0E"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"response_deadline": "2026-01-15",</w:t>
      </w:r>
    </w:p>
    <w:p w14:paraId="10F90927"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"resolution": "clarified | corrected | remediation | non_admissible | escalated | dismissed",</w:t>
      </w:r>
    </w:p>
    <w:p w14:paraId="3CE0DD62"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 xml:space="preserve">  "appeal_available": true</w:t>
      </w:r>
    </w:p>
    <w:p w14:paraId="1999C5A1"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w:t>
      </w:r>
    </w:p>
    <w:p w14:paraId="3B3F80D7"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Schemas are illustrative and should be versioned before implementation.</w:t>
      </w:r>
    </w:p>
    <w:p w14:paraId="0DC00D23" w14:textId="22510863" w:rsidR="00F7085C" w:rsidRPr="00B479AE" w:rsidRDefault="009C7BED" w:rsidP="00F7085C">
      <w:pPr>
        <w:spacing w:line="360" w:lineRule="auto"/>
        <w:rPr>
          <w:rFonts w:ascii="Baskerville Old Face" w:hAnsi="Baskerville Old Face"/>
          <w:b/>
          <w:bCs/>
          <w:i/>
          <w:iCs/>
        </w:rPr>
      </w:pPr>
      <w:r w:rsidRPr="00B479AE">
        <w:rPr>
          <w:rFonts w:ascii="Baskerville Old Face" w:hAnsi="Baskerville Old Face"/>
          <w:b/>
          <w:bCs/>
          <w:i/>
          <w:iCs/>
        </w:rPr>
        <w:t>I</w:t>
      </w:r>
      <w:r w:rsidR="00F7085C" w:rsidRPr="00B479AE">
        <w:rPr>
          <w:rFonts w:ascii="Baskerville Old Face" w:hAnsi="Baskerville Old Face"/>
          <w:b/>
          <w:bCs/>
          <w:i/>
          <w:iCs/>
        </w:rPr>
        <w:t>.20 Final governance and reputation principle</w:t>
      </w:r>
    </w:p>
    <w:p w14:paraId="1BC4B7DB"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Prometheus governance is not the automation of obedience.</w:t>
      </w:r>
    </w:p>
    <w:p w14:paraId="64CE129D"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It is the disciplined coordination of responsibility.</w:t>
      </w:r>
    </w:p>
    <w:p w14:paraId="50AD0ADE"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Reputation is not a ranking of persons.</w:t>
      </w:r>
    </w:p>
    <w:p w14:paraId="1986CDD4"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It is a contextual memory of accountable participation.</w:t>
      </w:r>
    </w:p>
    <w:p w14:paraId="6392F60F"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Warrants are not punishments.</w:t>
      </w:r>
    </w:p>
    <w:p w14:paraId="17F6988F"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They are integrity signals.</w:t>
      </w:r>
    </w:p>
    <w:p w14:paraId="6A476A22"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Tokens are not constitutional authority.</w:t>
      </w:r>
    </w:p>
    <w:p w14:paraId="50BF7F6E"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They are bounded instruments.</w:t>
      </w:r>
    </w:p>
    <w:p w14:paraId="5D887A12"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AI is not governance.</w:t>
      </w:r>
    </w:p>
    <w:p w14:paraId="57BFFFF2"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It is support.</w:t>
      </w:r>
    </w:p>
    <w:p w14:paraId="7BCAC6F8"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lastRenderedPageBreak/>
        <w:t>The source layer is the boundary.</w:t>
      </w:r>
    </w:p>
    <w:p w14:paraId="2D40130D"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Human dignity is the floor.</w:t>
      </w:r>
    </w:p>
    <w:p w14:paraId="0E27B66A"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Evidence is the bridge.</w:t>
      </w:r>
    </w:p>
    <w:p w14:paraId="248DA812"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Due process is the path.</w:t>
      </w:r>
    </w:p>
    <w:p w14:paraId="697590C8"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Repair is part of regeneration.</w:t>
      </w:r>
    </w:p>
    <w:p w14:paraId="5E40251E"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The final principle is:</w:t>
      </w:r>
    </w:p>
    <w:p w14:paraId="5DDCCF48" w14:textId="77777777" w:rsidR="00F7085C" w:rsidRPr="00B479AE" w:rsidRDefault="00F7085C" w:rsidP="00F7085C">
      <w:pPr>
        <w:spacing w:line="360" w:lineRule="auto"/>
        <w:rPr>
          <w:rFonts w:ascii="Baskerville Old Face" w:hAnsi="Baskerville Old Face"/>
          <w:i/>
          <w:iCs/>
        </w:rPr>
      </w:pPr>
      <w:r w:rsidRPr="00B479AE">
        <w:rPr>
          <w:rFonts w:ascii="Baskerville Old Face" w:hAnsi="Baskerville Old Face"/>
          <w:i/>
          <w:iCs/>
        </w:rPr>
        <w:t>recognize contribution;</w:t>
      </w:r>
      <w:r w:rsidRPr="00B479AE">
        <w:rPr>
          <w:rFonts w:ascii="Baskerville Old Face" w:hAnsi="Baskerville Old Face"/>
          <w:i/>
          <w:iCs/>
        </w:rPr>
        <w:br/>
        <w:t>remember responsibility;</w:t>
      </w:r>
      <w:r w:rsidRPr="00B479AE">
        <w:rPr>
          <w:rFonts w:ascii="Baskerville Old Face" w:hAnsi="Baskerville Old Face"/>
          <w:i/>
          <w:iCs/>
        </w:rPr>
        <w:br/>
        <w:t>flag risk;</w:t>
      </w:r>
      <w:r w:rsidRPr="00B479AE">
        <w:rPr>
          <w:rFonts w:ascii="Baskerville Old Face" w:hAnsi="Baskerville Old Face"/>
          <w:i/>
          <w:iCs/>
        </w:rPr>
        <w:br/>
        <w:t>review fairly;</w:t>
      </w:r>
      <w:r w:rsidRPr="00B479AE">
        <w:rPr>
          <w:rFonts w:ascii="Baskerville Old Face" w:hAnsi="Baskerville Old Face"/>
          <w:i/>
          <w:iCs/>
        </w:rPr>
        <w:br/>
        <w:t>repair where possible;</w:t>
      </w:r>
      <w:r w:rsidRPr="00B479AE">
        <w:rPr>
          <w:rFonts w:ascii="Baskerville Old Face" w:hAnsi="Baskerville Old Face"/>
          <w:i/>
          <w:iCs/>
        </w:rPr>
        <w:br/>
        <w:t>restrict where necessary;</w:t>
      </w:r>
      <w:r w:rsidRPr="00B479AE">
        <w:rPr>
          <w:rFonts w:ascii="Baskerville Old Face" w:hAnsi="Baskerville Old Face"/>
          <w:i/>
          <w:iCs/>
        </w:rPr>
        <w:br/>
        <w:t>restore where justified;</w:t>
      </w:r>
      <w:r w:rsidRPr="00B479AE">
        <w:rPr>
          <w:rFonts w:ascii="Baskerville Old Face" w:hAnsi="Baskerville Old Face"/>
          <w:i/>
          <w:iCs/>
        </w:rPr>
        <w:br/>
        <w:t>and keep governance accountable to life.</w:t>
      </w:r>
    </w:p>
    <w:p w14:paraId="689EEB86" w14:textId="77777777" w:rsidR="00EB0717" w:rsidRPr="005907F1" w:rsidRDefault="00EB0717" w:rsidP="005907F1">
      <w:pPr>
        <w:pStyle w:val="Titolo1"/>
        <w:rPr>
          <w:rFonts w:ascii="Baskerville Old Face" w:hAnsi="Baskerville Old Face"/>
          <w:b/>
          <w:bCs/>
          <w:i/>
          <w:iCs/>
          <w:sz w:val="24"/>
          <w:szCs w:val="24"/>
        </w:rPr>
      </w:pPr>
      <w:r w:rsidRPr="005907F1">
        <w:rPr>
          <w:rFonts w:ascii="Baskerville Old Face" w:hAnsi="Baskerville Old Face"/>
          <w:b/>
          <w:bCs/>
          <w:i/>
          <w:iCs/>
          <w:sz w:val="24"/>
          <w:szCs w:val="24"/>
        </w:rPr>
        <w:t>Technical Annex I-A — Governance &amp; Reputation DNA Specification</w:t>
      </w:r>
    </w:p>
    <w:p w14:paraId="33BE4F7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Governance &amp; Reputation DNA implements the sociocratic and review-bound governance principles of Prometheus and provides the technical infrastructure for decentralized decision-making, role-based authority, contribution recognition, integrity signaling, and accountability within the h•eart•h ecosystem.</w:t>
      </w:r>
    </w:p>
    <w:p w14:paraId="26FB75A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It is designed to be circle-aware, token-aware where legally and constitutionally relevant, token-non-deterministic, privacy-conscious, non-coercive, and auditable through Holochain-compatible agent-centric infrastructure.</w:t>
      </w:r>
    </w:p>
    <w:p w14:paraId="17DC5C7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Its purpose is not to create automatic authority.</w:t>
      </w:r>
    </w:p>
    <w:p w14:paraId="7BD3CC7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Its purpose is to make governance context, contribution history, decision records, role responsibilities, and integrity signals reviewable without collapsing them into human worth, investor rights, ecological validity, PRU value analysis, or token-based supremacy.</w:t>
      </w:r>
    </w:p>
    <w:p w14:paraId="0757FAE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Governance &amp; Reputation DNA should preserve the distinction among:</w:t>
      </w:r>
    </w:p>
    <w:p w14:paraId="554030C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lastRenderedPageBreak/>
        <w:t>• governance participation;</w:t>
      </w:r>
    </w:p>
    <w:p w14:paraId="1A9C0E1F"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role suitability;</w:t>
      </w:r>
    </w:p>
    <w:p w14:paraId="6FD68E3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contribution recognition;</w:t>
      </w:r>
    </w:p>
    <w:p w14:paraId="151A640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reputation context;</w:t>
      </w:r>
    </w:p>
    <w:p w14:paraId="307BC27F"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integrity signals;</w:t>
      </w:r>
    </w:p>
    <w:p w14:paraId="16E16233"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review pathways;</w:t>
      </w:r>
    </w:p>
    <w:p w14:paraId="5F80ECC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warrants or adverse integrity records;</w:t>
      </w:r>
    </w:p>
    <w:p w14:paraId="7007AB1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constitutional constraints;</w:t>
      </w:r>
    </w:p>
    <w:p w14:paraId="713B584F"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source-layer authority.</w:t>
      </w:r>
    </w:p>
    <w:p w14:paraId="0CB7CF8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Reputation may inform governance review.</w:t>
      </w:r>
    </w:p>
    <w:p w14:paraId="02A044A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It should not replace governance judgment.</w:t>
      </w:r>
    </w:p>
    <w:p w14:paraId="5975BA3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It should not create automatic governance weight.</w:t>
      </w:r>
    </w:p>
    <w:p w14:paraId="1476A9A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It should not create financial modulation.</w:t>
      </w:r>
    </w:p>
    <w:p w14:paraId="27564C7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It should not create investor entitlement.</w:t>
      </w:r>
    </w:p>
    <w:p w14:paraId="34BF8BC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It should not create human ranking.</w:t>
      </w:r>
    </w:p>
    <w:p w14:paraId="33622D6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It should not override human dignity, MRV evidence, legal review, source-layer constraints, or protected-domain safeguards.</w:t>
      </w:r>
    </w:p>
    <w:p w14:paraId="5873C524"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I-A.1 Circle structure and role definitions</w:t>
      </w:r>
    </w:p>
    <w:p w14:paraId="6C5EED49" w14:textId="18D21303"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DNA encodes a nested circle structure compatible with sociocratic governance, stewardship accountability, bioregional coordination, and Prometheus source-layer review.</w:t>
      </w:r>
      <w:r w:rsidR="005A3560" w:rsidRPr="00B479AE">
        <w:rPr>
          <w:rFonts w:ascii="Baskerville Old Face" w:hAnsi="Baskerville Old Face"/>
          <w:i/>
          <w:iCs/>
        </w:rPr>
        <w:t xml:space="preserve"> </w:t>
      </w:r>
    </w:p>
    <w:p w14:paraId="25097F67" w14:textId="77777777" w:rsidR="005A3560" w:rsidRPr="00B479AE" w:rsidRDefault="005A3560" w:rsidP="00EB0717">
      <w:pPr>
        <w:spacing w:line="360" w:lineRule="auto"/>
        <w:rPr>
          <w:rFonts w:ascii="Baskerville Old Face" w:hAnsi="Baskerville Old Face"/>
          <w:i/>
          <w:iCs/>
        </w:rPr>
      </w:pPr>
    </w:p>
    <w:p w14:paraId="79F030C2" w14:textId="77777777" w:rsidR="005A3560" w:rsidRPr="00B479AE" w:rsidRDefault="005A3560" w:rsidP="00EB0717">
      <w:pPr>
        <w:spacing w:line="360" w:lineRule="auto"/>
        <w:rPr>
          <w:rFonts w:ascii="Baskerville Old Face" w:hAnsi="Baskerville Old Face"/>
          <w:i/>
          <w:iCs/>
        </w:rPr>
      </w:pPr>
    </w:p>
    <w:p w14:paraId="15C2C5C2" w14:textId="77777777" w:rsidR="005A3560" w:rsidRPr="00B479AE" w:rsidRDefault="005A3560" w:rsidP="00EB0717">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9"/>
        <w:gridCol w:w="2838"/>
        <w:gridCol w:w="2504"/>
        <w:gridCol w:w="3057"/>
      </w:tblGrid>
      <w:tr w:rsidR="00EB0717" w:rsidRPr="00B479AE" w14:paraId="31C1D91C" w14:textId="77777777" w:rsidTr="00410962">
        <w:trPr>
          <w:tblHeader/>
          <w:tblCellSpacing w:w="15" w:type="dxa"/>
        </w:trPr>
        <w:tc>
          <w:tcPr>
            <w:tcW w:w="0" w:type="auto"/>
            <w:vAlign w:val="center"/>
            <w:hideMark/>
          </w:tcPr>
          <w:p w14:paraId="10C2095A"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Circle level</w:t>
            </w:r>
          </w:p>
        </w:tc>
        <w:tc>
          <w:tcPr>
            <w:tcW w:w="0" w:type="auto"/>
            <w:vAlign w:val="center"/>
            <w:hideMark/>
          </w:tcPr>
          <w:p w14:paraId="7EED70AC"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Domain</w:t>
            </w:r>
          </w:p>
        </w:tc>
        <w:tc>
          <w:tcPr>
            <w:tcW w:w="0" w:type="auto"/>
            <w:vAlign w:val="center"/>
            <w:hideMark/>
          </w:tcPr>
          <w:p w14:paraId="7608726A"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Composition</w:t>
            </w:r>
          </w:p>
        </w:tc>
        <w:tc>
          <w:tcPr>
            <w:tcW w:w="0" w:type="auto"/>
            <w:vAlign w:val="center"/>
            <w:hideMark/>
          </w:tcPr>
          <w:p w14:paraId="3D1A3722"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Double-linking</w:t>
            </w:r>
          </w:p>
        </w:tc>
      </w:tr>
      <w:tr w:rsidR="00EB0717" w:rsidRPr="00B479AE" w14:paraId="239AE656" w14:textId="77777777" w:rsidTr="00410962">
        <w:trPr>
          <w:tblCellSpacing w:w="15" w:type="dxa"/>
        </w:trPr>
        <w:tc>
          <w:tcPr>
            <w:tcW w:w="0" w:type="auto"/>
            <w:vAlign w:val="center"/>
            <w:hideMark/>
          </w:tcPr>
          <w:p w14:paraId="74B2E521"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Stewardship circle</w:t>
            </w:r>
          </w:p>
        </w:tc>
        <w:tc>
          <w:tcPr>
            <w:tcW w:w="0" w:type="auto"/>
            <w:vAlign w:val="center"/>
            <w:hideMark/>
          </w:tcPr>
          <w:p w14:paraId="0E0D1AA7"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Personal regenerative practice, local stewardship, OHE support, operational participation, local evidence context</w:t>
            </w:r>
          </w:p>
        </w:tc>
        <w:tc>
          <w:tcPr>
            <w:tcW w:w="0" w:type="auto"/>
            <w:vAlign w:val="center"/>
            <w:hideMark/>
          </w:tcPr>
          <w:p w14:paraId="27C42F4B"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Individual agents, families, local stewards, project contributors</w:t>
            </w:r>
          </w:p>
        </w:tc>
        <w:tc>
          <w:tcPr>
            <w:tcW w:w="0" w:type="auto"/>
            <w:vAlign w:val="center"/>
            <w:hideMark/>
          </w:tcPr>
          <w:p w14:paraId="2C5713AF"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Elects delegate to Community circle</w:t>
            </w:r>
          </w:p>
        </w:tc>
      </w:tr>
      <w:tr w:rsidR="00EB0717" w:rsidRPr="00B479AE" w14:paraId="76B99635" w14:textId="77777777" w:rsidTr="00410962">
        <w:trPr>
          <w:tblCellSpacing w:w="15" w:type="dxa"/>
        </w:trPr>
        <w:tc>
          <w:tcPr>
            <w:tcW w:w="0" w:type="auto"/>
            <w:vAlign w:val="center"/>
            <w:hideMark/>
          </w:tcPr>
          <w:p w14:paraId="088328D8"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Community circle</w:t>
            </w:r>
          </w:p>
        </w:tc>
        <w:tc>
          <w:tcPr>
            <w:tcW w:w="0" w:type="auto"/>
            <w:vAlign w:val="center"/>
            <w:hideMark/>
          </w:tcPr>
          <w:p w14:paraId="2AC29167"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Local projects, mutual support, community governance, local MRV coordination, operational review</w:t>
            </w:r>
          </w:p>
        </w:tc>
        <w:tc>
          <w:tcPr>
            <w:tcW w:w="0" w:type="auto"/>
            <w:vAlign w:val="center"/>
            <w:hideMark/>
          </w:tcPr>
          <w:p w14:paraId="0550F955"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Representatives from Stewardship circles</w:t>
            </w:r>
          </w:p>
        </w:tc>
        <w:tc>
          <w:tcPr>
            <w:tcW w:w="0" w:type="auto"/>
            <w:vAlign w:val="center"/>
            <w:hideMark/>
          </w:tcPr>
          <w:p w14:paraId="0E79EE59"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Double-linked to Bioregional circle</w:t>
            </w:r>
          </w:p>
        </w:tc>
      </w:tr>
      <w:tr w:rsidR="00EB0717" w:rsidRPr="00B479AE" w14:paraId="0161C0F3" w14:textId="77777777" w:rsidTr="00410962">
        <w:trPr>
          <w:tblCellSpacing w:w="15" w:type="dxa"/>
        </w:trPr>
        <w:tc>
          <w:tcPr>
            <w:tcW w:w="0" w:type="auto"/>
            <w:vAlign w:val="center"/>
            <w:hideMark/>
          </w:tcPr>
          <w:p w14:paraId="48C4733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Bioregional circle</w:t>
            </w:r>
          </w:p>
        </w:tc>
        <w:tc>
          <w:tcPr>
            <w:tcW w:w="0" w:type="auto"/>
            <w:vAlign w:val="center"/>
            <w:hideMark/>
          </w:tcPr>
          <w:p w14:paraId="338466C9"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Cross-community coordination, resource allocation, territorial strategy, watershed or bioregional coherence, shared infrastructure</w:t>
            </w:r>
          </w:p>
        </w:tc>
        <w:tc>
          <w:tcPr>
            <w:tcW w:w="0" w:type="auto"/>
            <w:vAlign w:val="center"/>
            <w:hideMark/>
          </w:tcPr>
          <w:p w14:paraId="7967FF23"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Delegates from Community circles</w:t>
            </w:r>
          </w:p>
        </w:tc>
        <w:tc>
          <w:tcPr>
            <w:tcW w:w="0" w:type="auto"/>
            <w:vAlign w:val="center"/>
            <w:hideMark/>
          </w:tcPr>
          <w:p w14:paraId="25B3E4EB"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Double-linked to Prometheus circle</w:t>
            </w:r>
          </w:p>
        </w:tc>
      </w:tr>
      <w:tr w:rsidR="00EB0717" w:rsidRPr="00B479AE" w14:paraId="47E55F90" w14:textId="77777777" w:rsidTr="00410962">
        <w:trPr>
          <w:tblCellSpacing w:w="15" w:type="dxa"/>
        </w:trPr>
        <w:tc>
          <w:tcPr>
            <w:tcW w:w="0" w:type="auto"/>
            <w:vAlign w:val="center"/>
            <w:hideMark/>
          </w:tcPr>
          <w:p w14:paraId="1E33D8E3"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Prometheus circle</w:t>
            </w:r>
          </w:p>
        </w:tc>
        <w:tc>
          <w:tcPr>
            <w:tcW w:w="0" w:type="auto"/>
            <w:vAlign w:val="center"/>
            <w:hideMark/>
          </w:tcPr>
          <w:p w14:paraId="46142F31"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Constitutional maintenance, source-layer interpretation, protocol evolution, canonical definitions, protected-domain review</w:t>
            </w:r>
          </w:p>
        </w:tc>
        <w:tc>
          <w:tcPr>
            <w:tcW w:w="0" w:type="auto"/>
            <w:vAlign w:val="center"/>
            <w:hideMark/>
          </w:tcPr>
          <w:p w14:paraId="0F634F05"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Representatives from bioregional circles, protocol stewards, and defined governance participants</w:t>
            </w:r>
          </w:p>
        </w:tc>
        <w:tc>
          <w:tcPr>
            <w:tcW w:w="0" w:type="auto"/>
            <w:vAlign w:val="center"/>
            <w:hideMark/>
          </w:tcPr>
          <w:p w14:paraId="6FDB374C"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Ultimate review circle within the governance architecture; subject to constitutional constraints, transparency, recall, and source-layer non-bypassability</w:t>
            </w:r>
          </w:p>
        </w:tc>
      </w:tr>
    </w:tbl>
    <w:p w14:paraId="458FE204" w14:textId="6C296629"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Role definitions within each circle:</w:t>
      </w:r>
      <w:r w:rsidR="005A3560" w:rsidRPr="00B479AE">
        <w:rPr>
          <w:rFonts w:ascii="Baskerville Old Face" w:hAnsi="Baskerville Old Face"/>
          <w:i/>
          <w:iCs/>
        </w:rPr>
        <w:t xml:space="preserve"> </w:t>
      </w:r>
    </w:p>
    <w:p w14:paraId="5D5DEE54" w14:textId="77777777" w:rsidR="005A3560" w:rsidRPr="00B479AE" w:rsidRDefault="005A3560" w:rsidP="00EB0717">
      <w:pPr>
        <w:spacing w:line="360" w:lineRule="auto"/>
        <w:rPr>
          <w:rFonts w:ascii="Baskerville Old Face" w:hAnsi="Baskerville Old Face"/>
          <w:i/>
          <w:iCs/>
        </w:rPr>
      </w:pPr>
    </w:p>
    <w:p w14:paraId="7861A9B2" w14:textId="77777777" w:rsidR="005A3560" w:rsidRPr="00B479AE" w:rsidRDefault="005A3560" w:rsidP="00EB0717">
      <w:pPr>
        <w:spacing w:line="360" w:lineRule="auto"/>
        <w:rPr>
          <w:rFonts w:ascii="Baskerville Old Face" w:hAnsi="Baskerville Old Face"/>
          <w:i/>
          <w:iCs/>
        </w:rPr>
      </w:pPr>
    </w:p>
    <w:p w14:paraId="0F5EDCBF" w14:textId="77777777" w:rsidR="005A3560" w:rsidRPr="00B479AE" w:rsidRDefault="005A3560" w:rsidP="00EB0717">
      <w:pPr>
        <w:spacing w:line="360" w:lineRule="auto"/>
        <w:rPr>
          <w:rFonts w:ascii="Baskerville Old Face" w:hAnsi="Baskerville Old Face"/>
          <w:i/>
          <w:iCs/>
        </w:rPr>
      </w:pPr>
    </w:p>
    <w:p w14:paraId="5A8E0715" w14:textId="77777777" w:rsidR="005A3560" w:rsidRPr="00B479AE" w:rsidRDefault="005A3560" w:rsidP="00EB0717">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55"/>
        <w:gridCol w:w="4749"/>
        <w:gridCol w:w="1910"/>
        <w:gridCol w:w="1514"/>
      </w:tblGrid>
      <w:tr w:rsidR="00EB0717" w:rsidRPr="00B479AE" w14:paraId="27880F03" w14:textId="77777777" w:rsidTr="00410962">
        <w:trPr>
          <w:tblHeader/>
          <w:tblCellSpacing w:w="15" w:type="dxa"/>
        </w:trPr>
        <w:tc>
          <w:tcPr>
            <w:tcW w:w="0" w:type="auto"/>
            <w:vAlign w:val="center"/>
            <w:hideMark/>
          </w:tcPr>
          <w:p w14:paraId="3BDE90F7"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Role</w:t>
            </w:r>
          </w:p>
        </w:tc>
        <w:tc>
          <w:tcPr>
            <w:tcW w:w="0" w:type="auto"/>
            <w:vAlign w:val="center"/>
            <w:hideMark/>
          </w:tcPr>
          <w:p w14:paraId="646C2194"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Responsibilities</w:t>
            </w:r>
          </w:p>
        </w:tc>
        <w:tc>
          <w:tcPr>
            <w:tcW w:w="0" w:type="auto"/>
            <w:vAlign w:val="center"/>
            <w:hideMark/>
          </w:tcPr>
          <w:p w14:paraId="23512068"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Selection method</w:t>
            </w:r>
          </w:p>
        </w:tc>
        <w:tc>
          <w:tcPr>
            <w:tcW w:w="0" w:type="auto"/>
            <w:vAlign w:val="center"/>
            <w:hideMark/>
          </w:tcPr>
          <w:p w14:paraId="7A54EFFF"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Term</w:t>
            </w:r>
          </w:p>
        </w:tc>
      </w:tr>
      <w:tr w:rsidR="00EB0717" w:rsidRPr="00B479AE" w14:paraId="2838FD98" w14:textId="77777777" w:rsidTr="00410962">
        <w:trPr>
          <w:tblCellSpacing w:w="15" w:type="dxa"/>
        </w:trPr>
        <w:tc>
          <w:tcPr>
            <w:tcW w:w="0" w:type="auto"/>
            <w:vAlign w:val="center"/>
            <w:hideMark/>
          </w:tcPr>
          <w:p w14:paraId="29B4A5DB"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Facilitator</w:t>
            </w:r>
          </w:p>
        </w:tc>
        <w:tc>
          <w:tcPr>
            <w:tcW w:w="0" w:type="auto"/>
            <w:vAlign w:val="center"/>
            <w:hideMark/>
          </w:tcPr>
          <w:p w14:paraId="124B8C2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Guides meetings, protects consent process, maintains circle focus, supports inclusive deliberation</w:t>
            </w:r>
          </w:p>
        </w:tc>
        <w:tc>
          <w:tcPr>
            <w:tcW w:w="0" w:type="auto"/>
            <w:vAlign w:val="center"/>
            <w:hideMark/>
          </w:tcPr>
          <w:p w14:paraId="774C02CA"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Sociocratic election based on consent</w:t>
            </w:r>
          </w:p>
        </w:tc>
        <w:tc>
          <w:tcPr>
            <w:tcW w:w="0" w:type="auto"/>
            <w:vAlign w:val="center"/>
            <w:hideMark/>
          </w:tcPr>
          <w:p w14:paraId="3A13E4B0"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12 months, renewable</w:t>
            </w:r>
          </w:p>
        </w:tc>
      </w:tr>
      <w:tr w:rsidR="00EB0717" w:rsidRPr="00B479AE" w14:paraId="4E456671" w14:textId="77777777" w:rsidTr="00410962">
        <w:trPr>
          <w:tblCellSpacing w:w="15" w:type="dxa"/>
        </w:trPr>
        <w:tc>
          <w:tcPr>
            <w:tcW w:w="0" w:type="auto"/>
            <w:vAlign w:val="center"/>
            <w:hideMark/>
          </w:tcPr>
          <w:p w14:paraId="2D6578E7"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Secretary</w:t>
            </w:r>
          </w:p>
        </w:tc>
        <w:tc>
          <w:tcPr>
            <w:tcW w:w="0" w:type="auto"/>
            <w:vAlign w:val="center"/>
            <w:hideMark/>
          </w:tcPr>
          <w:p w14:paraId="28DBF0BD"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Maintains records, documents decisions, preserves governance artifacts, tracks proposal history</w:t>
            </w:r>
          </w:p>
        </w:tc>
        <w:tc>
          <w:tcPr>
            <w:tcW w:w="0" w:type="auto"/>
            <w:vAlign w:val="center"/>
            <w:hideMark/>
          </w:tcPr>
          <w:p w14:paraId="18AF4CB1"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Sociocratic election based on consent</w:t>
            </w:r>
          </w:p>
        </w:tc>
        <w:tc>
          <w:tcPr>
            <w:tcW w:w="0" w:type="auto"/>
            <w:vAlign w:val="center"/>
            <w:hideMark/>
          </w:tcPr>
          <w:p w14:paraId="181DE776"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12 months, renewable</w:t>
            </w:r>
          </w:p>
        </w:tc>
      </w:tr>
      <w:tr w:rsidR="00EB0717" w:rsidRPr="00B479AE" w14:paraId="5FF2BD21" w14:textId="77777777" w:rsidTr="00410962">
        <w:trPr>
          <w:tblCellSpacing w:w="15" w:type="dxa"/>
        </w:trPr>
        <w:tc>
          <w:tcPr>
            <w:tcW w:w="0" w:type="auto"/>
            <w:vAlign w:val="center"/>
            <w:hideMark/>
          </w:tcPr>
          <w:p w14:paraId="5777EF51"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Delegate to parent circle</w:t>
            </w:r>
          </w:p>
        </w:tc>
        <w:tc>
          <w:tcPr>
            <w:tcW w:w="0" w:type="auto"/>
            <w:vAlign w:val="center"/>
            <w:hideMark/>
          </w:tcPr>
          <w:p w14:paraId="2F24D057"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Represents circle context in the higher-level circle and brings information back to the originating circle</w:t>
            </w:r>
          </w:p>
        </w:tc>
        <w:tc>
          <w:tcPr>
            <w:tcW w:w="0" w:type="auto"/>
            <w:vAlign w:val="center"/>
            <w:hideMark/>
          </w:tcPr>
          <w:p w14:paraId="3259723F"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Elected by circle members through consent</w:t>
            </w:r>
          </w:p>
        </w:tc>
        <w:tc>
          <w:tcPr>
            <w:tcW w:w="0" w:type="auto"/>
            <w:vAlign w:val="center"/>
            <w:hideMark/>
          </w:tcPr>
          <w:p w14:paraId="2C80B028"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12 months, renewable</w:t>
            </w:r>
          </w:p>
        </w:tc>
      </w:tr>
      <w:tr w:rsidR="00EB0717" w:rsidRPr="00B479AE" w14:paraId="4E326EE1" w14:textId="77777777" w:rsidTr="00410962">
        <w:trPr>
          <w:tblCellSpacing w:w="15" w:type="dxa"/>
        </w:trPr>
        <w:tc>
          <w:tcPr>
            <w:tcW w:w="0" w:type="auto"/>
            <w:vAlign w:val="center"/>
            <w:hideMark/>
          </w:tcPr>
          <w:p w14:paraId="7E4E899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Operational roles</w:t>
            </w:r>
          </w:p>
        </w:tc>
        <w:tc>
          <w:tcPr>
            <w:tcW w:w="0" w:type="auto"/>
            <w:vAlign w:val="center"/>
            <w:hideMark/>
          </w:tcPr>
          <w:p w14:paraId="2600F6DE"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Project-specific responsibilities, such as treasurer, MRV coordinator, validator, steward, technical maintainer, data-room custodian, or reporting lead</w:t>
            </w:r>
          </w:p>
        </w:tc>
        <w:tc>
          <w:tcPr>
            <w:tcW w:w="0" w:type="auto"/>
            <w:vAlign w:val="center"/>
            <w:hideMark/>
          </w:tcPr>
          <w:p w14:paraId="0E0B5F1E"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Created as needed through circle governance</w:t>
            </w:r>
          </w:p>
        </w:tc>
        <w:tc>
          <w:tcPr>
            <w:tcW w:w="0" w:type="auto"/>
            <w:vAlign w:val="center"/>
            <w:hideMark/>
          </w:tcPr>
          <w:p w14:paraId="654CCBC7"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Variable</w:t>
            </w:r>
          </w:p>
        </w:tc>
      </w:tr>
      <w:tr w:rsidR="00EB0717" w:rsidRPr="00B479AE" w14:paraId="4E1196B2" w14:textId="77777777" w:rsidTr="00410962">
        <w:trPr>
          <w:tblCellSpacing w:w="15" w:type="dxa"/>
        </w:trPr>
        <w:tc>
          <w:tcPr>
            <w:tcW w:w="0" w:type="auto"/>
            <w:vAlign w:val="center"/>
            <w:hideMark/>
          </w:tcPr>
          <w:p w14:paraId="7FD4828E"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Protocol steward</w:t>
            </w:r>
          </w:p>
        </w:tc>
        <w:tc>
          <w:tcPr>
            <w:tcW w:w="0" w:type="auto"/>
            <w:vAlign w:val="center"/>
            <w:hideMark/>
          </w:tcPr>
          <w:p w14:paraId="16A1731B"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Supports source-layer fidelity, methodology coherence, protected terminology, release alignment, and boundary discipline</w:t>
            </w:r>
          </w:p>
        </w:tc>
        <w:tc>
          <w:tcPr>
            <w:tcW w:w="0" w:type="auto"/>
            <w:vAlign w:val="center"/>
            <w:hideMark/>
          </w:tcPr>
          <w:p w14:paraId="4AC98D7A"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Selected under defined governance process</w:t>
            </w:r>
          </w:p>
        </w:tc>
        <w:tc>
          <w:tcPr>
            <w:tcW w:w="0" w:type="auto"/>
            <w:vAlign w:val="center"/>
            <w:hideMark/>
          </w:tcPr>
          <w:p w14:paraId="314563C7"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Defined by governance rules</w:t>
            </w:r>
          </w:p>
        </w:tc>
      </w:tr>
    </w:tbl>
    <w:p w14:paraId="13CEF67F"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I-A.2 Decision processes</w:t>
      </w:r>
    </w:p>
    <w:p w14:paraId="05D312B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DNA may support multiple decision-making protocols, selected by the relevant circle according to the nature, risk, and scope of the decision.</w:t>
      </w:r>
    </w:p>
    <w:p w14:paraId="0D81F99C"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No decision process should bypass the source layer, human dignity, MRV discipline, legal review, public-claim boundaries, investor-facing safeguards, or protected-domain review.</w:t>
      </w:r>
    </w:p>
    <w:p w14:paraId="4E518434"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I-A.2.1 Consent as default governance protocol</w:t>
      </w:r>
    </w:p>
    <w:p w14:paraId="2849910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Consent is the standard decision protocol for ordinary governance matters.</w:t>
      </w:r>
    </w:p>
    <w:p w14:paraId="294CFCE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 proposal is adopted when no circle member has a reasoned and paramount objection.</w:t>
      </w:r>
    </w:p>
    <w:p w14:paraId="098FEBF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 reasoned and paramount objection is an evidence-based concern that the proposal may harm the circle’s ability to achieve its purpose, violate source-layer principles, create material risk, or exceed the circle’s authority.</w:t>
      </w:r>
    </w:p>
    <w:p w14:paraId="715C0A5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Process flow:</w:t>
      </w:r>
    </w:p>
    <w:p w14:paraId="7306955B" w14:textId="77777777" w:rsidR="00EB0717" w:rsidRPr="00B479AE" w:rsidRDefault="00EB0717">
      <w:pPr>
        <w:numPr>
          <w:ilvl w:val="0"/>
          <w:numId w:val="21"/>
        </w:numPr>
        <w:spacing w:line="360" w:lineRule="auto"/>
        <w:rPr>
          <w:rFonts w:ascii="Baskerville Old Face" w:hAnsi="Baskerville Old Face"/>
          <w:i/>
          <w:iCs/>
        </w:rPr>
      </w:pPr>
      <w:r w:rsidRPr="00B479AE">
        <w:rPr>
          <w:rFonts w:ascii="Baskerville Old Face" w:hAnsi="Baskerville Old Face"/>
          <w:i/>
          <w:iCs/>
        </w:rPr>
        <w:lastRenderedPageBreak/>
        <w:t>Proposal is formulated and published with sufficient context, scope, rationale, and review period.</w:t>
      </w:r>
    </w:p>
    <w:p w14:paraId="5E9CC2C3" w14:textId="77777777" w:rsidR="00EB0717" w:rsidRPr="00B479AE" w:rsidRDefault="00EB0717">
      <w:pPr>
        <w:numPr>
          <w:ilvl w:val="0"/>
          <w:numId w:val="21"/>
        </w:numPr>
        <w:spacing w:line="360" w:lineRule="auto"/>
        <w:rPr>
          <w:rFonts w:ascii="Baskerville Old Face" w:hAnsi="Baskerville Old Face"/>
          <w:i/>
          <w:iCs/>
        </w:rPr>
      </w:pPr>
      <w:r w:rsidRPr="00B479AE">
        <w:rPr>
          <w:rFonts w:ascii="Baskerville Old Face" w:hAnsi="Baskerville Old Face"/>
          <w:i/>
          <w:iCs/>
        </w:rPr>
        <w:t>Facilitator confirms the decision domain and applicable review pathway.</w:t>
      </w:r>
    </w:p>
    <w:p w14:paraId="3EE892AC" w14:textId="77777777" w:rsidR="00EB0717" w:rsidRPr="00B479AE" w:rsidRDefault="00EB0717">
      <w:pPr>
        <w:numPr>
          <w:ilvl w:val="0"/>
          <w:numId w:val="21"/>
        </w:numPr>
        <w:spacing w:line="360" w:lineRule="auto"/>
        <w:rPr>
          <w:rFonts w:ascii="Baskerville Old Face" w:hAnsi="Baskerville Old Face"/>
          <w:i/>
          <w:iCs/>
        </w:rPr>
      </w:pPr>
      <w:r w:rsidRPr="00B479AE">
        <w:rPr>
          <w:rFonts w:ascii="Baskerville Old Face" w:hAnsi="Baskerville Old Face"/>
          <w:i/>
          <w:iCs/>
        </w:rPr>
        <w:t>Members may state consent, stand aside, or objection.</w:t>
      </w:r>
    </w:p>
    <w:p w14:paraId="7B4FB689" w14:textId="77777777" w:rsidR="00EB0717" w:rsidRPr="00B479AE" w:rsidRDefault="00EB0717">
      <w:pPr>
        <w:numPr>
          <w:ilvl w:val="0"/>
          <w:numId w:val="21"/>
        </w:numPr>
        <w:spacing w:line="360" w:lineRule="auto"/>
        <w:rPr>
          <w:rFonts w:ascii="Baskerville Old Face" w:hAnsi="Baskerville Old Face"/>
          <w:i/>
          <w:iCs/>
        </w:rPr>
      </w:pPr>
      <w:r w:rsidRPr="00B479AE">
        <w:rPr>
          <w:rFonts w:ascii="Baskerville Old Face" w:hAnsi="Baskerville Old Face"/>
          <w:i/>
          <w:iCs/>
        </w:rPr>
        <w:t>Objections are explored, documented, and integrated where possible.</w:t>
      </w:r>
    </w:p>
    <w:p w14:paraId="3C1A8EBF" w14:textId="77777777" w:rsidR="00EB0717" w:rsidRPr="00B479AE" w:rsidRDefault="00EB0717">
      <w:pPr>
        <w:numPr>
          <w:ilvl w:val="0"/>
          <w:numId w:val="21"/>
        </w:numPr>
        <w:spacing w:line="360" w:lineRule="auto"/>
        <w:rPr>
          <w:rFonts w:ascii="Baskerville Old Face" w:hAnsi="Baskerville Old Face"/>
          <w:i/>
          <w:iCs/>
        </w:rPr>
      </w:pPr>
      <w:r w:rsidRPr="00B479AE">
        <w:rPr>
          <w:rFonts w:ascii="Baskerville Old Face" w:hAnsi="Baskerville Old Face"/>
          <w:i/>
          <w:iCs/>
        </w:rPr>
        <w:t>Modified proposal returns for renewed consent.</w:t>
      </w:r>
    </w:p>
    <w:p w14:paraId="61E2FB4B" w14:textId="77777777" w:rsidR="00EB0717" w:rsidRPr="00B479AE" w:rsidRDefault="00EB0717">
      <w:pPr>
        <w:numPr>
          <w:ilvl w:val="0"/>
          <w:numId w:val="21"/>
        </w:numPr>
        <w:spacing w:line="360" w:lineRule="auto"/>
        <w:rPr>
          <w:rFonts w:ascii="Baskerville Old Face" w:hAnsi="Baskerville Old Face"/>
          <w:i/>
          <w:iCs/>
        </w:rPr>
      </w:pPr>
      <w:r w:rsidRPr="00B479AE">
        <w:rPr>
          <w:rFonts w:ascii="Baskerville Old Face" w:hAnsi="Baskerville Old Face"/>
          <w:i/>
          <w:iCs/>
        </w:rPr>
        <w:t>If no unresolved reasoned and paramount objection remains, the proposal passes.</w:t>
      </w:r>
    </w:p>
    <w:p w14:paraId="5BCF5824" w14:textId="77777777" w:rsidR="00EB0717" w:rsidRPr="00B479AE" w:rsidRDefault="00EB0717">
      <w:pPr>
        <w:numPr>
          <w:ilvl w:val="0"/>
          <w:numId w:val="21"/>
        </w:numPr>
        <w:spacing w:line="360" w:lineRule="auto"/>
        <w:rPr>
          <w:rFonts w:ascii="Baskerville Old Face" w:hAnsi="Baskerville Old Face"/>
          <w:i/>
          <w:iCs/>
        </w:rPr>
      </w:pPr>
      <w:r w:rsidRPr="00B479AE">
        <w:rPr>
          <w:rFonts w:ascii="Baskerville Old Face" w:hAnsi="Baskerville Old Face"/>
          <w:i/>
          <w:iCs/>
        </w:rPr>
        <w:t>The decision is recorded with scope, date, participants, rationale, objections, modifications, and implementation status.</w:t>
      </w:r>
    </w:p>
    <w:p w14:paraId="3C754C7F"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Technical implementation example:</w:t>
      </w:r>
    </w:p>
    <w:p w14:paraId="7B0481C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struct ConsentVote {</w:t>
      </w:r>
    </w:p>
    <w:p w14:paraId="76F44AE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proposal_id: Hash,</w:t>
      </w:r>
    </w:p>
    <w:p w14:paraId="14EA20A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member_id: AgentPubKey,</w:t>
      </w:r>
    </w:p>
    <w:p w14:paraId="74F3DBC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decision: ConsentDecision, // Consent, StandAside, Objection</w:t>
      </w:r>
    </w:p>
    <w:p w14:paraId="4A42EF6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objection_reason: Option&lt;String&gt;,</w:t>
      </w:r>
    </w:p>
    <w:p w14:paraId="04E63BC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timestamp: Timestamp,</w:t>
      </w:r>
    </w:p>
    <w:p w14:paraId="0F8FE51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signature: Signature</w:t>
      </w:r>
    </w:p>
    <w:p w14:paraId="1E55364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w:t>
      </w:r>
    </w:p>
    <w:p w14:paraId="460FB967"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I-A.2.2 Consent with reputation-informed context</w:t>
      </w:r>
    </w:p>
    <w:p w14:paraId="6448711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For certain operational decisions, a circle may choose to consider reputation signals as non-binding contextual inputs.</w:t>
      </w:r>
    </w:p>
    <w:p w14:paraId="4A26926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Reputation may inform role suitability, contribution history, reliability context, and participation maturity.</w:t>
      </w:r>
    </w:p>
    <w:p w14:paraId="44CB9BF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lastRenderedPageBreak/>
        <w:t>It should not automatically determine consent, override objections, create token authority, exclude participants, or convert governance into weighted plutocracy.</w:t>
      </w:r>
    </w:p>
    <w:p w14:paraId="522A1F3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Where reputation-informed context is used, the circle should define:</w:t>
      </w:r>
    </w:p>
    <w:p w14:paraId="34FBDFA3"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the decision scope;</w:t>
      </w:r>
    </w:p>
    <w:p w14:paraId="3DBF5093"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the reputation dimensions considered;</w:t>
      </w:r>
    </w:p>
    <w:p w14:paraId="6F82E18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whether reputation is advisory or operationally relevant;</w:t>
      </w:r>
    </w:p>
    <w:p w14:paraId="0B12045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the privacy and disclosure boundaries;</w:t>
      </w:r>
    </w:p>
    <w:p w14:paraId="4D3DDF8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the appeal or correction pathway;</w:t>
      </w:r>
    </w:p>
    <w:p w14:paraId="59B4973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the protected-domain review requirements.</w:t>
      </w:r>
    </w:p>
    <w:p w14:paraId="001A88D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Reputation-informed decision support may be appropriate for operational roles, technical maintenance, validator eligibility, steward responsibility, or contribution recognition.</w:t>
      </w:r>
    </w:p>
    <w:p w14:paraId="14FFF10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It should not be used to decide human worth, ecological truth, PRU value analysis, investor rights, constitutional amendments, legal rights, medical claims, public certification, or source-layer changes.</w:t>
      </w:r>
    </w:p>
    <w:p w14:paraId="39CF56DE"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I-A.2.3 Scenario-Informed Governance Research</w:t>
      </w:r>
    </w:p>
    <w:p w14:paraId="62444E0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For complex, high-stakes decisions, a circle may use scenario analysis, forecasting tools, prediction-market research, probabilistic modeling, AI-assisted comparison, stress testing, or risk simulations as non-binding decision-support inputs.</w:t>
      </w:r>
    </w:p>
    <w:p w14:paraId="71717A1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These tools may inform deliberation, surface assumptions, identify downside cases, and improve risk awareness.</w:t>
      </w:r>
    </w:p>
    <w:p w14:paraId="2965BC9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They may not determine constitutional interpretation, MRV admissibility, legal rights, investor exposure, human dignity, source-layer constraints, public-claim boundaries, or protected-domain decisions.</w:t>
      </w:r>
    </w:p>
    <w:p w14:paraId="3F01C16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Scenario tools support judgment.</w:t>
      </w:r>
    </w:p>
    <w:p w14:paraId="41657B9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They do not replace judgment.</w:t>
      </w:r>
    </w:p>
    <w:p w14:paraId="1C41071A" w14:textId="77777777" w:rsidR="00410962" w:rsidRPr="00B479AE" w:rsidRDefault="00410962" w:rsidP="00EB0717">
      <w:pPr>
        <w:spacing w:line="360" w:lineRule="auto"/>
        <w:rPr>
          <w:rFonts w:ascii="Baskerville Old Face" w:hAnsi="Baskerville Old Face"/>
          <w:i/>
          <w:iCs/>
        </w:rPr>
      </w:pPr>
    </w:p>
    <w:p w14:paraId="6D43FECA"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lastRenderedPageBreak/>
        <w:t>I-A.2.4 Constitutional amendments and source-layer review</w:t>
      </w:r>
    </w:p>
    <w:p w14:paraId="6492738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Constitutional amendments must follow the constitutional review pathway defined by the source layer.</w:t>
      </w:r>
    </w:p>
    <w:p w14:paraId="616714D3"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Any amendment process must preserve:</w:t>
      </w:r>
    </w:p>
    <w:p w14:paraId="4A96DC7C"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foundational articles;</w:t>
      </w:r>
    </w:p>
    <w:p w14:paraId="1895683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Eternity Clauses;</w:t>
      </w:r>
    </w:p>
    <w:p w14:paraId="36CC311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Access Covenant;</w:t>
      </w:r>
    </w:p>
    <w:p w14:paraId="528520A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canonical glossary;</w:t>
      </w:r>
    </w:p>
    <w:p w14:paraId="58421E2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human dignity;</w:t>
      </w:r>
    </w:p>
    <w:p w14:paraId="7B8A96B3"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MRV discipline;</w:t>
      </w:r>
    </w:p>
    <w:p w14:paraId="0EC4528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legal boundaries;</w:t>
      </w:r>
    </w:p>
    <w:p w14:paraId="1C9DF3E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public-claim discipline;</w:t>
      </w:r>
    </w:p>
    <w:p w14:paraId="72A2EB5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no-double-counting controls;</w:t>
      </w:r>
    </w:p>
    <w:p w14:paraId="6F2B3D3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source-layer non-bypassability;</w:t>
      </w:r>
    </w:p>
    <w:p w14:paraId="68D7AA3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protected-domain review.</w:t>
      </w:r>
    </w:p>
    <w:p w14:paraId="34A9CDF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Token participation may support bounded signaling, contribution recognition, or defined governance participation where legally and constitutionally appropriate.</w:t>
      </w:r>
    </w:p>
    <w:p w14:paraId="714FF36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It may not create unilateral constitutional authority, sovereign veto power, financial override, ordinary bypass of source-layer constraints, or automatic amendment authority.</w:t>
      </w:r>
    </w:p>
    <w:p w14:paraId="23394209"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I-A.3 Reputation algorithms</w:t>
      </w:r>
    </w:p>
    <w:p w14:paraId="66A70CB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Reputation is a multidimensional, non-transferable, context-bound signal that tracks an agent’s history of contributions, reliability, review outcomes, and alignment with Prometheus governance discipline.</w:t>
      </w:r>
    </w:p>
    <w:p w14:paraId="31A094B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It may inform:</w:t>
      </w:r>
    </w:p>
    <w:p w14:paraId="7875F31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contextual governance review;</w:t>
      </w:r>
    </w:p>
    <w:p w14:paraId="5FFBA58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lastRenderedPageBreak/>
        <w:t>• role suitability;</w:t>
      </w:r>
    </w:p>
    <w:p w14:paraId="540AF72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contribution recognition;</w:t>
      </w:r>
    </w:p>
    <w:p w14:paraId="43B8605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stewardship reliability;</w:t>
      </w:r>
    </w:p>
    <w:p w14:paraId="1354ED4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validator eligibility;</w:t>
      </w:r>
    </w:p>
    <w:p w14:paraId="3C1EB5EC"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operational trust;</w:t>
      </w:r>
    </w:p>
    <w:p w14:paraId="0135FA6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access assessment within defined scope.</w:t>
      </w:r>
    </w:p>
    <w:p w14:paraId="0ED2EDF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It does not create:</w:t>
      </w:r>
    </w:p>
    <w:p w14:paraId="4D002CA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automatic governance weight;</w:t>
      </w:r>
    </w:p>
    <w:p w14:paraId="1ABE7ED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human ranking;</w:t>
      </w:r>
    </w:p>
    <w:p w14:paraId="1914D0A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token authority;</w:t>
      </w:r>
    </w:p>
    <w:p w14:paraId="4E965D2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financial modulation;</w:t>
      </w:r>
    </w:p>
    <w:p w14:paraId="797FA47C"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role entitlement;</w:t>
      </w:r>
    </w:p>
    <w:p w14:paraId="30D61FA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investor rights;</w:t>
      </w:r>
    </w:p>
    <w:p w14:paraId="21895E8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PRU value;</w:t>
      </w:r>
    </w:p>
    <w:p w14:paraId="2DFD1DF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MRV validity;</w:t>
      </w:r>
    </w:p>
    <w:p w14:paraId="627459C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legal rights;</w:t>
      </w:r>
    </w:p>
    <w:p w14:paraId="24A55CEC"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source-layer authority.</w:t>
      </w:r>
    </w:p>
    <w:p w14:paraId="76EA889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Reputation is an integrity signal.</w:t>
      </w:r>
    </w:p>
    <w:p w14:paraId="1E873EA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It is not a social-credit system.</w:t>
      </w:r>
    </w:p>
    <w:p w14:paraId="457A99C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It is not a measure of human worth.</w:t>
      </w:r>
    </w:p>
    <w:p w14:paraId="52CCD1B7" w14:textId="77777777" w:rsidR="00410962" w:rsidRPr="00B479AE" w:rsidRDefault="00410962" w:rsidP="00EB0717">
      <w:pPr>
        <w:spacing w:line="360" w:lineRule="auto"/>
        <w:rPr>
          <w:rFonts w:ascii="Baskerville Old Face" w:hAnsi="Baskerville Old Face"/>
          <w:i/>
          <w:iCs/>
        </w:rPr>
      </w:pPr>
    </w:p>
    <w:p w14:paraId="1A166FA8" w14:textId="77777777" w:rsidR="00410962" w:rsidRPr="00B479AE" w:rsidRDefault="00410962" w:rsidP="00EB0717">
      <w:pPr>
        <w:spacing w:line="360" w:lineRule="auto"/>
        <w:rPr>
          <w:rFonts w:ascii="Baskerville Old Face" w:hAnsi="Baskerville Old Face"/>
          <w:i/>
          <w:iCs/>
        </w:rPr>
      </w:pPr>
    </w:p>
    <w:p w14:paraId="0B6B3C38"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lastRenderedPageBreak/>
        <w:t>I-A.3.1 Reputation components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1"/>
        <w:gridCol w:w="1063"/>
        <w:gridCol w:w="3152"/>
        <w:gridCol w:w="1613"/>
        <w:gridCol w:w="2339"/>
      </w:tblGrid>
      <w:tr w:rsidR="00EB0717" w:rsidRPr="00B479AE" w14:paraId="17AEB40C" w14:textId="77777777" w:rsidTr="00410962">
        <w:trPr>
          <w:tblHeader/>
          <w:tblCellSpacing w:w="15" w:type="dxa"/>
        </w:trPr>
        <w:tc>
          <w:tcPr>
            <w:tcW w:w="0" w:type="auto"/>
            <w:vAlign w:val="center"/>
            <w:hideMark/>
          </w:tcPr>
          <w:p w14:paraId="2BF1F5A7"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Component</w:t>
            </w:r>
          </w:p>
        </w:tc>
        <w:tc>
          <w:tcPr>
            <w:tcW w:w="0" w:type="auto"/>
            <w:vAlign w:val="center"/>
            <w:hideMark/>
          </w:tcPr>
          <w:p w14:paraId="7C69E22E"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Indicative weight</w:t>
            </w:r>
          </w:p>
        </w:tc>
        <w:tc>
          <w:tcPr>
            <w:tcW w:w="0" w:type="auto"/>
            <w:vAlign w:val="center"/>
            <w:hideMark/>
          </w:tcPr>
          <w:p w14:paraId="0516E8BD"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Data source</w:t>
            </w:r>
          </w:p>
        </w:tc>
        <w:tc>
          <w:tcPr>
            <w:tcW w:w="0" w:type="auto"/>
            <w:vAlign w:val="center"/>
            <w:hideMark/>
          </w:tcPr>
          <w:p w14:paraId="5AEB4F09"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Update frequency</w:t>
            </w:r>
          </w:p>
        </w:tc>
        <w:tc>
          <w:tcPr>
            <w:tcW w:w="0" w:type="auto"/>
            <w:vAlign w:val="center"/>
            <w:hideMark/>
          </w:tcPr>
          <w:p w14:paraId="1043E4D7"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Boundary</w:t>
            </w:r>
          </w:p>
        </w:tc>
      </w:tr>
      <w:tr w:rsidR="00EB0717" w:rsidRPr="00B479AE" w14:paraId="0E0709F2" w14:textId="77777777" w:rsidTr="00410962">
        <w:trPr>
          <w:tblCellSpacing w:w="15" w:type="dxa"/>
        </w:trPr>
        <w:tc>
          <w:tcPr>
            <w:tcW w:w="0" w:type="auto"/>
            <w:vAlign w:val="center"/>
            <w:hideMark/>
          </w:tcPr>
          <w:p w14:paraId="243DDCB8"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Contribution Score</w:t>
            </w:r>
          </w:p>
        </w:tc>
        <w:tc>
          <w:tcPr>
            <w:tcW w:w="0" w:type="auto"/>
            <w:vAlign w:val="center"/>
            <w:hideMark/>
          </w:tcPr>
          <w:p w14:paraId="744946B2"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40%</w:t>
            </w:r>
          </w:p>
        </w:tc>
        <w:tc>
          <w:tcPr>
            <w:tcW w:w="0" w:type="auto"/>
            <w:vAlign w:val="center"/>
            <w:hideMark/>
          </w:tcPr>
          <w:p w14:paraId="3A2A2249"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REA events, completed commitments, verified project participation, documented stewardship</w:t>
            </w:r>
          </w:p>
        </w:tc>
        <w:tc>
          <w:tcPr>
            <w:tcW w:w="0" w:type="auto"/>
            <w:vAlign w:val="center"/>
            <w:hideMark/>
          </w:tcPr>
          <w:p w14:paraId="7D721BAA"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After relevant contribution records</w:t>
            </w:r>
          </w:p>
        </w:tc>
        <w:tc>
          <w:tcPr>
            <w:tcW w:w="0" w:type="auto"/>
            <w:vAlign w:val="center"/>
            <w:hideMark/>
          </w:tcPr>
          <w:p w14:paraId="1D9C3E19"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Recognizes contribution; does not create entitlement</w:t>
            </w:r>
          </w:p>
        </w:tc>
      </w:tr>
      <w:tr w:rsidR="00EB0717" w:rsidRPr="00B479AE" w14:paraId="558EA20B" w14:textId="77777777" w:rsidTr="00410962">
        <w:trPr>
          <w:tblCellSpacing w:w="15" w:type="dxa"/>
        </w:trPr>
        <w:tc>
          <w:tcPr>
            <w:tcW w:w="0" w:type="auto"/>
            <w:vAlign w:val="center"/>
            <w:hideMark/>
          </w:tcPr>
          <w:p w14:paraId="3F15399E"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Reliability Score</w:t>
            </w:r>
          </w:p>
        </w:tc>
        <w:tc>
          <w:tcPr>
            <w:tcW w:w="0" w:type="auto"/>
            <w:vAlign w:val="center"/>
            <w:hideMark/>
          </w:tcPr>
          <w:p w14:paraId="2C503EC9"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30%</w:t>
            </w:r>
          </w:p>
        </w:tc>
        <w:tc>
          <w:tcPr>
            <w:tcW w:w="0" w:type="auto"/>
            <w:vAlign w:val="center"/>
            <w:hideMark/>
          </w:tcPr>
          <w:p w14:paraId="1D857D70"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Commitments respected, commitments breached, remediation history, adverse integrity records</w:t>
            </w:r>
          </w:p>
        </w:tc>
        <w:tc>
          <w:tcPr>
            <w:tcW w:w="0" w:type="auto"/>
            <w:vAlign w:val="center"/>
            <w:hideMark/>
          </w:tcPr>
          <w:p w14:paraId="2529F20E"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After each relevant commitment</w:t>
            </w:r>
          </w:p>
        </w:tc>
        <w:tc>
          <w:tcPr>
            <w:tcW w:w="0" w:type="auto"/>
            <w:vAlign w:val="center"/>
            <w:hideMark/>
          </w:tcPr>
          <w:p w14:paraId="5537B7AF"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Supports trust assessment; requires appeal and correction pathways</w:t>
            </w:r>
          </w:p>
        </w:tc>
      </w:tr>
      <w:tr w:rsidR="00EB0717" w:rsidRPr="00B479AE" w14:paraId="23508CD9" w14:textId="77777777" w:rsidTr="00410962">
        <w:trPr>
          <w:tblCellSpacing w:w="15" w:type="dxa"/>
        </w:trPr>
        <w:tc>
          <w:tcPr>
            <w:tcW w:w="0" w:type="auto"/>
            <w:vAlign w:val="center"/>
            <w:hideMark/>
          </w:tcPr>
          <w:p w14:paraId="5BEB684B"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Governance Participation</w:t>
            </w:r>
          </w:p>
        </w:tc>
        <w:tc>
          <w:tcPr>
            <w:tcW w:w="0" w:type="auto"/>
            <w:vAlign w:val="center"/>
            <w:hideMark/>
          </w:tcPr>
          <w:p w14:paraId="710CFF7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15%</w:t>
            </w:r>
          </w:p>
        </w:tc>
        <w:tc>
          <w:tcPr>
            <w:tcW w:w="0" w:type="auto"/>
            <w:vAlign w:val="center"/>
            <w:hideMark/>
          </w:tcPr>
          <w:p w14:paraId="1AB0E8CC"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Meeting participation, proposal quality, review contribution, circle attendance, constructive deliberation</w:t>
            </w:r>
          </w:p>
        </w:tc>
        <w:tc>
          <w:tcPr>
            <w:tcW w:w="0" w:type="auto"/>
            <w:vAlign w:val="center"/>
            <w:hideMark/>
          </w:tcPr>
          <w:p w14:paraId="0FDFA411"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Per governance event</w:t>
            </w:r>
          </w:p>
        </w:tc>
        <w:tc>
          <w:tcPr>
            <w:tcW w:w="0" w:type="auto"/>
            <w:vAlign w:val="center"/>
            <w:hideMark/>
          </w:tcPr>
          <w:p w14:paraId="11A5DE5F"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Supports governance maturity; not a voting-right guarantee</w:t>
            </w:r>
          </w:p>
        </w:tc>
      </w:tr>
      <w:tr w:rsidR="00EB0717" w:rsidRPr="00B479AE" w14:paraId="791CAB1B" w14:textId="77777777" w:rsidTr="00410962">
        <w:trPr>
          <w:tblCellSpacing w:w="15" w:type="dxa"/>
        </w:trPr>
        <w:tc>
          <w:tcPr>
            <w:tcW w:w="0" w:type="auto"/>
            <w:vAlign w:val="center"/>
            <w:hideMark/>
          </w:tcPr>
          <w:p w14:paraId="64382C5C"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Validation Accuracy</w:t>
            </w:r>
          </w:p>
        </w:tc>
        <w:tc>
          <w:tcPr>
            <w:tcW w:w="0" w:type="auto"/>
            <w:vAlign w:val="center"/>
            <w:hideMark/>
          </w:tcPr>
          <w:p w14:paraId="5A0AA2DB"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10%</w:t>
            </w:r>
          </w:p>
        </w:tc>
        <w:tc>
          <w:tcPr>
            <w:tcW w:w="0" w:type="auto"/>
            <w:vAlign w:val="center"/>
            <w:hideMark/>
          </w:tcPr>
          <w:p w14:paraId="651698CD"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MRV validation quality, review consistency, false-positive and false-negative history, audit alignment</w:t>
            </w:r>
          </w:p>
        </w:tc>
        <w:tc>
          <w:tcPr>
            <w:tcW w:w="0" w:type="auto"/>
            <w:vAlign w:val="center"/>
            <w:hideMark/>
          </w:tcPr>
          <w:p w14:paraId="2EF0EA3C"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Per validation or review event</w:t>
            </w:r>
          </w:p>
        </w:tc>
        <w:tc>
          <w:tcPr>
            <w:tcW w:w="0" w:type="auto"/>
            <w:vAlign w:val="center"/>
            <w:hideMark/>
          </w:tcPr>
          <w:p w14:paraId="6B56B9A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Supports validator suitability; does not replace MRV methodology</w:t>
            </w:r>
          </w:p>
        </w:tc>
      </w:tr>
      <w:tr w:rsidR="00EB0717" w:rsidRPr="00B479AE" w14:paraId="7D9B00E2" w14:textId="77777777" w:rsidTr="00410962">
        <w:trPr>
          <w:tblCellSpacing w:w="15" w:type="dxa"/>
        </w:trPr>
        <w:tc>
          <w:tcPr>
            <w:tcW w:w="0" w:type="auto"/>
            <w:vAlign w:val="center"/>
            <w:hideMark/>
          </w:tcPr>
          <w:p w14:paraId="5BDD259D"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Coherence Context</w:t>
            </w:r>
          </w:p>
        </w:tc>
        <w:tc>
          <w:tcPr>
            <w:tcW w:w="0" w:type="auto"/>
            <w:vAlign w:val="center"/>
            <w:hideMark/>
          </w:tcPr>
          <w:p w14:paraId="4DF8ED26"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5%</w:t>
            </w:r>
          </w:p>
        </w:tc>
        <w:tc>
          <w:tcPr>
            <w:tcW w:w="0" w:type="auto"/>
            <w:vAlign w:val="center"/>
            <w:hideMark/>
          </w:tcPr>
          <w:p w14:paraId="61AEA0F8"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Voluntary, aggregated, privacy-preserving HSI or self-reflection context where lawfully and explicitly consented</w:t>
            </w:r>
          </w:p>
        </w:tc>
        <w:tc>
          <w:tcPr>
            <w:tcW w:w="0" w:type="auto"/>
            <w:vAlign w:val="center"/>
            <w:hideMark/>
          </w:tcPr>
          <w:p w14:paraId="036245F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Periodic and optional</w:t>
            </w:r>
          </w:p>
        </w:tc>
        <w:tc>
          <w:tcPr>
            <w:tcW w:w="0" w:type="auto"/>
            <w:vAlign w:val="center"/>
            <w:hideMark/>
          </w:tcPr>
          <w:p w14:paraId="6C225EC8"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Research or reflection only; never human ranking or financial authority</w:t>
            </w:r>
          </w:p>
        </w:tc>
      </w:tr>
    </w:tbl>
    <w:p w14:paraId="3E7DE366"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I-A.3.2 Reputation calculation</w:t>
      </w:r>
    </w:p>
    <w:p w14:paraId="7E899F4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Reputation may be calculated locally by each node and shared through Holochain-compatible infrastructure under appropriate privacy and disclosure controls.</w:t>
      </w:r>
    </w:p>
    <w:p w14:paraId="00B0AE8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 simplified formula may be expressed as:</w:t>
      </w:r>
    </w:p>
    <w:p w14:paraId="15253AF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R_total = (</w:t>
      </w:r>
      <w:r w:rsidRPr="00B479AE">
        <w:rPr>
          <w:rFonts w:ascii="Cambria" w:hAnsi="Cambria" w:cs="Cambria"/>
          <w:i/>
          <w:iCs/>
        </w:rPr>
        <w:t>Σ</w:t>
      </w:r>
      <w:r w:rsidRPr="00B479AE">
        <w:rPr>
          <w:rFonts w:ascii="Baskerville Old Face" w:hAnsi="Baskerville Old Face"/>
          <w:i/>
          <w:iCs/>
        </w:rPr>
        <w:t xml:space="preserve"> w_i </w:t>
      </w:r>
      <w:r w:rsidRPr="00B479AE">
        <w:rPr>
          <w:rFonts w:ascii="Cambria" w:hAnsi="Cambria" w:cs="Cambria"/>
          <w:i/>
          <w:iCs/>
        </w:rPr>
        <w:t>·</w:t>
      </w:r>
      <w:r w:rsidRPr="00B479AE">
        <w:rPr>
          <w:rFonts w:ascii="Baskerville Old Face" w:hAnsi="Baskerville Old Face"/>
          <w:i/>
          <w:iCs/>
        </w:rPr>
        <w:t xml:space="preserve"> s_i) / (</w:t>
      </w:r>
      <w:r w:rsidRPr="00B479AE">
        <w:rPr>
          <w:rFonts w:ascii="Cambria" w:hAnsi="Cambria" w:cs="Cambria"/>
          <w:i/>
          <w:iCs/>
        </w:rPr>
        <w:t>Σ</w:t>
      </w:r>
      <w:r w:rsidRPr="00B479AE">
        <w:rPr>
          <w:rFonts w:ascii="Baskerville Old Face" w:hAnsi="Baskerville Old Face"/>
          <w:i/>
          <w:iCs/>
        </w:rPr>
        <w:t xml:space="preserve"> w_i) </w:t>
      </w:r>
      <w:r w:rsidRPr="00B479AE">
        <w:rPr>
          <w:rFonts w:ascii="Cambria" w:hAnsi="Cambria" w:cs="Cambria"/>
          <w:i/>
          <w:iCs/>
        </w:rPr>
        <w:t>·</w:t>
      </w:r>
      <w:r w:rsidRPr="00B479AE">
        <w:rPr>
          <w:rFonts w:ascii="Baskerville Old Face" w:hAnsi="Baskerville Old Face"/>
          <w:i/>
          <w:iCs/>
        </w:rPr>
        <w:t xml:space="preserve"> (1 - p_warrants)</w:t>
      </w:r>
    </w:p>
    <w:p w14:paraId="5053736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lastRenderedPageBreak/>
        <w:t>Where:</w:t>
      </w:r>
    </w:p>
    <w:p w14:paraId="2C7F878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w_i are component weights;</w:t>
      </w:r>
    </w:p>
    <w:p w14:paraId="337E47D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s_i are normalized component scores between 0 and 1;</w:t>
      </w:r>
    </w:p>
    <w:p w14:paraId="0E97C7A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p_warrants is a penalty factor based on active, reviewed, and procedurally valid adverse integrity records.</w:t>
      </w:r>
    </w:p>
    <w:p w14:paraId="6FD1EC8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Reputation decay may be applied over time to prevent stale reputation from becoming permanent authority.</w:t>
      </w:r>
    </w:p>
    <w:p w14:paraId="636C327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 default decay rate may be defined by governance, for example 5% per year, subject to review.</w:t>
      </w:r>
    </w:p>
    <w:p w14:paraId="48D7D77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purpose of decay is to encourage continued participation, current reliability, and ongoing stewardship rather than static prestige.</w:t>
      </w:r>
    </w:p>
    <w:p w14:paraId="1B71D5D6"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I-A.3.3 Cross-community reputation context</w:t>
      </w:r>
    </w:p>
    <w:p w14:paraId="792531E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reputation system may be token-aware and wallet-aware where legally, technically, and privacy-wise appropriate.</w:t>
      </w:r>
    </w:p>
    <w:p w14:paraId="22F86FD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It should remain token-non-deterministic.</w:t>
      </w:r>
    </w:p>
    <w:p w14:paraId="5C715A11" w14:textId="15460B76"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An agent’s history of contributions across multiple communities, projects, DAOs, bioregional systems, or Prometheus-compatible implementations may inform a unified reputation context only where consent, privacy, provenance, and compatibility conditions are satisfied.</w:t>
      </w:r>
      <w:r w:rsidR="00410962" w:rsidRPr="00B479AE">
        <w:rPr>
          <w:rFonts w:ascii="Baskerville Old Face" w:hAnsi="Baskerville Old Face"/>
          <w:i/>
          <w:iCs/>
        </w:rPr>
        <w:t xml:space="preserve"> </w:t>
      </w:r>
      <w:r w:rsidRPr="00B479AE">
        <w:rPr>
          <w:rFonts w:ascii="Baskerville Old Face" w:hAnsi="Baskerville Old Face"/>
          <w:i/>
          <w:iCs/>
        </w:rPr>
        <w:t>This may enable:</w:t>
      </w:r>
    </w:p>
    <w:p w14:paraId="03991BC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trust to travel across communities;</w:t>
      </w:r>
    </w:p>
    <w:p w14:paraId="23CADCA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reduced onboarding friction;</w:t>
      </w:r>
    </w:p>
    <w:p w14:paraId="38800A8C"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stronger contribution recognition;</w:t>
      </w:r>
    </w:p>
    <w:p w14:paraId="23217DD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detection of inconsistent or harmful behavior;</w:t>
      </w:r>
    </w:p>
    <w:p w14:paraId="56E4966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mitigation of Sybil risk.</w:t>
      </w:r>
    </w:p>
    <w:p w14:paraId="1A6B320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However, cross-community reputation should not create automatic governance power, financial eligibility, investment suitability, social ranking, identity scoring, or source-layer authority.</w:t>
      </w:r>
    </w:p>
    <w:p w14:paraId="1D6B285D"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lastRenderedPageBreak/>
        <w:t>I-A.4 Warrant handling and adverse integrity records</w:t>
      </w:r>
    </w:p>
    <w:p w14:paraId="32F827E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Warrants are signed integrity records that identify alleged misbehavior, data falsification, constitutional violation, governance abuse, or other harmful acts.</w:t>
      </w:r>
    </w:p>
    <w:p w14:paraId="751F20D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They function as part of the immune system of Prometheus.</w:t>
      </w:r>
    </w:p>
    <w:p w14:paraId="463B5E6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 warrant should not be treated as guilt by declaration.</w:t>
      </w:r>
    </w:p>
    <w:p w14:paraId="6EA152C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It is an adverse integrity signal that must pass through due process, review, evidence assessment, challenge, and appeal where relevant.</w:t>
      </w:r>
    </w:p>
    <w:p w14:paraId="3DF1B9CB"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I-A.4.1 Warrant types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6"/>
        <w:gridCol w:w="5130"/>
        <w:gridCol w:w="2882"/>
      </w:tblGrid>
      <w:tr w:rsidR="00EB0717" w:rsidRPr="00B479AE" w14:paraId="46337CCE" w14:textId="77777777" w:rsidTr="00410962">
        <w:trPr>
          <w:tblHeader/>
          <w:tblCellSpacing w:w="15" w:type="dxa"/>
        </w:trPr>
        <w:tc>
          <w:tcPr>
            <w:tcW w:w="0" w:type="auto"/>
            <w:vAlign w:val="center"/>
            <w:hideMark/>
          </w:tcPr>
          <w:p w14:paraId="7D717363"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Warrant type</w:t>
            </w:r>
          </w:p>
        </w:tc>
        <w:tc>
          <w:tcPr>
            <w:tcW w:w="0" w:type="auto"/>
            <w:vAlign w:val="center"/>
            <w:hideMark/>
          </w:tcPr>
          <w:p w14:paraId="0464AA95"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Description</w:t>
            </w:r>
          </w:p>
        </w:tc>
        <w:tc>
          <w:tcPr>
            <w:tcW w:w="0" w:type="auto"/>
            <w:vAlign w:val="center"/>
            <w:hideMark/>
          </w:tcPr>
          <w:p w14:paraId="24F0D54C"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Issuance threshold</w:t>
            </w:r>
          </w:p>
        </w:tc>
      </w:tr>
      <w:tr w:rsidR="00EB0717" w:rsidRPr="00B479AE" w14:paraId="64FF32E7" w14:textId="77777777" w:rsidTr="00410962">
        <w:trPr>
          <w:tblCellSpacing w:w="15" w:type="dxa"/>
        </w:trPr>
        <w:tc>
          <w:tcPr>
            <w:tcW w:w="0" w:type="auto"/>
            <w:vAlign w:val="center"/>
            <w:hideMark/>
          </w:tcPr>
          <w:p w14:paraId="4047CD8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Data integrity violation</w:t>
            </w:r>
          </w:p>
        </w:tc>
        <w:tc>
          <w:tcPr>
            <w:tcW w:w="0" w:type="auto"/>
            <w:vAlign w:val="center"/>
            <w:hideMark/>
          </w:tcPr>
          <w:p w14:paraId="1DA42343"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Falsified MRV data, invalid evidence records, altered provenance, unsupported claims</w:t>
            </w:r>
          </w:p>
        </w:tc>
        <w:tc>
          <w:tcPr>
            <w:tcW w:w="0" w:type="auto"/>
            <w:vAlign w:val="center"/>
            <w:hideMark/>
          </w:tcPr>
          <w:p w14:paraId="3CE980CE"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Initial detection by node, reviewer, auditor, or governance process</w:t>
            </w:r>
          </w:p>
        </w:tc>
      </w:tr>
      <w:tr w:rsidR="00EB0717" w:rsidRPr="00B479AE" w14:paraId="6A3E6785" w14:textId="77777777" w:rsidTr="00410962">
        <w:trPr>
          <w:tblCellSpacing w:w="15" w:type="dxa"/>
        </w:trPr>
        <w:tc>
          <w:tcPr>
            <w:tcW w:w="0" w:type="auto"/>
            <w:vAlign w:val="center"/>
            <w:hideMark/>
          </w:tcPr>
          <w:p w14:paraId="2D50C07B"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Constitutional violation</w:t>
            </w:r>
          </w:p>
        </w:tc>
        <w:tc>
          <w:tcPr>
            <w:tcW w:w="0" w:type="auto"/>
            <w:vAlign w:val="center"/>
            <w:hideMark/>
          </w:tcPr>
          <w:p w14:paraId="0DF4EC21"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Code, action, proposal, claim, or implementation that may violate source-layer constraints, Eternity Clauses, human dignity, or protected-domain rules</w:t>
            </w:r>
          </w:p>
        </w:tc>
        <w:tc>
          <w:tcPr>
            <w:tcW w:w="0" w:type="auto"/>
            <w:vAlign w:val="center"/>
            <w:hideMark/>
          </w:tcPr>
          <w:p w14:paraId="08135F5F"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Detection plus appropriate constitutional or Prometheus circle review</w:t>
            </w:r>
          </w:p>
        </w:tc>
      </w:tr>
      <w:tr w:rsidR="00EB0717" w:rsidRPr="00B479AE" w14:paraId="1D9342CB" w14:textId="77777777" w:rsidTr="00410962">
        <w:trPr>
          <w:tblCellSpacing w:w="15" w:type="dxa"/>
        </w:trPr>
        <w:tc>
          <w:tcPr>
            <w:tcW w:w="0" w:type="auto"/>
            <w:vAlign w:val="center"/>
            <w:hideMark/>
          </w:tcPr>
          <w:p w14:paraId="7716595E"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Reputation fraud</w:t>
            </w:r>
          </w:p>
        </w:tc>
        <w:tc>
          <w:tcPr>
            <w:tcW w:w="0" w:type="auto"/>
            <w:vAlign w:val="center"/>
            <w:hideMark/>
          </w:tcPr>
          <w:p w14:paraId="2F6F5540"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Artificial inflation of reputation through collusion, circular endorsements, false contribution records, or Sybil behavior</w:t>
            </w:r>
          </w:p>
        </w:tc>
        <w:tc>
          <w:tcPr>
            <w:tcW w:w="0" w:type="auto"/>
            <w:vAlign w:val="center"/>
            <w:hideMark/>
          </w:tcPr>
          <w:p w14:paraId="5D26338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Neighborhood review or defined governance threshold</w:t>
            </w:r>
          </w:p>
        </w:tc>
      </w:tr>
      <w:tr w:rsidR="00EB0717" w:rsidRPr="00B479AE" w14:paraId="7DC63677" w14:textId="77777777" w:rsidTr="00410962">
        <w:trPr>
          <w:tblCellSpacing w:w="15" w:type="dxa"/>
        </w:trPr>
        <w:tc>
          <w:tcPr>
            <w:tcW w:w="0" w:type="auto"/>
            <w:vAlign w:val="center"/>
            <w:hideMark/>
          </w:tcPr>
          <w:p w14:paraId="3576388B"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Double-counting attempt</w:t>
            </w:r>
          </w:p>
        </w:tc>
        <w:tc>
          <w:tcPr>
            <w:tcW w:w="0" w:type="auto"/>
            <w:vAlign w:val="center"/>
            <w:hideMark/>
          </w:tcPr>
          <w:p w14:paraId="1363FB53"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Attempt to claim the same regenerative event, ecological improvement, credit, PRU-relevant evidence, or impact result across incompatible pathways</w:t>
            </w:r>
          </w:p>
        </w:tc>
        <w:tc>
          <w:tcPr>
            <w:tcW w:w="0" w:type="auto"/>
            <w:vAlign w:val="center"/>
            <w:hideMark/>
          </w:tcPr>
          <w:p w14:paraId="7DAD55EC"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Validation detection plus no-double-counting review</w:t>
            </w:r>
          </w:p>
        </w:tc>
      </w:tr>
      <w:tr w:rsidR="00EB0717" w:rsidRPr="00B479AE" w14:paraId="70603A62" w14:textId="77777777" w:rsidTr="00410962">
        <w:trPr>
          <w:tblCellSpacing w:w="15" w:type="dxa"/>
        </w:trPr>
        <w:tc>
          <w:tcPr>
            <w:tcW w:w="0" w:type="auto"/>
            <w:vAlign w:val="center"/>
            <w:hideMark/>
          </w:tcPr>
          <w:p w14:paraId="38247DA0"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Public-claim violation</w:t>
            </w:r>
          </w:p>
        </w:tc>
        <w:tc>
          <w:tcPr>
            <w:tcW w:w="0" w:type="auto"/>
            <w:vAlign w:val="center"/>
            <w:hideMark/>
          </w:tcPr>
          <w:p w14:paraId="6AF4297B"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External use of Prometheus language, mark, certification, PRU, MRV, RAP, or investor-facing claim outside permitted boundaries</w:t>
            </w:r>
          </w:p>
        </w:tc>
        <w:tc>
          <w:tcPr>
            <w:tcW w:w="0" w:type="auto"/>
            <w:vAlign w:val="center"/>
            <w:hideMark/>
          </w:tcPr>
          <w:p w14:paraId="33E84307"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Claim-control review and governance assessment</w:t>
            </w:r>
          </w:p>
        </w:tc>
      </w:tr>
      <w:tr w:rsidR="00EB0717" w:rsidRPr="00B479AE" w14:paraId="784406B9" w14:textId="77777777" w:rsidTr="00410962">
        <w:trPr>
          <w:tblCellSpacing w:w="15" w:type="dxa"/>
        </w:trPr>
        <w:tc>
          <w:tcPr>
            <w:tcW w:w="0" w:type="auto"/>
            <w:vAlign w:val="center"/>
            <w:hideMark/>
          </w:tcPr>
          <w:p w14:paraId="36ACAF73"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Partner overreach</w:t>
            </w:r>
          </w:p>
        </w:tc>
        <w:tc>
          <w:tcPr>
            <w:tcW w:w="0" w:type="auto"/>
            <w:vAlign w:val="center"/>
            <w:hideMark/>
          </w:tcPr>
          <w:p w14:paraId="19D38D58"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Institution, partner, fork, or implementation claiming authority beyond granted agreement or verified status</w:t>
            </w:r>
          </w:p>
        </w:tc>
        <w:tc>
          <w:tcPr>
            <w:tcW w:w="0" w:type="auto"/>
            <w:vAlign w:val="center"/>
            <w:hideMark/>
          </w:tcPr>
          <w:p w14:paraId="63E23625"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Governance review and, where relevant, legal review</w:t>
            </w:r>
          </w:p>
        </w:tc>
      </w:tr>
    </w:tbl>
    <w:p w14:paraId="64C2ECE1"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lastRenderedPageBreak/>
        <w:t>I-A.4.2 Warrant lifecycle</w:t>
      </w:r>
    </w:p>
    <w:p w14:paraId="25064F61" w14:textId="28CADAFE" w:rsidR="00EB0717" w:rsidRPr="00B479AE" w:rsidRDefault="005907F1" w:rsidP="005907F1">
      <w:pPr>
        <w:spacing w:line="360" w:lineRule="auto"/>
        <w:rPr>
          <w:rFonts w:ascii="Baskerville Old Face" w:hAnsi="Baskerville Old Face"/>
          <w:i/>
          <w:iCs/>
        </w:rPr>
      </w:pPr>
      <w:r>
        <w:rPr>
          <w:rFonts w:ascii="Baskerville Old Face" w:hAnsi="Baskerville Old Face"/>
          <w:i/>
          <w:iCs/>
        </w:rPr>
        <w:t xml:space="preserve">1. </w:t>
      </w:r>
      <w:r w:rsidR="00EB0717" w:rsidRPr="00B479AE">
        <w:rPr>
          <w:rFonts w:ascii="Baskerville Old Face" w:hAnsi="Baskerville Old Face"/>
          <w:i/>
          <w:iCs/>
        </w:rPr>
        <w:t>Issuance.</w:t>
      </w:r>
    </w:p>
    <w:p w14:paraId="7E1FF55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 warrant or adverse integrity record may be issued by a node, reviewer, auditor, governance circle, or authorized process.</w:t>
      </w:r>
    </w:p>
    <w:p w14:paraId="2B13A77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record should identify the alleged issue, affected record, evidence basis, issuer, timestamp, and applicable review domain.</w:t>
      </w:r>
    </w:p>
    <w:p w14:paraId="2C0BE46F" w14:textId="00B8F0F0" w:rsidR="00EB0717" w:rsidRPr="00B479AE" w:rsidRDefault="005907F1" w:rsidP="005907F1">
      <w:pPr>
        <w:spacing w:line="360" w:lineRule="auto"/>
        <w:rPr>
          <w:rFonts w:ascii="Baskerville Old Face" w:hAnsi="Baskerville Old Face"/>
          <w:i/>
          <w:iCs/>
        </w:rPr>
      </w:pPr>
      <w:r>
        <w:rPr>
          <w:rFonts w:ascii="Baskerville Old Face" w:hAnsi="Baskerville Old Face"/>
          <w:i/>
          <w:iCs/>
        </w:rPr>
        <w:t xml:space="preserve">2. </w:t>
      </w:r>
      <w:r w:rsidR="00EB0717" w:rsidRPr="00B479AE">
        <w:rPr>
          <w:rFonts w:ascii="Baskerville Old Face" w:hAnsi="Baskerville Old Face"/>
          <w:i/>
          <w:iCs/>
        </w:rPr>
        <w:t>Notice.</w:t>
      </w:r>
    </w:p>
    <w:p w14:paraId="5F47414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affected agent, project, implementation, partner, or fork should receive notice where feasible and appropriate.</w:t>
      </w:r>
    </w:p>
    <w:p w14:paraId="4B9F26AA" w14:textId="20080AA7" w:rsidR="00EB0717" w:rsidRPr="00B479AE" w:rsidRDefault="005907F1" w:rsidP="005907F1">
      <w:pPr>
        <w:spacing w:line="360" w:lineRule="auto"/>
        <w:rPr>
          <w:rFonts w:ascii="Baskerville Old Face" w:hAnsi="Baskerville Old Face"/>
          <w:i/>
          <w:iCs/>
        </w:rPr>
      </w:pPr>
      <w:r>
        <w:rPr>
          <w:rFonts w:ascii="Baskerville Old Face" w:hAnsi="Baskerville Old Face"/>
          <w:i/>
          <w:iCs/>
        </w:rPr>
        <w:t xml:space="preserve">3. </w:t>
      </w:r>
      <w:r w:rsidR="00EB0717" w:rsidRPr="00B479AE">
        <w:rPr>
          <w:rFonts w:ascii="Baskerville Old Face" w:hAnsi="Baskerville Old Face"/>
          <w:i/>
          <w:iCs/>
        </w:rPr>
        <w:t>Challenge period.</w:t>
      </w:r>
    </w:p>
    <w:p w14:paraId="339B2F9C"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affected party should have a defined period to respond, provide evidence, correct misunderstanding, contest the warrant, or request review.</w:t>
      </w:r>
    </w:p>
    <w:p w14:paraId="637E441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 default period may be seven days unless urgency, legal risk, public-harm risk, data integrity, or protected-domain concerns require faster containment.</w:t>
      </w:r>
    </w:p>
    <w:p w14:paraId="7E063C8E" w14:textId="58540F73" w:rsidR="00EB0717" w:rsidRPr="00B479AE" w:rsidRDefault="005907F1" w:rsidP="005907F1">
      <w:pPr>
        <w:spacing w:line="360" w:lineRule="auto"/>
        <w:rPr>
          <w:rFonts w:ascii="Baskerville Old Face" w:hAnsi="Baskerville Old Face"/>
          <w:i/>
          <w:iCs/>
        </w:rPr>
      </w:pPr>
      <w:r>
        <w:rPr>
          <w:rFonts w:ascii="Baskerville Old Face" w:hAnsi="Baskerville Old Face"/>
          <w:i/>
          <w:iCs/>
        </w:rPr>
        <w:t xml:space="preserve">4. </w:t>
      </w:r>
      <w:r w:rsidR="00EB0717" w:rsidRPr="00B479AE">
        <w:rPr>
          <w:rFonts w:ascii="Baskerville Old Face" w:hAnsi="Baskerville Old Face"/>
          <w:i/>
          <w:iCs/>
        </w:rPr>
        <w:t>Neighborhood or governance review.</w:t>
      </w:r>
    </w:p>
    <w:p w14:paraId="504E018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warrant should be reviewed by the relevant validation neighborhood, governance circle, protocol steward group, or protected-domain review body.</w:t>
      </w:r>
    </w:p>
    <w:p w14:paraId="5B9C9DAF" w14:textId="44A0F71A" w:rsidR="00EB0717" w:rsidRPr="00B479AE" w:rsidRDefault="005907F1" w:rsidP="005907F1">
      <w:pPr>
        <w:spacing w:line="360" w:lineRule="auto"/>
        <w:rPr>
          <w:rFonts w:ascii="Baskerville Old Face" w:hAnsi="Baskerville Old Face"/>
          <w:i/>
          <w:iCs/>
        </w:rPr>
      </w:pPr>
      <w:r>
        <w:rPr>
          <w:rFonts w:ascii="Baskerville Old Face" w:hAnsi="Baskerville Old Face"/>
          <w:i/>
          <w:iCs/>
        </w:rPr>
        <w:t xml:space="preserve">5. </w:t>
      </w:r>
      <w:r w:rsidR="00EB0717" w:rsidRPr="00B479AE">
        <w:rPr>
          <w:rFonts w:ascii="Baskerville Old Face" w:hAnsi="Baskerville Old Face"/>
          <w:i/>
          <w:iCs/>
        </w:rPr>
        <w:t>Determination.</w:t>
      </w:r>
    </w:p>
    <w:p w14:paraId="225A2B0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review may result in:</w:t>
      </w:r>
    </w:p>
    <w:p w14:paraId="783166F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no action;</w:t>
      </w:r>
    </w:p>
    <w:p w14:paraId="1A47C6C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correction request;</w:t>
      </w:r>
    </w:p>
    <w:p w14:paraId="4EA1B13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warning;</w:t>
      </w:r>
    </w:p>
    <w:p w14:paraId="2C18343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review-required status;</w:t>
      </w:r>
    </w:p>
    <w:p w14:paraId="379711E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compatibility downgrade;</w:t>
      </w:r>
    </w:p>
    <w:p w14:paraId="39964CB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lastRenderedPageBreak/>
        <w:t>• restricted status;</w:t>
      </w:r>
    </w:p>
    <w:p w14:paraId="5609F01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non-admissible status;</w:t>
      </w:r>
    </w:p>
    <w:p w14:paraId="564D1DA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quarantine;</w:t>
      </w:r>
    </w:p>
    <w:p w14:paraId="6777E523"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certification suspension or revocation where applicable;</w:t>
      </w:r>
    </w:p>
    <w:p w14:paraId="7D9E5C8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role limitation;</w:t>
      </w:r>
    </w:p>
    <w:p w14:paraId="3F4FDD8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access limitation;</w:t>
      </w:r>
    </w:p>
    <w:p w14:paraId="75F2C9C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public correction notice;</w:t>
      </w:r>
    </w:p>
    <w:p w14:paraId="7E33BE8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legal review.</w:t>
      </w:r>
    </w:p>
    <w:p w14:paraId="2221C007" w14:textId="776B0ECB" w:rsidR="00EB0717" w:rsidRPr="00B479AE" w:rsidRDefault="005907F1" w:rsidP="005907F1">
      <w:pPr>
        <w:spacing w:line="360" w:lineRule="auto"/>
        <w:rPr>
          <w:rFonts w:ascii="Baskerville Old Face" w:hAnsi="Baskerville Old Face"/>
          <w:i/>
          <w:iCs/>
        </w:rPr>
      </w:pPr>
      <w:r>
        <w:rPr>
          <w:rFonts w:ascii="Baskerville Old Face" w:hAnsi="Baskerville Old Face"/>
          <w:i/>
          <w:iCs/>
        </w:rPr>
        <w:t xml:space="preserve">6. </w:t>
      </w:r>
      <w:r w:rsidR="00EB0717" w:rsidRPr="00B479AE">
        <w:rPr>
          <w:rFonts w:ascii="Baskerville Old Face" w:hAnsi="Baskerville Old Face"/>
          <w:i/>
          <w:iCs/>
        </w:rPr>
        <w:t>Appeal.</w:t>
      </w:r>
    </w:p>
    <w:p w14:paraId="03D084D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Warrants and material adverse determinations should be appealable to the appropriate higher circle or review body, up to the Prometheus circle where source-layer meaning is implicated.</w:t>
      </w:r>
    </w:p>
    <w:p w14:paraId="71840935" w14:textId="34AC1F1E" w:rsidR="00EB0717" w:rsidRPr="00B479AE" w:rsidRDefault="005907F1" w:rsidP="005907F1">
      <w:pPr>
        <w:spacing w:line="360" w:lineRule="auto"/>
        <w:rPr>
          <w:rFonts w:ascii="Baskerville Old Face" w:hAnsi="Baskerville Old Face"/>
          <w:i/>
          <w:iCs/>
        </w:rPr>
      </w:pPr>
      <w:r>
        <w:rPr>
          <w:rFonts w:ascii="Baskerville Old Face" w:hAnsi="Baskerville Old Face"/>
          <w:i/>
          <w:iCs/>
        </w:rPr>
        <w:t xml:space="preserve">7. </w:t>
      </w:r>
      <w:r w:rsidR="00EB0717" w:rsidRPr="00B479AE">
        <w:rPr>
          <w:rFonts w:ascii="Baskerville Old Face" w:hAnsi="Baskerville Old Face"/>
          <w:i/>
          <w:iCs/>
        </w:rPr>
        <w:t>Record update.</w:t>
      </w:r>
    </w:p>
    <w:p w14:paraId="71623AC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outcome should be recorded with rationale, evidence reviewed, determination, scope, duration, and appeal status.</w:t>
      </w:r>
    </w:p>
    <w:p w14:paraId="6076B0C0"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I-A.4.3 False warrant penalties</w:t>
      </w:r>
    </w:p>
    <w:p w14:paraId="44678D5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To prevent abuse, false, reckless, malicious, or bad-faith warrant issuance should itself create consequences.</w:t>
      </w:r>
    </w:p>
    <w:p w14:paraId="53A6296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Possible consequences may include:</w:t>
      </w:r>
    </w:p>
    <w:p w14:paraId="288F5CB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reputation loss for the issuing node or agent;</w:t>
      </w:r>
    </w:p>
    <w:p w14:paraId="1EE49B7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review-required status;</w:t>
      </w:r>
    </w:p>
    <w:p w14:paraId="432D0CE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restriction from validation roles;</w:t>
      </w:r>
    </w:p>
    <w:p w14:paraId="3254F09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remediation requirement;</w:t>
      </w:r>
    </w:p>
    <w:p w14:paraId="7F9F395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compatibility downgrade;</w:t>
      </w:r>
    </w:p>
    <w:p w14:paraId="1A684A1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lastRenderedPageBreak/>
        <w:t>• temporary or permanent role limitation;</w:t>
      </w:r>
    </w:p>
    <w:p w14:paraId="2DEF8C9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access limitation;</w:t>
      </w:r>
    </w:p>
    <w:p w14:paraId="59F1E2E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legal review where applicable.</w:t>
      </w:r>
    </w:p>
    <w:p w14:paraId="2F99EA5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Any TRBK-related consequence, if ever applicable, must be governed by a separate legally reviewed instrument, explicit disclosures, governance approval, and jurisdiction-specific compliance.</w:t>
      </w:r>
    </w:p>
    <w:p w14:paraId="3EC0F21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Ordinary Prometheus governance should prefer review-required status, restriction, non-admissibility, quarantine, remediation, compatibility revocation, or role limitation over automatic token penalties.</w:t>
      </w:r>
    </w:p>
    <w:p w14:paraId="0B132875"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I-A.5 Integration with other DNAs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9"/>
        <w:gridCol w:w="7629"/>
      </w:tblGrid>
      <w:tr w:rsidR="00EB0717" w:rsidRPr="00B479AE" w14:paraId="79F780B0" w14:textId="77777777" w:rsidTr="00410962">
        <w:trPr>
          <w:tblHeader/>
          <w:tblCellSpacing w:w="15" w:type="dxa"/>
        </w:trPr>
        <w:tc>
          <w:tcPr>
            <w:tcW w:w="0" w:type="auto"/>
            <w:vAlign w:val="center"/>
            <w:hideMark/>
          </w:tcPr>
          <w:p w14:paraId="7903BF68"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DNA</w:t>
            </w:r>
          </w:p>
        </w:tc>
        <w:tc>
          <w:tcPr>
            <w:tcW w:w="0" w:type="auto"/>
            <w:vAlign w:val="center"/>
            <w:hideMark/>
          </w:tcPr>
          <w:p w14:paraId="1FD2EDBF"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Integration point</w:t>
            </w:r>
          </w:p>
        </w:tc>
      </w:tr>
      <w:tr w:rsidR="00EB0717" w:rsidRPr="00B479AE" w14:paraId="5C4D1749" w14:textId="77777777" w:rsidTr="00410962">
        <w:trPr>
          <w:tblCellSpacing w:w="15" w:type="dxa"/>
        </w:trPr>
        <w:tc>
          <w:tcPr>
            <w:tcW w:w="0" w:type="auto"/>
            <w:vAlign w:val="center"/>
            <w:hideMark/>
          </w:tcPr>
          <w:p w14:paraId="2710EB02"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REA / Valueflows</w:t>
            </w:r>
          </w:p>
        </w:tc>
        <w:tc>
          <w:tcPr>
            <w:tcW w:w="0" w:type="auto"/>
            <w:vAlign w:val="center"/>
            <w:hideMark/>
          </w:tcPr>
          <w:p w14:paraId="4F1463FF"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Reputation updates may be informed by completed commitments, contribution records, disputed events, and role performance</w:t>
            </w:r>
          </w:p>
        </w:tc>
      </w:tr>
      <w:tr w:rsidR="00EB0717" w:rsidRPr="00B479AE" w14:paraId="6AF9CBC4" w14:textId="77777777" w:rsidTr="00410962">
        <w:trPr>
          <w:tblCellSpacing w:w="15" w:type="dxa"/>
        </w:trPr>
        <w:tc>
          <w:tcPr>
            <w:tcW w:w="0" w:type="auto"/>
            <w:vAlign w:val="center"/>
            <w:hideMark/>
          </w:tcPr>
          <w:p w14:paraId="148329B5"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MRV</w:t>
            </w:r>
          </w:p>
        </w:tc>
        <w:tc>
          <w:tcPr>
            <w:tcW w:w="0" w:type="auto"/>
            <w:vAlign w:val="center"/>
            <w:hideMark/>
          </w:tcPr>
          <w:p w14:paraId="06E3C499"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Validation accuracy, evidence quality, audit alignment, and data-integrity issues may inform reputation or warrant status</w:t>
            </w:r>
          </w:p>
        </w:tc>
      </w:tr>
      <w:tr w:rsidR="00EB0717" w:rsidRPr="00B479AE" w14:paraId="51EE037E" w14:textId="77777777" w:rsidTr="00410962">
        <w:trPr>
          <w:tblCellSpacing w:w="15" w:type="dxa"/>
        </w:trPr>
        <w:tc>
          <w:tcPr>
            <w:tcW w:w="0" w:type="auto"/>
            <w:vAlign w:val="center"/>
            <w:hideMark/>
          </w:tcPr>
          <w:p w14:paraId="0C0B0229"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TRBK</w:t>
            </w:r>
          </w:p>
        </w:tc>
        <w:tc>
          <w:tcPr>
            <w:tcW w:w="0" w:type="auto"/>
            <w:vAlign w:val="center"/>
            <w:hideMark/>
          </w:tcPr>
          <w:p w14:paraId="1D5E9E5C"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TRBK may support bounded governance participation, access, contribution recognition, or coordination where legally and constitutionally defined; it should not create automatic authority, staking supremacy, or slashing-based constitutional control</w:t>
            </w:r>
          </w:p>
        </w:tc>
      </w:tr>
      <w:tr w:rsidR="00EB0717" w:rsidRPr="00B479AE" w14:paraId="2F54A24C" w14:textId="77777777" w:rsidTr="00410962">
        <w:trPr>
          <w:tblCellSpacing w:w="15" w:type="dxa"/>
        </w:trPr>
        <w:tc>
          <w:tcPr>
            <w:tcW w:w="0" w:type="auto"/>
            <w:vAlign w:val="center"/>
            <w:hideMark/>
          </w:tcPr>
          <w:p w14:paraId="3308CAF9"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Holo Hosting / operational infrastructure</w:t>
            </w:r>
          </w:p>
        </w:tc>
        <w:tc>
          <w:tcPr>
            <w:tcW w:w="0" w:type="auto"/>
            <w:vAlign w:val="center"/>
            <w:hideMark/>
          </w:tcPr>
          <w:p w14:paraId="735F6FE5"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Uptime, service reliability, node behavior, and operational integrity may inform role suitability and infrastructure reputation</w:t>
            </w:r>
          </w:p>
        </w:tc>
      </w:tr>
      <w:tr w:rsidR="00EB0717" w:rsidRPr="00B479AE" w14:paraId="306FFDCA" w14:textId="77777777" w:rsidTr="00410962">
        <w:trPr>
          <w:tblCellSpacing w:w="15" w:type="dxa"/>
        </w:trPr>
        <w:tc>
          <w:tcPr>
            <w:tcW w:w="0" w:type="auto"/>
            <w:vAlign w:val="center"/>
            <w:hideMark/>
          </w:tcPr>
          <w:p w14:paraId="5CE30C0F"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Decision Log</w:t>
            </w:r>
          </w:p>
        </w:tc>
        <w:tc>
          <w:tcPr>
            <w:tcW w:w="0" w:type="auto"/>
            <w:vAlign w:val="center"/>
            <w:hideMark/>
          </w:tcPr>
          <w:p w14:paraId="0D527C1C"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Governance decisions, objections, consent records, amendments, reviews, and appeals should be recorded for auditability and future learning</w:t>
            </w:r>
          </w:p>
        </w:tc>
      </w:tr>
      <w:tr w:rsidR="00EB0717" w:rsidRPr="00B479AE" w14:paraId="474364B1" w14:textId="77777777" w:rsidTr="00410962">
        <w:trPr>
          <w:tblCellSpacing w:w="15" w:type="dxa"/>
        </w:trPr>
        <w:tc>
          <w:tcPr>
            <w:tcW w:w="0" w:type="auto"/>
            <w:vAlign w:val="center"/>
            <w:hideMark/>
          </w:tcPr>
          <w:p w14:paraId="5367EA06"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Canonical Registry</w:t>
            </w:r>
          </w:p>
        </w:tc>
        <w:tc>
          <w:tcPr>
            <w:tcW w:w="0" w:type="auto"/>
            <w:vAlign w:val="center"/>
            <w:hideMark/>
          </w:tcPr>
          <w:p w14:paraId="5489D87F"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Fork status, implementation status, compatibility claims, certification claims, and public-claim boundaries may be linked to registry status</w:t>
            </w:r>
          </w:p>
        </w:tc>
      </w:tr>
    </w:tbl>
    <w:p w14:paraId="7F7AAAFF"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I-A.6 Privacy and transparency</w:t>
      </w:r>
    </w:p>
    <w:p w14:paraId="1FFEEA8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Governance &amp; Reputation DNA should balance radical auditability with privacy, dignity, purpose limitation, and proportional disclosure.</w:t>
      </w:r>
    </w:p>
    <w:p w14:paraId="11781A7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lastRenderedPageBreak/>
        <w:t>Prometheus should distinguish between public decisions, private deliberation, individual voting choices, aggregate reputation, component-level reputation, warrants, protected-domain records, and legally sensitive materials.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4275"/>
        <w:gridCol w:w="3515"/>
      </w:tblGrid>
      <w:tr w:rsidR="00EB0717" w:rsidRPr="00B479AE" w14:paraId="6FFC4CEA" w14:textId="77777777" w:rsidTr="00410962">
        <w:trPr>
          <w:tblHeader/>
          <w:tblCellSpacing w:w="15" w:type="dxa"/>
        </w:trPr>
        <w:tc>
          <w:tcPr>
            <w:tcW w:w="0" w:type="auto"/>
            <w:vAlign w:val="center"/>
            <w:hideMark/>
          </w:tcPr>
          <w:p w14:paraId="479CA791"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Data type</w:t>
            </w:r>
          </w:p>
        </w:tc>
        <w:tc>
          <w:tcPr>
            <w:tcW w:w="0" w:type="auto"/>
            <w:vAlign w:val="center"/>
            <w:hideMark/>
          </w:tcPr>
          <w:p w14:paraId="5FD53912"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Visibility</w:t>
            </w:r>
          </w:p>
        </w:tc>
        <w:tc>
          <w:tcPr>
            <w:tcW w:w="0" w:type="auto"/>
            <w:vAlign w:val="center"/>
            <w:hideMark/>
          </w:tcPr>
          <w:p w14:paraId="11FB47C0"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Privacy mechanism</w:t>
            </w:r>
          </w:p>
        </w:tc>
      </w:tr>
      <w:tr w:rsidR="00EB0717" w:rsidRPr="00B479AE" w14:paraId="7E69C2A2" w14:textId="77777777" w:rsidTr="00410962">
        <w:trPr>
          <w:tblCellSpacing w:w="15" w:type="dxa"/>
        </w:trPr>
        <w:tc>
          <w:tcPr>
            <w:tcW w:w="0" w:type="auto"/>
            <w:vAlign w:val="center"/>
            <w:hideMark/>
          </w:tcPr>
          <w:p w14:paraId="3D1FA7BE"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Final decisions</w:t>
            </w:r>
          </w:p>
        </w:tc>
        <w:tc>
          <w:tcPr>
            <w:tcW w:w="0" w:type="auto"/>
            <w:vAlign w:val="center"/>
            <w:hideMark/>
          </w:tcPr>
          <w:p w14:paraId="0272EBE2"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Public or registry-visible where appropriate</w:t>
            </w:r>
          </w:p>
        </w:tc>
        <w:tc>
          <w:tcPr>
            <w:tcW w:w="0" w:type="auto"/>
            <w:vAlign w:val="center"/>
            <w:hideMark/>
          </w:tcPr>
          <w:p w14:paraId="0DCFF800"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No privacy required unless legally or ethically sensitive</w:t>
            </w:r>
          </w:p>
        </w:tc>
      </w:tr>
      <w:tr w:rsidR="00EB0717" w:rsidRPr="00B479AE" w14:paraId="5678D5E6" w14:textId="77777777" w:rsidTr="00410962">
        <w:trPr>
          <w:tblCellSpacing w:w="15" w:type="dxa"/>
        </w:trPr>
        <w:tc>
          <w:tcPr>
            <w:tcW w:w="0" w:type="auto"/>
            <w:vAlign w:val="center"/>
            <w:hideMark/>
          </w:tcPr>
          <w:p w14:paraId="3A5CBF42"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Individual votes</w:t>
            </w:r>
          </w:p>
        </w:tc>
        <w:tc>
          <w:tcPr>
            <w:tcW w:w="0" w:type="auto"/>
            <w:vAlign w:val="center"/>
            <w:hideMark/>
          </w:tcPr>
          <w:p w14:paraId="13220AF1"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Circle-configurable: public, delayed disclosure, private, or selectively disclosed</w:t>
            </w:r>
          </w:p>
        </w:tc>
        <w:tc>
          <w:tcPr>
            <w:tcW w:w="0" w:type="auto"/>
            <w:vAlign w:val="center"/>
            <w:hideMark/>
          </w:tcPr>
          <w:p w14:paraId="1C0A695D"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Selective disclosure, zero-knowledge proof, or circle-level confidentiality where appropriate</w:t>
            </w:r>
          </w:p>
        </w:tc>
      </w:tr>
      <w:tr w:rsidR="00EB0717" w:rsidRPr="00B479AE" w14:paraId="79BEBF6C" w14:textId="77777777" w:rsidTr="00410962">
        <w:trPr>
          <w:tblCellSpacing w:w="15" w:type="dxa"/>
        </w:trPr>
        <w:tc>
          <w:tcPr>
            <w:tcW w:w="0" w:type="auto"/>
            <w:vAlign w:val="center"/>
            <w:hideMark/>
          </w:tcPr>
          <w:p w14:paraId="74B2AC79"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Reputation aggregate</w:t>
            </w:r>
          </w:p>
        </w:tc>
        <w:tc>
          <w:tcPr>
            <w:tcW w:w="0" w:type="auto"/>
            <w:vAlign w:val="center"/>
            <w:hideMark/>
          </w:tcPr>
          <w:p w14:paraId="058F8895"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Context-dependent; may be public, limited, or role-specific</w:t>
            </w:r>
          </w:p>
        </w:tc>
        <w:tc>
          <w:tcPr>
            <w:tcW w:w="0" w:type="auto"/>
            <w:vAlign w:val="center"/>
            <w:hideMark/>
          </w:tcPr>
          <w:p w14:paraId="6E7781E2"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Selective disclosure, Merkle proofs, permissioned access, or privacy-preserving attestations</w:t>
            </w:r>
          </w:p>
        </w:tc>
      </w:tr>
      <w:tr w:rsidR="00EB0717" w:rsidRPr="00B479AE" w14:paraId="0494EAF9" w14:textId="77777777" w:rsidTr="00410962">
        <w:trPr>
          <w:tblCellSpacing w:w="15" w:type="dxa"/>
        </w:trPr>
        <w:tc>
          <w:tcPr>
            <w:tcW w:w="0" w:type="auto"/>
            <w:vAlign w:val="center"/>
            <w:hideMark/>
          </w:tcPr>
          <w:p w14:paraId="25C28A0C"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Reputation components</w:t>
            </w:r>
          </w:p>
        </w:tc>
        <w:tc>
          <w:tcPr>
            <w:tcW w:w="0" w:type="auto"/>
            <w:vAlign w:val="center"/>
            <w:hideMark/>
          </w:tcPr>
          <w:p w14:paraId="3336B2EB"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Generally private or limited to relevant review body</w:t>
            </w:r>
          </w:p>
        </w:tc>
        <w:tc>
          <w:tcPr>
            <w:tcW w:w="0" w:type="auto"/>
            <w:vAlign w:val="center"/>
            <w:hideMark/>
          </w:tcPr>
          <w:p w14:paraId="547AC2ED"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Component-level privacy, purpose limitation, access logs</w:t>
            </w:r>
          </w:p>
        </w:tc>
      </w:tr>
      <w:tr w:rsidR="00EB0717" w:rsidRPr="00B479AE" w14:paraId="4A4FD95C" w14:textId="77777777" w:rsidTr="00410962">
        <w:trPr>
          <w:tblCellSpacing w:w="15" w:type="dxa"/>
        </w:trPr>
        <w:tc>
          <w:tcPr>
            <w:tcW w:w="0" w:type="auto"/>
            <w:vAlign w:val="center"/>
            <w:hideMark/>
          </w:tcPr>
          <w:p w14:paraId="60070302"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Warrants / adverse integrity records</w:t>
            </w:r>
          </w:p>
        </w:tc>
        <w:tc>
          <w:tcPr>
            <w:tcW w:w="0" w:type="auto"/>
            <w:vAlign w:val="center"/>
            <w:hideMark/>
          </w:tcPr>
          <w:p w14:paraId="080B588B"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Visible to relevant review bodies; public only where necessary for protection, certification, registry, or public-claim clarity</w:t>
            </w:r>
          </w:p>
        </w:tc>
        <w:tc>
          <w:tcPr>
            <w:tcW w:w="0" w:type="auto"/>
            <w:vAlign w:val="center"/>
            <w:hideMark/>
          </w:tcPr>
          <w:p w14:paraId="365086CB"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Due process, scope limitation, appeal records</w:t>
            </w:r>
          </w:p>
        </w:tc>
      </w:tr>
      <w:tr w:rsidR="00EB0717" w:rsidRPr="00B479AE" w14:paraId="3477F2E2" w14:textId="77777777" w:rsidTr="00410962">
        <w:trPr>
          <w:tblCellSpacing w:w="15" w:type="dxa"/>
        </w:trPr>
        <w:tc>
          <w:tcPr>
            <w:tcW w:w="0" w:type="auto"/>
            <w:vAlign w:val="center"/>
            <w:hideMark/>
          </w:tcPr>
          <w:p w14:paraId="7452806D"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HSI-related context</w:t>
            </w:r>
          </w:p>
        </w:tc>
        <w:tc>
          <w:tcPr>
            <w:tcW w:w="0" w:type="auto"/>
            <w:vAlign w:val="center"/>
            <w:hideMark/>
          </w:tcPr>
          <w:p w14:paraId="1C15C5EB"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Private, voluntary, consent-based, time-limited</w:t>
            </w:r>
          </w:p>
        </w:tc>
        <w:tc>
          <w:tcPr>
            <w:tcW w:w="0" w:type="auto"/>
            <w:vAlign w:val="center"/>
            <w:hideMark/>
          </w:tcPr>
          <w:p w14:paraId="0A5686A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No personally identifiable disclosure by default; research or reflection only</w:t>
            </w:r>
          </w:p>
        </w:tc>
      </w:tr>
    </w:tbl>
    <w:p w14:paraId="78AD8F8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Detailed technical specifications, including complete data structures, validation rules, privacy controls, DHT behavior, zome functions, and API endpoints, should be maintained in the separate technical documentation package.</w:t>
      </w:r>
    </w:p>
    <w:p w14:paraId="56DCDEFE" w14:textId="77777777" w:rsidR="00EB0717" w:rsidRPr="005907F1" w:rsidRDefault="00EB0717" w:rsidP="005907F1">
      <w:pPr>
        <w:pStyle w:val="Titolo1"/>
        <w:rPr>
          <w:rFonts w:ascii="Baskerville Old Face" w:hAnsi="Baskerville Old Face"/>
          <w:b/>
          <w:bCs/>
          <w:i/>
          <w:iCs/>
          <w:sz w:val="24"/>
          <w:szCs w:val="24"/>
        </w:rPr>
      </w:pPr>
      <w:r w:rsidRPr="005907F1">
        <w:rPr>
          <w:rFonts w:ascii="Baskerville Old Face" w:hAnsi="Baskerville Old Face"/>
          <w:b/>
          <w:bCs/>
          <w:i/>
          <w:iCs/>
          <w:sz w:val="24"/>
          <w:szCs w:val="24"/>
        </w:rPr>
        <w:t>Appendix J: REA / Valueflows DNA Specification</w:t>
      </w:r>
    </w:p>
    <w:p w14:paraId="72639B6D"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J.1 Overview</w:t>
      </w:r>
    </w:p>
    <w:p w14:paraId="724E86A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REA / Valueflows DNA implements a multidimensional accounting framework based on the Resource-Event-Agent ontology, extended for regenerative applications.</w:t>
      </w:r>
    </w:p>
    <w:p w14:paraId="4991923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lastRenderedPageBreak/>
        <w:t>It provides foundational data structures for tracking value flows within the h•eart•h ecosystem: ecological, social, operational, economic, relational, and governance-related.</w:t>
      </w:r>
    </w:p>
    <w:p w14:paraId="70A2E2B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Its purpose is not to reduce living systems to financial entries.</w:t>
      </w:r>
    </w:p>
    <w:p w14:paraId="33E0F3D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Its purpose is to preserve the path from resource to event, from event to agent, from agent to evidence, from evidence to review, and from review to admissible value interpretation.</w:t>
      </w:r>
    </w:p>
    <w:p w14:paraId="57F7DCD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DNA is designed to be:</w:t>
      </w:r>
    </w:p>
    <w:p w14:paraId="5ADF29F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agent-centric: each agent maintains its own source chain of events, with shared validation through Holochain-compatible infrastructure;</w:t>
      </w:r>
    </w:p>
    <w:p w14:paraId="3E5A0C73"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multidimensional: resources, events, commitments, agents, evidence, locations, and time windows can be represented without collapsing them into one metric;</w:t>
      </w:r>
    </w:p>
    <w:p w14:paraId="1F9C6D33"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temporally aware: every event is linked to time windows, allowing historical reconstruction, performance review, and future planning;</w:t>
      </w:r>
    </w:p>
    <w:p w14:paraId="4F15F3B3"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ecologically grounded: relevant events may be linked to site, ecosystem, OHE, MRV evidence, PHI context, PRU analysis, or RAP screening;</w:t>
      </w:r>
    </w:p>
    <w:p w14:paraId="1833006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constitutionally compliant: all entries should carry the syntropic sovereignty header or equivalent canonical integrity metadata;</w:t>
      </w:r>
    </w:p>
    <w:p w14:paraId="77A267B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review-bound: entries may support value interpretation only where evidence, methodology, governance, and legal structure allow.</w:t>
      </w:r>
    </w:p>
    <w:p w14:paraId="2C71FFEC"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J.2 Core data structures</w:t>
      </w:r>
    </w:p>
    <w:p w14:paraId="2C73C0CD"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J.2.1 Resource</w:t>
      </w:r>
    </w:p>
    <w:p w14:paraId="6FB8378F"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 resource is anything that is identified, quantified, and relevant to agents within the Prometheus ecosystem.</w:t>
      </w:r>
    </w:p>
    <w:p w14:paraId="093866E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 resource may be tangible or intangible.</w:t>
      </w:r>
    </w:p>
    <w:p w14:paraId="53D092C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Examples may include land-use rights, water access, biomass, food output, labor, knowledge, operational capacity, ecological performance claims, data records, reputation context, or digital coordination assets.</w:t>
      </w:r>
    </w:p>
    <w:p w14:paraId="039C5EA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lastRenderedPageBreak/>
        <w:t>The resource model should not imply ownership of living beings, automatic ecological credit issuance, investor rights, or market entitlement.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6"/>
        <w:gridCol w:w="1571"/>
        <w:gridCol w:w="5835"/>
        <w:gridCol w:w="906"/>
      </w:tblGrid>
      <w:tr w:rsidR="00EB0717" w:rsidRPr="00B479AE" w14:paraId="05C532F1" w14:textId="77777777" w:rsidTr="00410962">
        <w:trPr>
          <w:tblHeader/>
          <w:tblCellSpacing w:w="15" w:type="dxa"/>
        </w:trPr>
        <w:tc>
          <w:tcPr>
            <w:tcW w:w="0" w:type="auto"/>
            <w:vAlign w:val="center"/>
            <w:hideMark/>
          </w:tcPr>
          <w:p w14:paraId="20E7C52C"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Field</w:t>
            </w:r>
          </w:p>
        </w:tc>
        <w:tc>
          <w:tcPr>
            <w:tcW w:w="0" w:type="auto"/>
            <w:vAlign w:val="center"/>
            <w:hideMark/>
          </w:tcPr>
          <w:p w14:paraId="7683EBAB"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Type</w:t>
            </w:r>
          </w:p>
        </w:tc>
        <w:tc>
          <w:tcPr>
            <w:tcW w:w="0" w:type="auto"/>
            <w:vAlign w:val="center"/>
            <w:hideMark/>
          </w:tcPr>
          <w:p w14:paraId="3DF4F249"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Description</w:t>
            </w:r>
          </w:p>
        </w:tc>
        <w:tc>
          <w:tcPr>
            <w:tcW w:w="0" w:type="auto"/>
            <w:vAlign w:val="center"/>
            <w:hideMark/>
          </w:tcPr>
          <w:p w14:paraId="78FFBB66"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Required</w:t>
            </w:r>
          </w:p>
        </w:tc>
      </w:tr>
      <w:tr w:rsidR="00EB0717" w:rsidRPr="00B479AE" w14:paraId="514DC788" w14:textId="77777777" w:rsidTr="00410962">
        <w:trPr>
          <w:tblCellSpacing w:w="15" w:type="dxa"/>
        </w:trPr>
        <w:tc>
          <w:tcPr>
            <w:tcW w:w="0" w:type="auto"/>
            <w:vAlign w:val="center"/>
            <w:hideMark/>
          </w:tcPr>
          <w:p w14:paraId="793FF6D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id</w:t>
            </w:r>
          </w:p>
        </w:tc>
        <w:tc>
          <w:tcPr>
            <w:tcW w:w="0" w:type="auto"/>
            <w:vAlign w:val="center"/>
            <w:hideMark/>
          </w:tcPr>
          <w:p w14:paraId="25ED1476"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Hash</w:t>
            </w:r>
          </w:p>
        </w:tc>
        <w:tc>
          <w:tcPr>
            <w:tcW w:w="0" w:type="auto"/>
            <w:vAlign w:val="center"/>
            <w:hideMark/>
          </w:tcPr>
          <w:p w14:paraId="1336A6A5"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Unique identifier or hash of genesis entry</w:t>
            </w:r>
          </w:p>
        </w:tc>
        <w:tc>
          <w:tcPr>
            <w:tcW w:w="0" w:type="auto"/>
            <w:vAlign w:val="center"/>
            <w:hideMark/>
          </w:tcPr>
          <w:p w14:paraId="32A3CF20"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r w:rsidR="00EB0717" w:rsidRPr="00B479AE" w14:paraId="3AFFAE51" w14:textId="77777777" w:rsidTr="00410962">
        <w:trPr>
          <w:tblCellSpacing w:w="15" w:type="dxa"/>
        </w:trPr>
        <w:tc>
          <w:tcPr>
            <w:tcW w:w="0" w:type="auto"/>
            <w:vAlign w:val="center"/>
            <w:hideMark/>
          </w:tcPr>
          <w:p w14:paraId="2FEC7C22"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name</w:t>
            </w:r>
          </w:p>
        </w:tc>
        <w:tc>
          <w:tcPr>
            <w:tcW w:w="0" w:type="auto"/>
            <w:vAlign w:val="center"/>
            <w:hideMark/>
          </w:tcPr>
          <w:p w14:paraId="1E62E205"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String</w:t>
            </w:r>
          </w:p>
        </w:tc>
        <w:tc>
          <w:tcPr>
            <w:tcW w:w="0" w:type="auto"/>
            <w:vAlign w:val="center"/>
            <w:hideMark/>
          </w:tcPr>
          <w:p w14:paraId="5285A019"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Human-readable name</w:t>
            </w:r>
          </w:p>
        </w:tc>
        <w:tc>
          <w:tcPr>
            <w:tcW w:w="0" w:type="auto"/>
            <w:vAlign w:val="center"/>
            <w:hideMark/>
          </w:tcPr>
          <w:p w14:paraId="6B5BC774"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r w:rsidR="00EB0717" w:rsidRPr="00B479AE" w14:paraId="72EA4909" w14:textId="77777777" w:rsidTr="00410962">
        <w:trPr>
          <w:tblCellSpacing w:w="15" w:type="dxa"/>
        </w:trPr>
        <w:tc>
          <w:tcPr>
            <w:tcW w:w="0" w:type="auto"/>
            <w:vAlign w:val="center"/>
            <w:hideMark/>
          </w:tcPr>
          <w:p w14:paraId="7DCF38F5"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resource_type</w:t>
            </w:r>
          </w:p>
        </w:tc>
        <w:tc>
          <w:tcPr>
            <w:tcW w:w="0" w:type="auto"/>
            <w:vAlign w:val="center"/>
            <w:hideMark/>
          </w:tcPr>
          <w:p w14:paraId="11C8FF8D"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Enum</w:t>
            </w:r>
          </w:p>
        </w:tc>
        <w:tc>
          <w:tcPr>
            <w:tcW w:w="0" w:type="auto"/>
            <w:vAlign w:val="center"/>
            <w:hideMark/>
          </w:tcPr>
          <w:p w14:paraId="6700711A"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land_use_right, water_access, biomass, food_output, ecological_performance_claim, biodiversity_record, data_record, labor, knowledge, reputation_context, digital_asset, other</w:t>
            </w:r>
          </w:p>
        </w:tc>
        <w:tc>
          <w:tcPr>
            <w:tcW w:w="0" w:type="auto"/>
            <w:vAlign w:val="center"/>
            <w:hideMark/>
          </w:tcPr>
          <w:p w14:paraId="16FFEB15"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r w:rsidR="00EB0717" w:rsidRPr="00B479AE" w14:paraId="2906CAEF" w14:textId="77777777" w:rsidTr="00410962">
        <w:trPr>
          <w:tblCellSpacing w:w="15" w:type="dxa"/>
        </w:trPr>
        <w:tc>
          <w:tcPr>
            <w:tcW w:w="0" w:type="auto"/>
            <w:vAlign w:val="center"/>
            <w:hideMark/>
          </w:tcPr>
          <w:p w14:paraId="2100D841"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quantity</w:t>
            </w:r>
          </w:p>
        </w:tc>
        <w:tc>
          <w:tcPr>
            <w:tcW w:w="0" w:type="auto"/>
            <w:vAlign w:val="center"/>
            <w:hideMark/>
          </w:tcPr>
          <w:p w14:paraId="3875045D"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Float</w:t>
            </w:r>
          </w:p>
        </w:tc>
        <w:tc>
          <w:tcPr>
            <w:tcW w:w="0" w:type="auto"/>
            <w:vAlign w:val="center"/>
            <w:hideMark/>
          </w:tcPr>
          <w:p w14:paraId="7C3539F3"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Current amount or recorded quantity, where applicable</w:t>
            </w:r>
          </w:p>
        </w:tc>
        <w:tc>
          <w:tcPr>
            <w:tcW w:w="0" w:type="auto"/>
            <w:vAlign w:val="center"/>
            <w:hideMark/>
          </w:tcPr>
          <w:p w14:paraId="20FD1B23"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r w:rsidR="00EB0717" w:rsidRPr="00B479AE" w14:paraId="52B8C534" w14:textId="77777777" w:rsidTr="00410962">
        <w:trPr>
          <w:tblCellSpacing w:w="15" w:type="dxa"/>
        </w:trPr>
        <w:tc>
          <w:tcPr>
            <w:tcW w:w="0" w:type="auto"/>
            <w:vAlign w:val="center"/>
            <w:hideMark/>
          </w:tcPr>
          <w:p w14:paraId="04A3F5AA"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unit</w:t>
            </w:r>
          </w:p>
        </w:tc>
        <w:tc>
          <w:tcPr>
            <w:tcW w:w="0" w:type="auto"/>
            <w:vAlign w:val="center"/>
            <w:hideMark/>
          </w:tcPr>
          <w:p w14:paraId="21142F23"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String</w:t>
            </w:r>
          </w:p>
        </w:tc>
        <w:tc>
          <w:tcPr>
            <w:tcW w:w="0" w:type="auto"/>
            <w:vAlign w:val="center"/>
            <w:hideMark/>
          </w:tcPr>
          <w:p w14:paraId="1E6103EB"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Unit of measurement, such as hectares, tons, kWh, hours, index points, records, or equivalent</w:t>
            </w:r>
          </w:p>
        </w:tc>
        <w:tc>
          <w:tcPr>
            <w:tcW w:w="0" w:type="auto"/>
            <w:vAlign w:val="center"/>
            <w:hideMark/>
          </w:tcPr>
          <w:p w14:paraId="0AE01CAD"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r w:rsidR="00EB0717" w:rsidRPr="00B479AE" w14:paraId="3DF53DBC" w14:textId="77777777" w:rsidTr="00410962">
        <w:trPr>
          <w:tblCellSpacing w:w="15" w:type="dxa"/>
        </w:trPr>
        <w:tc>
          <w:tcPr>
            <w:tcW w:w="0" w:type="auto"/>
            <w:vAlign w:val="center"/>
            <w:hideMark/>
          </w:tcPr>
          <w:p w14:paraId="15724A1D"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location</w:t>
            </w:r>
          </w:p>
        </w:tc>
        <w:tc>
          <w:tcPr>
            <w:tcW w:w="0" w:type="auto"/>
            <w:vAlign w:val="center"/>
            <w:hideMark/>
          </w:tcPr>
          <w:p w14:paraId="5C91F56D"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GeoJSON</w:t>
            </w:r>
          </w:p>
        </w:tc>
        <w:tc>
          <w:tcPr>
            <w:tcW w:w="0" w:type="auto"/>
            <w:vAlign w:val="center"/>
            <w:hideMark/>
          </w:tcPr>
          <w:p w14:paraId="66814DF5"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Optional geographic coordinates or boundary</w:t>
            </w:r>
          </w:p>
        </w:tc>
        <w:tc>
          <w:tcPr>
            <w:tcW w:w="0" w:type="auto"/>
            <w:vAlign w:val="center"/>
            <w:hideMark/>
          </w:tcPr>
          <w:p w14:paraId="09989769" w14:textId="77777777" w:rsidR="00EB0717" w:rsidRPr="00B479AE" w:rsidRDefault="00EB0717" w:rsidP="00EB0717">
            <w:pPr>
              <w:spacing w:line="360" w:lineRule="auto"/>
              <w:rPr>
                <w:rFonts w:ascii="Baskerville Old Face" w:hAnsi="Baskerville Old Face"/>
                <w:i/>
                <w:iCs/>
                <w:sz w:val="22"/>
                <w:szCs w:val="22"/>
              </w:rPr>
            </w:pPr>
          </w:p>
        </w:tc>
      </w:tr>
      <w:tr w:rsidR="00EB0717" w:rsidRPr="00B479AE" w14:paraId="4E9BDA5F" w14:textId="77777777" w:rsidTr="00410962">
        <w:trPr>
          <w:tblCellSpacing w:w="15" w:type="dxa"/>
        </w:trPr>
        <w:tc>
          <w:tcPr>
            <w:tcW w:w="0" w:type="auto"/>
            <w:vAlign w:val="center"/>
            <w:hideMark/>
          </w:tcPr>
          <w:p w14:paraId="044E1DAE"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ecosystem_id</w:t>
            </w:r>
          </w:p>
        </w:tc>
        <w:tc>
          <w:tcPr>
            <w:tcW w:w="0" w:type="auto"/>
            <w:vAlign w:val="center"/>
            <w:hideMark/>
          </w:tcPr>
          <w:p w14:paraId="43D56185"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Hash</w:t>
            </w:r>
          </w:p>
        </w:tc>
        <w:tc>
          <w:tcPr>
            <w:tcW w:w="0" w:type="auto"/>
            <w:vAlign w:val="center"/>
            <w:hideMark/>
          </w:tcPr>
          <w:p w14:paraId="6C0B05D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Link to ecosystem, OHE, site, or project context where applicable</w:t>
            </w:r>
          </w:p>
        </w:tc>
        <w:tc>
          <w:tcPr>
            <w:tcW w:w="0" w:type="auto"/>
            <w:vAlign w:val="center"/>
            <w:hideMark/>
          </w:tcPr>
          <w:p w14:paraId="7DEB8009" w14:textId="77777777" w:rsidR="00EB0717" w:rsidRPr="00B479AE" w:rsidRDefault="00EB0717" w:rsidP="00EB0717">
            <w:pPr>
              <w:spacing w:line="360" w:lineRule="auto"/>
              <w:rPr>
                <w:rFonts w:ascii="Baskerville Old Face" w:hAnsi="Baskerville Old Face"/>
                <w:i/>
                <w:iCs/>
                <w:sz w:val="22"/>
                <w:szCs w:val="22"/>
              </w:rPr>
            </w:pPr>
          </w:p>
        </w:tc>
      </w:tr>
      <w:tr w:rsidR="00EB0717" w:rsidRPr="00B479AE" w14:paraId="0C032046" w14:textId="77777777" w:rsidTr="00410962">
        <w:trPr>
          <w:tblCellSpacing w:w="15" w:type="dxa"/>
        </w:trPr>
        <w:tc>
          <w:tcPr>
            <w:tcW w:w="0" w:type="auto"/>
            <w:vAlign w:val="center"/>
            <w:hideMark/>
          </w:tcPr>
          <w:p w14:paraId="4C154727"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metadata</w:t>
            </w:r>
          </w:p>
        </w:tc>
        <w:tc>
          <w:tcPr>
            <w:tcW w:w="0" w:type="auto"/>
            <w:vAlign w:val="center"/>
            <w:hideMark/>
          </w:tcPr>
          <w:p w14:paraId="6757786F"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JSON</w:t>
            </w:r>
          </w:p>
        </w:tc>
        <w:tc>
          <w:tcPr>
            <w:tcW w:w="0" w:type="auto"/>
            <w:vAlign w:val="center"/>
            <w:hideMark/>
          </w:tcPr>
          <w:p w14:paraId="21B42F4A"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Extended attributes, limitations, methodology references, or certification status where applicable</w:t>
            </w:r>
          </w:p>
        </w:tc>
        <w:tc>
          <w:tcPr>
            <w:tcW w:w="0" w:type="auto"/>
            <w:vAlign w:val="center"/>
            <w:hideMark/>
          </w:tcPr>
          <w:p w14:paraId="1886F21E" w14:textId="77777777" w:rsidR="00EB0717" w:rsidRPr="00B479AE" w:rsidRDefault="00EB0717" w:rsidP="00EB0717">
            <w:pPr>
              <w:spacing w:line="360" w:lineRule="auto"/>
              <w:rPr>
                <w:rFonts w:ascii="Baskerville Old Face" w:hAnsi="Baskerville Old Face"/>
                <w:i/>
                <w:iCs/>
                <w:sz w:val="22"/>
                <w:szCs w:val="22"/>
              </w:rPr>
            </w:pPr>
          </w:p>
        </w:tc>
      </w:tr>
      <w:tr w:rsidR="00EB0717" w:rsidRPr="00B479AE" w14:paraId="115FD1E9" w14:textId="77777777" w:rsidTr="00410962">
        <w:trPr>
          <w:tblCellSpacing w:w="15" w:type="dxa"/>
        </w:trPr>
        <w:tc>
          <w:tcPr>
            <w:tcW w:w="0" w:type="auto"/>
            <w:vAlign w:val="center"/>
            <w:hideMark/>
          </w:tcPr>
          <w:p w14:paraId="6EF9D9D2"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header</w:t>
            </w:r>
          </w:p>
        </w:tc>
        <w:tc>
          <w:tcPr>
            <w:tcW w:w="0" w:type="auto"/>
            <w:vAlign w:val="center"/>
            <w:hideMark/>
          </w:tcPr>
          <w:p w14:paraId="02263691"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SyntropicHeader</w:t>
            </w:r>
          </w:p>
        </w:tc>
        <w:tc>
          <w:tcPr>
            <w:tcW w:w="0" w:type="auto"/>
            <w:vAlign w:val="center"/>
            <w:hideMark/>
          </w:tcPr>
          <w:p w14:paraId="0F081419"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Constitutional compliance or canonical integrity header</w:t>
            </w:r>
          </w:p>
        </w:tc>
        <w:tc>
          <w:tcPr>
            <w:tcW w:w="0" w:type="auto"/>
            <w:vAlign w:val="center"/>
            <w:hideMark/>
          </w:tcPr>
          <w:p w14:paraId="43F7B822"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bl>
    <w:p w14:paraId="24049E27"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J.2.2 Event</w:t>
      </w:r>
    </w:p>
    <w:p w14:paraId="6034151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An event is an observable transformation, transfer, action, measurement, commitment fulfillment, or status change affecting resources, agents, evidence, or governance records.</w:t>
      </w:r>
    </w:p>
    <w:p w14:paraId="4919BB7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Events are the atomic units of operational and economic activity.</w:t>
      </w:r>
    </w:p>
    <w:p w14:paraId="2E58F42E" w14:textId="77777777" w:rsidR="00410962" w:rsidRPr="00B479AE" w:rsidRDefault="00410962" w:rsidP="00EB0717">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8"/>
        <w:gridCol w:w="1571"/>
        <w:gridCol w:w="5663"/>
        <w:gridCol w:w="906"/>
      </w:tblGrid>
      <w:tr w:rsidR="00EB0717" w:rsidRPr="00B479AE" w14:paraId="2392244F" w14:textId="77777777" w:rsidTr="00410962">
        <w:trPr>
          <w:tblHeader/>
          <w:tblCellSpacing w:w="15" w:type="dxa"/>
        </w:trPr>
        <w:tc>
          <w:tcPr>
            <w:tcW w:w="0" w:type="auto"/>
            <w:vAlign w:val="center"/>
            <w:hideMark/>
          </w:tcPr>
          <w:p w14:paraId="7B38BEB4"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Field</w:t>
            </w:r>
          </w:p>
        </w:tc>
        <w:tc>
          <w:tcPr>
            <w:tcW w:w="0" w:type="auto"/>
            <w:vAlign w:val="center"/>
            <w:hideMark/>
          </w:tcPr>
          <w:p w14:paraId="4AF90BBB"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Type</w:t>
            </w:r>
          </w:p>
        </w:tc>
        <w:tc>
          <w:tcPr>
            <w:tcW w:w="0" w:type="auto"/>
            <w:vAlign w:val="center"/>
            <w:hideMark/>
          </w:tcPr>
          <w:p w14:paraId="4F43E704"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Description</w:t>
            </w:r>
          </w:p>
        </w:tc>
        <w:tc>
          <w:tcPr>
            <w:tcW w:w="0" w:type="auto"/>
            <w:vAlign w:val="center"/>
            <w:hideMark/>
          </w:tcPr>
          <w:p w14:paraId="7B02555F"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Required</w:t>
            </w:r>
          </w:p>
        </w:tc>
      </w:tr>
      <w:tr w:rsidR="00EB0717" w:rsidRPr="00B479AE" w14:paraId="2C9DB28F" w14:textId="77777777" w:rsidTr="00410962">
        <w:trPr>
          <w:tblCellSpacing w:w="15" w:type="dxa"/>
        </w:trPr>
        <w:tc>
          <w:tcPr>
            <w:tcW w:w="0" w:type="auto"/>
            <w:vAlign w:val="center"/>
            <w:hideMark/>
          </w:tcPr>
          <w:p w14:paraId="3887BBD9"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id</w:t>
            </w:r>
          </w:p>
        </w:tc>
        <w:tc>
          <w:tcPr>
            <w:tcW w:w="0" w:type="auto"/>
            <w:vAlign w:val="center"/>
            <w:hideMark/>
          </w:tcPr>
          <w:p w14:paraId="4A3E42CE"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Hash</w:t>
            </w:r>
          </w:p>
        </w:tc>
        <w:tc>
          <w:tcPr>
            <w:tcW w:w="0" w:type="auto"/>
            <w:vAlign w:val="center"/>
            <w:hideMark/>
          </w:tcPr>
          <w:p w14:paraId="5195C3E8"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Unique identifier</w:t>
            </w:r>
          </w:p>
        </w:tc>
        <w:tc>
          <w:tcPr>
            <w:tcW w:w="0" w:type="auto"/>
            <w:vAlign w:val="center"/>
            <w:hideMark/>
          </w:tcPr>
          <w:p w14:paraId="79898AC5"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r w:rsidR="00EB0717" w:rsidRPr="00B479AE" w14:paraId="3F916C48" w14:textId="77777777" w:rsidTr="00410962">
        <w:trPr>
          <w:tblCellSpacing w:w="15" w:type="dxa"/>
        </w:trPr>
        <w:tc>
          <w:tcPr>
            <w:tcW w:w="0" w:type="auto"/>
            <w:vAlign w:val="center"/>
            <w:hideMark/>
          </w:tcPr>
          <w:p w14:paraId="38D7EFB1"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event_type</w:t>
            </w:r>
          </w:p>
        </w:tc>
        <w:tc>
          <w:tcPr>
            <w:tcW w:w="0" w:type="auto"/>
            <w:vAlign w:val="center"/>
            <w:hideMark/>
          </w:tcPr>
          <w:p w14:paraId="4F1327AD"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Enum</w:t>
            </w:r>
          </w:p>
        </w:tc>
        <w:tc>
          <w:tcPr>
            <w:tcW w:w="0" w:type="auto"/>
            <w:vAlign w:val="center"/>
            <w:hideMark/>
          </w:tcPr>
          <w:p w14:paraId="2CE5F18A"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production, consumption, transfer, exchange, measurement, verification, stewardship_action, commitment_fulfillment, governance_decision, correction, review</w:t>
            </w:r>
          </w:p>
        </w:tc>
        <w:tc>
          <w:tcPr>
            <w:tcW w:w="0" w:type="auto"/>
            <w:vAlign w:val="center"/>
            <w:hideMark/>
          </w:tcPr>
          <w:p w14:paraId="0C6FFEDF"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r w:rsidR="00EB0717" w:rsidRPr="00B479AE" w14:paraId="7042F6FF" w14:textId="77777777" w:rsidTr="00410962">
        <w:trPr>
          <w:tblCellSpacing w:w="15" w:type="dxa"/>
        </w:trPr>
        <w:tc>
          <w:tcPr>
            <w:tcW w:w="0" w:type="auto"/>
            <w:vAlign w:val="center"/>
            <w:hideMark/>
          </w:tcPr>
          <w:p w14:paraId="48F3D3A2"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action</w:t>
            </w:r>
          </w:p>
        </w:tc>
        <w:tc>
          <w:tcPr>
            <w:tcW w:w="0" w:type="auto"/>
            <w:vAlign w:val="center"/>
            <w:hideMark/>
          </w:tcPr>
          <w:p w14:paraId="4D0AC0A6"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String</w:t>
            </w:r>
          </w:p>
        </w:tc>
        <w:tc>
          <w:tcPr>
            <w:tcW w:w="0" w:type="auto"/>
            <w:vAlign w:val="center"/>
            <w:hideMark/>
          </w:tcPr>
          <w:p w14:paraId="308D6F21"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Verb describing the action, such as plant, harvest, measure, verify, certify, review, correct, transfer, report, or reinvest</w:t>
            </w:r>
          </w:p>
        </w:tc>
        <w:tc>
          <w:tcPr>
            <w:tcW w:w="0" w:type="auto"/>
            <w:vAlign w:val="center"/>
            <w:hideMark/>
          </w:tcPr>
          <w:p w14:paraId="3CED2220"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r w:rsidR="00EB0717" w:rsidRPr="00B479AE" w14:paraId="6708A1F2" w14:textId="77777777" w:rsidTr="00410962">
        <w:trPr>
          <w:tblCellSpacing w:w="15" w:type="dxa"/>
        </w:trPr>
        <w:tc>
          <w:tcPr>
            <w:tcW w:w="0" w:type="auto"/>
            <w:vAlign w:val="center"/>
            <w:hideMark/>
          </w:tcPr>
          <w:p w14:paraId="540A788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provider</w:t>
            </w:r>
          </w:p>
        </w:tc>
        <w:tc>
          <w:tcPr>
            <w:tcW w:w="0" w:type="auto"/>
            <w:vAlign w:val="center"/>
            <w:hideMark/>
          </w:tcPr>
          <w:p w14:paraId="30BE3EBD"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AgentPubKey</w:t>
            </w:r>
          </w:p>
        </w:tc>
        <w:tc>
          <w:tcPr>
            <w:tcW w:w="0" w:type="auto"/>
            <w:vAlign w:val="center"/>
            <w:hideMark/>
          </w:tcPr>
          <w:p w14:paraId="0D79A9E3"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Agent providing the resource, action, service, or evidence</w:t>
            </w:r>
          </w:p>
        </w:tc>
        <w:tc>
          <w:tcPr>
            <w:tcW w:w="0" w:type="auto"/>
            <w:vAlign w:val="center"/>
            <w:hideMark/>
          </w:tcPr>
          <w:p w14:paraId="0F77190C" w14:textId="77777777" w:rsidR="00EB0717" w:rsidRPr="00B479AE" w:rsidRDefault="00EB0717" w:rsidP="00EB0717">
            <w:pPr>
              <w:spacing w:line="360" w:lineRule="auto"/>
              <w:rPr>
                <w:rFonts w:ascii="Baskerville Old Face" w:hAnsi="Baskerville Old Face"/>
                <w:i/>
                <w:iCs/>
                <w:sz w:val="22"/>
                <w:szCs w:val="22"/>
              </w:rPr>
            </w:pPr>
          </w:p>
        </w:tc>
      </w:tr>
      <w:tr w:rsidR="00EB0717" w:rsidRPr="00B479AE" w14:paraId="0AF6A3C1" w14:textId="77777777" w:rsidTr="00410962">
        <w:trPr>
          <w:tblCellSpacing w:w="15" w:type="dxa"/>
        </w:trPr>
        <w:tc>
          <w:tcPr>
            <w:tcW w:w="0" w:type="auto"/>
            <w:vAlign w:val="center"/>
            <w:hideMark/>
          </w:tcPr>
          <w:p w14:paraId="5139B0C8"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receiver</w:t>
            </w:r>
          </w:p>
        </w:tc>
        <w:tc>
          <w:tcPr>
            <w:tcW w:w="0" w:type="auto"/>
            <w:vAlign w:val="center"/>
            <w:hideMark/>
          </w:tcPr>
          <w:p w14:paraId="2D3FC9C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AgentPubKey</w:t>
            </w:r>
          </w:p>
        </w:tc>
        <w:tc>
          <w:tcPr>
            <w:tcW w:w="0" w:type="auto"/>
            <w:vAlign w:val="center"/>
            <w:hideMark/>
          </w:tcPr>
          <w:p w14:paraId="032C2745"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Agent receiving the resource, action, service, or evidence</w:t>
            </w:r>
          </w:p>
        </w:tc>
        <w:tc>
          <w:tcPr>
            <w:tcW w:w="0" w:type="auto"/>
            <w:vAlign w:val="center"/>
            <w:hideMark/>
          </w:tcPr>
          <w:p w14:paraId="4FEB24FB" w14:textId="77777777" w:rsidR="00EB0717" w:rsidRPr="00B479AE" w:rsidRDefault="00EB0717" w:rsidP="00EB0717">
            <w:pPr>
              <w:spacing w:line="360" w:lineRule="auto"/>
              <w:rPr>
                <w:rFonts w:ascii="Baskerville Old Face" w:hAnsi="Baskerville Old Face"/>
                <w:i/>
                <w:iCs/>
                <w:sz w:val="22"/>
                <w:szCs w:val="22"/>
              </w:rPr>
            </w:pPr>
          </w:p>
        </w:tc>
      </w:tr>
      <w:tr w:rsidR="00EB0717" w:rsidRPr="00B479AE" w14:paraId="5C7E76D6" w14:textId="77777777" w:rsidTr="00410962">
        <w:trPr>
          <w:tblCellSpacing w:w="15" w:type="dxa"/>
        </w:trPr>
        <w:tc>
          <w:tcPr>
            <w:tcW w:w="0" w:type="auto"/>
            <w:vAlign w:val="center"/>
            <w:hideMark/>
          </w:tcPr>
          <w:p w14:paraId="32F4E32E"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resource_id</w:t>
            </w:r>
          </w:p>
        </w:tc>
        <w:tc>
          <w:tcPr>
            <w:tcW w:w="0" w:type="auto"/>
            <w:vAlign w:val="center"/>
            <w:hideMark/>
          </w:tcPr>
          <w:p w14:paraId="77BC1ACC"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Hash</w:t>
            </w:r>
          </w:p>
        </w:tc>
        <w:tc>
          <w:tcPr>
            <w:tcW w:w="0" w:type="auto"/>
            <w:vAlign w:val="center"/>
            <w:hideMark/>
          </w:tcPr>
          <w:p w14:paraId="065D0211"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Link to affected resource</w:t>
            </w:r>
          </w:p>
        </w:tc>
        <w:tc>
          <w:tcPr>
            <w:tcW w:w="0" w:type="auto"/>
            <w:vAlign w:val="center"/>
            <w:hideMark/>
          </w:tcPr>
          <w:p w14:paraId="392506B1" w14:textId="77777777" w:rsidR="00EB0717" w:rsidRPr="00B479AE" w:rsidRDefault="00EB0717" w:rsidP="00EB0717">
            <w:pPr>
              <w:spacing w:line="360" w:lineRule="auto"/>
              <w:rPr>
                <w:rFonts w:ascii="Baskerville Old Face" w:hAnsi="Baskerville Old Face"/>
                <w:i/>
                <w:iCs/>
                <w:sz w:val="22"/>
                <w:szCs w:val="22"/>
              </w:rPr>
            </w:pPr>
          </w:p>
        </w:tc>
      </w:tr>
      <w:tr w:rsidR="00EB0717" w:rsidRPr="00B479AE" w14:paraId="17B18837" w14:textId="77777777" w:rsidTr="00410962">
        <w:trPr>
          <w:tblCellSpacing w:w="15" w:type="dxa"/>
        </w:trPr>
        <w:tc>
          <w:tcPr>
            <w:tcW w:w="0" w:type="auto"/>
            <w:vAlign w:val="center"/>
            <w:hideMark/>
          </w:tcPr>
          <w:p w14:paraId="7AA1D4F8"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quantity</w:t>
            </w:r>
          </w:p>
        </w:tc>
        <w:tc>
          <w:tcPr>
            <w:tcW w:w="0" w:type="auto"/>
            <w:vAlign w:val="center"/>
            <w:hideMark/>
          </w:tcPr>
          <w:p w14:paraId="2D741725"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Float</w:t>
            </w:r>
          </w:p>
        </w:tc>
        <w:tc>
          <w:tcPr>
            <w:tcW w:w="0" w:type="auto"/>
            <w:vAlign w:val="center"/>
            <w:hideMark/>
          </w:tcPr>
          <w:p w14:paraId="59A8B36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Amount involved where applicable</w:t>
            </w:r>
          </w:p>
        </w:tc>
        <w:tc>
          <w:tcPr>
            <w:tcW w:w="0" w:type="auto"/>
            <w:vAlign w:val="center"/>
            <w:hideMark/>
          </w:tcPr>
          <w:p w14:paraId="37F6F213"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r w:rsidR="00EB0717" w:rsidRPr="00B479AE" w14:paraId="0595FC8B" w14:textId="77777777" w:rsidTr="00410962">
        <w:trPr>
          <w:tblCellSpacing w:w="15" w:type="dxa"/>
        </w:trPr>
        <w:tc>
          <w:tcPr>
            <w:tcW w:w="0" w:type="auto"/>
            <w:vAlign w:val="center"/>
            <w:hideMark/>
          </w:tcPr>
          <w:p w14:paraId="10C35A22"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unit</w:t>
            </w:r>
          </w:p>
        </w:tc>
        <w:tc>
          <w:tcPr>
            <w:tcW w:w="0" w:type="auto"/>
            <w:vAlign w:val="center"/>
            <w:hideMark/>
          </w:tcPr>
          <w:p w14:paraId="31658E03"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String</w:t>
            </w:r>
          </w:p>
        </w:tc>
        <w:tc>
          <w:tcPr>
            <w:tcW w:w="0" w:type="auto"/>
            <w:vAlign w:val="center"/>
            <w:hideMark/>
          </w:tcPr>
          <w:p w14:paraId="2005E3C1"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Unit of measurement</w:t>
            </w:r>
          </w:p>
        </w:tc>
        <w:tc>
          <w:tcPr>
            <w:tcW w:w="0" w:type="auto"/>
            <w:vAlign w:val="center"/>
            <w:hideMark/>
          </w:tcPr>
          <w:p w14:paraId="1CFF34B6"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r w:rsidR="00EB0717" w:rsidRPr="00B479AE" w14:paraId="1A1FAB16" w14:textId="77777777" w:rsidTr="00410962">
        <w:trPr>
          <w:tblCellSpacing w:w="15" w:type="dxa"/>
        </w:trPr>
        <w:tc>
          <w:tcPr>
            <w:tcW w:w="0" w:type="auto"/>
            <w:vAlign w:val="center"/>
            <w:hideMark/>
          </w:tcPr>
          <w:p w14:paraId="66060C7A"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location</w:t>
            </w:r>
          </w:p>
        </w:tc>
        <w:tc>
          <w:tcPr>
            <w:tcW w:w="0" w:type="auto"/>
            <w:vAlign w:val="center"/>
            <w:hideMark/>
          </w:tcPr>
          <w:p w14:paraId="11199611"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GeoJSON</w:t>
            </w:r>
          </w:p>
        </w:tc>
        <w:tc>
          <w:tcPr>
            <w:tcW w:w="0" w:type="auto"/>
            <w:vAlign w:val="center"/>
            <w:hideMark/>
          </w:tcPr>
          <w:p w14:paraId="1D9EB350"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Where the event occurred where applicable</w:t>
            </w:r>
          </w:p>
        </w:tc>
        <w:tc>
          <w:tcPr>
            <w:tcW w:w="0" w:type="auto"/>
            <w:vAlign w:val="center"/>
            <w:hideMark/>
          </w:tcPr>
          <w:p w14:paraId="6C51D32F" w14:textId="77777777" w:rsidR="00EB0717" w:rsidRPr="00B479AE" w:rsidRDefault="00EB0717" w:rsidP="00EB0717">
            <w:pPr>
              <w:spacing w:line="360" w:lineRule="auto"/>
              <w:rPr>
                <w:rFonts w:ascii="Baskerville Old Face" w:hAnsi="Baskerville Old Face"/>
                <w:i/>
                <w:iCs/>
                <w:sz w:val="22"/>
                <w:szCs w:val="22"/>
              </w:rPr>
            </w:pPr>
          </w:p>
        </w:tc>
      </w:tr>
      <w:tr w:rsidR="00EB0717" w:rsidRPr="00B479AE" w14:paraId="6729E515" w14:textId="77777777" w:rsidTr="00410962">
        <w:trPr>
          <w:tblCellSpacing w:w="15" w:type="dxa"/>
        </w:trPr>
        <w:tc>
          <w:tcPr>
            <w:tcW w:w="0" w:type="auto"/>
            <w:vAlign w:val="center"/>
            <w:hideMark/>
          </w:tcPr>
          <w:p w14:paraId="4BF32BF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time_window</w:t>
            </w:r>
          </w:p>
        </w:tc>
        <w:tc>
          <w:tcPr>
            <w:tcW w:w="0" w:type="auto"/>
            <w:vAlign w:val="center"/>
            <w:hideMark/>
          </w:tcPr>
          <w:p w14:paraId="4AEA1BFD"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TimeWindow</w:t>
            </w:r>
          </w:p>
        </w:tc>
        <w:tc>
          <w:tcPr>
            <w:tcW w:w="0" w:type="auto"/>
            <w:vAlign w:val="center"/>
            <w:hideMark/>
          </w:tcPr>
          <w:p w14:paraId="1240856A"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When the event occurred</w:t>
            </w:r>
          </w:p>
        </w:tc>
        <w:tc>
          <w:tcPr>
            <w:tcW w:w="0" w:type="auto"/>
            <w:vAlign w:val="center"/>
            <w:hideMark/>
          </w:tcPr>
          <w:p w14:paraId="504AF871"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r w:rsidR="00EB0717" w:rsidRPr="00B479AE" w14:paraId="359F3AD8" w14:textId="77777777" w:rsidTr="00410962">
        <w:trPr>
          <w:tblCellSpacing w:w="15" w:type="dxa"/>
        </w:trPr>
        <w:tc>
          <w:tcPr>
            <w:tcW w:w="0" w:type="auto"/>
            <w:vAlign w:val="center"/>
            <w:hideMark/>
          </w:tcPr>
          <w:p w14:paraId="4D465542"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mrv_id</w:t>
            </w:r>
          </w:p>
        </w:tc>
        <w:tc>
          <w:tcPr>
            <w:tcW w:w="0" w:type="auto"/>
            <w:vAlign w:val="center"/>
            <w:hideMark/>
          </w:tcPr>
          <w:p w14:paraId="1E419DC5"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Hash</w:t>
            </w:r>
          </w:p>
        </w:tc>
        <w:tc>
          <w:tcPr>
            <w:tcW w:w="0" w:type="auto"/>
            <w:vAlign w:val="center"/>
            <w:hideMark/>
          </w:tcPr>
          <w:p w14:paraId="564E4B68"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Link to MRV evidence where applicable</w:t>
            </w:r>
          </w:p>
        </w:tc>
        <w:tc>
          <w:tcPr>
            <w:tcW w:w="0" w:type="auto"/>
            <w:vAlign w:val="center"/>
            <w:hideMark/>
          </w:tcPr>
          <w:p w14:paraId="14AFC181" w14:textId="77777777" w:rsidR="00EB0717" w:rsidRPr="00B479AE" w:rsidRDefault="00EB0717" w:rsidP="00EB0717">
            <w:pPr>
              <w:spacing w:line="360" w:lineRule="auto"/>
              <w:rPr>
                <w:rFonts w:ascii="Baskerville Old Face" w:hAnsi="Baskerville Old Face"/>
                <w:i/>
                <w:iCs/>
                <w:sz w:val="22"/>
                <w:szCs w:val="22"/>
              </w:rPr>
            </w:pPr>
          </w:p>
        </w:tc>
      </w:tr>
      <w:tr w:rsidR="00EB0717" w:rsidRPr="00B479AE" w14:paraId="03E46CB3" w14:textId="77777777" w:rsidTr="00410962">
        <w:trPr>
          <w:tblCellSpacing w:w="15" w:type="dxa"/>
        </w:trPr>
        <w:tc>
          <w:tcPr>
            <w:tcW w:w="0" w:type="auto"/>
            <w:vAlign w:val="center"/>
            <w:hideMark/>
          </w:tcPr>
          <w:p w14:paraId="38A14729"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commitment_id</w:t>
            </w:r>
          </w:p>
        </w:tc>
        <w:tc>
          <w:tcPr>
            <w:tcW w:w="0" w:type="auto"/>
            <w:vAlign w:val="center"/>
            <w:hideMark/>
          </w:tcPr>
          <w:p w14:paraId="1E33CFCE"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Hash</w:t>
            </w:r>
          </w:p>
        </w:tc>
        <w:tc>
          <w:tcPr>
            <w:tcW w:w="0" w:type="auto"/>
            <w:vAlign w:val="center"/>
            <w:hideMark/>
          </w:tcPr>
          <w:p w14:paraId="44B7D87E"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Link to commitment being fulfilled where applicable</w:t>
            </w:r>
          </w:p>
        </w:tc>
        <w:tc>
          <w:tcPr>
            <w:tcW w:w="0" w:type="auto"/>
            <w:vAlign w:val="center"/>
            <w:hideMark/>
          </w:tcPr>
          <w:p w14:paraId="5BF93EA0" w14:textId="77777777" w:rsidR="00EB0717" w:rsidRPr="00B479AE" w:rsidRDefault="00EB0717" w:rsidP="00EB0717">
            <w:pPr>
              <w:spacing w:line="360" w:lineRule="auto"/>
              <w:rPr>
                <w:rFonts w:ascii="Baskerville Old Face" w:hAnsi="Baskerville Old Face"/>
                <w:i/>
                <w:iCs/>
                <w:sz w:val="22"/>
                <w:szCs w:val="22"/>
              </w:rPr>
            </w:pPr>
          </w:p>
        </w:tc>
      </w:tr>
      <w:tr w:rsidR="00EB0717" w:rsidRPr="00B479AE" w14:paraId="28DA632D" w14:textId="77777777" w:rsidTr="00410962">
        <w:trPr>
          <w:tblCellSpacing w:w="15" w:type="dxa"/>
        </w:trPr>
        <w:tc>
          <w:tcPr>
            <w:tcW w:w="0" w:type="auto"/>
            <w:vAlign w:val="center"/>
            <w:hideMark/>
          </w:tcPr>
          <w:p w14:paraId="6D2ACA12"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review_status</w:t>
            </w:r>
          </w:p>
        </w:tc>
        <w:tc>
          <w:tcPr>
            <w:tcW w:w="0" w:type="auto"/>
            <w:vAlign w:val="center"/>
            <w:hideMark/>
          </w:tcPr>
          <w:p w14:paraId="1D96F37A"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Enum</w:t>
            </w:r>
          </w:p>
        </w:tc>
        <w:tc>
          <w:tcPr>
            <w:tcW w:w="0" w:type="auto"/>
            <w:vAlign w:val="center"/>
            <w:hideMark/>
          </w:tcPr>
          <w:p w14:paraId="43074831"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draft, submitted, reviewed, rejected, corrected, admissible, non_admissible</w:t>
            </w:r>
          </w:p>
        </w:tc>
        <w:tc>
          <w:tcPr>
            <w:tcW w:w="0" w:type="auto"/>
            <w:vAlign w:val="center"/>
            <w:hideMark/>
          </w:tcPr>
          <w:p w14:paraId="09695479" w14:textId="77777777" w:rsidR="00EB0717" w:rsidRPr="00B479AE" w:rsidRDefault="00EB0717" w:rsidP="00EB0717">
            <w:pPr>
              <w:spacing w:line="360" w:lineRule="auto"/>
              <w:rPr>
                <w:rFonts w:ascii="Baskerville Old Face" w:hAnsi="Baskerville Old Face"/>
                <w:i/>
                <w:iCs/>
                <w:sz w:val="22"/>
                <w:szCs w:val="22"/>
              </w:rPr>
            </w:pPr>
          </w:p>
        </w:tc>
      </w:tr>
      <w:tr w:rsidR="00EB0717" w:rsidRPr="00B479AE" w14:paraId="458E559B" w14:textId="77777777" w:rsidTr="00410962">
        <w:trPr>
          <w:tblCellSpacing w:w="15" w:type="dxa"/>
        </w:trPr>
        <w:tc>
          <w:tcPr>
            <w:tcW w:w="0" w:type="auto"/>
            <w:vAlign w:val="center"/>
            <w:hideMark/>
          </w:tcPr>
          <w:p w14:paraId="5D1B782F"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metadata</w:t>
            </w:r>
          </w:p>
        </w:tc>
        <w:tc>
          <w:tcPr>
            <w:tcW w:w="0" w:type="auto"/>
            <w:vAlign w:val="center"/>
            <w:hideMark/>
          </w:tcPr>
          <w:p w14:paraId="01DE7DD1"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JSON</w:t>
            </w:r>
          </w:p>
        </w:tc>
        <w:tc>
          <w:tcPr>
            <w:tcW w:w="0" w:type="auto"/>
            <w:vAlign w:val="center"/>
            <w:hideMark/>
          </w:tcPr>
          <w:p w14:paraId="4F8D6D21"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Extended attributes, limitations, methodology references, legal boundary, or audit notes</w:t>
            </w:r>
          </w:p>
        </w:tc>
        <w:tc>
          <w:tcPr>
            <w:tcW w:w="0" w:type="auto"/>
            <w:vAlign w:val="center"/>
            <w:hideMark/>
          </w:tcPr>
          <w:p w14:paraId="7FA0594A" w14:textId="77777777" w:rsidR="00EB0717" w:rsidRPr="00B479AE" w:rsidRDefault="00EB0717" w:rsidP="00EB0717">
            <w:pPr>
              <w:spacing w:line="360" w:lineRule="auto"/>
              <w:rPr>
                <w:rFonts w:ascii="Baskerville Old Face" w:hAnsi="Baskerville Old Face"/>
                <w:i/>
                <w:iCs/>
                <w:sz w:val="22"/>
                <w:szCs w:val="22"/>
              </w:rPr>
            </w:pPr>
          </w:p>
        </w:tc>
      </w:tr>
      <w:tr w:rsidR="00EB0717" w:rsidRPr="00B479AE" w14:paraId="171228C4" w14:textId="77777777" w:rsidTr="00410962">
        <w:trPr>
          <w:tblCellSpacing w:w="15" w:type="dxa"/>
        </w:trPr>
        <w:tc>
          <w:tcPr>
            <w:tcW w:w="0" w:type="auto"/>
            <w:vAlign w:val="center"/>
            <w:hideMark/>
          </w:tcPr>
          <w:p w14:paraId="0077008A"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header</w:t>
            </w:r>
          </w:p>
        </w:tc>
        <w:tc>
          <w:tcPr>
            <w:tcW w:w="0" w:type="auto"/>
            <w:vAlign w:val="center"/>
            <w:hideMark/>
          </w:tcPr>
          <w:p w14:paraId="705C70D1"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SyntropicHeader</w:t>
            </w:r>
          </w:p>
        </w:tc>
        <w:tc>
          <w:tcPr>
            <w:tcW w:w="0" w:type="auto"/>
            <w:vAlign w:val="center"/>
            <w:hideMark/>
          </w:tcPr>
          <w:p w14:paraId="2560F518"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Constitutional compliance or canonical integrity header</w:t>
            </w:r>
          </w:p>
        </w:tc>
        <w:tc>
          <w:tcPr>
            <w:tcW w:w="0" w:type="auto"/>
            <w:vAlign w:val="center"/>
            <w:hideMark/>
          </w:tcPr>
          <w:p w14:paraId="13A75FC8"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bl>
    <w:p w14:paraId="6CA6BFC6" w14:textId="77777777" w:rsidR="00410962" w:rsidRPr="00B479AE" w:rsidRDefault="00410962" w:rsidP="00EB0717">
      <w:pPr>
        <w:spacing w:line="360" w:lineRule="auto"/>
        <w:rPr>
          <w:rFonts w:ascii="Baskerville Old Face" w:hAnsi="Baskerville Old Face"/>
          <w:b/>
          <w:bCs/>
          <w:i/>
          <w:iCs/>
        </w:rPr>
      </w:pPr>
    </w:p>
    <w:p w14:paraId="2EB2A804" w14:textId="181B5C0B"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lastRenderedPageBreak/>
        <w:t>J.2.3 Agent</w:t>
      </w:r>
    </w:p>
    <w:p w14:paraId="16E47FD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An agent is any entity capable of action within the system.</w:t>
      </w:r>
    </w:p>
    <w:p w14:paraId="570A160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Agents may include individuals, organizations, DAOs, projects, devices, auditors, validators, laboratories, public institutions, or automated processes operating under defined authority.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571"/>
        <w:gridCol w:w="5677"/>
        <w:gridCol w:w="906"/>
      </w:tblGrid>
      <w:tr w:rsidR="00EB0717" w:rsidRPr="00B479AE" w14:paraId="3238CBFE" w14:textId="77777777" w:rsidTr="00410962">
        <w:trPr>
          <w:tblHeader/>
          <w:tblCellSpacing w:w="15" w:type="dxa"/>
        </w:trPr>
        <w:tc>
          <w:tcPr>
            <w:tcW w:w="0" w:type="auto"/>
            <w:vAlign w:val="center"/>
            <w:hideMark/>
          </w:tcPr>
          <w:p w14:paraId="38FBF517"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Field</w:t>
            </w:r>
          </w:p>
        </w:tc>
        <w:tc>
          <w:tcPr>
            <w:tcW w:w="0" w:type="auto"/>
            <w:vAlign w:val="center"/>
            <w:hideMark/>
          </w:tcPr>
          <w:p w14:paraId="34F6586F"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Type</w:t>
            </w:r>
          </w:p>
        </w:tc>
        <w:tc>
          <w:tcPr>
            <w:tcW w:w="0" w:type="auto"/>
            <w:vAlign w:val="center"/>
            <w:hideMark/>
          </w:tcPr>
          <w:p w14:paraId="69AB756F"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Description</w:t>
            </w:r>
          </w:p>
        </w:tc>
        <w:tc>
          <w:tcPr>
            <w:tcW w:w="0" w:type="auto"/>
            <w:vAlign w:val="center"/>
            <w:hideMark/>
          </w:tcPr>
          <w:p w14:paraId="71C51EBA"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Required</w:t>
            </w:r>
          </w:p>
        </w:tc>
      </w:tr>
      <w:tr w:rsidR="00EB0717" w:rsidRPr="00B479AE" w14:paraId="4625D548" w14:textId="77777777" w:rsidTr="00410962">
        <w:trPr>
          <w:tblCellSpacing w:w="15" w:type="dxa"/>
        </w:trPr>
        <w:tc>
          <w:tcPr>
            <w:tcW w:w="0" w:type="auto"/>
            <w:vAlign w:val="center"/>
            <w:hideMark/>
          </w:tcPr>
          <w:p w14:paraId="47F6A40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id</w:t>
            </w:r>
          </w:p>
        </w:tc>
        <w:tc>
          <w:tcPr>
            <w:tcW w:w="0" w:type="auto"/>
            <w:vAlign w:val="center"/>
            <w:hideMark/>
          </w:tcPr>
          <w:p w14:paraId="5BFF1800"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AgentPubKey</w:t>
            </w:r>
          </w:p>
        </w:tc>
        <w:tc>
          <w:tcPr>
            <w:tcW w:w="0" w:type="auto"/>
            <w:vAlign w:val="center"/>
            <w:hideMark/>
          </w:tcPr>
          <w:p w14:paraId="64489D1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Public key or DPKI identifier</w:t>
            </w:r>
          </w:p>
        </w:tc>
        <w:tc>
          <w:tcPr>
            <w:tcW w:w="0" w:type="auto"/>
            <w:vAlign w:val="center"/>
            <w:hideMark/>
          </w:tcPr>
          <w:p w14:paraId="50BEE361"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r w:rsidR="00EB0717" w:rsidRPr="00B479AE" w14:paraId="4E94CF82" w14:textId="77777777" w:rsidTr="00410962">
        <w:trPr>
          <w:tblCellSpacing w:w="15" w:type="dxa"/>
        </w:trPr>
        <w:tc>
          <w:tcPr>
            <w:tcW w:w="0" w:type="auto"/>
            <w:vAlign w:val="center"/>
            <w:hideMark/>
          </w:tcPr>
          <w:p w14:paraId="34740B37"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agent_type</w:t>
            </w:r>
          </w:p>
        </w:tc>
        <w:tc>
          <w:tcPr>
            <w:tcW w:w="0" w:type="auto"/>
            <w:vAlign w:val="center"/>
            <w:hideMark/>
          </w:tcPr>
          <w:p w14:paraId="62DF1193"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Enum</w:t>
            </w:r>
          </w:p>
        </w:tc>
        <w:tc>
          <w:tcPr>
            <w:tcW w:w="0" w:type="auto"/>
            <w:vAlign w:val="center"/>
            <w:hideMark/>
          </w:tcPr>
          <w:p w14:paraId="22B2110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individual, organization, dao, project, device, auditor, validator, laboratory, public_institution, automated</w:t>
            </w:r>
          </w:p>
        </w:tc>
        <w:tc>
          <w:tcPr>
            <w:tcW w:w="0" w:type="auto"/>
            <w:vAlign w:val="center"/>
            <w:hideMark/>
          </w:tcPr>
          <w:p w14:paraId="24438D6A"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r w:rsidR="00EB0717" w:rsidRPr="00B479AE" w14:paraId="0B3478A6" w14:textId="77777777" w:rsidTr="00410962">
        <w:trPr>
          <w:tblCellSpacing w:w="15" w:type="dxa"/>
        </w:trPr>
        <w:tc>
          <w:tcPr>
            <w:tcW w:w="0" w:type="auto"/>
            <w:vAlign w:val="center"/>
            <w:hideMark/>
          </w:tcPr>
          <w:p w14:paraId="3DE98A50"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name</w:t>
            </w:r>
          </w:p>
        </w:tc>
        <w:tc>
          <w:tcPr>
            <w:tcW w:w="0" w:type="auto"/>
            <w:vAlign w:val="center"/>
            <w:hideMark/>
          </w:tcPr>
          <w:p w14:paraId="436C01F8"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String</w:t>
            </w:r>
          </w:p>
        </w:tc>
        <w:tc>
          <w:tcPr>
            <w:tcW w:w="0" w:type="auto"/>
            <w:vAlign w:val="center"/>
            <w:hideMark/>
          </w:tcPr>
          <w:p w14:paraId="219457F2"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Human-readable name</w:t>
            </w:r>
          </w:p>
        </w:tc>
        <w:tc>
          <w:tcPr>
            <w:tcW w:w="0" w:type="auto"/>
            <w:vAlign w:val="center"/>
            <w:hideMark/>
          </w:tcPr>
          <w:p w14:paraId="52FE9204" w14:textId="77777777" w:rsidR="00EB0717" w:rsidRPr="00B479AE" w:rsidRDefault="00EB0717" w:rsidP="00EB0717">
            <w:pPr>
              <w:spacing w:line="360" w:lineRule="auto"/>
              <w:rPr>
                <w:rFonts w:ascii="Baskerville Old Face" w:hAnsi="Baskerville Old Face"/>
                <w:i/>
                <w:iCs/>
                <w:sz w:val="22"/>
                <w:szCs w:val="22"/>
              </w:rPr>
            </w:pPr>
          </w:p>
        </w:tc>
      </w:tr>
      <w:tr w:rsidR="00EB0717" w:rsidRPr="00B479AE" w14:paraId="62733D21" w14:textId="77777777" w:rsidTr="00410962">
        <w:trPr>
          <w:tblCellSpacing w:w="15" w:type="dxa"/>
        </w:trPr>
        <w:tc>
          <w:tcPr>
            <w:tcW w:w="0" w:type="auto"/>
            <w:vAlign w:val="center"/>
            <w:hideMark/>
          </w:tcPr>
          <w:p w14:paraId="77053FEF"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profile</w:t>
            </w:r>
          </w:p>
        </w:tc>
        <w:tc>
          <w:tcPr>
            <w:tcW w:w="0" w:type="auto"/>
            <w:vAlign w:val="center"/>
            <w:hideMark/>
          </w:tcPr>
          <w:p w14:paraId="1F72A68B"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JSON</w:t>
            </w:r>
          </w:p>
        </w:tc>
        <w:tc>
          <w:tcPr>
            <w:tcW w:w="0" w:type="auto"/>
            <w:vAlign w:val="center"/>
            <w:hideMark/>
          </w:tcPr>
          <w:p w14:paraId="0C6BD992"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Optional profile data, credentials, role information, or public metadata</w:t>
            </w:r>
          </w:p>
        </w:tc>
        <w:tc>
          <w:tcPr>
            <w:tcW w:w="0" w:type="auto"/>
            <w:vAlign w:val="center"/>
            <w:hideMark/>
          </w:tcPr>
          <w:p w14:paraId="20867CEC" w14:textId="77777777" w:rsidR="00EB0717" w:rsidRPr="00B479AE" w:rsidRDefault="00EB0717" w:rsidP="00EB0717">
            <w:pPr>
              <w:spacing w:line="360" w:lineRule="auto"/>
              <w:rPr>
                <w:rFonts w:ascii="Baskerville Old Face" w:hAnsi="Baskerville Old Face"/>
                <w:i/>
                <w:iCs/>
                <w:sz w:val="22"/>
                <w:szCs w:val="22"/>
              </w:rPr>
            </w:pPr>
          </w:p>
        </w:tc>
      </w:tr>
      <w:tr w:rsidR="00EB0717" w:rsidRPr="00B479AE" w14:paraId="048A47E8" w14:textId="77777777" w:rsidTr="00410962">
        <w:trPr>
          <w:tblCellSpacing w:w="15" w:type="dxa"/>
        </w:trPr>
        <w:tc>
          <w:tcPr>
            <w:tcW w:w="0" w:type="auto"/>
            <w:vAlign w:val="center"/>
            <w:hideMark/>
          </w:tcPr>
          <w:p w14:paraId="79FCFB31"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reputation_id</w:t>
            </w:r>
          </w:p>
        </w:tc>
        <w:tc>
          <w:tcPr>
            <w:tcW w:w="0" w:type="auto"/>
            <w:vAlign w:val="center"/>
            <w:hideMark/>
          </w:tcPr>
          <w:p w14:paraId="793D8FB1"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Hash</w:t>
            </w:r>
          </w:p>
        </w:tc>
        <w:tc>
          <w:tcPr>
            <w:tcW w:w="0" w:type="auto"/>
            <w:vAlign w:val="center"/>
            <w:hideMark/>
          </w:tcPr>
          <w:p w14:paraId="49BE741C"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Link to reputation context where applicable</w:t>
            </w:r>
          </w:p>
        </w:tc>
        <w:tc>
          <w:tcPr>
            <w:tcW w:w="0" w:type="auto"/>
            <w:vAlign w:val="center"/>
            <w:hideMark/>
          </w:tcPr>
          <w:p w14:paraId="2A7924EC" w14:textId="77777777" w:rsidR="00EB0717" w:rsidRPr="00B479AE" w:rsidRDefault="00EB0717" w:rsidP="00EB0717">
            <w:pPr>
              <w:spacing w:line="360" w:lineRule="auto"/>
              <w:rPr>
                <w:rFonts w:ascii="Baskerville Old Face" w:hAnsi="Baskerville Old Face"/>
                <w:i/>
                <w:iCs/>
                <w:sz w:val="22"/>
                <w:szCs w:val="22"/>
              </w:rPr>
            </w:pPr>
          </w:p>
        </w:tc>
      </w:tr>
      <w:tr w:rsidR="00EB0717" w:rsidRPr="00B479AE" w14:paraId="763B11AD" w14:textId="77777777" w:rsidTr="00410962">
        <w:trPr>
          <w:tblCellSpacing w:w="15" w:type="dxa"/>
        </w:trPr>
        <w:tc>
          <w:tcPr>
            <w:tcW w:w="0" w:type="auto"/>
            <w:vAlign w:val="center"/>
            <w:hideMark/>
          </w:tcPr>
          <w:p w14:paraId="47F53E69"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authority_scope</w:t>
            </w:r>
          </w:p>
        </w:tc>
        <w:tc>
          <w:tcPr>
            <w:tcW w:w="0" w:type="auto"/>
            <w:vAlign w:val="center"/>
            <w:hideMark/>
          </w:tcPr>
          <w:p w14:paraId="266825A7"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JSON</w:t>
            </w:r>
          </w:p>
        </w:tc>
        <w:tc>
          <w:tcPr>
            <w:tcW w:w="0" w:type="auto"/>
            <w:vAlign w:val="center"/>
            <w:hideMark/>
          </w:tcPr>
          <w:p w14:paraId="0479338A"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Defined scope of authority, role, or permitted action</w:t>
            </w:r>
          </w:p>
        </w:tc>
        <w:tc>
          <w:tcPr>
            <w:tcW w:w="0" w:type="auto"/>
            <w:vAlign w:val="center"/>
            <w:hideMark/>
          </w:tcPr>
          <w:p w14:paraId="38BAEDA1" w14:textId="77777777" w:rsidR="00EB0717" w:rsidRPr="00B479AE" w:rsidRDefault="00EB0717" w:rsidP="00EB0717">
            <w:pPr>
              <w:spacing w:line="360" w:lineRule="auto"/>
              <w:rPr>
                <w:rFonts w:ascii="Baskerville Old Face" w:hAnsi="Baskerville Old Face"/>
                <w:i/>
                <w:iCs/>
                <w:sz w:val="22"/>
                <w:szCs w:val="22"/>
              </w:rPr>
            </w:pPr>
          </w:p>
        </w:tc>
      </w:tr>
      <w:tr w:rsidR="00EB0717" w:rsidRPr="00B479AE" w14:paraId="728CC9D3" w14:textId="77777777" w:rsidTr="00410962">
        <w:trPr>
          <w:tblCellSpacing w:w="15" w:type="dxa"/>
        </w:trPr>
        <w:tc>
          <w:tcPr>
            <w:tcW w:w="0" w:type="auto"/>
            <w:vAlign w:val="center"/>
            <w:hideMark/>
          </w:tcPr>
          <w:p w14:paraId="53221208"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header</w:t>
            </w:r>
          </w:p>
        </w:tc>
        <w:tc>
          <w:tcPr>
            <w:tcW w:w="0" w:type="auto"/>
            <w:vAlign w:val="center"/>
            <w:hideMark/>
          </w:tcPr>
          <w:p w14:paraId="5D1AA43B"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SyntropicHeader</w:t>
            </w:r>
          </w:p>
        </w:tc>
        <w:tc>
          <w:tcPr>
            <w:tcW w:w="0" w:type="auto"/>
            <w:vAlign w:val="center"/>
            <w:hideMark/>
          </w:tcPr>
          <w:p w14:paraId="621B57C7"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Constitutional compliance or canonical integrity header</w:t>
            </w:r>
          </w:p>
        </w:tc>
        <w:tc>
          <w:tcPr>
            <w:tcW w:w="0" w:type="auto"/>
            <w:vAlign w:val="center"/>
            <w:hideMark/>
          </w:tcPr>
          <w:p w14:paraId="4E036028"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bl>
    <w:p w14:paraId="1E27A80E"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J.2.4 Commitment</w:t>
      </w:r>
    </w:p>
    <w:p w14:paraId="7266D30F"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 commitment is an agreement, plan, proposal, contract, stewardship undertaking, delivery obligation, or governance-approved intention to perform future events.</w:t>
      </w:r>
    </w:p>
    <w:p w14:paraId="6DBBEC9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It creates accountability and enables forward planning.</w:t>
      </w:r>
    </w:p>
    <w:p w14:paraId="71F9A270" w14:textId="77777777" w:rsidR="00410962" w:rsidRPr="00B479AE" w:rsidRDefault="00410962" w:rsidP="00EB0717">
      <w:pPr>
        <w:spacing w:line="360" w:lineRule="auto"/>
        <w:rPr>
          <w:rFonts w:ascii="Baskerville Old Face" w:hAnsi="Baskerville Old Face"/>
          <w:i/>
          <w:iCs/>
        </w:rPr>
      </w:pPr>
    </w:p>
    <w:p w14:paraId="08EEAF22" w14:textId="77777777" w:rsidR="00410962" w:rsidRPr="00B479AE" w:rsidRDefault="00410962" w:rsidP="00EB0717">
      <w:pPr>
        <w:spacing w:line="360" w:lineRule="auto"/>
        <w:rPr>
          <w:rFonts w:ascii="Baskerville Old Face" w:hAnsi="Baskerville Old Face"/>
          <w:i/>
          <w:iCs/>
        </w:rPr>
      </w:pPr>
    </w:p>
    <w:p w14:paraId="5F99659C" w14:textId="77777777" w:rsidR="00410962" w:rsidRPr="00B479AE" w:rsidRDefault="00410962" w:rsidP="00EB0717">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3"/>
        <w:gridCol w:w="1571"/>
        <w:gridCol w:w="5468"/>
        <w:gridCol w:w="906"/>
      </w:tblGrid>
      <w:tr w:rsidR="00EB0717" w:rsidRPr="00B479AE" w14:paraId="0651C62A" w14:textId="77777777" w:rsidTr="00410962">
        <w:trPr>
          <w:tblHeader/>
          <w:tblCellSpacing w:w="15" w:type="dxa"/>
        </w:trPr>
        <w:tc>
          <w:tcPr>
            <w:tcW w:w="0" w:type="auto"/>
            <w:vAlign w:val="center"/>
            <w:hideMark/>
          </w:tcPr>
          <w:p w14:paraId="5D6F7C45"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Field</w:t>
            </w:r>
          </w:p>
        </w:tc>
        <w:tc>
          <w:tcPr>
            <w:tcW w:w="0" w:type="auto"/>
            <w:vAlign w:val="center"/>
            <w:hideMark/>
          </w:tcPr>
          <w:p w14:paraId="18FF5E2D"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Type</w:t>
            </w:r>
          </w:p>
        </w:tc>
        <w:tc>
          <w:tcPr>
            <w:tcW w:w="0" w:type="auto"/>
            <w:vAlign w:val="center"/>
            <w:hideMark/>
          </w:tcPr>
          <w:p w14:paraId="17CCA889"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Description</w:t>
            </w:r>
          </w:p>
        </w:tc>
        <w:tc>
          <w:tcPr>
            <w:tcW w:w="0" w:type="auto"/>
            <w:vAlign w:val="center"/>
            <w:hideMark/>
          </w:tcPr>
          <w:p w14:paraId="216A4E7D" w14:textId="77777777" w:rsidR="00EB0717" w:rsidRPr="00B479AE" w:rsidRDefault="00EB0717" w:rsidP="00EB0717">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Required</w:t>
            </w:r>
          </w:p>
        </w:tc>
      </w:tr>
      <w:tr w:rsidR="00EB0717" w:rsidRPr="00B479AE" w14:paraId="07BA6092" w14:textId="77777777" w:rsidTr="00410962">
        <w:trPr>
          <w:tblCellSpacing w:w="15" w:type="dxa"/>
        </w:trPr>
        <w:tc>
          <w:tcPr>
            <w:tcW w:w="0" w:type="auto"/>
            <w:vAlign w:val="center"/>
            <w:hideMark/>
          </w:tcPr>
          <w:p w14:paraId="0A2BE7F1"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id</w:t>
            </w:r>
          </w:p>
        </w:tc>
        <w:tc>
          <w:tcPr>
            <w:tcW w:w="0" w:type="auto"/>
            <w:vAlign w:val="center"/>
            <w:hideMark/>
          </w:tcPr>
          <w:p w14:paraId="516DC23F"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Hash</w:t>
            </w:r>
          </w:p>
        </w:tc>
        <w:tc>
          <w:tcPr>
            <w:tcW w:w="0" w:type="auto"/>
            <w:vAlign w:val="center"/>
            <w:hideMark/>
          </w:tcPr>
          <w:p w14:paraId="7AC1BF7A"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Unique identifier</w:t>
            </w:r>
          </w:p>
        </w:tc>
        <w:tc>
          <w:tcPr>
            <w:tcW w:w="0" w:type="auto"/>
            <w:vAlign w:val="center"/>
            <w:hideMark/>
          </w:tcPr>
          <w:p w14:paraId="75DBAE4B"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r w:rsidR="00EB0717" w:rsidRPr="00B479AE" w14:paraId="5EE2456A" w14:textId="77777777" w:rsidTr="00410962">
        <w:trPr>
          <w:tblCellSpacing w:w="15" w:type="dxa"/>
        </w:trPr>
        <w:tc>
          <w:tcPr>
            <w:tcW w:w="0" w:type="auto"/>
            <w:vAlign w:val="center"/>
            <w:hideMark/>
          </w:tcPr>
          <w:p w14:paraId="1417751E"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commitment_type</w:t>
            </w:r>
          </w:p>
        </w:tc>
        <w:tc>
          <w:tcPr>
            <w:tcW w:w="0" w:type="auto"/>
            <w:vAlign w:val="center"/>
            <w:hideMark/>
          </w:tcPr>
          <w:p w14:paraId="62F4BC97"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Enum</w:t>
            </w:r>
          </w:p>
        </w:tc>
        <w:tc>
          <w:tcPr>
            <w:tcW w:w="0" w:type="auto"/>
            <w:vAlign w:val="center"/>
            <w:hideMark/>
          </w:tcPr>
          <w:p w14:paraId="61F3CBA3"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agreement, contract, plan, proposal, stewardship_commitment, service_commitment, funding_commitment, governance_commitment</w:t>
            </w:r>
          </w:p>
        </w:tc>
        <w:tc>
          <w:tcPr>
            <w:tcW w:w="0" w:type="auto"/>
            <w:vAlign w:val="center"/>
            <w:hideMark/>
          </w:tcPr>
          <w:p w14:paraId="60D823CC"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r w:rsidR="00EB0717" w:rsidRPr="00B479AE" w14:paraId="524AFD02" w14:textId="77777777" w:rsidTr="00410962">
        <w:trPr>
          <w:tblCellSpacing w:w="15" w:type="dxa"/>
        </w:trPr>
        <w:tc>
          <w:tcPr>
            <w:tcW w:w="0" w:type="auto"/>
            <w:vAlign w:val="center"/>
            <w:hideMark/>
          </w:tcPr>
          <w:p w14:paraId="298DDA76"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provider</w:t>
            </w:r>
          </w:p>
        </w:tc>
        <w:tc>
          <w:tcPr>
            <w:tcW w:w="0" w:type="auto"/>
            <w:vAlign w:val="center"/>
            <w:hideMark/>
          </w:tcPr>
          <w:p w14:paraId="4202AA5F"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AgentPubKey</w:t>
            </w:r>
          </w:p>
        </w:tc>
        <w:tc>
          <w:tcPr>
            <w:tcW w:w="0" w:type="auto"/>
            <w:vAlign w:val="center"/>
            <w:hideMark/>
          </w:tcPr>
          <w:p w14:paraId="7B4EDF9E"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Agent committing to provide</w:t>
            </w:r>
          </w:p>
        </w:tc>
        <w:tc>
          <w:tcPr>
            <w:tcW w:w="0" w:type="auto"/>
            <w:vAlign w:val="center"/>
            <w:hideMark/>
          </w:tcPr>
          <w:p w14:paraId="1BE599D3" w14:textId="77777777" w:rsidR="00EB0717" w:rsidRPr="00B479AE" w:rsidRDefault="00EB0717" w:rsidP="00EB0717">
            <w:pPr>
              <w:spacing w:line="360" w:lineRule="auto"/>
              <w:rPr>
                <w:rFonts w:ascii="Baskerville Old Face" w:hAnsi="Baskerville Old Face"/>
                <w:i/>
                <w:iCs/>
                <w:sz w:val="22"/>
                <w:szCs w:val="22"/>
              </w:rPr>
            </w:pPr>
          </w:p>
        </w:tc>
      </w:tr>
      <w:tr w:rsidR="00EB0717" w:rsidRPr="00B479AE" w14:paraId="1C827B3D" w14:textId="77777777" w:rsidTr="00410962">
        <w:trPr>
          <w:tblCellSpacing w:w="15" w:type="dxa"/>
        </w:trPr>
        <w:tc>
          <w:tcPr>
            <w:tcW w:w="0" w:type="auto"/>
            <w:vAlign w:val="center"/>
            <w:hideMark/>
          </w:tcPr>
          <w:p w14:paraId="21D908E6"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receiver</w:t>
            </w:r>
          </w:p>
        </w:tc>
        <w:tc>
          <w:tcPr>
            <w:tcW w:w="0" w:type="auto"/>
            <w:vAlign w:val="center"/>
            <w:hideMark/>
          </w:tcPr>
          <w:p w14:paraId="1E372ADC"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AgentPubKey</w:t>
            </w:r>
          </w:p>
        </w:tc>
        <w:tc>
          <w:tcPr>
            <w:tcW w:w="0" w:type="auto"/>
            <w:vAlign w:val="center"/>
            <w:hideMark/>
          </w:tcPr>
          <w:p w14:paraId="4574027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Agent expecting to receive or benefit</w:t>
            </w:r>
          </w:p>
        </w:tc>
        <w:tc>
          <w:tcPr>
            <w:tcW w:w="0" w:type="auto"/>
            <w:vAlign w:val="center"/>
            <w:hideMark/>
          </w:tcPr>
          <w:p w14:paraId="0E8EEF64" w14:textId="77777777" w:rsidR="00EB0717" w:rsidRPr="00B479AE" w:rsidRDefault="00EB0717" w:rsidP="00EB0717">
            <w:pPr>
              <w:spacing w:line="360" w:lineRule="auto"/>
              <w:rPr>
                <w:rFonts w:ascii="Baskerville Old Face" w:hAnsi="Baskerville Old Face"/>
                <w:i/>
                <w:iCs/>
                <w:sz w:val="22"/>
                <w:szCs w:val="22"/>
              </w:rPr>
            </w:pPr>
          </w:p>
        </w:tc>
      </w:tr>
      <w:tr w:rsidR="00EB0717" w:rsidRPr="00B479AE" w14:paraId="3FE9F02A" w14:textId="77777777" w:rsidTr="00410962">
        <w:trPr>
          <w:tblCellSpacing w:w="15" w:type="dxa"/>
        </w:trPr>
        <w:tc>
          <w:tcPr>
            <w:tcW w:w="0" w:type="auto"/>
            <w:vAlign w:val="center"/>
            <w:hideMark/>
          </w:tcPr>
          <w:p w14:paraId="54BE9792"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resource_id</w:t>
            </w:r>
          </w:p>
        </w:tc>
        <w:tc>
          <w:tcPr>
            <w:tcW w:w="0" w:type="auto"/>
            <w:vAlign w:val="center"/>
            <w:hideMark/>
          </w:tcPr>
          <w:p w14:paraId="2EC98FA9"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Hash</w:t>
            </w:r>
          </w:p>
        </w:tc>
        <w:tc>
          <w:tcPr>
            <w:tcW w:w="0" w:type="auto"/>
            <w:vAlign w:val="center"/>
            <w:hideMark/>
          </w:tcPr>
          <w:p w14:paraId="05991526"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Resource involved where applicable</w:t>
            </w:r>
          </w:p>
        </w:tc>
        <w:tc>
          <w:tcPr>
            <w:tcW w:w="0" w:type="auto"/>
            <w:vAlign w:val="center"/>
            <w:hideMark/>
          </w:tcPr>
          <w:p w14:paraId="5CCD029C" w14:textId="77777777" w:rsidR="00EB0717" w:rsidRPr="00B479AE" w:rsidRDefault="00EB0717" w:rsidP="00EB0717">
            <w:pPr>
              <w:spacing w:line="360" w:lineRule="auto"/>
              <w:rPr>
                <w:rFonts w:ascii="Baskerville Old Face" w:hAnsi="Baskerville Old Face"/>
                <w:i/>
                <w:iCs/>
                <w:sz w:val="22"/>
                <w:szCs w:val="22"/>
              </w:rPr>
            </w:pPr>
          </w:p>
        </w:tc>
      </w:tr>
      <w:tr w:rsidR="00EB0717" w:rsidRPr="00B479AE" w14:paraId="65625DB5" w14:textId="77777777" w:rsidTr="00410962">
        <w:trPr>
          <w:tblCellSpacing w:w="15" w:type="dxa"/>
        </w:trPr>
        <w:tc>
          <w:tcPr>
            <w:tcW w:w="0" w:type="auto"/>
            <w:vAlign w:val="center"/>
            <w:hideMark/>
          </w:tcPr>
          <w:p w14:paraId="0CAF5EC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quantity</w:t>
            </w:r>
          </w:p>
        </w:tc>
        <w:tc>
          <w:tcPr>
            <w:tcW w:w="0" w:type="auto"/>
            <w:vAlign w:val="center"/>
            <w:hideMark/>
          </w:tcPr>
          <w:p w14:paraId="3ED34112"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Float</w:t>
            </w:r>
          </w:p>
        </w:tc>
        <w:tc>
          <w:tcPr>
            <w:tcW w:w="0" w:type="auto"/>
            <w:vAlign w:val="center"/>
            <w:hideMark/>
          </w:tcPr>
          <w:p w14:paraId="49742E66"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Amount committed where applicable</w:t>
            </w:r>
          </w:p>
        </w:tc>
        <w:tc>
          <w:tcPr>
            <w:tcW w:w="0" w:type="auto"/>
            <w:vAlign w:val="center"/>
            <w:hideMark/>
          </w:tcPr>
          <w:p w14:paraId="0924D740"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r w:rsidR="00EB0717" w:rsidRPr="00B479AE" w14:paraId="17D6C337" w14:textId="77777777" w:rsidTr="00410962">
        <w:trPr>
          <w:tblCellSpacing w:w="15" w:type="dxa"/>
        </w:trPr>
        <w:tc>
          <w:tcPr>
            <w:tcW w:w="0" w:type="auto"/>
            <w:vAlign w:val="center"/>
            <w:hideMark/>
          </w:tcPr>
          <w:p w14:paraId="09B1D015"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unit</w:t>
            </w:r>
          </w:p>
        </w:tc>
        <w:tc>
          <w:tcPr>
            <w:tcW w:w="0" w:type="auto"/>
            <w:vAlign w:val="center"/>
            <w:hideMark/>
          </w:tcPr>
          <w:p w14:paraId="05887B9E"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String</w:t>
            </w:r>
          </w:p>
        </w:tc>
        <w:tc>
          <w:tcPr>
            <w:tcW w:w="0" w:type="auto"/>
            <w:vAlign w:val="center"/>
            <w:hideMark/>
          </w:tcPr>
          <w:p w14:paraId="5FFB0289"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Unit of measurement</w:t>
            </w:r>
          </w:p>
        </w:tc>
        <w:tc>
          <w:tcPr>
            <w:tcW w:w="0" w:type="auto"/>
            <w:vAlign w:val="center"/>
            <w:hideMark/>
          </w:tcPr>
          <w:p w14:paraId="3B9D2D11"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r w:rsidR="00EB0717" w:rsidRPr="00B479AE" w14:paraId="52885E8B" w14:textId="77777777" w:rsidTr="00410962">
        <w:trPr>
          <w:tblCellSpacing w:w="15" w:type="dxa"/>
        </w:trPr>
        <w:tc>
          <w:tcPr>
            <w:tcW w:w="0" w:type="auto"/>
            <w:vAlign w:val="center"/>
            <w:hideMark/>
          </w:tcPr>
          <w:p w14:paraId="250BC6E2"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due_start</w:t>
            </w:r>
          </w:p>
        </w:tc>
        <w:tc>
          <w:tcPr>
            <w:tcW w:w="0" w:type="auto"/>
            <w:vAlign w:val="center"/>
            <w:hideMark/>
          </w:tcPr>
          <w:p w14:paraId="4FD9A4E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Timestamp</w:t>
            </w:r>
          </w:p>
        </w:tc>
        <w:tc>
          <w:tcPr>
            <w:tcW w:w="0" w:type="auto"/>
            <w:vAlign w:val="center"/>
            <w:hideMark/>
          </w:tcPr>
          <w:p w14:paraId="6B97A208"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Earliest expected fulfillment</w:t>
            </w:r>
          </w:p>
        </w:tc>
        <w:tc>
          <w:tcPr>
            <w:tcW w:w="0" w:type="auto"/>
            <w:vAlign w:val="center"/>
            <w:hideMark/>
          </w:tcPr>
          <w:p w14:paraId="332FF9A1" w14:textId="77777777" w:rsidR="00EB0717" w:rsidRPr="00B479AE" w:rsidRDefault="00EB0717" w:rsidP="00EB0717">
            <w:pPr>
              <w:spacing w:line="360" w:lineRule="auto"/>
              <w:rPr>
                <w:rFonts w:ascii="Baskerville Old Face" w:hAnsi="Baskerville Old Face"/>
                <w:i/>
                <w:iCs/>
                <w:sz w:val="22"/>
                <w:szCs w:val="22"/>
              </w:rPr>
            </w:pPr>
          </w:p>
        </w:tc>
      </w:tr>
      <w:tr w:rsidR="00EB0717" w:rsidRPr="00B479AE" w14:paraId="1D0A2ABB" w14:textId="77777777" w:rsidTr="00410962">
        <w:trPr>
          <w:tblCellSpacing w:w="15" w:type="dxa"/>
        </w:trPr>
        <w:tc>
          <w:tcPr>
            <w:tcW w:w="0" w:type="auto"/>
            <w:vAlign w:val="center"/>
            <w:hideMark/>
          </w:tcPr>
          <w:p w14:paraId="549FD828"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due_end</w:t>
            </w:r>
          </w:p>
        </w:tc>
        <w:tc>
          <w:tcPr>
            <w:tcW w:w="0" w:type="auto"/>
            <w:vAlign w:val="center"/>
            <w:hideMark/>
          </w:tcPr>
          <w:p w14:paraId="13345252"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Timestamp</w:t>
            </w:r>
          </w:p>
        </w:tc>
        <w:tc>
          <w:tcPr>
            <w:tcW w:w="0" w:type="auto"/>
            <w:vAlign w:val="center"/>
            <w:hideMark/>
          </w:tcPr>
          <w:p w14:paraId="5946DAD2"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Latest expected fulfillment</w:t>
            </w:r>
          </w:p>
        </w:tc>
        <w:tc>
          <w:tcPr>
            <w:tcW w:w="0" w:type="auto"/>
            <w:vAlign w:val="center"/>
            <w:hideMark/>
          </w:tcPr>
          <w:p w14:paraId="0E458BA0"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r w:rsidR="00EB0717" w:rsidRPr="00B479AE" w14:paraId="1137CEEB" w14:textId="77777777" w:rsidTr="00410962">
        <w:trPr>
          <w:tblCellSpacing w:w="15" w:type="dxa"/>
        </w:trPr>
        <w:tc>
          <w:tcPr>
            <w:tcW w:w="0" w:type="auto"/>
            <w:vAlign w:val="center"/>
            <w:hideMark/>
          </w:tcPr>
          <w:p w14:paraId="2A1604DA"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conditions</w:t>
            </w:r>
          </w:p>
        </w:tc>
        <w:tc>
          <w:tcPr>
            <w:tcW w:w="0" w:type="auto"/>
            <w:vAlign w:val="center"/>
            <w:hideMark/>
          </w:tcPr>
          <w:p w14:paraId="29C4EC86"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JSON</w:t>
            </w:r>
          </w:p>
        </w:tc>
        <w:tc>
          <w:tcPr>
            <w:tcW w:w="0" w:type="auto"/>
            <w:vAlign w:val="center"/>
            <w:hideMark/>
          </w:tcPr>
          <w:p w14:paraId="02B2958B"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Conditions, limitations, legal boundary, methodology references, or governance constraints</w:t>
            </w:r>
          </w:p>
        </w:tc>
        <w:tc>
          <w:tcPr>
            <w:tcW w:w="0" w:type="auto"/>
            <w:vAlign w:val="center"/>
            <w:hideMark/>
          </w:tcPr>
          <w:p w14:paraId="181FA634" w14:textId="77777777" w:rsidR="00EB0717" w:rsidRPr="00B479AE" w:rsidRDefault="00EB0717" w:rsidP="00EB0717">
            <w:pPr>
              <w:spacing w:line="360" w:lineRule="auto"/>
              <w:rPr>
                <w:rFonts w:ascii="Baskerville Old Face" w:hAnsi="Baskerville Old Face"/>
                <w:i/>
                <w:iCs/>
                <w:sz w:val="22"/>
                <w:szCs w:val="22"/>
              </w:rPr>
            </w:pPr>
          </w:p>
        </w:tc>
      </w:tr>
      <w:tr w:rsidR="00EB0717" w:rsidRPr="00B479AE" w14:paraId="1E745922" w14:textId="77777777" w:rsidTr="00410962">
        <w:trPr>
          <w:tblCellSpacing w:w="15" w:type="dxa"/>
        </w:trPr>
        <w:tc>
          <w:tcPr>
            <w:tcW w:w="0" w:type="auto"/>
            <w:vAlign w:val="center"/>
            <w:hideMark/>
          </w:tcPr>
          <w:p w14:paraId="2509D66E"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fulfilled_by</w:t>
            </w:r>
          </w:p>
        </w:tc>
        <w:tc>
          <w:tcPr>
            <w:tcW w:w="0" w:type="auto"/>
            <w:vAlign w:val="center"/>
            <w:hideMark/>
          </w:tcPr>
          <w:p w14:paraId="0573F143"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[Hash]</w:t>
            </w:r>
          </w:p>
        </w:tc>
        <w:tc>
          <w:tcPr>
            <w:tcW w:w="0" w:type="auto"/>
            <w:vAlign w:val="center"/>
            <w:hideMark/>
          </w:tcPr>
          <w:p w14:paraId="4BFB4CC3"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Events that fulfill this commitment</w:t>
            </w:r>
          </w:p>
        </w:tc>
        <w:tc>
          <w:tcPr>
            <w:tcW w:w="0" w:type="auto"/>
            <w:vAlign w:val="center"/>
            <w:hideMark/>
          </w:tcPr>
          <w:p w14:paraId="02BCC23D" w14:textId="77777777" w:rsidR="00EB0717" w:rsidRPr="00B479AE" w:rsidRDefault="00EB0717" w:rsidP="00EB0717">
            <w:pPr>
              <w:spacing w:line="360" w:lineRule="auto"/>
              <w:rPr>
                <w:rFonts w:ascii="Baskerville Old Face" w:hAnsi="Baskerville Old Face"/>
                <w:i/>
                <w:iCs/>
                <w:sz w:val="22"/>
                <w:szCs w:val="22"/>
              </w:rPr>
            </w:pPr>
          </w:p>
        </w:tc>
      </w:tr>
      <w:tr w:rsidR="00EB0717" w:rsidRPr="00B479AE" w14:paraId="173F8DCE" w14:textId="77777777" w:rsidTr="00410962">
        <w:trPr>
          <w:tblCellSpacing w:w="15" w:type="dxa"/>
        </w:trPr>
        <w:tc>
          <w:tcPr>
            <w:tcW w:w="0" w:type="auto"/>
            <w:vAlign w:val="center"/>
            <w:hideMark/>
          </w:tcPr>
          <w:p w14:paraId="708C1EF4"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status</w:t>
            </w:r>
          </w:p>
        </w:tc>
        <w:tc>
          <w:tcPr>
            <w:tcW w:w="0" w:type="auto"/>
            <w:vAlign w:val="center"/>
            <w:hideMark/>
          </w:tcPr>
          <w:p w14:paraId="4A8C70EC"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Enum</w:t>
            </w:r>
          </w:p>
        </w:tc>
        <w:tc>
          <w:tcPr>
            <w:tcW w:w="0" w:type="auto"/>
            <w:vAlign w:val="center"/>
            <w:hideMark/>
          </w:tcPr>
          <w:p w14:paraId="08D4F85C"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active, fulfilled, expired, cancelled, under_review, disputed</w:t>
            </w:r>
          </w:p>
        </w:tc>
        <w:tc>
          <w:tcPr>
            <w:tcW w:w="0" w:type="auto"/>
            <w:vAlign w:val="center"/>
            <w:hideMark/>
          </w:tcPr>
          <w:p w14:paraId="6D48A71A"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r w:rsidR="00EB0717" w:rsidRPr="00B479AE" w14:paraId="4FB5AF9C" w14:textId="77777777" w:rsidTr="00410962">
        <w:trPr>
          <w:tblCellSpacing w:w="15" w:type="dxa"/>
        </w:trPr>
        <w:tc>
          <w:tcPr>
            <w:tcW w:w="0" w:type="auto"/>
            <w:vAlign w:val="center"/>
            <w:hideMark/>
          </w:tcPr>
          <w:p w14:paraId="7C2FC6F6"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header</w:t>
            </w:r>
          </w:p>
        </w:tc>
        <w:tc>
          <w:tcPr>
            <w:tcW w:w="0" w:type="auto"/>
            <w:vAlign w:val="center"/>
            <w:hideMark/>
          </w:tcPr>
          <w:p w14:paraId="4FF0D53C"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SyntropicHeader</w:t>
            </w:r>
          </w:p>
        </w:tc>
        <w:tc>
          <w:tcPr>
            <w:tcW w:w="0" w:type="auto"/>
            <w:vAlign w:val="center"/>
            <w:hideMark/>
          </w:tcPr>
          <w:p w14:paraId="65314107" w14:textId="77777777" w:rsidR="00EB0717" w:rsidRPr="00B479AE" w:rsidRDefault="00EB0717" w:rsidP="00EB0717">
            <w:pPr>
              <w:spacing w:line="360" w:lineRule="auto"/>
              <w:rPr>
                <w:rFonts w:ascii="Baskerville Old Face" w:hAnsi="Baskerville Old Face"/>
                <w:i/>
                <w:iCs/>
                <w:sz w:val="22"/>
                <w:szCs w:val="22"/>
              </w:rPr>
            </w:pPr>
            <w:r w:rsidRPr="00B479AE">
              <w:rPr>
                <w:rFonts w:ascii="Baskerville Old Face" w:hAnsi="Baskerville Old Face"/>
                <w:i/>
                <w:iCs/>
                <w:sz w:val="22"/>
                <w:szCs w:val="22"/>
              </w:rPr>
              <w:t>Constitutional compliance header carrying relevant sovereignty hashes and signature metadata</w:t>
            </w:r>
          </w:p>
        </w:tc>
        <w:tc>
          <w:tcPr>
            <w:tcW w:w="0" w:type="auto"/>
            <w:vAlign w:val="center"/>
            <w:hideMark/>
          </w:tcPr>
          <w:p w14:paraId="2D988867" w14:textId="77777777" w:rsidR="00EB0717" w:rsidRPr="00B479AE" w:rsidRDefault="00EB0717" w:rsidP="00EB0717">
            <w:pPr>
              <w:spacing w:line="360" w:lineRule="auto"/>
              <w:rPr>
                <w:rFonts w:ascii="Baskerville Old Face" w:hAnsi="Baskerville Old Face"/>
                <w:i/>
                <w:iCs/>
                <w:sz w:val="22"/>
                <w:szCs w:val="22"/>
              </w:rPr>
            </w:pPr>
            <w:r w:rsidRPr="00B479AE">
              <w:rPr>
                <w:rFonts w:ascii="Segoe UI Symbol" w:hAnsi="Segoe UI Symbol" w:cs="Segoe UI Symbol"/>
                <w:i/>
                <w:iCs/>
                <w:sz w:val="22"/>
                <w:szCs w:val="22"/>
              </w:rPr>
              <w:t>✓</w:t>
            </w:r>
          </w:p>
        </w:tc>
      </w:tr>
    </w:tbl>
    <w:p w14:paraId="081EC57F"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J.2.5 TimeWindow</w:t>
      </w:r>
    </w:p>
    <w:p w14:paraId="1F8B5A1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 reusable time specification for events, commitments, monitoring periods, or reporting windows.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7"/>
        <w:gridCol w:w="1080"/>
        <w:gridCol w:w="1569"/>
        <w:gridCol w:w="906"/>
      </w:tblGrid>
      <w:tr w:rsidR="00EB0717" w:rsidRPr="00812032" w14:paraId="35323983" w14:textId="77777777" w:rsidTr="00410962">
        <w:trPr>
          <w:tblHeader/>
          <w:tblCellSpacing w:w="15" w:type="dxa"/>
        </w:trPr>
        <w:tc>
          <w:tcPr>
            <w:tcW w:w="0" w:type="auto"/>
            <w:vAlign w:val="center"/>
            <w:hideMark/>
          </w:tcPr>
          <w:p w14:paraId="400C5D6E" w14:textId="77777777" w:rsidR="00EB0717" w:rsidRPr="00812032" w:rsidRDefault="00EB0717" w:rsidP="00EB0717">
            <w:pPr>
              <w:spacing w:line="360" w:lineRule="auto"/>
              <w:rPr>
                <w:rFonts w:ascii="Baskerville Old Face" w:hAnsi="Baskerville Old Face"/>
                <w:b/>
                <w:bCs/>
                <w:i/>
                <w:iCs/>
                <w:sz w:val="22"/>
                <w:szCs w:val="22"/>
              </w:rPr>
            </w:pPr>
            <w:r w:rsidRPr="00812032">
              <w:rPr>
                <w:rFonts w:ascii="Baskerville Old Face" w:hAnsi="Baskerville Old Face"/>
                <w:b/>
                <w:bCs/>
                <w:i/>
                <w:iCs/>
                <w:sz w:val="22"/>
                <w:szCs w:val="22"/>
              </w:rPr>
              <w:lastRenderedPageBreak/>
              <w:t>Field</w:t>
            </w:r>
          </w:p>
        </w:tc>
        <w:tc>
          <w:tcPr>
            <w:tcW w:w="0" w:type="auto"/>
            <w:vAlign w:val="center"/>
            <w:hideMark/>
          </w:tcPr>
          <w:p w14:paraId="35691177" w14:textId="77777777" w:rsidR="00EB0717" w:rsidRPr="00812032" w:rsidRDefault="00EB0717" w:rsidP="00EB0717">
            <w:pPr>
              <w:spacing w:line="360" w:lineRule="auto"/>
              <w:rPr>
                <w:rFonts w:ascii="Baskerville Old Face" w:hAnsi="Baskerville Old Face"/>
                <w:b/>
                <w:bCs/>
                <w:i/>
                <w:iCs/>
                <w:sz w:val="22"/>
                <w:szCs w:val="22"/>
              </w:rPr>
            </w:pPr>
            <w:r w:rsidRPr="00812032">
              <w:rPr>
                <w:rFonts w:ascii="Baskerville Old Face" w:hAnsi="Baskerville Old Face"/>
                <w:b/>
                <w:bCs/>
                <w:i/>
                <w:iCs/>
                <w:sz w:val="22"/>
                <w:szCs w:val="22"/>
              </w:rPr>
              <w:t>Type</w:t>
            </w:r>
          </w:p>
        </w:tc>
        <w:tc>
          <w:tcPr>
            <w:tcW w:w="0" w:type="auto"/>
            <w:vAlign w:val="center"/>
            <w:hideMark/>
          </w:tcPr>
          <w:p w14:paraId="1ACFC72B" w14:textId="77777777" w:rsidR="00EB0717" w:rsidRPr="00812032" w:rsidRDefault="00EB0717" w:rsidP="00EB0717">
            <w:pPr>
              <w:spacing w:line="360" w:lineRule="auto"/>
              <w:rPr>
                <w:rFonts w:ascii="Baskerville Old Face" w:hAnsi="Baskerville Old Face"/>
                <w:b/>
                <w:bCs/>
                <w:i/>
                <w:iCs/>
                <w:sz w:val="22"/>
                <w:szCs w:val="22"/>
              </w:rPr>
            </w:pPr>
            <w:r w:rsidRPr="00812032">
              <w:rPr>
                <w:rFonts w:ascii="Baskerville Old Face" w:hAnsi="Baskerville Old Face"/>
                <w:b/>
                <w:bCs/>
                <w:i/>
                <w:iCs/>
                <w:sz w:val="22"/>
                <w:szCs w:val="22"/>
              </w:rPr>
              <w:t>Description</w:t>
            </w:r>
          </w:p>
        </w:tc>
        <w:tc>
          <w:tcPr>
            <w:tcW w:w="0" w:type="auto"/>
            <w:vAlign w:val="center"/>
            <w:hideMark/>
          </w:tcPr>
          <w:p w14:paraId="3018744B" w14:textId="77777777" w:rsidR="00EB0717" w:rsidRPr="00812032" w:rsidRDefault="00EB0717" w:rsidP="00EB0717">
            <w:pPr>
              <w:spacing w:line="360" w:lineRule="auto"/>
              <w:rPr>
                <w:rFonts w:ascii="Baskerville Old Face" w:hAnsi="Baskerville Old Face"/>
                <w:b/>
                <w:bCs/>
                <w:i/>
                <w:iCs/>
                <w:sz w:val="22"/>
                <w:szCs w:val="22"/>
              </w:rPr>
            </w:pPr>
            <w:r w:rsidRPr="00812032">
              <w:rPr>
                <w:rFonts w:ascii="Baskerville Old Face" w:hAnsi="Baskerville Old Face"/>
                <w:b/>
                <w:bCs/>
                <w:i/>
                <w:iCs/>
                <w:sz w:val="22"/>
                <w:szCs w:val="22"/>
              </w:rPr>
              <w:t>Required</w:t>
            </w:r>
          </w:p>
        </w:tc>
      </w:tr>
      <w:tr w:rsidR="00EB0717" w:rsidRPr="00812032" w14:paraId="4ED15356" w14:textId="77777777" w:rsidTr="00410962">
        <w:trPr>
          <w:tblCellSpacing w:w="15" w:type="dxa"/>
        </w:trPr>
        <w:tc>
          <w:tcPr>
            <w:tcW w:w="0" w:type="auto"/>
            <w:vAlign w:val="center"/>
            <w:hideMark/>
          </w:tcPr>
          <w:p w14:paraId="62D52F61" w14:textId="77777777" w:rsidR="00EB0717" w:rsidRPr="00812032" w:rsidRDefault="00EB0717" w:rsidP="00EB0717">
            <w:pPr>
              <w:spacing w:line="360" w:lineRule="auto"/>
              <w:rPr>
                <w:rFonts w:ascii="Baskerville Old Face" w:hAnsi="Baskerville Old Face"/>
                <w:i/>
                <w:iCs/>
                <w:sz w:val="22"/>
                <w:szCs w:val="22"/>
              </w:rPr>
            </w:pPr>
            <w:r w:rsidRPr="00812032">
              <w:rPr>
                <w:rFonts w:ascii="Baskerville Old Face" w:hAnsi="Baskerville Old Face"/>
                <w:i/>
                <w:iCs/>
                <w:sz w:val="22"/>
                <w:szCs w:val="22"/>
              </w:rPr>
              <w:t>id</w:t>
            </w:r>
          </w:p>
        </w:tc>
        <w:tc>
          <w:tcPr>
            <w:tcW w:w="0" w:type="auto"/>
            <w:vAlign w:val="center"/>
            <w:hideMark/>
          </w:tcPr>
          <w:p w14:paraId="27877F72" w14:textId="77777777" w:rsidR="00EB0717" w:rsidRPr="00812032" w:rsidRDefault="00EB0717" w:rsidP="00EB0717">
            <w:pPr>
              <w:spacing w:line="360" w:lineRule="auto"/>
              <w:rPr>
                <w:rFonts w:ascii="Baskerville Old Face" w:hAnsi="Baskerville Old Face"/>
                <w:i/>
                <w:iCs/>
                <w:sz w:val="22"/>
                <w:szCs w:val="22"/>
              </w:rPr>
            </w:pPr>
            <w:r w:rsidRPr="00812032">
              <w:rPr>
                <w:rFonts w:ascii="Baskerville Old Face" w:hAnsi="Baskerville Old Face"/>
                <w:i/>
                <w:iCs/>
                <w:sz w:val="22"/>
                <w:szCs w:val="22"/>
              </w:rPr>
              <w:t>String</w:t>
            </w:r>
          </w:p>
        </w:tc>
        <w:tc>
          <w:tcPr>
            <w:tcW w:w="0" w:type="auto"/>
            <w:vAlign w:val="center"/>
            <w:hideMark/>
          </w:tcPr>
          <w:p w14:paraId="1430FEC6" w14:textId="77777777" w:rsidR="00EB0717" w:rsidRPr="00812032" w:rsidRDefault="00EB0717" w:rsidP="00EB0717">
            <w:pPr>
              <w:spacing w:line="360" w:lineRule="auto"/>
              <w:rPr>
                <w:rFonts w:ascii="Baskerville Old Face" w:hAnsi="Baskerville Old Face"/>
                <w:i/>
                <w:iCs/>
                <w:sz w:val="22"/>
                <w:szCs w:val="22"/>
              </w:rPr>
            </w:pPr>
            <w:r w:rsidRPr="00812032">
              <w:rPr>
                <w:rFonts w:ascii="Baskerville Old Face" w:hAnsi="Baskerville Old Face"/>
                <w:i/>
                <w:iCs/>
                <w:sz w:val="22"/>
                <w:szCs w:val="22"/>
              </w:rPr>
              <w:t>Named identifier</w:t>
            </w:r>
          </w:p>
        </w:tc>
        <w:tc>
          <w:tcPr>
            <w:tcW w:w="0" w:type="auto"/>
            <w:vAlign w:val="center"/>
            <w:hideMark/>
          </w:tcPr>
          <w:p w14:paraId="36AABAE9" w14:textId="77777777" w:rsidR="00EB0717" w:rsidRPr="00812032" w:rsidRDefault="00EB0717" w:rsidP="00EB0717">
            <w:pPr>
              <w:spacing w:line="360" w:lineRule="auto"/>
              <w:rPr>
                <w:rFonts w:ascii="Baskerville Old Face" w:hAnsi="Baskerville Old Face"/>
                <w:i/>
                <w:iCs/>
                <w:sz w:val="22"/>
                <w:szCs w:val="22"/>
              </w:rPr>
            </w:pPr>
            <w:r w:rsidRPr="00812032">
              <w:rPr>
                <w:rFonts w:ascii="Segoe UI Symbol" w:hAnsi="Segoe UI Symbol" w:cs="Segoe UI Symbol"/>
                <w:i/>
                <w:iCs/>
                <w:sz w:val="22"/>
                <w:szCs w:val="22"/>
              </w:rPr>
              <w:t>✓</w:t>
            </w:r>
          </w:p>
        </w:tc>
      </w:tr>
      <w:tr w:rsidR="00EB0717" w:rsidRPr="00812032" w14:paraId="742D1BCE" w14:textId="77777777" w:rsidTr="00410962">
        <w:trPr>
          <w:tblCellSpacing w:w="15" w:type="dxa"/>
        </w:trPr>
        <w:tc>
          <w:tcPr>
            <w:tcW w:w="0" w:type="auto"/>
            <w:vAlign w:val="center"/>
            <w:hideMark/>
          </w:tcPr>
          <w:p w14:paraId="4F76EA26" w14:textId="77777777" w:rsidR="00EB0717" w:rsidRPr="00812032" w:rsidRDefault="00EB0717" w:rsidP="00EB0717">
            <w:pPr>
              <w:spacing w:line="360" w:lineRule="auto"/>
              <w:rPr>
                <w:rFonts w:ascii="Baskerville Old Face" w:hAnsi="Baskerville Old Face"/>
                <w:i/>
                <w:iCs/>
                <w:sz w:val="22"/>
                <w:szCs w:val="22"/>
              </w:rPr>
            </w:pPr>
            <w:r w:rsidRPr="00812032">
              <w:rPr>
                <w:rFonts w:ascii="Baskerville Old Face" w:hAnsi="Baskerville Old Face"/>
                <w:i/>
                <w:iCs/>
                <w:sz w:val="22"/>
                <w:szCs w:val="22"/>
              </w:rPr>
              <w:t>start</w:t>
            </w:r>
          </w:p>
        </w:tc>
        <w:tc>
          <w:tcPr>
            <w:tcW w:w="0" w:type="auto"/>
            <w:vAlign w:val="center"/>
            <w:hideMark/>
          </w:tcPr>
          <w:p w14:paraId="2001A0D4" w14:textId="77777777" w:rsidR="00EB0717" w:rsidRPr="00812032" w:rsidRDefault="00EB0717" w:rsidP="00EB0717">
            <w:pPr>
              <w:spacing w:line="360" w:lineRule="auto"/>
              <w:rPr>
                <w:rFonts w:ascii="Baskerville Old Face" w:hAnsi="Baskerville Old Face"/>
                <w:i/>
                <w:iCs/>
                <w:sz w:val="22"/>
                <w:szCs w:val="22"/>
              </w:rPr>
            </w:pPr>
            <w:r w:rsidRPr="00812032">
              <w:rPr>
                <w:rFonts w:ascii="Baskerville Old Face" w:hAnsi="Baskerville Old Face"/>
                <w:i/>
                <w:iCs/>
                <w:sz w:val="22"/>
                <w:szCs w:val="22"/>
              </w:rPr>
              <w:t>Timestamp</w:t>
            </w:r>
          </w:p>
        </w:tc>
        <w:tc>
          <w:tcPr>
            <w:tcW w:w="0" w:type="auto"/>
            <w:vAlign w:val="center"/>
            <w:hideMark/>
          </w:tcPr>
          <w:p w14:paraId="7983A381" w14:textId="77777777" w:rsidR="00EB0717" w:rsidRPr="00812032" w:rsidRDefault="00EB0717" w:rsidP="00EB0717">
            <w:pPr>
              <w:spacing w:line="360" w:lineRule="auto"/>
              <w:rPr>
                <w:rFonts w:ascii="Baskerville Old Face" w:hAnsi="Baskerville Old Face"/>
                <w:i/>
                <w:iCs/>
                <w:sz w:val="22"/>
                <w:szCs w:val="22"/>
              </w:rPr>
            </w:pPr>
            <w:r w:rsidRPr="00812032">
              <w:rPr>
                <w:rFonts w:ascii="Baskerville Old Face" w:hAnsi="Baskerville Old Face"/>
                <w:i/>
                <w:iCs/>
                <w:sz w:val="22"/>
                <w:szCs w:val="22"/>
              </w:rPr>
              <w:t>UTC start time</w:t>
            </w:r>
          </w:p>
        </w:tc>
        <w:tc>
          <w:tcPr>
            <w:tcW w:w="0" w:type="auto"/>
            <w:vAlign w:val="center"/>
            <w:hideMark/>
          </w:tcPr>
          <w:p w14:paraId="4A24786F" w14:textId="77777777" w:rsidR="00EB0717" w:rsidRPr="00812032" w:rsidRDefault="00EB0717" w:rsidP="00EB0717">
            <w:pPr>
              <w:spacing w:line="360" w:lineRule="auto"/>
              <w:rPr>
                <w:rFonts w:ascii="Baskerville Old Face" w:hAnsi="Baskerville Old Face"/>
                <w:i/>
                <w:iCs/>
                <w:sz w:val="22"/>
                <w:szCs w:val="22"/>
              </w:rPr>
            </w:pPr>
            <w:r w:rsidRPr="00812032">
              <w:rPr>
                <w:rFonts w:ascii="Segoe UI Symbol" w:hAnsi="Segoe UI Symbol" w:cs="Segoe UI Symbol"/>
                <w:i/>
                <w:iCs/>
                <w:sz w:val="22"/>
                <w:szCs w:val="22"/>
              </w:rPr>
              <w:t>✓</w:t>
            </w:r>
          </w:p>
        </w:tc>
      </w:tr>
      <w:tr w:rsidR="00EB0717" w:rsidRPr="00812032" w14:paraId="3EEA5C88" w14:textId="77777777" w:rsidTr="00410962">
        <w:trPr>
          <w:tblCellSpacing w:w="15" w:type="dxa"/>
        </w:trPr>
        <w:tc>
          <w:tcPr>
            <w:tcW w:w="0" w:type="auto"/>
            <w:vAlign w:val="center"/>
            <w:hideMark/>
          </w:tcPr>
          <w:p w14:paraId="019093BE" w14:textId="77777777" w:rsidR="00EB0717" w:rsidRPr="00812032" w:rsidRDefault="00EB0717" w:rsidP="00EB0717">
            <w:pPr>
              <w:spacing w:line="360" w:lineRule="auto"/>
              <w:rPr>
                <w:rFonts w:ascii="Baskerville Old Face" w:hAnsi="Baskerville Old Face"/>
                <w:i/>
                <w:iCs/>
                <w:sz w:val="22"/>
                <w:szCs w:val="22"/>
              </w:rPr>
            </w:pPr>
            <w:r w:rsidRPr="00812032">
              <w:rPr>
                <w:rFonts w:ascii="Baskerville Old Face" w:hAnsi="Baskerville Old Face"/>
                <w:i/>
                <w:iCs/>
                <w:sz w:val="22"/>
                <w:szCs w:val="22"/>
              </w:rPr>
              <w:t>end</w:t>
            </w:r>
          </w:p>
        </w:tc>
        <w:tc>
          <w:tcPr>
            <w:tcW w:w="0" w:type="auto"/>
            <w:vAlign w:val="center"/>
            <w:hideMark/>
          </w:tcPr>
          <w:p w14:paraId="228094B3" w14:textId="77777777" w:rsidR="00EB0717" w:rsidRPr="00812032" w:rsidRDefault="00EB0717" w:rsidP="00EB0717">
            <w:pPr>
              <w:spacing w:line="360" w:lineRule="auto"/>
              <w:rPr>
                <w:rFonts w:ascii="Baskerville Old Face" w:hAnsi="Baskerville Old Face"/>
                <w:i/>
                <w:iCs/>
                <w:sz w:val="22"/>
                <w:szCs w:val="22"/>
              </w:rPr>
            </w:pPr>
            <w:r w:rsidRPr="00812032">
              <w:rPr>
                <w:rFonts w:ascii="Baskerville Old Face" w:hAnsi="Baskerville Old Face"/>
                <w:i/>
                <w:iCs/>
                <w:sz w:val="22"/>
                <w:szCs w:val="22"/>
              </w:rPr>
              <w:t>Timestamp</w:t>
            </w:r>
          </w:p>
        </w:tc>
        <w:tc>
          <w:tcPr>
            <w:tcW w:w="0" w:type="auto"/>
            <w:vAlign w:val="center"/>
            <w:hideMark/>
          </w:tcPr>
          <w:p w14:paraId="39D5651B" w14:textId="77777777" w:rsidR="00EB0717" w:rsidRPr="00812032" w:rsidRDefault="00EB0717" w:rsidP="00EB0717">
            <w:pPr>
              <w:spacing w:line="360" w:lineRule="auto"/>
              <w:rPr>
                <w:rFonts w:ascii="Baskerville Old Face" w:hAnsi="Baskerville Old Face"/>
                <w:i/>
                <w:iCs/>
                <w:sz w:val="22"/>
                <w:szCs w:val="22"/>
              </w:rPr>
            </w:pPr>
            <w:r w:rsidRPr="00812032">
              <w:rPr>
                <w:rFonts w:ascii="Baskerville Old Face" w:hAnsi="Baskerville Old Face"/>
                <w:i/>
                <w:iCs/>
                <w:sz w:val="22"/>
                <w:szCs w:val="22"/>
              </w:rPr>
              <w:t>UTC end time</w:t>
            </w:r>
          </w:p>
        </w:tc>
        <w:tc>
          <w:tcPr>
            <w:tcW w:w="0" w:type="auto"/>
            <w:vAlign w:val="center"/>
            <w:hideMark/>
          </w:tcPr>
          <w:p w14:paraId="4A948620" w14:textId="77777777" w:rsidR="00EB0717" w:rsidRPr="00812032" w:rsidRDefault="00EB0717" w:rsidP="00EB0717">
            <w:pPr>
              <w:spacing w:line="360" w:lineRule="auto"/>
              <w:rPr>
                <w:rFonts w:ascii="Baskerville Old Face" w:hAnsi="Baskerville Old Face"/>
                <w:i/>
                <w:iCs/>
                <w:sz w:val="22"/>
                <w:szCs w:val="22"/>
              </w:rPr>
            </w:pPr>
            <w:r w:rsidRPr="00812032">
              <w:rPr>
                <w:rFonts w:ascii="Segoe UI Symbol" w:hAnsi="Segoe UI Symbol" w:cs="Segoe UI Symbol"/>
                <w:i/>
                <w:iCs/>
                <w:sz w:val="22"/>
                <w:szCs w:val="22"/>
              </w:rPr>
              <w:t>✓</w:t>
            </w:r>
          </w:p>
        </w:tc>
      </w:tr>
    </w:tbl>
    <w:p w14:paraId="3FEC9E41"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J.3 Validation rules</w:t>
      </w:r>
    </w:p>
    <w:p w14:paraId="737FFD13"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J.3.1 Intrinsic validation</w:t>
      </w:r>
    </w:p>
    <w:p w14:paraId="101CBD7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All entries should pass basic structural validation:</w:t>
      </w:r>
    </w:p>
    <w:p w14:paraId="399D1F93"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required fields present and correctly typed;</w:t>
      </w:r>
    </w:p>
    <w:p w14:paraId="5BD11DB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signatures valid;</w:t>
      </w:r>
    </w:p>
    <w:p w14:paraId="006E1B73"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syntropic sovereignty header or canonical integrity metadata present and verified;</w:t>
      </w:r>
    </w:p>
    <w:p w14:paraId="1B1FCB1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hash links point to existing entries or permitted null values;</w:t>
      </w:r>
    </w:p>
    <w:p w14:paraId="2DBE1F2C"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timestamps valid;</w:t>
      </w:r>
    </w:p>
    <w:p w14:paraId="71BEB1B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authority scope not exceeded;</w:t>
      </w:r>
    </w:p>
    <w:p w14:paraId="3BB489B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review status properly assigned.</w:t>
      </w:r>
    </w:p>
    <w:p w14:paraId="18132332"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J.3.2 Economic and operational validation</w:t>
      </w:r>
    </w:p>
    <w:p w14:paraId="3139EB1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Economic and operational entries should satisfy applicable consistency rules:</w:t>
      </w:r>
    </w:p>
    <w:p w14:paraId="15FD88FC"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conservation of value where double-entry or reciprocal accounting applies;</w:t>
      </w:r>
    </w:p>
    <w:p w14:paraId="3A7CF00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quantity non-negativity unless explicitly allowed for liabilities, obligations, deficits, or corrective records;</w:t>
      </w:r>
    </w:p>
    <w:p w14:paraId="66113D7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unit consistency;</w:t>
      </w:r>
    </w:p>
    <w:p w14:paraId="3E70FBC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commitment fulfillment matched to valid commitment;</w:t>
      </w:r>
    </w:p>
    <w:p w14:paraId="0F7764C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lastRenderedPageBreak/>
        <w:t>• event authorization by relevant agent or governance process;</w:t>
      </w:r>
    </w:p>
    <w:p w14:paraId="7260C55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clear separation between operational events, financial events, ecological evidence, and legal rights.</w:t>
      </w:r>
    </w:p>
    <w:p w14:paraId="05802953"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J.3.3 Ecological validation</w:t>
      </w:r>
    </w:p>
    <w:p w14:paraId="20BE12F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Events claiming ecological relevance should satisfy ecological validation rules:</w:t>
      </w:r>
    </w:p>
    <w:p w14:paraId="36EA885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MRV linking where ecological impact is claimed;</w:t>
      </w:r>
    </w:p>
    <w:p w14:paraId="5E7C453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location validity within the claimed site, OHE, project, bioregion, or ecosystem;</w:t>
      </w:r>
    </w:p>
    <w:p w14:paraId="60776AB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methodology compatibility;</w:t>
      </w:r>
    </w:p>
    <w:p w14:paraId="60463A0F"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confidence scoring where required;</w:t>
      </w:r>
    </w:p>
    <w:p w14:paraId="012E3F2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no-double-counting controls;</w:t>
      </w:r>
    </w:p>
    <w:p w14:paraId="6639454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PHI or Planetary Boundaries context where applicable;</w:t>
      </w:r>
    </w:p>
    <w:p w14:paraId="3E23C90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review pathway for PRU-relevant or public-facing claims.</w:t>
      </w:r>
    </w:p>
    <w:p w14:paraId="7DE2F53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Ecological validation does not automatically create credits, investor rights, PRU value, token issuance, or financial instruments.</w:t>
      </w:r>
    </w:p>
    <w:p w14:paraId="06E7291D"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J.3.4 Constitutional validation</w:t>
      </w:r>
    </w:p>
    <w:p w14:paraId="6D20EC1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All entries should remain compatible with the Prometheus source layer.</w:t>
      </w:r>
    </w:p>
    <w:p w14:paraId="230D1A4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Constitutional validation should enforce:</w:t>
      </w:r>
    </w:p>
    <w:p w14:paraId="48B6B27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non-commodification of life;</w:t>
      </w:r>
    </w:p>
    <w:p w14:paraId="23E89B4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human dignity;</w:t>
      </w:r>
    </w:p>
    <w:p w14:paraId="2D99C0C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agent sovereignty;</w:t>
      </w:r>
    </w:p>
    <w:p w14:paraId="7E8608F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consent and lawful authority;</w:t>
      </w:r>
    </w:p>
    <w:p w14:paraId="7712775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MRV discipline;</w:t>
      </w:r>
    </w:p>
    <w:p w14:paraId="1A794AC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legal boundary;</w:t>
      </w:r>
    </w:p>
    <w:p w14:paraId="3A37809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lastRenderedPageBreak/>
        <w:t>• no-double-counting;</w:t>
      </w:r>
    </w:p>
    <w:p w14:paraId="7E4D5D8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source-layer non-bypassability;</w:t>
      </w:r>
    </w:p>
    <w:p w14:paraId="7909C5C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public-claim discipline;</w:t>
      </w:r>
    </w:p>
    <w:p w14:paraId="06F4627F"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token-boundary separation.</w:t>
      </w:r>
    </w:p>
    <w:p w14:paraId="68734C7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Any event violating constitutional principles may be rejected, marked non-admissible, quarantined, or routed to governance review.</w:t>
      </w:r>
    </w:p>
    <w:p w14:paraId="2A49897D"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J.4 Integration with other DNAs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9"/>
        <w:gridCol w:w="8279"/>
      </w:tblGrid>
      <w:tr w:rsidR="005213EF" w:rsidRPr="00812032" w14:paraId="7F8948B1" w14:textId="77777777" w:rsidTr="005213EF">
        <w:trPr>
          <w:tblHeader/>
          <w:tblCellSpacing w:w="15" w:type="dxa"/>
        </w:trPr>
        <w:tc>
          <w:tcPr>
            <w:tcW w:w="0" w:type="auto"/>
            <w:vAlign w:val="center"/>
            <w:hideMark/>
          </w:tcPr>
          <w:p w14:paraId="552DA915" w14:textId="77777777" w:rsidR="005213EF" w:rsidRPr="00812032" w:rsidRDefault="005213EF" w:rsidP="005213EF">
            <w:pPr>
              <w:spacing w:line="360" w:lineRule="auto"/>
              <w:rPr>
                <w:rFonts w:ascii="Baskerville Old Face" w:hAnsi="Baskerville Old Face"/>
                <w:b/>
                <w:bCs/>
                <w:i/>
                <w:iCs/>
                <w:sz w:val="20"/>
                <w:szCs w:val="20"/>
              </w:rPr>
            </w:pPr>
            <w:r w:rsidRPr="00812032">
              <w:rPr>
                <w:rFonts w:ascii="Baskerville Old Face" w:hAnsi="Baskerville Old Face"/>
                <w:b/>
                <w:bCs/>
                <w:i/>
                <w:iCs/>
                <w:sz w:val="20"/>
                <w:szCs w:val="20"/>
              </w:rPr>
              <w:t>DNA</w:t>
            </w:r>
          </w:p>
        </w:tc>
        <w:tc>
          <w:tcPr>
            <w:tcW w:w="0" w:type="auto"/>
            <w:vAlign w:val="center"/>
            <w:hideMark/>
          </w:tcPr>
          <w:p w14:paraId="53BC72B4" w14:textId="77777777" w:rsidR="005213EF" w:rsidRPr="00812032" w:rsidRDefault="005213EF" w:rsidP="005213EF">
            <w:pPr>
              <w:spacing w:line="360" w:lineRule="auto"/>
              <w:rPr>
                <w:rFonts w:ascii="Baskerville Old Face" w:hAnsi="Baskerville Old Face"/>
                <w:b/>
                <w:bCs/>
                <w:i/>
                <w:iCs/>
                <w:sz w:val="20"/>
                <w:szCs w:val="20"/>
              </w:rPr>
            </w:pPr>
            <w:r w:rsidRPr="00812032">
              <w:rPr>
                <w:rFonts w:ascii="Baskerville Old Face" w:hAnsi="Baskerville Old Face"/>
                <w:b/>
                <w:bCs/>
                <w:i/>
                <w:iCs/>
                <w:sz w:val="20"/>
                <w:szCs w:val="20"/>
              </w:rPr>
              <w:t>Integration point</w:t>
            </w:r>
          </w:p>
        </w:tc>
      </w:tr>
      <w:tr w:rsidR="005213EF" w:rsidRPr="00812032" w14:paraId="3FF154A6" w14:textId="77777777" w:rsidTr="005213EF">
        <w:trPr>
          <w:tblCellSpacing w:w="15" w:type="dxa"/>
        </w:trPr>
        <w:tc>
          <w:tcPr>
            <w:tcW w:w="0" w:type="auto"/>
            <w:vAlign w:val="center"/>
            <w:hideMark/>
          </w:tcPr>
          <w:p w14:paraId="50B69E51" w14:textId="77777777" w:rsidR="005213EF" w:rsidRPr="00812032" w:rsidRDefault="005213EF" w:rsidP="005213EF">
            <w:pPr>
              <w:spacing w:line="360" w:lineRule="auto"/>
              <w:rPr>
                <w:rFonts w:ascii="Baskerville Old Face" w:hAnsi="Baskerville Old Face"/>
                <w:i/>
                <w:iCs/>
                <w:sz w:val="20"/>
                <w:szCs w:val="20"/>
              </w:rPr>
            </w:pPr>
            <w:r w:rsidRPr="00812032">
              <w:rPr>
                <w:rFonts w:ascii="Baskerville Old Face" w:hAnsi="Baskerville Old Face"/>
                <w:b/>
                <w:bCs/>
                <w:i/>
                <w:iCs/>
                <w:sz w:val="20"/>
                <w:szCs w:val="20"/>
              </w:rPr>
              <w:t>Governance &amp; Reputation</w:t>
            </w:r>
          </w:p>
        </w:tc>
        <w:tc>
          <w:tcPr>
            <w:tcW w:w="0" w:type="auto"/>
            <w:vAlign w:val="center"/>
            <w:hideMark/>
          </w:tcPr>
          <w:p w14:paraId="08E4788C" w14:textId="77777777" w:rsidR="005213EF" w:rsidRPr="00812032" w:rsidRDefault="005213EF" w:rsidP="005213EF">
            <w:pPr>
              <w:spacing w:line="360" w:lineRule="auto"/>
              <w:rPr>
                <w:rFonts w:ascii="Baskerville Old Face" w:hAnsi="Baskerville Old Face"/>
                <w:i/>
                <w:iCs/>
                <w:sz w:val="20"/>
                <w:szCs w:val="20"/>
              </w:rPr>
            </w:pPr>
            <w:r w:rsidRPr="00812032">
              <w:rPr>
                <w:rFonts w:ascii="Baskerville Old Face" w:hAnsi="Baskerville Old Face"/>
                <w:i/>
                <w:iCs/>
                <w:sz w:val="20"/>
                <w:szCs w:val="20"/>
              </w:rPr>
              <w:t>Agent records may link to governance roles, contribution context, reputation context, review status, and participation history. Commitments may originate from governance decisions, consent processes, delegated mandates, or reviewed operational plans. Disputed events may trigger review, correction, quarantine, or appeal pathways.</w:t>
            </w:r>
          </w:p>
        </w:tc>
      </w:tr>
      <w:tr w:rsidR="005213EF" w:rsidRPr="00812032" w14:paraId="0BA8A203" w14:textId="77777777" w:rsidTr="005213EF">
        <w:trPr>
          <w:tblCellSpacing w:w="15" w:type="dxa"/>
        </w:trPr>
        <w:tc>
          <w:tcPr>
            <w:tcW w:w="0" w:type="auto"/>
            <w:vAlign w:val="center"/>
            <w:hideMark/>
          </w:tcPr>
          <w:p w14:paraId="28492A37" w14:textId="77777777" w:rsidR="005213EF" w:rsidRPr="00812032" w:rsidRDefault="005213EF" w:rsidP="005213EF">
            <w:pPr>
              <w:spacing w:line="360" w:lineRule="auto"/>
              <w:rPr>
                <w:rFonts w:ascii="Baskerville Old Face" w:hAnsi="Baskerville Old Face"/>
                <w:i/>
                <w:iCs/>
                <w:sz w:val="20"/>
                <w:szCs w:val="20"/>
              </w:rPr>
            </w:pPr>
            <w:r w:rsidRPr="00812032">
              <w:rPr>
                <w:rFonts w:ascii="Baskerville Old Face" w:hAnsi="Baskerville Old Face"/>
                <w:b/>
                <w:bCs/>
                <w:i/>
                <w:iCs/>
                <w:sz w:val="20"/>
                <w:szCs w:val="20"/>
              </w:rPr>
              <w:t>MRV</w:t>
            </w:r>
          </w:p>
        </w:tc>
        <w:tc>
          <w:tcPr>
            <w:tcW w:w="0" w:type="auto"/>
            <w:vAlign w:val="center"/>
            <w:hideMark/>
          </w:tcPr>
          <w:p w14:paraId="19E54584" w14:textId="77777777" w:rsidR="005213EF" w:rsidRPr="00812032" w:rsidRDefault="005213EF" w:rsidP="005213EF">
            <w:pPr>
              <w:spacing w:line="360" w:lineRule="auto"/>
              <w:rPr>
                <w:rFonts w:ascii="Baskerville Old Face" w:hAnsi="Baskerville Old Face"/>
                <w:i/>
                <w:iCs/>
                <w:sz w:val="20"/>
                <w:szCs w:val="20"/>
              </w:rPr>
            </w:pPr>
            <w:r w:rsidRPr="00812032">
              <w:rPr>
                <w:rFonts w:ascii="Baskerville Old Face" w:hAnsi="Baskerville Old Face"/>
                <w:i/>
                <w:iCs/>
                <w:sz w:val="20"/>
                <w:szCs w:val="20"/>
              </w:rPr>
              <w:t>Events may link to MRV evidence through mrv_id, evidence_bundle_id, methodology_version, confidence_score, and review_status. MRV outcomes may support evidence-backed reporting, PRU analysis, maturity classification, or review pathways where admissible. MRV outcomes do not automatically trigger token issuance, PRU value, investor rights, or legal recognition.</w:t>
            </w:r>
          </w:p>
        </w:tc>
      </w:tr>
      <w:tr w:rsidR="005213EF" w:rsidRPr="00812032" w14:paraId="5AB22425" w14:textId="77777777" w:rsidTr="005213EF">
        <w:trPr>
          <w:tblCellSpacing w:w="15" w:type="dxa"/>
        </w:trPr>
        <w:tc>
          <w:tcPr>
            <w:tcW w:w="0" w:type="auto"/>
            <w:vAlign w:val="center"/>
            <w:hideMark/>
          </w:tcPr>
          <w:p w14:paraId="5F5C0463" w14:textId="77777777" w:rsidR="005213EF" w:rsidRPr="00812032" w:rsidRDefault="005213EF" w:rsidP="005213EF">
            <w:pPr>
              <w:spacing w:line="360" w:lineRule="auto"/>
              <w:rPr>
                <w:rFonts w:ascii="Baskerville Old Face" w:hAnsi="Baskerville Old Face"/>
                <w:i/>
                <w:iCs/>
                <w:sz w:val="20"/>
                <w:szCs w:val="20"/>
              </w:rPr>
            </w:pPr>
            <w:r w:rsidRPr="00812032">
              <w:rPr>
                <w:rFonts w:ascii="Baskerville Old Face" w:hAnsi="Baskerville Old Face"/>
                <w:b/>
                <w:bCs/>
                <w:i/>
                <w:iCs/>
                <w:sz w:val="20"/>
                <w:szCs w:val="20"/>
              </w:rPr>
              <w:t>TRBK / tokens</w:t>
            </w:r>
          </w:p>
        </w:tc>
        <w:tc>
          <w:tcPr>
            <w:tcW w:w="0" w:type="auto"/>
            <w:vAlign w:val="center"/>
            <w:hideMark/>
          </w:tcPr>
          <w:p w14:paraId="682125C0" w14:textId="77777777" w:rsidR="005213EF" w:rsidRPr="00812032" w:rsidRDefault="005213EF" w:rsidP="005213EF">
            <w:pPr>
              <w:spacing w:line="360" w:lineRule="auto"/>
              <w:rPr>
                <w:rFonts w:ascii="Baskerville Old Face" w:hAnsi="Baskerville Old Face"/>
                <w:i/>
                <w:iCs/>
                <w:sz w:val="20"/>
                <w:szCs w:val="20"/>
              </w:rPr>
            </w:pPr>
            <w:r w:rsidRPr="00812032">
              <w:rPr>
                <w:rFonts w:ascii="Baskerville Old Face" w:hAnsi="Baskerville Old Face"/>
                <w:i/>
                <w:iCs/>
                <w:sz w:val="20"/>
                <w:szCs w:val="20"/>
              </w:rPr>
              <w:t>Token-related events may represent governance, access, coordination, contribution, participation, settlement, or legally structured rights only where explicitly defined, legally reviewed, and jurisdictionally appropriate. Token-related records must not imply PRU value, RAP exposure, investor rights, land rights, MRV validity, or constitutional authority by default.</w:t>
            </w:r>
          </w:p>
        </w:tc>
      </w:tr>
      <w:tr w:rsidR="005213EF" w:rsidRPr="00812032" w14:paraId="55E04B9F" w14:textId="77777777" w:rsidTr="005213EF">
        <w:trPr>
          <w:tblCellSpacing w:w="15" w:type="dxa"/>
        </w:trPr>
        <w:tc>
          <w:tcPr>
            <w:tcW w:w="0" w:type="auto"/>
            <w:vAlign w:val="center"/>
            <w:hideMark/>
          </w:tcPr>
          <w:p w14:paraId="7F2180C5" w14:textId="77777777" w:rsidR="005213EF" w:rsidRPr="00812032" w:rsidRDefault="005213EF" w:rsidP="005213EF">
            <w:pPr>
              <w:spacing w:line="360" w:lineRule="auto"/>
              <w:rPr>
                <w:rFonts w:ascii="Baskerville Old Face" w:hAnsi="Baskerville Old Face"/>
                <w:i/>
                <w:iCs/>
                <w:sz w:val="20"/>
                <w:szCs w:val="20"/>
              </w:rPr>
            </w:pPr>
            <w:r w:rsidRPr="00812032">
              <w:rPr>
                <w:rFonts w:ascii="Baskerville Old Face" w:hAnsi="Baskerville Old Face"/>
                <w:b/>
                <w:bCs/>
                <w:i/>
                <w:iCs/>
                <w:sz w:val="20"/>
                <w:szCs w:val="20"/>
              </w:rPr>
              <w:t>Decision Log</w:t>
            </w:r>
          </w:p>
        </w:tc>
        <w:tc>
          <w:tcPr>
            <w:tcW w:w="0" w:type="auto"/>
            <w:vAlign w:val="center"/>
            <w:hideMark/>
          </w:tcPr>
          <w:p w14:paraId="435603E5" w14:textId="77777777" w:rsidR="005213EF" w:rsidRPr="00812032" w:rsidRDefault="005213EF" w:rsidP="005213EF">
            <w:pPr>
              <w:spacing w:line="360" w:lineRule="auto"/>
              <w:rPr>
                <w:rFonts w:ascii="Baskerville Old Face" w:hAnsi="Baskerville Old Face"/>
                <w:i/>
                <w:iCs/>
                <w:sz w:val="20"/>
                <w:szCs w:val="20"/>
              </w:rPr>
            </w:pPr>
            <w:r w:rsidRPr="00812032">
              <w:rPr>
                <w:rFonts w:ascii="Baskerville Old Face" w:hAnsi="Baskerville Old Face"/>
                <w:i/>
                <w:iCs/>
                <w:sz w:val="20"/>
                <w:szCs w:val="20"/>
              </w:rPr>
              <w:t>Commitments, consent decisions, objections, reviews, amendments, corrections, withdrawals, adverse events, and protected-domain decisions may be logged for auditability, governance continuity, and institutional traceability.</w:t>
            </w:r>
          </w:p>
        </w:tc>
      </w:tr>
      <w:tr w:rsidR="005213EF" w:rsidRPr="00812032" w14:paraId="29E4DFB6" w14:textId="77777777" w:rsidTr="005213EF">
        <w:trPr>
          <w:tblCellSpacing w:w="15" w:type="dxa"/>
        </w:trPr>
        <w:tc>
          <w:tcPr>
            <w:tcW w:w="0" w:type="auto"/>
            <w:vAlign w:val="center"/>
            <w:hideMark/>
          </w:tcPr>
          <w:p w14:paraId="18C1EE07" w14:textId="77777777" w:rsidR="005213EF" w:rsidRPr="00812032" w:rsidRDefault="005213EF" w:rsidP="005213EF">
            <w:pPr>
              <w:spacing w:line="360" w:lineRule="auto"/>
              <w:rPr>
                <w:rFonts w:ascii="Baskerville Old Face" w:hAnsi="Baskerville Old Face"/>
                <w:i/>
                <w:iCs/>
                <w:sz w:val="20"/>
                <w:szCs w:val="20"/>
              </w:rPr>
            </w:pPr>
            <w:r w:rsidRPr="00812032">
              <w:rPr>
                <w:rFonts w:ascii="Baskerville Old Face" w:hAnsi="Baskerville Old Face"/>
                <w:b/>
                <w:bCs/>
                <w:i/>
                <w:iCs/>
                <w:sz w:val="20"/>
                <w:szCs w:val="20"/>
              </w:rPr>
              <w:t>Planetary Boundaries / PHI</w:t>
            </w:r>
          </w:p>
        </w:tc>
        <w:tc>
          <w:tcPr>
            <w:tcW w:w="0" w:type="auto"/>
            <w:vAlign w:val="center"/>
            <w:hideMark/>
          </w:tcPr>
          <w:p w14:paraId="62D53F28" w14:textId="77777777" w:rsidR="005213EF" w:rsidRPr="00812032" w:rsidRDefault="005213EF" w:rsidP="005213EF">
            <w:pPr>
              <w:spacing w:line="360" w:lineRule="auto"/>
              <w:rPr>
                <w:rFonts w:ascii="Baskerville Old Face" w:hAnsi="Baskerville Old Face"/>
                <w:i/>
                <w:iCs/>
                <w:sz w:val="20"/>
                <w:szCs w:val="20"/>
              </w:rPr>
            </w:pPr>
            <w:r w:rsidRPr="00812032">
              <w:rPr>
                <w:rFonts w:ascii="Baskerville Old Face" w:hAnsi="Baskerville Old Face"/>
                <w:i/>
                <w:iCs/>
                <w:sz w:val="20"/>
                <w:szCs w:val="20"/>
              </w:rPr>
              <w:t>Event validation may check PHI context, protected-domain constraints, planetary-boundary relevance, ecological-risk signals, and public-claim boundaries. PHI signals may trigger review but do not automatically approve, reject, downgrade, finance, certify, or reclassify an event, PRU, RAP, project, or portfolio.</w:t>
            </w:r>
          </w:p>
        </w:tc>
      </w:tr>
    </w:tbl>
    <w:p w14:paraId="7E2190ED" w14:textId="77777777" w:rsidR="00812032" w:rsidRDefault="00812032" w:rsidP="00EB0717">
      <w:pPr>
        <w:spacing w:line="360" w:lineRule="auto"/>
        <w:rPr>
          <w:rFonts w:ascii="Baskerville Old Face" w:hAnsi="Baskerville Old Face"/>
          <w:b/>
          <w:bCs/>
          <w:i/>
          <w:iCs/>
        </w:rPr>
      </w:pPr>
    </w:p>
    <w:p w14:paraId="32C0278E" w14:textId="02908A98"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lastRenderedPageBreak/>
        <w:t>J.5 Query patterns</w:t>
      </w:r>
    </w:p>
    <w:p w14:paraId="10BA50C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REA DNA may support complex queries for dashboards, reporting, audits, data rooms, and analysis.</w:t>
      </w:r>
    </w:p>
    <w:p w14:paraId="56B97BC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Example: Get all events for a project in a time range</w:t>
      </w:r>
    </w:p>
    <w:p w14:paraId="24CE051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fn get_events_by_project(project_id: Hash, start: Timestamp, end: Timestamp) -&gt; Vec&lt;Event&gt; {</w:t>
      </w:r>
    </w:p>
    <w:p w14:paraId="0EA70D7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 DHT query by basis address (project_id + event_type)</w:t>
      </w:r>
    </w:p>
    <w:p w14:paraId="39BD5A1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w:t>
      </w:r>
    </w:p>
    <w:p w14:paraId="1F7197D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Example: Calculate net resource change for an agent</w:t>
      </w:r>
    </w:p>
    <w:p w14:paraId="63DB42E3"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fn net_resource_change(agent_id: AgentPubKey, resource_type: String) -&gt; Float {</w:t>
      </w:r>
    </w:p>
    <w:p w14:paraId="6DA1DD3F"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 Sum provider events and receiver events where applicable</w:t>
      </w:r>
    </w:p>
    <w:p w14:paraId="75B1B17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w:t>
      </w:r>
    </w:p>
    <w:p w14:paraId="354A129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Example: Find unfulfilled commitments</w:t>
      </w:r>
    </w:p>
    <w:p w14:paraId="75B7AE9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fn unfulfilled_commitments() -&gt; Vec&lt;Commitment&gt; {</w:t>
      </w:r>
    </w:p>
    <w:p w14:paraId="22B226EF"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 Query where status = active and due_end &lt; now</w:t>
      </w:r>
    </w:p>
    <w:p w14:paraId="278C625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w:t>
      </w:r>
    </w:p>
    <w:p w14:paraId="131388F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Example: Get all PRU-relevant evidence events</w:t>
      </w:r>
    </w:p>
    <w:p w14:paraId="6F790A7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fn get_pru_relevant_events(project_id: Hash) -&gt; Vec&lt;Event&gt; {</w:t>
      </w:r>
    </w:p>
    <w:p w14:paraId="1194838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 Query events linked to MRV evidence, admissibility review, or PRU methodology scope</w:t>
      </w:r>
    </w:p>
    <w:p w14:paraId="0986A05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w:t>
      </w:r>
    </w:p>
    <w:p w14:paraId="0CC222B1"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J.6 Example flow: Regenerative agriculture project</w:t>
      </w:r>
    </w:p>
    <w:p w14:paraId="0EB9A829" w14:textId="7BFCEEBD" w:rsidR="00EB0717" w:rsidRPr="00B479AE" w:rsidRDefault="00812032" w:rsidP="00812032">
      <w:pPr>
        <w:spacing w:line="360" w:lineRule="auto"/>
        <w:rPr>
          <w:rFonts w:ascii="Baskerville Old Face" w:hAnsi="Baskerville Old Face"/>
          <w:i/>
          <w:iCs/>
        </w:rPr>
      </w:pPr>
      <w:r>
        <w:rPr>
          <w:rFonts w:ascii="Baskerville Old Face" w:hAnsi="Baskerville Old Face"/>
          <w:i/>
          <w:iCs/>
        </w:rPr>
        <w:t xml:space="preserve">1. </w:t>
      </w:r>
      <w:r w:rsidR="00EB0717" w:rsidRPr="00B479AE">
        <w:rPr>
          <w:rFonts w:ascii="Baskerville Old Face" w:hAnsi="Baskerville Old Face"/>
          <w:i/>
          <w:iCs/>
        </w:rPr>
        <w:t>Agent registration.</w:t>
      </w:r>
    </w:p>
    <w:p w14:paraId="0374E7C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Land steward, project entity, verifier, and relevant institutional actors register as agents.</w:t>
      </w:r>
    </w:p>
    <w:p w14:paraId="36ED0162" w14:textId="641D5DF1" w:rsidR="00EB0717" w:rsidRPr="00B479AE" w:rsidRDefault="00812032" w:rsidP="00812032">
      <w:pPr>
        <w:spacing w:line="360" w:lineRule="auto"/>
        <w:rPr>
          <w:rFonts w:ascii="Baskerville Old Face" w:hAnsi="Baskerville Old Face"/>
          <w:i/>
          <w:iCs/>
        </w:rPr>
      </w:pPr>
      <w:r>
        <w:rPr>
          <w:rFonts w:ascii="Baskerville Old Face" w:hAnsi="Baskerville Old Face"/>
          <w:i/>
          <w:iCs/>
        </w:rPr>
        <w:lastRenderedPageBreak/>
        <w:t xml:space="preserve">2. </w:t>
      </w:r>
      <w:r w:rsidR="00EB0717" w:rsidRPr="00B479AE">
        <w:rPr>
          <w:rFonts w:ascii="Baskerville Old Face" w:hAnsi="Baskerville Old Face"/>
          <w:i/>
          <w:iCs/>
        </w:rPr>
        <w:t>Commitment.</w:t>
      </w:r>
    </w:p>
    <w:p w14:paraId="3D5ACDA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 funder, partner, public entity, or internal treasury creates a defined commitment to support a soil-regeneration project.</w:t>
      </w:r>
    </w:p>
    <w:p w14:paraId="5F8FD987" w14:textId="0D189948" w:rsidR="00EB0717" w:rsidRPr="00B479AE" w:rsidRDefault="00812032" w:rsidP="00812032">
      <w:pPr>
        <w:spacing w:line="360" w:lineRule="auto"/>
        <w:rPr>
          <w:rFonts w:ascii="Baskerville Old Face" w:hAnsi="Baskerville Old Face"/>
          <w:i/>
          <w:iCs/>
        </w:rPr>
      </w:pPr>
      <w:r>
        <w:rPr>
          <w:rFonts w:ascii="Baskerville Old Face" w:hAnsi="Baskerville Old Face"/>
          <w:i/>
          <w:iCs/>
        </w:rPr>
        <w:t xml:space="preserve">3. </w:t>
      </w:r>
      <w:r w:rsidR="00EB0717" w:rsidRPr="00B479AE">
        <w:rPr>
          <w:rFonts w:ascii="Baskerville Old Face" w:hAnsi="Baskerville Old Face"/>
          <w:i/>
          <w:iCs/>
        </w:rPr>
        <w:t>Resource.</w:t>
      </w:r>
    </w:p>
    <w:p w14:paraId="2C98FEC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A land-use-right or project-resource entry is created, linked to site boundaries, OHE context, and legal access documentation.</w:t>
      </w:r>
    </w:p>
    <w:p w14:paraId="047350B2" w14:textId="1B02E170" w:rsidR="00EB0717" w:rsidRPr="00B479AE" w:rsidRDefault="00812032" w:rsidP="00812032">
      <w:pPr>
        <w:spacing w:line="360" w:lineRule="auto"/>
        <w:rPr>
          <w:rFonts w:ascii="Baskerville Old Face" w:hAnsi="Baskerville Old Face"/>
          <w:i/>
          <w:iCs/>
        </w:rPr>
      </w:pPr>
      <w:r>
        <w:rPr>
          <w:rFonts w:ascii="Baskerville Old Face" w:hAnsi="Baskerville Old Face"/>
          <w:i/>
          <w:iCs/>
        </w:rPr>
        <w:t xml:space="preserve">4. </w:t>
      </w:r>
      <w:r w:rsidR="00EB0717" w:rsidRPr="00B479AE">
        <w:rPr>
          <w:rFonts w:ascii="Baskerville Old Face" w:hAnsi="Baskerville Old Face"/>
          <w:i/>
          <w:iCs/>
        </w:rPr>
        <w:t>MRV event.</w:t>
      </w:r>
    </w:p>
    <w:p w14:paraId="56EB70D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Satellite data, soil sensors, field observations, laboratory tests, and stewardship records produce MRV-linked evidence events.</w:t>
      </w:r>
    </w:p>
    <w:p w14:paraId="2153C597" w14:textId="20D43387" w:rsidR="00EB0717" w:rsidRPr="00B479AE" w:rsidRDefault="00812032" w:rsidP="00812032">
      <w:pPr>
        <w:spacing w:line="360" w:lineRule="auto"/>
        <w:rPr>
          <w:rFonts w:ascii="Baskerville Old Face" w:hAnsi="Baskerville Old Face"/>
          <w:i/>
          <w:iCs/>
        </w:rPr>
      </w:pPr>
      <w:r>
        <w:rPr>
          <w:rFonts w:ascii="Baskerville Old Face" w:hAnsi="Baskerville Old Face"/>
          <w:i/>
          <w:iCs/>
        </w:rPr>
        <w:t xml:space="preserve">5. </w:t>
      </w:r>
      <w:r w:rsidR="00EB0717" w:rsidRPr="00B479AE">
        <w:rPr>
          <w:rFonts w:ascii="Baskerville Old Face" w:hAnsi="Baskerville Old Face"/>
          <w:i/>
          <w:iCs/>
        </w:rPr>
        <w:t>Evidence review.</w:t>
      </w:r>
    </w:p>
    <w:p w14:paraId="25CFE62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MRV evidence is reviewed for provenance, confidence, methodology alignment, no-double-counting, PHI context, and admissibility.</w:t>
      </w:r>
    </w:p>
    <w:p w14:paraId="33BD5E21" w14:textId="5881C132" w:rsidR="00EB0717" w:rsidRPr="00B479AE" w:rsidRDefault="00812032" w:rsidP="00812032">
      <w:pPr>
        <w:spacing w:line="360" w:lineRule="auto"/>
        <w:rPr>
          <w:rFonts w:ascii="Baskerville Old Face" w:hAnsi="Baskerville Old Face"/>
          <w:i/>
          <w:iCs/>
        </w:rPr>
      </w:pPr>
      <w:r>
        <w:rPr>
          <w:rFonts w:ascii="Baskerville Old Face" w:hAnsi="Baskerville Old Face"/>
          <w:i/>
          <w:iCs/>
        </w:rPr>
        <w:t xml:space="preserve">6. </w:t>
      </w:r>
      <w:r w:rsidR="00EB0717" w:rsidRPr="00B479AE">
        <w:rPr>
          <w:rFonts w:ascii="Baskerville Old Face" w:hAnsi="Baskerville Old Face"/>
          <w:i/>
          <w:iCs/>
        </w:rPr>
        <w:t>PRU-relevant interpretation.</w:t>
      </w:r>
    </w:p>
    <w:p w14:paraId="02D0EA6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Verified indicators may support PRU value analysis only after evidence, methodology, confidence, governance review, admissibility, and legal boundary checks.</w:t>
      </w:r>
    </w:p>
    <w:p w14:paraId="23BD907E" w14:textId="1182660B" w:rsidR="00EB0717" w:rsidRPr="00B479AE" w:rsidRDefault="00812032" w:rsidP="00812032">
      <w:pPr>
        <w:spacing w:line="360" w:lineRule="auto"/>
        <w:rPr>
          <w:rFonts w:ascii="Baskerville Old Face" w:hAnsi="Baskerville Old Face"/>
          <w:i/>
          <w:iCs/>
        </w:rPr>
      </w:pPr>
      <w:r>
        <w:rPr>
          <w:rFonts w:ascii="Baskerville Old Face" w:hAnsi="Baskerville Old Face"/>
          <w:i/>
          <w:iCs/>
        </w:rPr>
        <w:t xml:space="preserve">7. </w:t>
      </w:r>
      <w:r w:rsidR="00EB0717" w:rsidRPr="00B479AE">
        <w:rPr>
          <w:rFonts w:ascii="Baskerville Old Face" w:hAnsi="Baskerville Old Face"/>
          <w:i/>
          <w:iCs/>
        </w:rPr>
        <w:t>Economic or operational event.</w:t>
      </w:r>
    </w:p>
    <w:p w14:paraId="3A5CFD2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Operational outputs, service delivery, procurement, hospitality, education, food production, or other real economic activity may be recorded as REA events.</w:t>
      </w:r>
    </w:p>
    <w:p w14:paraId="1C68A7AC" w14:textId="5D757C21" w:rsidR="00EB0717" w:rsidRPr="00B479AE" w:rsidRDefault="00812032" w:rsidP="00812032">
      <w:pPr>
        <w:spacing w:line="360" w:lineRule="auto"/>
        <w:rPr>
          <w:rFonts w:ascii="Baskerville Old Face" w:hAnsi="Baskerville Old Face"/>
          <w:i/>
          <w:iCs/>
        </w:rPr>
      </w:pPr>
      <w:r>
        <w:rPr>
          <w:rFonts w:ascii="Baskerville Old Face" w:hAnsi="Baskerville Old Face"/>
          <w:i/>
          <w:iCs/>
        </w:rPr>
        <w:t xml:space="preserve">8. </w:t>
      </w:r>
      <w:r w:rsidR="00EB0717" w:rsidRPr="00B479AE">
        <w:rPr>
          <w:rFonts w:ascii="Baskerville Old Face" w:hAnsi="Baskerville Old Face"/>
          <w:i/>
          <w:iCs/>
        </w:rPr>
        <w:t>Legal or institutional pathway.</w:t>
      </w:r>
    </w:p>
    <w:p w14:paraId="4708D5A5" w14:textId="77777777" w:rsidR="00812032" w:rsidRDefault="00EB0717" w:rsidP="00812032">
      <w:pPr>
        <w:spacing w:line="360" w:lineRule="auto"/>
        <w:rPr>
          <w:rFonts w:ascii="Baskerville Old Face" w:hAnsi="Baskerville Old Face"/>
          <w:i/>
          <w:iCs/>
        </w:rPr>
      </w:pPr>
      <w:r w:rsidRPr="00B479AE">
        <w:rPr>
          <w:rFonts w:ascii="Baskerville Old Face" w:hAnsi="Baskerville Old Face"/>
          <w:i/>
          <w:iCs/>
        </w:rPr>
        <w:t>Any future credit, note, fund interest, revenue right, tokenized representation, or compliant digital instrument requires separate legal structuring, disclosure, investor-protection review, jurisdiction-specific compliance, and anti-double-counting controls.</w:t>
      </w:r>
      <w:r w:rsidR="00812032">
        <w:rPr>
          <w:rFonts w:ascii="Baskerville Old Face" w:hAnsi="Baskerville Old Face"/>
          <w:i/>
          <w:iCs/>
        </w:rPr>
        <w:t xml:space="preserve"> </w:t>
      </w:r>
    </w:p>
    <w:p w14:paraId="5B60A2F7" w14:textId="2E03A13D" w:rsidR="00EB0717" w:rsidRPr="00812032" w:rsidRDefault="00812032" w:rsidP="00812032">
      <w:pPr>
        <w:spacing w:line="360" w:lineRule="auto"/>
        <w:rPr>
          <w:rFonts w:ascii="Baskerville Old Face" w:hAnsi="Baskerville Old Face"/>
          <w:i/>
          <w:iCs/>
        </w:rPr>
      </w:pPr>
      <w:r>
        <w:rPr>
          <w:rFonts w:ascii="Baskerville Old Face" w:hAnsi="Baskerville Old Face"/>
          <w:i/>
          <w:iCs/>
        </w:rPr>
        <w:t xml:space="preserve">9. </w:t>
      </w:r>
      <w:r w:rsidR="00EB0717" w:rsidRPr="00812032">
        <w:rPr>
          <w:rFonts w:ascii="Baskerville Old Face" w:hAnsi="Baskerville Old Face"/>
          <w:i/>
          <w:iCs/>
        </w:rPr>
        <w:t>Commitment fulfillment.</w:t>
      </w:r>
    </w:p>
    <w:p w14:paraId="2558C50F"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Events fulfilling the original commitment are linked back to the commitment record.</w:t>
      </w:r>
    </w:p>
    <w:p w14:paraId="6B595958" w14:textId="77777777" w:rsidR="00812032" w:rsidRDefault="00812032" w:rsidP="00812032">
      <w:pPr>
        <w:spacing w:line="360" w:lineRule="auto"/>
        <w:rPr>
          <w:rFonts w:ascii="Baskerville Old Face" w:hAnsi="Baskerville Old Face"/>
          <w:i/>
          <w:iCs/>
        </w:rPr>
      </w:pPr>
    </w:p>
    <w:p w14:paraId="598C966E" w14:textId="19018BB5" w:rsidR="00EB0717" w:rsidRPr="00B479AE" w:rsidRDefault="00812032" w:rsidP="00812032">
      <w:pPr>
        <w:spacing w:line="360" w:lineRule="auto"/>
        <w:rPr>
          <w:rFonts w:ascii="Baskerville Old Face" w:hAnsi="Baskerville Old Face"/>
          <w:i/>
          <w:iCs/>
        </w:rPr>
      </w:pPr>
      <w:r>
        <w:rPr>
          <w:rFonts w:ascii="Baskerville Old Face" w:hAnsi="Baskerville Old Face"/>
          <w:i/>
          <w:iCs/>
        </w:rPr>
        <w:lastRenderedPageBreak/>
        <w:t xml:space="preserve">10. </w:t>
      </w:r>
      <w:r w:rsidR="00EB0717" w:rsidRPr="00B479AE">
        <w:rPr>
          <w:rFonts w:ascii="Baskerville Old Face" w:hAnsi="Baskerville Old Face"/>
          <w:i/>
          <w:iCs/>
        </w:rPr>
        <w:t>Governance review.</w:t>
      </w:r>
    </w:p>
    <w:p w14:paraId="575145F3" w14:textId="76A4F22E"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relevant circle reviews project performance, evidence quality, adverse events, lessons learned, and parameter updates.</w:t>
      </w:r>
      <w:r w:rsidR="00B46769" w:rsidRPr="00B479AE">
        <w:rPr>
          <w:rFonts w:ascii="Baskerville Old Face" w:hAnsi="Baskerville Old Face"/>
          <w:i/>
          <w:iCs/>
        </w:rPr>
        <w:t xml:space="preserve"> </w:t>
      </w:r>
      <w:r w:rsidRPr="00B479AE">
        <w:rPr>
          <w:rFonts w:ascii="Baskerville Old Face" w:hAnsi="Baskerville Old Face"/>
          <w:i/>
          <w:iCs/>
        </w:rPr>
        <w:t>All steps are recorded through agent-centric source chains and shared validation where appropriate, preserving temporal linking, auditability, and constitutional compliance.</w:t>
      </w:r>
    </w:p>
    <w:p w14:paraId="63F55950" w14:textId="562A4B8F"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J.7 Schema definitions</w:t>
      </w:r>
    </w:p>
    <w:p w14:paraId="567035C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following simplified schema illustrates the conceptual structure of REA / Valueflows-compatible records.</w:t>
      </w:r>
    </w:p>
    <w:p w14:paraId="29CC7D8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syntax = "proto3";</w:t>
      </w:r>
    </w:p>
    <w:p w14:paraId="24F829D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package rea.v1;</w:t>
      </w:r>
    </w:p>
    <w:p w14:paraId="56E123F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import "google/protobuf/timestamp.proto";</w:t>
      </w:r>
    </w:p>
    <w:p w14:paraId="162EBD83"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import "syntropic_header.proto";</w:t>
      </w:r>
    </w:p>
    <w:p w14:paraId="35453A3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message Resource {</w:t>
      </w:r>
    </w:p>
    <w:p w14:paraId="3BD6C60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bytes id = 1;</w:t>
      </w:r>
    </w:p>
    <w:p w14:paraId="39775B3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string name = 2;</w:t>
      </w:r>
    </w:p>
    <w:p w14:paraId="4111CE9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enum ResourceType {</w:t>
      </w:r>
    </w:p>
    <w:p w14:paraId="633059A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LAND_USE_RIGHT = 0;</w:t>
      </w:r>
    </w:p>
    <w:p w14:paraId="50EBC50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WATER_ACCESS = 1;</w:t>
      </w:r>
    </w:p>
    <w:p w14:paraId="7FF2F003"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BIOMASS = 2;</w:t>
      </w:r>
    </w:p>
    <w:p w14:paraId="25EEAC1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FOOD_OUTPUT = 3;</w:t>
      </w:r>
    </w:p>
    <w:p w14:paraId="504B96C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ECOLOGICAL_PERFORMANCE_CLAIM = 4;</w:t>
      </w:r>
    </w:p>
    <w:p w14:paraId="7EE486F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BIODIVERSITY_RECORD = 5;</w:t>
      </w:r>
    </w:p>
    <w:p w14:paraId="201AABC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DATA_RECORD = 6;</w:t>
      </w:r>
    </w:p>
    <w:p w14:paraId="3A3D3A2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LABOR = 7;</w:t>
      </w:r>
    </w:p>
    <w:p w14:paraId="59EDA95C"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lastRenderedPageBreak/>
        <w:t xml:space="preserve">    KNOWLEDGE = 8;</w:t>
      </w:r>
    </w:p>
    <w:p w14:paraId="0D87268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REPUTATION_CONTEXT = 9;</w:t>
      </w:r>
    </w:p>
    <w:p w14:paraId="14DE0FC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DIGITAL_ASSET = 10;</w:t>
      </w:r>
    </w:p>
    <w:p w14:paraId="260F9C4F"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OTHER = 11;</w:t>
      </w:r>
    </w:p>
    <w:p w14:paraId="3FEC4ED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w:t>
      </w:r>
    </w:p>
    <w:p w14:paraId="6F5B653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ResourceType resource_type = 3;</w:t>
      </w:r>
    </w:p>
    <w:p w14:paraId="2047853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double quantity = 4;</w:t>
      </w:r>
    </w:p>
    <w:p w14:paraId="72CD6CE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string unit = 5;</w:t>
      </w:r>
    </w:p>
    <w:p w14:paraId="4DD804C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string location = 6; // GeoJSON</w:t>
      </w:r>
    </w:p>
    <w:p w14:paraId="733B3F5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bytes ecosystem_id = 7;</w:t>
      </w:r>
    </w:p>
    <w:p w14:paraId="42FA0E0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string metadata = 8; // JSON</w:t>
      </w:r>
    </w:p>
    <w:p w14:paraId="0DF7F9BC"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SyntropicHeader header = 9;</w:t>
      </w:r>
    </w:p>
    <w:p w14:paraId="7D344BB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w:t>
      </w:r>
    </w:p>
    <w:p w14:paraId="44F33DA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message Event {</w:t>
      </w:r>
    </w:p>
    <w:p w14:paraId="42908AC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bytes id = 1;</w:t>
      </w:r>
    </w:p>
    <w:p w14:paraId="649A88D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enum EventType {</w:t>
      </w:r>
    </w:p>
    <w:p w14:paraId="1780344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PRODUCTION = 0;</w:t>
      </w:r>
    </w:p>
    <w:p w14:paraId="2C61C2DC"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CONSUMPTION = 1;</w:t>
      </w:r>
    </w:p>
    <w:p w14:paraId="3D7D479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TRANSFER = 2;</w:t>
      </w:r>
    </w:p>
    <w:p w14:paraId="0A2F50C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EXCHANGE = 3;</w:t>
      </w:r>
    </w:p>
    <w:p w14:paraId="5439D61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MEASUREMENT = 4;</w:t>
      </w:r>
    </w:p>
    <w:p w14:paraId="49D7830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VERIFICATION = 5;</w:t>
      </w:r>
    </w:p>
    <w:p w14:paraId="6BCB813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lastRenderedPageBreak/>
        <w:t xml:space="preserve">    STEWARDSHIP_ACTION = 6;</w:t>
      </w:r>
    </w:p>
    <w:p w14:paraId="7929A9C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COMMITMENT_FULFILLMENT = 7;</w:t>
      </w:r>
    </w:p>
    <w:p w14:paraId="4E62D5C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GOVERNANCE_DECISION = 8;</w:t>
      </w:r>
    </w:p>
    <w:p w14:paraId="40B07D8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CORRECTION = 9;</w:t>
      </w:r>
    </w:p>
    <w:p w14:paraId="4DCC610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REVIEW = 10;</w:t>
      </w:r>
    </w:p>
    <w:p w14:paraId="34B36A9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w:t>
      </w:r>
    </w:p>
    <w:p w14:paraId="0105A2F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EventType event_type = 2;</w:t>
      </w:r>
    </w:p>
    <w:p w14:paraId="50491D2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string action = 3;</w:t>
      </w:r>
    </w:p>
    <w:p w14:paraId="1FEFD84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bytes provider = 4;</w:t>
      </w:r>
    </w:p>
    <w:p w14:paraId="4F48035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bytes receiver = 5;</w:t>
      </w:r>
    </w:p>
    <w:p w14:paraId="18B3FBC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bytes resource_id = 6;</w:t>
      </w:r>
    </w:p>
    <w:p w14:paraId="4BCE50A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double quantity = 7;</w:t>
      </w:r>
    </w:p>
    <w:p w14:paraId="44F9680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string unit = 8;</w:t>
      </w:r>
    </w:p>
    <w:p w14:paraId="2F184EA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string location = 9;</w:t>
      </w:r>
    </w:p>
    <w:p w14:paraId="528D1C8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TimeWindow time_window = 10;</w:t>
      </w:r>
    </w:p>
    <w:p w14:paraId="0A8D318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bytes mrv_id = 11;</w:t>
      </w:r>
    </w:p>
    <w:p w14:paraId="65B2D06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bytes commitment_id = 12;</w:t>
      </w:r>
    </w:p>
    <w:p w14:paraId="17F0F12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string review_status = 13;</w:t>
      </w:r>
    </w:p>
    <w:p w14:paraId="115F5B4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string metadata = 14; // JSON</w:t>
      </w:r>
    </w:p>
    <w:p w14:paraId="123E6A6C"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SyntropicHeader header = 15;</w:t>
      </w:r>
    </w:p>
    <w:p w14:paraId="7F8575B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w:t>
      </w:r>
    </w:p>
    <w:p w14:paraId="6B24E30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message Agent {</w:t>
      </w:r>
    </w:p>
    <w:p w14:paraId="0126610F"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lastRenderedPageBreak/>
        <w:t xml:space="preserve">  bytes id = 1;</w:t>
      </w:r>
    </w:p>
    <w:p w14:paraId="417D7D7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enum AgentType {</w:t>
      </w:r>
    </w:p>
    <w:p w14:paraId="064303E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INDIVIDUAL = 0;</w:t>
      </w:r>
    </w:p>
    <w:p w14:paraId="53F9FF0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ORGANIZATION = 1;</w:t>
      </w:r>
    </w:p>
    <w:p w14:paraId="38B8786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DAO = 2;</w:t>
      </w:r>
    </w:p>
    <w:p w14:paraId="17F07D6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PROJECT = 3;</w:t>
      </w:r>
    </w:p>
    <w:p w14:paraId="0007E523"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DEVICE = 4;</w:t>
      </w:r>
    </w:p>
    <w:p w14:paraId="49EE27D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AUDITOR = 5;</w:t>
      </w:r>
    </w:p>
    <w:p w14:paraId="507B187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VALIDATOR = 6;</w:t>
      </w:r>
    </w:p>
    <w:p w14:paraId="1D660E3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LABORATORY = 7;</w:t>
      </w:r>
    </w:p>
    <w:p w14:paraId="6F3BC89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PUBLIC_INSTITUTION = 8;</w:t>
      </w:r>
    </w:p>
    <w:p w14:paraId="638B31A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AUTOMATED = 9;</w:t>
      </w:r>
    </w:p>
    <w:p w14:paraId="6DFDBE8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w:t>
      </w:r>
    </w:p>
    <w:p w14:paraId="6D9B0BA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AgentType agent_type = 2;</w:t>
      </w:r>
    </w:p>
    <w:p w14:paraId="701B91C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string name = 3;</w:t>
      </w:r>
    </w:p>
    <w:p w14:paraId="6CB3BC6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string profile = 4; // JSON</w:t>
      </w:r>
    </w:p>
    <w:p w14:paraId="464ECDA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bytes reputation_id = 5;</w:t>
      </w:r>
    </w:p>
    <w:p w14:paraId="58342F3F"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string authority_scope = 6; // JSON</w:t>
      </w:r>
    </w:p>
    <w:p w14:paraId="65056AD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SyntropicHeader header = 7;</w:t>
      </w:r>
    </w:p>
    <w:p w14:paraId="1BE0839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w:t>
      </w:r>
    </w:p>
    <w:p w14:paraId="39FA33B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message Commitment {</w:t>
      </w:r>
    </w:p>
    <w:p w14:paraId="4E9EE32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bytes id = 1;</w:t>
      </w:r>
    </w:p>
    <w:p w14:paraId="7251AA7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lastRenderedPageBreak/>
        <w:t xml:space="preserve">  enum CommitmentType {</w:t>
      </w:r>
    </w:p>
    <w:p w14:paraId="4204793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AGREEMENT = 0;</w:t>
      </w:r>
    </w:p>
    <w:p w14:paraId="40AABD1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CONTRACT = 1;</w:t>
      </w:r>
    </w:p>
    <w:p w14:paraId="71252F9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PLAN = 2;</w:t>
      </w:r>
    </w:p>
    <w:p w14:paraId="3A9E8C1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PROPOSAL = 3;</w:t>
      </w:r>
    </w:p>
    <w:p w14:paraId="6F71340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STEWARDSHIP_COMMITMENT = 4;</w:t>
      </w:r>
    </w:p>
    <w:p w14:paraId="64E6036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SERVICE_COMMITMENT = 5;</w:t>
      </w:r>
    </w:p>
    <w:p w14:paraId="671D60D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FUNDING_COMMITMENT = 6;</w:t>
      </w:r>
    </w:p>
    <w:p w14:paraId="6D19949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GOVERNANCE_COMMITMENT = 7;</w:t>
      </w:r>
    </w:p>
    <w:p w14:paraId="096729D3"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w:t>
      </w:r>
    </w:p>
    <w:p w14:paraId="2F540D6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CommitmentType commitment_type = 2;</w:t>
      </w:r>
    </w:p>
    <w:p w14:paraId="46930B4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bytes provider = 3;</w:t>
      </w:r>
    </w:p>
    <w:p w14:paraId="1223602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bytes receiver = 4;</w:t>
      </w:r>
    </w:p>
    <w:p w14:paraId="722BAF92"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bytes resource_id = 5;</w:t>
      </w:r>
    </w:p>
    <w:p w14:paraId="10FB6F3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double quantity = 6;</w:t>
      </w:r>
    </w:p>
    <w:p w14:paraId="18E6A8D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string unit = 7;</w:t>
      </w:r>
    </w:p>
    <w:p w14:paraId="63E8E0E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google.protobuf.Timestamp due_start = 8;</w:t>
      </w:r>
    </w:p>
    <w:p w14:paraId="7807F33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google.protobuf.Timestamp due_end = 9;</w:t>
      </w:r>
    </w:p>
    <w:p w14:paraId="640AC99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string conditions = 10; // JSON</w:t>
      </w:r>
    </w:p>
    <w:p w14:paraId="0CE497A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repeated bytes fulfilled_by = 11;</w:t>
      </w:r>
    </w:p>
    <w:p w14:paraId="3F5596A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enum Status {</w:t>
      </w:r>
    </w:p>
    <w:p w14:paraId="51810AF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ACTIVE = 0;</w:t>
      </w:r>
    </w:p>
    <w:p w14:paraId="5E8E631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lastRenderedPageBreak/>
        <w:t xml:space="preserve">    FULFILLED = 1;</w:t>
      </w:r>
    </w:p>
    <w:p w14:paraId="177C86DC"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EXPIRED = 2;</w:t>
      </w:r>
    </w:p>
    <w:p w14:paraId="1F4E520F"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CANCELLED = 3;</w:t>
      </w:r>
    </w:p>
    <w:p w14:paraId="1AAEBC6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UNDER_REVIEW = 4;</w:t>
      </w:r>
    </w:p>
    <w:p w14:paraId="3C7E82A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DISPUTED = 5;</w:t>
      </w:r>
    </w:p>
    <w:p w14:paraId="5C67F6B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w:t>
      </w:r>
    </w:p>
    <w:p w14:paraId="54BA039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Status status = 12;</w:t>
      </w:r>
    </w:p>
    <w:p w14:paraId="7F29141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SyntropicHeader header = 13;</w:t>
      </w:r>
    </w:p>
    <w:p w14:paraId="65F3CA4F"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w:t>
      </w:r>
    </w:p>
    <w:p w14:paraId="5C3804A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message TimeWindow {</w:t>
      </w:r>
    </w:p>
    <w:p w14:paraId="6C1688D9"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string id = 1;</w:t>
      </w:r>
    </w:p>
    <w:p w14:paraId="378CF06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google.protobuf.Timestamp start = 2;</w:t>
      </w:r>
    </w:p>
    <w:p w14:paraId="34EF9E1F"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xml:space="preserve">  google.protobuf.Timestamp end = 3;</w:t>
      </w:r>
    </w:p>
    <w:p w14:paraId="6791EB0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w:t>
      </w:r>
    </w:p>
    <w:p w14:paraId="63F1FDE6"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J.8 Constitutional integration</w:t>
      </w:r>
    </w:p>
    <w:p w14:paraId="55A64DA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Every entry in the REA / Valueflows DNA should include a syntropic sovereignty header or equivalent canonical integrity metadata.</w:t>
      </w:r>
    </w:p>
    <w:p w14:paraId="0D804514" w14:textId="35320E52"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header ensures that value-flow records remain connected to source-layer constraints, release identity, governance boundaries, and constitutional compliance.</w:t>
      </w:r>
      <w:r w:rsidR="00305E1A" w:rsidRPr="00B479AE">
        <w:rPr>
          <w:rFonts w:ascii="Baskerville Old Face" w:hAnsi="Baskerville Old Face"/>
          <w:i/>
          <w:iCs/>
        </w:rPr>
        <w:t xml:space="preserve"> </w:t>
      </w:r>
      <w:r w:rsidRPr="00B479AE">
        <w:rPr>
          <w:rFonts w:ascii="Baskerville Old Face" w:hAnsi="Baskerville Old Face"/>
          <w:i/>
          <w:iCs/>
        </w:rPr>
        <w:t>Any attempt to record non-compliant events may be rejected, marked non-admissible, quarantined, or routed to governance review.</w:t>
      </w:r>
    </w:p>
    <w:p w14:paraId="0CE6CBB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Detailed implementation specifications, including Holochain zome code, validation callbacks, query optimization, privacy controls, and API endpoints, should be maintained in the separate technical documentation package.</w:t>
      </w:r>
    </w:p>
    <w:p w14:paraId="3F715B77" w14:textId="77777777" w:rsidR="00EB0717" w:rsidRPr="005907F1" w:rsidRDefault="00EB0717" w:rsidP="005907F1">
      <w:pPr>
        <w:pStyle w:val="Titolo1"/>
        <w:rPr>
          <w:rFonts w:ascii="Baskerville Old Face" w:hAnsi="Baskerville Old Face"/>
          <w:b/>
          <w:bCs/>
          <w:i/>
          <w:iCs/>
          <w:sz w:val="24"/>
          <w:szCs w:val="24"/>
        </w:rPr>
      </w:pPr>
      <w:r w:rsidRPr="005907F1">
        <w:rPr>
          <w:rFonts w:ascii="Baskerville Old Face" w:hAnsi="Baskerville Old Face"/>
          <w:b/>
          <w:bCs/>
          <w:i/>
          <w:iCs/>
          <w:sz w:val="24"/>
          <w:szCs w:val="24"/>
        </w:rPr>
        <w:lastRenderedPageBreak/>
        <w:t>Appendix K: Planetary Boundaries, PHI, and Evidence Review Framework</w:t>
      </w:r>
    </w:p>
    <w:p w14:paraId="7ACEB3CD" w14:textId="77777777" w:rsidR="00EB0717" w:rsidRPr="00B479AE" w:rsidRDefault="00EB0717" w:rsidP="00EB0717">
      <w:pPr>
        <w:spacing w:line="360" w:lineRule="auto"/>
        <w:rPr>
          <w:rFonts w:ascii="Baskerville Old Face" w:hAnsi="Baskerville Old Face"/>
          <w:b/>
          <w:bCs/>
          <w:i/>
          <w:iCs/>
        </w:rPr>
      </w:pPr>
      <w:r w:rsidRPr="00B479AE">
        <w:rPr>
          <w:rFonts w:ascii="Baskerville Old Face" w:hAnsi="Baskerville Old Face"/>
          <w:b/>
          <w:bCs/>
          <w:i/>
          <w:iCs/>
        </w:rPr>
        <w:t>K.0 Overview</w:t>
      </w:r>
    </w:p>
    <w:p w14:paraId="66D4BBE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h•eart•h Prometheus protocol integrates the Planetary Boundaries framework as a foundational context layer for ecological integrity assessment, regenerative design, MRV prioritization, PHI synthesis, PRU analysis, RAP screening, and capital-readiness review.</w:t>
      </w:r>
    </w:p>
    <w:p w14:paraId="0A3A6810"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purpose of this appendix is not to convert Planetary Boundaries into automatic financial value, investment eligibility, ecological credit issuance, legal rights, or tokenized representation.</w:t>
      </w:r>
    </w:p>
    <w:p w14:paraId="7DB6F60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Its purpose is to define how planetary-boundary context may inform evidence review, risk interpretation, methodological caution, protected-domain routing, and capital-readiness discipline.</w:t>
      </w:r>
    </w:p>
    <w:p w14:paraId="6F09E1B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Within Prometheus, the Planetary Boundaries layer helps answer:</w:t>
      </w:r>
    </w:p>
    <w:p w14:paraId="6925A5C3"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whether an activity supports or weakens ecological integrity;</w:t>
      </w:r>
    </w:p>
    <w:p w14:paraId="64551A28"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whether a project operates in a sensitive ecological domain;</w:t>
      </w:r>
    </w:p>
    <w:p w14:paraId="2FD9551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whether MRV requirements should be strengthened;</w:t>
      </w:r>
    </w:p>
    <w:p w14:paraId="3FA1FDB1"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whether PHI signals indicate heightened review needs;</w:t>
      </w:r>
    </w:p>
    <w:p w14:paraId="448E3AD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whether PRU-related analysis should remain internal, review-bound, or non-admissible;</w:t>
      </w:r>
    </w:p>
    <w:p w14:paraId="1F73B47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whether RAP inclusion requires additional safeguards;</w:t>
      </w:r>
    </w:p>
    <w:p w14:paraId="34DE8D06"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whether public claims require stricter language discipline;</w:t>
      </w:r>
    </w:p>
    <w:p w14:paraId="58D4F293"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 whether capital-readiness interpretation should be limited, conditioned, or paused.</w:t>
      </w:r>
    </w:p>
    <w:p w14:paraId="7C6AD19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Planetary Boundaries and PHI should therefore function as context and review infrastructure.</w:t>
      </w:r>
    </w:p>
    <w:p w14:paraId="28F83034"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They should not function as automatic scoring authority.</w:t>
      </w:r>
    </w:p>
    <w:p w14:paraId="545E0F55"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They should not automatically create financeability.</w:t>
      </w:r>
    </w:p>
    <w:p w14:paraId="377F24E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They should not automatically downgrade, approve, certify, tokenize, or reject a project without the appropriate evidence, methodology, governance, and legal review pathway.</w:t>
      </w:r>
    </w:p>
    <w:p w14:paraId="23B81A93"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The operational rule is:</w:t>
      </w:r>
    </w:p>
    <w:p w14:paraId="68E02CA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lastRenderedPageBreak/>
        <w:t>planetary context informs risk;</w:t>
      </w:r>
    </w:p>
    <w:p w14:paraId="7B1DE5CB"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PHI signals review needs;</w:t>
      </w:r>
    </w:p>
    <w:p w14:paraId="4505A8DD"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MRV verifies evidence;</w:t>
      </w:r>
    </w:p>
    <w:p w14:paraId="052BF38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PRU analyzes only admissible value;</w:t>
      </w:r>
    </w:p>
    <w:p w14:paraId="022AB307"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RAP aggregates only where portfolio criteria are satisfied;</w:t>
      </w:r>
    </w:p>
    <w:p w14:paraId="3B22C85E"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capital-readiness remains downstream from evidence, governance, legal structure, and admissibility.</w:t>
      </w:r>
    </w:p>
    <w:p w14:paraId="406D9A2A" w14:textId="77777777" w:rsidR="00EB0717" w:rsidRPr="00B479AE" w:rsidRDefault="00EB0717" w:rsidP="00EB0717">
      <w:pPr>
        <w:spacing w:line="360" w:lineRule="auto"/>
        <w:rPr>
          <w:rFonts w:ascii="Baskerville Old Face" w:hAnsi="Baskerville Old Face"/>
          <w:i/>
          <w:iCs/>
        </w:rPr>
      </w:pPr>
      <w:r w:rsidRPr="00B479AE">
        <w:rPr>
          <w:rFonts w:ascii="Baskerville Old Face" w:hAnsi="Baskerville Old Face"/>
          <w:i/>
          <w:iCs/>
        </w:rPr>
        <w:t>This preserves the distinction between ecological context, evidence review, financial interpretation, legal rights, and institutional use.</w:t>
      </w:r>
    </w:p>
    <w:p w14:paraId="3CA880D4"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Planetary Boundaries provide Prometheus with a global scientific horizon.</w:t>
      </w:r>
    </w:p>
    <w:p w14:paraId="27631CE9"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They help the system understand where human activity interacts with the Earth-system processes that regulate planetary stability, biospheric resilience, ecological function, climate integrity, freshwater cycles, land systems, nutrient flows, ocean chemistry, atmospheric conditions, and novel-entity pressure.</w:t>
      </w:r>
    </w:p>
    <w:p w14:paraId="2058CC98"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Prometheus uses this framework to connect global ecological risk with local regenerative action.</w:t>
      </w:r>
    </w:p>
    <w:p w14:paraId="09ADB4AB"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The purpose is not to reduce Earth-system science into a single score.</w:t>
      </w:r>
    </w:p>
    <w:p w14:paraId="67F8C89A"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The purpose is to make planetary context operationally legible inside a regenerative infrastructure system.</w:t>
      </w:r>
    </w:p>
    <w:p w14:paraId="4E34BCE5"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Within Prometheus, planetary-boundary logic informs:</w:t>
      </w:r>
    </w:p>
    <w:p w14:paraId="583F8E2F"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 ecological baseline interpretation;</w:t>
      </w:r>
      <w:r w:rsidRPr="00B479AE">
        <w:rPr>
          <w:rFonts w:ascii="Baskerville Old Face" w:hAnsi="Baskerville Old Face"/>
          <w:i/>
          <w:iCs/>
        </w:rPr>
        <w:br/>
        <w:t>• bioregional stress assessment;</w:t>
      </w:r>
      <w:r w:rsidRPr="00B479AE">
        <w:rPr>
          <w:rFonts w:ascii="Baskerville Old Face" w:hAnsi="Baskerville Old Face"/>
          <w:i/>
          <w:iCs/>
        </w:rPr>
        <w:br/>
        <w:t>• MRV indicator selection;</w:t>
      </w:r>
      <w:r w:rsidRPr="00B479AE">
        <w:rPr>
          <w:rFonts w:ascii="Baskerville Old Face" w:hAnsi="Baskerville Old Face"/>
          <w:i/>
          <w:iCs/>
        </w:rPr>
        <w:br/>
        <w:t>• Planetary Health Index, or PHI, domain structure;</w:t>
      </w:r>
      <w:r w:rsidRPr="00B479AE">
        <w:rPr>
          <w:rFonts w:ascii="Baskerville Old Face" w:hAnsi="Baskerville Old Face"/>
          <w:i/>
          <w:iCs/>
        </w:rPr>
        <w:br/>
        <w:t>• boundary-pressure profiling;</w:t>
      </w:r>
      <w:r w:rsidRPr="00B479AE">
        <w:rPr>
          <w:rFonts w:ascii="Baskerville Old Face" w:hAnsi="Baskerville Old Face"/>
          <w:i/>
          <w:iCs/>
        </w:rPr>
        <w:br/>
        <w:t>• PRU-relevant ecological analysis;</w:t>
      </w:r>
      <w:r w:rsidRPr="00B479AE">
        <w:rPr>
          <w:rFonts w:ascii="Baskerville Old Face" w:hAnsi="Baskerville Old Face"/>
          <w:i/>
          <w:iCs/>
        </w:rPr>
        <w:br/>
        <w:t>• RAP portfolio screening;</w:t>
      </w:r>
      <w:r w:rsidRPr="00B479AE">
        <w:rPr>
          <w:rFonts w:ascii="Baskerville Old Face" w:hAnsi="Baskerville Old Face"/>
          <w:i/>
          <w:iCs/>
        </w:rPr>
        <w:br/>
        <w:t>• regenerative design priorities;</w:t>
      </w:r>
      <w:r w:rsidRPr="00B479AE">
        <w:rPr>
          <w:rFonts w:ascii="Baskerville Old Face" w:hAnsi="Baskerville Old Face"/>
          <w:i/>
          <w:iCs/>
        </w:rPr>
        <w:br/>
      </w:r>
      <w:r w:rsidRPr="00B479AE">
        <w:rPr>
          <w:rFonts w:ascii="Baskerville Old Face" w:hAnsi="Baskerville Old Face"/>
          <w:i/>
          <w:iCs/>
        </w:rPr>
        <w:lastRenderedPageBreak/>
        <w:t>• capital-readiness diligence;</w:t>
      </w:r>
      <w:r w:rsidRPr="00B479AE">
        <w:rPr>
          <w:rFonts w:ascii="Baskerville Old Face" w:hAnsi="Baskerville Old Face"/>
          <w:i/>
          <w:iCs/>
        </w:rPr>
        <w:br/>
        <w:t>• long-term continuity and resilience planning.</w:t>
      </w:r>
    </w:p>
    <w:p w14:paraId="193E779E"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The framework follows the 2023 revision of the Planetary Boundaries architecture and aligns with the scientific direction associated with the Stockholm Resilience Centre, the Potsdam Institute for Climate Impact Research, and the Planetary Boundaries Science initiative.</w:t>
      </w:r>
    </w:p>
    <w:p w14:paraId="0C7FBA60"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For Prometheus, this scientific architecture becomes part of the wider source-layer discipline:</w:t>
      </w:r>
    </w:p>
    <w:p w14:paraId="1B1D9D6A"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planetary reality provides context;</w:t>
      </w:r>
      <w:r w:rsidRPr="00B479AE">
        <w:rPr>
          <w:rFonts w:ascii="Baskerville Old Face" w:hAnsi="Baskerville Old Face"/>
          <w:i/>
          <w:iCs/>
        </w:rPr>
        <w:br/>
        <w:t>bioregional reality provides interpretation;</w:t>
      </w:r>
      <w:r w:rsidRPr="00B479AE">
        <w:rPr>
          <w:rFonts w:ascii="Baskerville Old Face" w:hAnsi="Baskerville Old Face"/>
          <w:i/>
          <w:iCs/>
        </w:rPr>
        <w:br/>
        <w:t>field evidence provides grounding;</w:t>
      </w:r>
      <w:r w:rsidRPr="00B479AE">
        <w:rPr>
          <w:rFonts w:ascii="Baskerville Old Face" w:hAnsi="Baskerville Old Face"/>
          <w:i/>
          <w:iCs/>
        </w:rPr>
        <w:br/>
        <w:t>MRV provides verification;</w:t>
      </w:r>
      <w:r w:rsidRPr="00B479AE">
        <w:rPr>
          <w:rFonts w:ascii="Baskerville Old Face" w:hAnsi="Baskerville Old Face"/>
          <w:i/>
          <w:iCs/>
        </w:rPr>
        <w:br/>
        <w:t>PHI provides synthesis;</w:t>
      </w:r>
      <w:r w:rsidRPr="00B479AE">
        <w:rPr>
          <w:rFonts w:ascii="Baskerville Old Face" w:hAnsi="Baskerville Old Face"/>
          <w:i/>
          <w:iCs/>
        </w:rPr>
        <w:br/>
        <w:t>PRU provides value discipline;</w:t>
      </w:r>
      <w:r w:rsidRPr="00B479AE">
        <w:rPr>
          <w:rFonts w:ascii="Baskerville Old Face" w:hAnsi="Baskerville Old Face"/>
          <w:i/>
          <w:iCs/>
        </w:rPr>
        <w:br/>
        <w:t>governance provides admissibility;</w:t>
      </w:r>
      <w:r w:rsidRPr="00B479AE">
        <w:rPr>
          <w:rFonts w:ascii="Baskerville Old Face" w:hAnsi="Baskerville Old Face"/>
          <w:i/>
          <w:iCs/>
        </w:rPr>
        <w:br/>
        <w:t>capital follows verified regeneration.</w:t>
      </w:r>
    </w:p>
    <w:p w14:paraId="26920914" w14:textId="20EE59D9" w:rsidR="00756479" w:rsidRPr="00B479AE" w:rsidRDefault="00756479" w:rsidP="007A4B90">
      <w:pPr>
        <w:spacing w:line="360" w:lineRule="auto"/>
        <w:rPr>
          <w:rFonts w:ascii="Baskerville Old Face" w:hAnsi="Baskerville Old Face"/>
          <w:i/>
          <w:iCs/>
        </w:rPr>
      </w:pPr>
      <w:r w:rsidRPr="00B479AE">
        <w:rPr>
          <w:rFonts w:ascii="Baskerville Old Face" w:hAnsi="Baskerville Old Face"/>
          <w:i/>
          <w:iCs/>
        </w:rPr>
        <w:t xml:space="preserve">This appendix specifies the technical implementation of planetary boundary monitoring, threshold calculations, and the derivation of the Planetary Health Index (PHI) used throughout the ecosystem for ecological-context assessment, protective review triggers, systemic-risk awareness, and review-bound ecological response pathways. </w:t>
      </w:r>
    </w:p>
    <w:p w14:paraId="31BB1017" w14:textId="77777777" w:rsidR="00756479" w:rsidRPr="00B479AE" w:rsidRDefault="00756479" w:rsidP="00756479">
      <w:pPr>
        <w:spacing w:line="360" w:lineRule="auto"/>
        <w:rPr>
          <w:rFonts w:ascii="Baskerville Old Face" w:hAnsi="Baskerville Old Face"/>
          <w:i/>
          <w:iCs/>
        </w:rPr>
      </w:pPr>
      <w:r w:rsidRPr="00B479AE">
        <w:rPr>
          <w:rFonts w:ascii="Baskerville Old Face" w:hAnsi="Baskerville Old Face"/>
          <w:i/>
          <w:iCs/>
        </w:rPr>
        <w:t xml:space="preserve">It establishes a disciplined bridge between Earth-system science and site-level regenerative intelligence. </w:t>
      </w:r>
    </w:p>
    <w:p w14:paraId="12CC2274" w14:textId="77777777" w:rsidR="007A4B90" w:rsidRPr="00B479AE" w:rsidRDefault="007A4B90" w:rsidP="007A4B90">
      <w:pPr>
        <w:spacing w:line="360" w:lineRule="auto"/>
        <w:rPr>
          <w:rFonts w:ascii="Baskerville Old Face" w:hAnsi="Baskerville Old Face"/>
          <w:b/>
          <w:bCs/>
          <w:i/>
          <w:iCs/>
        </w:rPr>
      </w:pPr>
      <w:r w:rsidRPr="00B479AE">
        <w:rPr>
          <w:rFonts w:ascii="Baskerville Old Face" w:hAnsi="Baskerville Old Face"/>
          <w:b/>
          <w:bCs/>
          <w:i/>
          <w:iCs/>
        </w:rPr>
        <w:t>K.1 Purpose and boundary</w:t>
      </w:r>
    </w:p>
    <w:p w14:paraId="3C527FBA"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Prometheus exists within planetary reality.</w:t>
      </w:r>
    </w:p>
    <w:p w14:paraId="43FAD644"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Every regenerative claim made inside Prometheus must remain accountable to the living systems that make life possible: soil, water, biodiversity, climate, nutrient cycles, land systems, ecological resilience, biospheric integrity, and the capacity of human communities to live within those systems over time.</w:t>
      </w:r>
    </w:p>
    <w:p w14:paraId="08FAC46D"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The purpose of this appendix is to define how Prometheus integrates planetary-boundary thinking, bioregional stress indicators, Planetary Health Index logic, and ecological evidence review into its MRV, PRU, RAP, governance, design, legal, reporting, and capital-readiness architecture.</w:t>
      </w:r>
    </w:p>
    <w:p w14:paraId="174E3549"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lastRenderedPageBreak/>
        <w:t>This appendix gives Prometheus a planetary-context layer.</w:t>
      </w:r>
    </w:p>
    <w:p w14:paraId="2E5EE107"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It helps answer questions such as:</w:t>
      </w:r>
    </w:p>
    <w:p w14:paraId="08EB832B"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 Which Earth-system pressures are relevant to a given site, project, OHE, bioregion, or portfolio?</w:t>
      </w:r>
      <w:r w:rsidRPr="00B479AE">
        <w:rPr>
          <w:rFonts w:ascii="Baskerville Old Face" w:hAnsi="Baskerville Old Face"/>
          <w:i/>
          <w:iCs/>
        </w:rPr>
        <w:br/>
        <w:t>• Which planetary-boundary domains should influence MRV indicator selection?</w:t>
      </w:r>
      <w:r w:rsidRPr="00B479AE">
        <w:rPr>
          <w:rFonts w:ascii="Baskerville Old Face" w:hAnsi="Baskerville Old Face"/>
          <w:i/>
          <w:iCs/>
        </w:rPr>
        <w:br/>
        <w:t>• Which ecological risks should be visible before capital formation?</w:t>
      </w:r>
      <w:r w:rsidRPr="00B479AE">
        <w:rPr>
          <w:rFonts w:ascii="Baskerville Old Face" w:hAnsi="Baskerville Old Face"/>
          <w:i/>
          <w:iCs/>
        </w:rPr>
        <w:br/>
        <w:t>• Which PHI domains are mature enough for evidence-backed interpretation?</w:t>
      </w:r>
      <w:r w:rsidRPr="00B479AE">
        <w:rPr>
          <w:rFonts w:ascii="Baskerville Old Face" w:hAnsi="Baskerville Old Face"/>
          <w:i/>
          <w:iCs/>
        </w:rPr>
        <w:br/>
        <w:t>• Which indicators remain contextual, research-use, MRV-admissible, PRU-eligible, or non-admissible?</w:t>
      </w:r>
      <w:r w:rsidRPr="00B479AE">
        <w:rPr>
          <w:rFonts w:ascii="Baskerville Old Face" w:hAnsi="Baskerville Old Face"/>
          <w:i/>
          <w:iCs/>
        </w:rPr>
        <w:br/>
        <w:t>• Which claims require scientific review, governance review, or further field evidence?</w:t>
      </w:r>
      <w:r w:rsidRPr="00B479AE">
        <w:rPr>
          <w:rFonts w:ascii="Baskerville Old Face" w:hAnsi="Baskerville Old Face"/>
          <w:i/>
          <w:iCs/>
        </w:rPr>
        <w:br/>
        <w:t>• Which local regenerative actions may reduce pressure, increase resilience, or improve ecological function in relation to planetary-boundary domains?</w:t>
      </w:r>
    </w:p>
    <w:p w14:paraId="4E13AFE2"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The role of this appendix is therefore to create disciplined ecological legibility.</w:t>
      </w:r>
    </w:p>
    <w:p w14:paraId="644F51D5"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Planetary Boundaries do not operate inside Prometheus as an oracle, automatic approval mechanism, or sovereign enforcement layer.</w:t>
      </w:r>
    </w:p>
    <w:p w14:paraId="52034553"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They operate as a global scientific context.</w:t>
      </w:r>
    </w:p>
    <w:p w14:paraId="62875F09"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PHI does not operate as a magic number.</w:t>
      </w:r>
    </w:p>
    <w:p w14:paraId="7E55CCF5"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It operates as a structured synthesis of ecological, bioregional, evidentiary, governance, and resilience indicators.</w:t>
      </w:r>
    </w:p>
    <w:p w14:paraId="3CA4DA66"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MRV remains the evidence-verification pathway.</w:t>
      </w:r>
    </w:p>
    <w:p w14:paraId="1B5B5D97"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Governance remains the admissibility pathway.</w:t>
      </w:r>
    </w:p>
    <w:p w14:paraId="1B2217DD"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Legal review remains the enforceability pathway.</w:t>
      </w:r>
    </w:p>
    <w:p w14:paraId="05FA40FF"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PRU and RAP remain downstream from methodology, evidence, confidence, and review.</w:t>
      </w:r>
    </w:p>
    <w:p w14:paraId="6C9C2397"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Capital remains downstream from verified regeneration.</w:t>
      </w:r>
    </w:p>
    <w:p w14:paraId="3D0E5775"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Prometheus may therefore use planetary-boundary and PHI logic to understand whether a project, OHE, bioregional cluster, PRU-relevant unit, or RAP candidate is operating within conditions of ecological stability, rising stress, threshold pressure, or systemic vulnerability.</w:t>
      </w:r>
    </w:p>
    <w:p w14:paraId="6A3E0A3A"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lastRenderedPageBreak/>
        <w:t>This assessment is not merely descriptive.</w:t>
      </w:r>
    </w:p>
    <w:p w14:paraId="691B5465"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It supports design intelligence.</w:t>
      </w:r>
    </w:p>
    <w:p w14:paraId="58819429"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It helps Prometheus identify where regeneration is most needed, which indicators matter most, how evidence should be prioritized, where public claims must remain cautious, and how capital can be aligned with real ecological repair.</w:t>
      </w:r>
    </w:p>
    <w:p w14:paraId="7E1DD131"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The core operating principle is:</w:t>
      </w:r>
    </w:p>
    <w:p w14:paraId="58EF3F02"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planetary context informs design;</w:t>
      </w:r>
      <w:r w:rsidRPr="00B479AE">
        <w:rPr>
          <w:rFonts w:ascii="Baskerville Old Face" w:hAnsi="Baskerville Old Face"/>
          <w:i/>
          <w:iCs/>
        </w:rPr>
        <w:br/>
        <w:t>bioregional reality grounds interpretation;</w:t>
      </w:r>
      <w:r w:rsidRPr="00B479AE">
        <w:rPr>
          <w:rFonts w:ascii="Baskerville Old Face" w:hAnsi="Baskerville Old Face"/>
          <w:i/>
          <w:iCs/>
        </w:rPr>
        <w:br/>
        <w:t>field evidence anchors claims;</w:t>
      </w:r>
      <w:r w:rsidRPr="00B479AE">
        <w:rPr>
          <w:rFonts w:ascii="Baskerville Old Face" w:hAnsi="Baskerville Old Face"/>
          <w:i/>
          <w:iCs/>
        </w:rPr>
        <w:br/>
        <w:t>MRV verifies performance;</w:t>
      </w:r>
      <w:r w:rsidRPr="00B479AE">
        <w:rPr>
          <w:rFonts w:ascii="Baskerville Old Face" w:hAnsi="Baskerville Old Face"/>
          <w:i/>
          <w:iCs/>
        </w:rPr>
        <w:br/>
        <w:t>PHI organizes ecological intelligence;</w:t>
      </w:r>
      <w:r w:rsidRPr="00B479AE">
        <w:rPr>
          <w:rFonts w:ascii="Baskerville Old Face" w:hAnsi="Baskerville Old Face"/>
          <w:i/>
          <w:iCs/>
        </w:rPr>
        <w:br/>
        <w:t>governance determines admissibility;</w:t>
      </w:r>
      <w:r w:rsidRPr="00B479AE">
        <w:rPr>
          <w:rFonts w:ascii="Baskerville Old Face" w:hAnsi="Baskerville Old Face"/>
          <w:i/>
          <w:iCs/>
        </w:rPr>
        <w:br/>
        <w:t>legal structure defines rights;</w:t>
      </w:r>
      <w:r w:rsidRPr="00B479AE">
        <w:rPr>
          <w:rFonts w:ascii="Baskerville Old Face" w:hAnsi="Baskerville Old Face"/>
          <w:i/>
          <w:iCs/>
        </w:rPr>
        <w:br/>
        <w:t>capital follows verified regeneration.</w:t>
      </w:r>
    </w:p>
    <w:p w14:paraId="6D511374" w14:textId="77777777" w:rsidR="007A4B90" w:rsidRPr="00B479AE" w:rsidRDefault="007A4B90" w:rsidP="007A4B90">
      <w:pPr>
        <w:spacing w:line="360" w:lineRule="auto"/>
        <w:rPr>
          <w:rFonts w:ascii="Baskerville Old Face" w:hAnsi="Baskerville Old Face"/>
          <w:i/>
          <w:iCs/>
        </w:rPr>
      </w:pPr>
      <w:r w:rsidRPr="00B479AE">
        <w:rPr>
          <w:rFonts w:ascii="Baskerville Old Face" w:hAnsi="Baskerville Old Face"/>
          <w:i/>
          <w:iCs/>
        </w:rPr>
        <w:t>Prometheus is planetary in awareness, bioregional in interpretation, local in evidence, and constitutional in fidelity.</w:t>
      </w:r>
    </w:p>
    <w:p w14:paraId="780F28A0" w14:textId="77777777" w:rsidR="00356654" w:rsidRPr="00B479AE" w:rsidRDefault="00356654" w:rsidP="00356654">
      <w:pPr>
        <w:spacing w:line="360" w:lineRule="auto"/>
        <w:rPr>
          <w:rFonts w:ascii="Baskerville Old Face" w:hAnsi="Baskerville Old Face"/>
          <w:b/>
          <w:bCs/>
          <w:i/>
          <w:iCs/>
        </w:rPr>
      </w:pPr>
      <w:r w:rsidRPr="00B479AE">
        <w:rPr>
          <w:rFonts w:ascii="Baskerville Old Face" w:hAnsi="Baskerville Old Face"/>
          <w:b/>
          <w:bCs/>
          <w:i/>
          <w:iCs/>
        </w:rPr>
        <w:t>K.2 The Nine Planetary Boundaries: Indicators and Data Sources</w:t>
      </w:r>
    </w:p>
    <w:p w14:paraId="789681CD" w14:textId="77777777" w:rsidR="00356654" w:rsidRPr="00812032" w:rsidRDefault="00356654" w:rsidP="00356654">
      <w:pPr>
        <w:spacing w:line="360" w:lineRule="auto"/>
        <w:rPr>
          <w:rFonts w:ascii="Baskerville Old Face" w:hAnsi="Baskerville Old Face"/>
          <w:i/>
          <w:iCs/>
        </w:rPr>
      </w:pPr>
      <w:r w:rsidRPr="00812032">
        <w:rPr>
          <w:rFonts w:ascii="Baskerville Old Face" w:hAnsi="Baskerville Old Face"/>
          <w:i/>
          <w:iCs/>
        </w:rPr>
        <w:t>The Planetary Boundaries framework provides Prometheus with a global Earth-system context for interpreting regenerative performance.</w:t>
      </w:r>
    </w:p>
    <w:p w14:paraId="7EF7FFAA" w14:textId="7DD1F7E2" w:rsidR="00356654" w:rsidRPr="00B479AE" w:rsidRDefault="00356654" w:rsidP="00356654">
      <w:pPr>
        <w:spacing w:line="360" w:lineRule="auto"/>
        <w:rPr>
          <w:rFonts w:ascii="Baskerville Old Face" w:hAnsi="Baskerville Old Face"/>
          <w:i/>
          <w:iCs/>
        </w:rPr>
      </w:pPr>
      <w:r w:rsidRPr="00812032">
        <w:rPr>
          <w:rFonts w:ascii="Baskerville Old Face" w:hAnsi="Baskerville Old Face"/>
          <w:i/>
          <w:iCs/>
        </w:rPr>
        <w:t>The table below should be treated as a versioned planetary-boundary reference snapshot, not as an automatic enforcement mechanism.</w:t>
      </w:r>
      <w:r w:rsidR="00812032">
        <w:rPr>
          <w:rFonts w:ascii="Baskerville Old Face" w:hAnsi="Baskerville Old Face"/>
          <w:i/>
          <w:iCs/>
        </w:rPr>
        <w:t xml:space="preserve"> </w:t>
      </w:r>
      <w:r w:rsidRPr="00B479AE">
        <w:rPr>
          <w:rFonts w:ascii="Baskerville Old Face" w:hAnsi="Baskerville Old Face"/>
          <w:i/>
          <w:iCs/>
        </w:rPr>
        <w:t>Its purpose is to identify:</w:t>
      </w:r>
    </w:p>
    <w:p w14:paraId="0B1815B2"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 Earth-system process;</w:t>
      </w:r>
      <w:r w:rsidRPr="00B479AE">
        <w:rPr>
          <w:rFonts w:ascii="Baskerville Old Face" w:hAnsi="Baskerville Old Face"/>
          <w:i/>
          <w:iCs/>
        </w:rPr>
        <w:br/>
        <w:t>• control variable;</w:t>
      </w:r>
      <w:r w:rsidRPr="00B479AE">
        <w:rPr>
          <w:rFonts w:ascii="Baskerville Old Face" w:hAnsi="Baskerville Old Face"/>
          <w:i/>
          <w:iCs/>
        </w:rPr>
        <w:br/>
        <w:t>• pre-industrial or reference condition;</w:t>
      </w:r>
      <w:r w:rsidRPr="00B479AE">
        <w:rPr>
          <w:rFonts w:ascii="Baskerville Old Face" w:hAnsi="Baskerville Old Face"/>
          <w:i/>
          <w:iCs/>
        </w:rPr>
        <w:br/>
        <w:t>• planetary-boundary range;</w:t>
      </w:r>
      <w:r w:rsidRPr="00B479AE">
        <w:rPr>
          <w:rFonts w:ascii="Baskerville Old Face" w:hAnsi="Baskerville Old Face"/>
          <w:i/>
          <w:iCs/>
        </w:rPr>
        <w:br/>
        <w:t>• current global condition;</w:t>
      </w:r>
      <w:r w:rsidRPr="00B479AE">
        <w:rPr>
          <w:rFonts w:ascii="Baskerville Old Face" w:hAnsi="Baskerville Old Face"/>
          <w:i/>
          <w:iCs/>
        </w:rPr>
        <w:br/>
        <w:t>• primary data sources;</w:t>
      </w:r>
      <w:r w:rsidRPr="00B479AE">
        <w:rPr>
          <w:rFonts w:ascii="Baskerville Old Face" w:hAnsi="Baskerville Old Face"/>
          <w:i/>
          <w:iCs/>
        </w:rPr>
        <w:br/>
        <w:t>• suggested update frequency.</w:t>
      </w:r>
    </w:p>
    <w:p w14:paraId="360507BC"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lastRenderedPageBreak/>
        <w:t>This table supports PHI, boundary-pressure profiling, MRV prioritization, PRU contextual analysis, RAP portfolio screening, and capital-readiness diligence.</w:t>
      </w:r>
    </w:p>
    <w:p w14:paraId="7A06885E"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It does not automatically issue PRU value, approve RAP inclusion, trigger token issuance, determine investor rights, replace MRV, or replace scientific review.</w:t>
      </w:r>
    </w:p>
    <w:p w14:paraId="67AA6C84"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Planetary Boundaries provide context.</w:t>
      </w:r>
    </w:p>
    <w:p w14:paraId="1011F33A"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MRV provides evidence.</w:t>
      </w:r>
    </w:p>
    <w:p w14:paraId="1BACA16F"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PHI organizes ecological intelligence.</w:t>
      </w:r>
    </w:p>
    <w:p w14:paraId="48B9DCFD"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Governance determines admissibility.</w:t>
      </w:r>
    </w:p>
    <w:p w14:paraId="1D5FC28F"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Capital follows verified regeneration.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8"/>
        <w:gridCol w:w="1977"/>
        <w:gridCol w:w="1076"/>
        <w:gridCol w:w="1460"/>
        <w:gridCol w:w="1344"/>
        <w:gridCol w:w="1511"/>
        <w:gridCol w:w="862"/>
      </w:tblGrid>
      <w:tr w:rsidR="00356654" w:rsidRPr="00B479AE" w14:paraId="4E9E0552" w14:textId="77777777" w:rsidTr="007A4B90">
        <w:trPr>
          <w:tblHeader/>
          <w:tblCellSpacing w:w="15" w:type="dxa"/>
        </w:trPr>
        <w:tc>
          <w:tcPr>
            <w:tcW w:w="0" w:type="auto"/>
            <w:vAlign w:val="center"/>
            <w:hideMark/>
          </w:tcPr>
          <w:p w14:paraId="7DB7A9F5" w14:textId="77777777" w:rsidR="00356654" w:rsidRPr="00B479AE" w:rsidRDefault="00356654" w:rsidP="00356654">
            <w:pPr>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Earth system process</w:t>
            </w:r>
          </w:p>
        </w:tc>
        <w:tc>
          <w:tcPr>
            <w:tcW w:w="0" w:type="auto"/>
            <w:vAlign w:val="center"/>
            <w:hideMark/>
          </w:tcPr>
          <w:p w14:paraId="0A001D2F" w14:textId="77777777" w:rsidR="00356654" w:rsidRPr="00B479AE" w:rsidRDefault="00356654" w:rsidP="00356654">
            <w:pPr>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Control variable</w:t>
            </w:r>
          </w:p>
        </w:tc>
        <w:tc>
          <w:tcPr>
            <w:tcW w:w="0" w:type="auto"/>
            <w:vAlign w:val="center"/>
            <w:hideMark/>
          </w:tcPr>
          <w:p w14:paraId="416C4D3F" w14:textId="77777777" w:rsidR="00356654" w:rsidRPr="00B479AE" w:rsidRDefault="00356654" w:rsidP="00356654">
            <w:pPr>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Pre-industrial reference</w:t>
            </w:r>
          </w:p>
        </w:tc>
        <w:tc>
          <w:tcPr>
            <w:tcW w:w="0" w:type="auto"/>
            <w:vAlign w:val="center"/>
            <w:hideMark/>
          </w:tcPr>
          <w:p w14:paraId="72DC3410" w14:textId="77777777" w:rsidR="00356654" w:rsidRPr="00B479AE" w:rsidRDefault="00356654" w:rsidP="00356654">
            <w:pPr>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Planetary boundary / Zone of increasing risk</w:t>
            </w:r>
          </w:p>
        </w:tc>
        <w:tc>
          <w:tcPr>
            <w:tcW w:w="0" w:type="auto"/>
            <w:vAlign w:val="center"/>
            <w:hideMark/>
          </w:tcPr>
          <w:p w14:paraId="04C64346" w14:textId="77777777" w:rsidR="00356654" w:rsidRPr="00B479AE" w:rsidRDefault="00356654" w:rsidP="00356654">
            <w:pPr>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Current value / 2023 reference snapshot</w:t>
            </w:r>
          </w:p>
        </w:tc>
        <w:tc>
          <w:tcPr>
            <w:tcW w:w="0" w:type="auto"/>
            <w:vAlign w:val="center"/>
            <w:hideMark/>
          </w:tcPr>
          <w:p w14:paraId="450F98D7" w14:textId="77777777" w:rsidR="00356654" w:rsidRPr="00B479AE" w:rsidRDefault="00356654" w:rsidP="00356654">
            <w:pPr>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Data sources</w:t>
            </w:r>
          </w:p>
        </w:tc>
        <w:tc>
          <w:tcPr>
            <w:tcW w:w="0" w:type="auto"/>
            <w:vAlign w:val="center"/>
            <w:hideMark/>
          </w:tcPr>
          <w:p w14:paraId="026743BB" w14:textId="77777777" w:rsidR="00356654" w:rsidRPr="00B479AE" w:rsidRDefault="00356654" w:rsidP="00356654">
            <w:pPr>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Update frequency</w:t>
            </w:r>
          </w:p>
        </w:tc>
      </w:tr>
      <w:tr w:rsidR="00356654" w:rsidRPr="00B479AE" w14:paraId="1B40ADB1" w14:textId="77777777" w:rsidTr="007A4B90">
        <w:trPr>
          <w:tblCellSpacing w:w="15" w:type="dxa"/>
        </w:trPr>
        <w:tc>
          <w:tcPr>
            <w:tcW w:w="0" w:type="auto"/>
            <w:vAlign w:val="center"/>
            <w:hideMark/>
          </w:tcPr>
          <w:p w14:paraId="1F3EF0F6"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b/>
                <w:bCs/>
                <w:i/>
                <w:iCs/>
                <w:sz w:val="18"/>
                <w:szCs w:val="18"/>
              </w:rPr>
              <w:t>Climate change</w:t>
            </w:r>
          </w:p>
        </w:tc>
        <w:tc>
          <w:tcPr>
            <w:tcW w:w="0" w:type="auto"/>
            <w:vAlign w:val="center"/>
            <w:hideMark/>
          </w:tcPr>
          <w:p w14:paraId="4CAED380"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Atmospheric CO</w:t>
            </w:r>
            <w:r w:rsidRPr="00B479AE">
              <w:rPr>
                <w:rFonts w:ascii="Cambria Math" w:hAnsi="Cambria Math" w:cs="Cambria Math"/>
                <w:i/>
                <w:iCs/>
                <w:sz w:val="18"/>
                <w:szCs w:val="18"/>
              </w:rPr>
              <w:t>₂</w:t>
            </w:r>
            <w:r w:rsidRPr="00B479AE">
              <w:rPr>
                <w:rFonts w:ascii="Baskerville Old Face" w:hAnsi="Baskerville Old Face"/>
                <w:i/>
                <w:iCs/>
                <w:sz w:val="18"/>
                <w:szCs w:val="18"/>
              </w:rPr>
              <w:t xml:space="preserve"> concentration</w:t>
            </w:r>
          </w:p>
        </w:tc>
        <w:tc>
          <w:tcPr>
            <w:tcW w:w="0" w:type="auto"/>
            <w:vAlign w:val="center"/>
            <w:hideMark/>
          </w:tcPr>
          <w:p w14:paraId="69F4AFF0"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280 ppm</w:t>
            </w:r>
          </w:p>
        </w:tc>
        <w:tc>
          <w:tcPr>
            <w:tcW w:w="0" w:type="auto"/>
            <w:vAlign w:val="center"/>
            <w:hideMark/>
          </w:tcPr>
          <w:p w14:paraId="6B0E6D3E"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350–450 ppm</w:t>
            </w:r>
          </w:p>
        </w:tc>
        <w:tc>
          <w:tcPr>
            <w:tcW w:w="0" w:type="auto"/>
            <w:vAlign w:val="center"/>
            <w:hideMark/>
          </w:tcPr>
          <w:p w14:paraId="2381C24F"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417 ppm</w:t>
            </w:r>
          </w:p>
        </w:tc>
        <w:tc>
          <w:tcPr>
            <w:tcW w:w="0" w:type="auto"/>
            <w:vAlign w:val="center"/>
            <w:hideMark/>
          </w:tcPr>
          <w:p w14:paraId="440821FF" w14:textId="77777777" w:rsidR="00356654" w:rsidRPr="005907F1" w:rsidRDefault="00356654" w:rsidP="00356654">
            <w:pPr>
              <w:spacing w:line="360" w:lineRule="auto"/>
              <w:rPr>
                <w:rFonts w:ascii="Baskerville Old Face" w:hAnsi="Baskerville Old Face"/>
                <w:i/>
                <w:iCs/>
                <w:sz w:val="18"/>
                <w:szCs w:val="18"/>
                <w:lang w:val="it-IT"/>
              </w:rPr>
            </w:pPr>
            <w:r w:rsidRPr="005907F1">
              <w:rPr>
                <w:rFonts w:ascii="Baskerville Old Face" w:hAnsi="Baskerville Old Face"/>
                <w:i/>
                <w:iCs/>
                <w:sz w:val="18"/>
                <w:szCs w:val="18"/>
                <w:lang w:val="it-IT"/>
              </w:rPr>
              <w:t>NOAA/ESRL, Copernicus, WMO GAW</w:t>
            </w:r>
          </w:p>
        </w:tc>
        <w:tc>
          <w:tcPr>
            <w:tcW w:w="0" w:type="auto"/>
            <w:vAlign w:val="center"/>
            <w:hideMark/>
          </w:tcPr>
          <w:p w14:paraId="070D108D"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Monthly</w:t>
            </w:r>
          </w:p>
        </w:tc>
      </w:tr>
      <w:tr w:rsidR="00356654" w:rsidRPr="00B479AE" w14:paraId="777018BC" w14:textId="77777777" w:rsidTr="007A4B90">
        <w:trPr>
          <w:tblCellSpacing w:w="15" w:type="dxa"/>
        </w:trPr>
        <w:tc>
          <w:tcPr>
            <w:tcW w:w="0" w:type="auto"/>
            <w:vAlign w:val="center"/>
            <w:hideMark/>
          </w:tcPr>
          <w:p w14:paraId="1B54292F"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b/>
                <w:bCs/>
                <w:i/>
                <w:iCs/>
                <w:sz w:val="18"/>
                <w:szCs w:val="18"/>
              </w:rPr>
              <w:t>Climate change</w:t>
            </w:r>
          </w:p>
        </w:tc>
        <w:tc>
          <w:tcPr>
            <w:tcW w:w="0" w:type="auto"/>
            <w:vAlign w:val="center"/>
            <w:hideMark/>
          </w:tcPr>
          <w:p w14:paraId="06BCA74D"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Radiative forcing</w:t>
            </w:r>
          </w:p>
        </w:tc>
        <w:tc>
          <w:tcPr>
            <w:tcW w:w="0" w:type="auto"/>
            <w:vAlign w:val="center"/>
            <w:hideMark/>
          </w:tcPr>
          <w:p w14:paraId="0E6AE36E"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0 W/m²</w:t>
            </w:r>
          </w:p>
        </w:tc>
        <w:tc>
          <w:tcPr>
            <w:tcW w:w="0" w:type="auto"/>
            <w:vAlign w:val="center"/>
            <w:hideMark/>
          </w:tcPr>
          <w:p w14:paraId="35A3BE1D"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+1.0 to +1.5 W/m²</w:t>
            </w:r>
          </w:p>
        </w:tc>
        <w:tc>
          <w:tcPr>
            <w:tcW w:w="0" w:type="auto"/>
            <w:vAlign w:val="center"/>
            <w:hideMark/>
          </w:tcPr>
          <w:p w14:paraId="65C13F7E"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+2.91 W/m²</w:t>
            </w:r>
          </w:p>
        </w:tc>
        <w:tc>
          <w:tcPr>
            <w:tcW w:w="0" w:type="auto"/>
            <w:vAlign w:val="center"/>
            <w:hideMark/>
          </w:tcPr>
          <w:p w14:paraId="41ADA043"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IPCC AR6, NASA GISS</w:t>
            </w:r>
          </w:p>
        </w:tc>
        <w:tc>
          <w:tcPr>
            <w:tcW w:w="0" w:type="auto"/>
            <w:vAlign w:val="center"/>
            <w:hideMark/>
          </w:tcPr>
          <w:p w14:paraId="3CE9FBDD"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Annual</w:t>
            </w:r>
          </w:p>
        </w:tc>
      </w:tr>
      <w:tr w:rsidR="00356654" w:rsidRPr="00B479AE" w14:paraId="573386AD" w14:textId="77777777" w:rsidTr="007A4B90">
        <w:trPr>
          <w:tblCellSpacing w:w="15" w:type="dxa"/>
        </w:trPr>
        <w:tc>
          <w:tcPr>
            <w:tcW w:w="0" w:type="auto"/>
            <w:vAlign w:val="center"/>
            <w:hideMark/>
          </w:tcPr>
          <w:p w14:paraId="2271E121"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b/>
                <w:bCs/>
                <w:i/>
                <w:iCs/>
                <w:sz w:val="18"/>
                <w:szCs w:val="18"/>
              </w:rPr>
              <w:t>Biosphere integrity</w:t>
            </w:r>
          </w:p>
        </w:tc>
        <w:tc>
          <w:tcPr>
            <w:tcW w:w="0" w:type="auto"/>
            <w:vAlign w:val="center"/>
            <w:hideMark/>
          </w:tcPr>
          <w:p w14:paraId="05D67A25"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Genetic diversity: extinction rate</w:t>
            </w:r>
          </w:p>
        </w:tc>
        <w:tc>
          <w:tcPr>
            <w:tcW w:w="0" w:type="auto"/>
            <w:vAlign w:val="center"/>
            <w:hideMark/>
          </w:tcPr>
          <w:p w14:paraId="1018980A"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0.1–1 E/MSY, background rate</w:t>
            </w:r>
          </w:p>
        </w:tc>
        <w:tc>
          <w:tcPr>
            <w:tcW w:w="0" w:type="auto"/>
            <w:vAlign w:val="center"/>
            <w:hideMark/>
          </w:tcPr>
          <w:p w14:paraId="1A8D6CC2"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10–100 E/MSY</w:t>
            </w:r>
          </w:p>
        </w:tc>
        <w:tc>
          <w:tcPr>
            <w:tcW w:w="0" w:type="auto"/>
            <w:vAlign w:val="center"/>
            <w:hideMark/>
          </w:tcPr>
          <w:p w14:paraId="3E922000"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&gt;100 E/MSY</w:t>
            </w:r>
          </w:p>
        </w:tc>
        <w:tc>
          <w:tcPr>
            <w:tcW w:w="0" w:type="auto"/>
            <w:vAlign w:val="center"/>
            <w:hideMark/>
          </w:tcPr>
          <w:p w14:paraId="06E26B75"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IUCN Red List, Living Planet Index</w:t>
            </w:r>
          </w:p>
        </w:tc>
        <w:tc>
          <w:tcPr>
            <w:tcW w:w="0" w:type="auto"/>
            <w:vAlign w:val="center"/>
            <w:hideMark/>
          </w:tcPr>
          <w:p w14:paraId="3741179C"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Annual</w:t>
            </w:r>
          </w:p>
        </w:tc>
      </w:tr>
      <w:tr w:rsidR="00356654" w:rsidRPr="00B479AE" w14:paraId="13B9DAD3" w14:textId="77777777" w:rsidTr="007A4B90">
        <w:trPr>
          <w:tblCellSpacing w:w="15" w:type="dxa"/>
        </w:trPr>
        <w:tc>
          <w:tcPr>
            <w:tcW w:w="0" w:type="auto"/>
            <w:vAlign w:val="center"/>
            <w:hideMark/>
          </w:tcPr>
          <w:p w14:paraId="6EC26DDE"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b/>
                <w:bCs/>
                <w:i/>
                <w:iCs/>
                <w:sz w:val="18"/>
                <w:szCs w:val="18"/>
              </w:rPr>
              <w:t>Biosphere integrity</w:t>
            </w:r>
          </w:p>
        </w:tc>
        <w:tc>
          <w:tcPr>
            <w:tcW w:w="0" w:type="auto"/>
            <w:vAlign w:val="center"/>
            <w:hideMark/>
          </w:tcPr>
          <w:p w14:paraId="33FDC161"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Functional diversity: HANPP, percentage of pre-industrial NPP</w:t>
            </w:r>
          </w:p>
        </w:tc>
        <w:tc>
          <w:tcPr>
            <w:tcW w:w="0" w:type="auto"/>
            <w:vAlign w:val="center"/>
            <w:hideMark/>
          </w:tcPr>
          <w:p w14:paraId="28F07716"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1.9%</w:t>
            </w:r>
          </w:p>
        </w:tc>
        <w:tc>
          <w:tcPr>
            <w:tcW w:w="0" w:type="auto"/>
            <w:vAlign w:val="center"/>
            <w:hideMark/>
          </w:tcPr>
          <w:p w14:paraId="2C156075"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10–20%</w:t>
            </w:r>
          </w:p>
        </w:tc>
        <w:tc>
          <w:tcPr>
            <w:tcW w:w="0" w:type="auto"/>
            <w:vAlign w:val="center"/>
            <w:hideMark/>
          </w:tcPr>
          <w:p w14:paraId="4B223DB2"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30%</w:t>
            </w:r>
          </w:p>
        </w:tc>
        <w:tc>
          <w:tcPr>
            <w:tcW w:w="0" w:type="auto"/>
            <w:vAlign w:val="center"/>
            <w:hideMark/>
          </w:tcPr>
          <w:p w14:paraId="7BA5C3A8"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FLUXCOM, MODIS, EarthStat</w:t>
            </w:r>
          </w:p>
        </w:tc>
        <w:tc>
          <w:tcPr>
            <w:tcW w:w="0" w:type="auto"/>
            <w:vAlign w:val="center"/>
            <w:hideMark/>
          </w:tcPr>
          <w:p w14:paraId="214FF6C0"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Annual</w:t>
            </w:r>
          </w:p>
        </w:tc>
      </w:tr>
      <w:tr w:rsidR="00356654" w:rsidRPr="00B479AE" w14:paraId="0E192633" w14:textId="77777777" w:rsidTr="007A4B90">
        <w:trPr>
          <w:tblCellSpacing w:w="15" w:type="dxa"/>
        </w:trPr>
        <w:tc>
          <w:tcPr>
            <w:tcW w:w="0" w:type="auto"/>
            <w:vAlign w:val="center"/>
            <w:hideMark/>
          </w:tcPr>
          <w:p w14:paraId="5C0C9788"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b/>
                <w:bCs/>
                <w:i/>
                <w:iCs/>
                <w:sz w:val="18"/>
                <w:szCs w:val="18"/>
              </w:rPr>
              <w:t>Stratospheric ozone depletion</w:t>
            </w:r>
          </w:p>
        </w:tc>
        <w:tc>
          <w:tcPr>
            <w:tcW w:w="0" w:type="auto"/>
            <w:vAlign w:val="center"/>
            <w:hideMark/>
          </w:tcPr>
          <w:p w14:paraId="6A1E362A"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Ozone concentration</w:t>
            </w:r>
          </w:p>
        </w:tc>
        <w:tc>
          <w:tcPr>
            <w:tcW w:w="0" w:type="auto"/>
            <w:vAlign w:val="center"/>
            <w:hideMark/>
          </w:tcPr>
          <w:p w14:paraId="2410C978"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290 DU</w:t>
            </w:r>
          </w:p>
        </w:tc>
        <w:tc>
          <w:tcPr>
            <w:tcW w:w="0" w:type="auto"/>
            <w:vAlign w:val="center"/>
            <w:hideMark/>
          </w:tcPr>
          <w:p w14:paraId="330DBCC3"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276–261 DU</w:t>
            </w:r>
          </w:p>
        </w:tc>
        <w:tc>
          <w:tcPr>
            <w:tcW w:w="0" w:type="auto"/>
            <w:vAlign w:val="center"/>
            <w:hideMark/>
          </w:tcPr>
          <w:p w14:paraId="310F5936"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284.6 DU</w:t>
            </w:r>
          </w:p>
        </w:tc>
        <w:tc>
          <w:tcPr>
            <w:tcW w:w="0" w:type="auto"/>
            <w:vAlign w:val="center"/>
            <w:hideMark/>
          </w:tcPr>
          <w:p w14:paraId="34DE3453"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NASA Ozone Watch, Copernicus CAMS</w:t>
            </w:r>
          </w:p>
        </w:tc>
        <w:tc>
          <w:tcPr>
            <w:tcW w:w="0" w:type="auto"/>
            <w:vAlign w:val="center"/>
            <w:hideMark/>
          </w:tcPr>
          <w:p w14:paraId="4B8A2779"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Daily / Monthly</w:t>
            </w:r>
          </w:p>
        </w:tc>
      </w:tr>
      <w:tr w:rsidR="00356654" w:rsidRPr="00B479AE" w14:paraId="41A4369D" w14:textId="77777777" w:rsidTr="007A4B90">
        <w:trPr>
          <w:tblCellSpacing w:w="15" w:type="dxa"/>
        </w:trPr>
        <w:tc>
          <w:tcPr>
            <w:tcW w:w="0" w:type="auto"/>
            <w:vAlign w:val="center"/>
            <w:hideMark/>
          </w:tcPr>
          <w:p w14:paraId="75DB32D0"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b/>
                <w:bCs/>
                <w:i/>
                <w:iCs/>
                <w:sz w:val="18"/>
                <w:szCs w:val="18"/>
              </w:rPr>
              <w:t>Ocean acidification</w:t>
            </w:r>
          </w:p>
        </w:tc>
        <w:tc>
          <w:tcPr>
            <w:tcW w:w="0" w:type="auto"/>
            <w:vAlign w:val="center"/>
            <w:hideMark/>
          </w:tcPr>
          <w:p w14:paraId="75394FEB"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 xml:space="preserve">Aragonite saturation state, </w:t>
            </w:r>
            <w:r w:rsidRPr="00B479AE">
              <w:rPr>
                <w:rFonts w:ascii="Cambria" w:hAnsi="Cambria" w:cs="Cambria"/>
                <w:i/>
                <w:iCs/>
                <w:sz w:val="18"/>
                <w:szCs w:val="18"/>
              </w:rPr>
              <w:t>Ω</w:t>
            </w:r>
            <w:r w:rsidRPr="00B479AE">
              <w:rPr>
                <w:rFonts w:ascii="Baskerville Old Face" w:hAnsi="Baskerville Old Face"/>
                <w:i/>
                <w:iCs/>
                <w:sz w:val="18"/>
                <w:szCs w:val="18"/>
              </w:rPr>
              <w:t>arag</w:t>
            </w:r>
          </w:p>
        </w:tc>
        <w:tc>
          <w:tcPr>
            <w:tcW w:w="0" w:type="auto"/>
            <w:vAlign w:val="center"/>
            <w:hideMark/>
          </w:tcPr>
          <w:p w14:paraId="32BBDC0A"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 xml:space="preserve">3.44 </w:t>
            </w:r>
            <w:r w:rsidRPr="00B479AE">
              <w:rPr>
                <w:rFonts w:ascii="Cambria" w:hAnsi="Cambria" w:cs="Cambria"/>
                <w:i/>
                <w:iCs/>
                <w:sz w:val="18"/>
                <w:szCs w:val="18"/>
              </w:rPr>
              <w:t>Ω</w:t>
            </w:r>
            <w:r w:rsidRPr="00B479AE">
              <w:rPr>
                <w:rFonts w:ascii="Baskerville Old Face" w:hAnsi="Baskerville Old Face"/>
                <w:i/>
                <w:iCs/>
                <w:sz w:val="18"/>
                <w:szCs w:val="18"/>
              </w:rPr>
              <w:t>arag</w:t>
            </w:r>
          </w:p>
        </w:tc>
        <w:tc>
          <w:tcPr>
            <w:tcW w:w="0" w:type="auto"/>
            <w:vAlign w:val="center"/>
            <w:hideMark/>
          </w:tcPr>
          <w:p w14:paraId="6BF5343C"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 xml:space="preserve">2.75–2.4 </w:t>
            </w:r>
            <w:r w:rsidRPr="00B479AE">
              <w:rPr>
                <w:rFonts w:ascii="Cambria" w:hAnsi="Cambria" w:cs="Cambria"/>
                <w:i/>
                <w:iCs/>
                <w:sz w:val="18"/>
                <w:szCs w:val="18"/>
              </w:rPr>
              <w:t>Ω</w:t>
            </w:r>
            <w:r w:rsidRPr="00B479AE">
              <w:rPr>
                <w:rFonts w:ascii="Baskerville Old Face" w:hAnsi="Baskerville Old Face"/>
                <w:i/>
                <w:iCs/>
                <w:sz w:val="18"/>
                <w:szCs w:val="18"/>
              </w:rPr>
              <w:t>arag, approximately 80</w:t>
            </w:r>
            <w:r w:rsidRPr="00B479AE">
              <w:rPr>
                <w:rFonts w:ascii="Baskerville Old Face" w:hAnsi="Baskerville Old Face" w:cs="Baskerville Old Face"/>
                <w:i/>
                <w:iCs/>
                <w:sz w:val="18"/>
                <w:szCs w:val="18"/>
              </w:rPr>
              <w:t>–</w:t>
            </w:r>
            <w:r w:rsidRPr="00B479AE">
              <w:rPr>
                <w:rFonts w:ascii="Baskerville Old Face" w:hAnsi="Baskerville Old Face"/>
                <w:i/>
                <w:iCs/>
                <w:sz w:val="18"/>
                <w:szCs w:val="18"/>
              </w:rPr>
              <w:lastRenderedPageBreak/>
              <w:t>70% of pre-industrial level</w:t>
            </w:r>
          </w:p>
        </w:tc>
        <w:tc>
          <w:tcPr>
            <w:tcW w:w="0" w:type="auto"/>
            <w:vAlign w:val="center"/>
            <w:hideMark/>
          </w:tcPr>
          <w:p w14:paraId="38E1E260"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lastRenderedPageBreak/>
              <w:t xml:space="preserve">2.8 </w:t>
            </w:r>
            <w:r w:rsidRPr="00B479AE">
              <w:rPr>
                <w:rFonts w:ascii="Cambria" w:hAnsi="Cambria" w:cs="Cambria"/>
                <w:i/>
                <w:iCs/>
                <w:sz w:val="18"/>
                <w:szCs w:val="18"/>
              </w:rPr>
              <w:t>Ω</w:t>
            </w:r>
            <w:r w:rsidRPr="00B479AE">
              <w:rPr>
                <w:rFonts w:ascii="Baskerville Old Face" w:hAnsi="Baskerville Old Face"/>
                <w:i/>
                <w:iCs/>
                <w:sz w:val="18"/>
                <w:szCs w:val="18"/>
              </w:rPr>
              <w:t>arag, approximately 84%</w:t>
            </w:r>
          </w:p>
        </w:tc>
        <w:tc>
          <w:tcPr>
            <w:tcW w:w="0" w:type="auto"/>
            <w:vAlign w:val="center"/>
            <w:hideMark/>
          </w:tcPr>
          <w:p w14:paraId="4CB64B06"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NOAA PMEL, GOA-ON, SOCAT</w:t>
            </w:r>
          </w:p>
        </w:tc>
        <w:tc>
          <w:tcPr>
            <w:tcW w:w="0" w:type="auto"/>
            <w:vAlign w:val="center"/>
            <w:hideMark/>
          </w:tcPr>
          <w:p w14:paraId="08691055"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Monthly</w:t>
            </w:r>
          </w:p>
        </w:tc>
      </w:tr>
      <w:tr w:rsidR="00356654" w:rsidRPr="00B479AE" w14:paraId="5F5C02AC" w14:textId="77777777" w:rsidTr="007A4B90">
        <w:trPr>
          <w:tblCellSpacing w:w="15" w:type="dxa"/>
        </w:trPr>
        <w:tc>
          <w:tcPr>
            <w:tcW w:w="0" w:type="auto"/>
            <w:vAlign w:val="center"/>
            <w:hideMark/>
          </w:tcPr>
          <w:p w14:paraId="53D0058B"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b/>
                <w:bCs/>
                <w:i/>
                <w:iCs/>
                <w:sz w:val="18"/>
                <w:szCs w:val="18"/>
              </w:rPr>
              <w:t>Biogeochemical flows — phosphorus</w:t>
            </w:r>
          </w:p>
        </w:tc>
        <w:tc>
          <w:tcPr>
            <w:tcW w:w="0" w:type="auto"/>
            <w:vAlign w:val="center"/>
            <w:hideMark/>
          </w:tcPr>
          <w:p w14:paraId="6E717D89"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Global phosphorus flow to oceans</w:t>
            </w:r>
          </w:p>
        </w:tc>
        <w:tc>
          <w:tcPr>
            <w:tcW w:w="0" w:type="auto"/>
            <w:vAlign w:val="center"/>
            <w:hideMark/>
          </w:tcPr>
          <w:p w14:paraId="12E9DB05"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0 Mt/year</w:t>
            </w:r>
          </w:p>
        </w:tc>
        <w:tc>
          <w:tcPr>
            <w:tcW w:w="0" w:type="auto"/>
            <w:vAlign w:val="center"/>
            <w:hideMark/>
          </w:tcPr>
          <w:p w14:paraId="3084182C"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11–100 Mt/year</w:t>
            </w:r>
          </w:p>
        </w:tc>
        <w:tc>
          <w:tcPr>
            <w:tcW w:w="0" w:type="auto"/>
            <w:vAlign w:val="center"/>
            <w:hideMark/>
          </w:tcPr>
          <w:p w14:paraId="56A02327"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22.6 Mt/year</w:t>
            </w:r>
          </w:p>
        </w:tc>
        <w:tc>
          <w:tcPr>
            <w:tcW w:w="0" w:type="auto"/>
            <w:vAlign w:val="center"/>
            <w:hideMark/>
          </w:tcPr>
          <w:p w14:paraId="587180D5"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FAO, global nutrient-cycle databases</w:t>
            </w:r>
          </w:p>
        </w:tc>
        <w:tc>
          <w:tcPr>
            <w:tcW w:w="0" w:type="auto"/>
            <w:vAlign w:val="center"/>
            <w:hideMark/>
          </w:tcPr>
          <w:p w14:paraId="15685A47"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Annual</w:t>
            </w:r>
          </w:p>
        </w:tc>
      </w:tr>
      <w:tr w:rsidR="00356654" w:rsidRPr="00B479AE" w14:paraId="25976AC0" w14:textId="77777777" w:rsidTr="007A4B90">
        <w:trPr>
          <w:tblCellSpacing w:w="15" w:type="dxa"/>
        </w:trPr>
        <w:tc>
          <w:tcPr>
            <w:tcW w:w="0" w:type="auto"/>
            <w:vAlign w:val="center"/>
            <w:hideMark/>
          </w:tcPr>
          <w:p w14:paraId="67DF791E"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b/>
                <w:bCs/>
                <w:i/>
                <w:iCs/>
                <w:sz w:val="18"/>
                <w:szCs w:val="18"/>
              </w:rPr>
              <w:t>Biogeochemical flows — phosphorus</w:t>
            </w:r>
          </w:p>
        </w:tc>
        <w:tc>
          <w:tcPr>
            <w:tcW w:w="0" w:type="auto"/>
            <w:vAlign w:val="center"/>
            <w:hideMark/>
          </w:tcPr>
          <w:p w14:paraId="03365EAD"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Regional phosphorus fertilizer application</w:t>
            </w:r>
          </w:p>
        </w:tc>
        <w:tc>
          <w:tcPr>
            <w:tcW w:w="0" w:type="auto"/>
            <w:vAlign w:val="center"/>
            <w:hideMark/>
          </w:tcPr>
          <w:p w14:paraId="57DAC01A"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0 Mt/year</w:t>
            </w:r>
          </w:p>
        </w:tc>
        <w:tc>
          <w:tcPr>
            <w:tcW w:w="0" w:type="auto"/>
            <w:vAlign w:val="center"/>
            <w:hideMark/>
          </w:tcPr>
          <w:p w14:paraId="7E089A8F"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6.2–11.2 Mt/year</w:t>
            </w:r>
          </w:p>
        </w:tc>
        <w:tc>
          <w:tcPr>
            <w:tcW w:w="0" w:type="auto"/>
            <w:vAlign w:val="center"/>
            <w:hideMark/>
          </w:tcPr>
          <w:p w14:paraId="2B1E4D1F"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17.5 Mt/year</w:t>
            </w:r>
          </w:p>
        </w:tc>
        <w:tc>
          <w:tcPr>
            <w:tcW w:w="0" w:type="auto"/>
            <w:vAlign w:val="center"/>
            <w:hideMark/>
          </w:tcPr>
          <w:p w14:paraId="44816AC3"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FAO, IFASTAT / International Fertilizer Association statistics</w:t>
            </w:r>
          </w:p>
        </w:tc>
        <w:tc>
          <w:tcPr>
            <w:tcW w:w="0" w:type="auto"/>
            <w:vAlign w:val="center"/>
            <w:hideMark/>
          </w:tcPr>
          <w:p w14:paraId="33E9A623"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Annual</w:t>
            </w:r>
          </w:p>
        </w:tc>
      </w:tr>
      <w:tr w:rsidR="00356654" w:rsidRPr="00B479AE" w14:paraId="7E7D3846" w14:textId="77777777" w:rsidTr="007A4B90">
        <w:trPr>
          <w:tblCellSpacing w:w="15" w:type="dxa"/>
        </w:trPr>
        <w:tc>
          <w:tcPr>
            <w:tcW w:w="0" w:type="auto"/>
            <w:vAlign w:val="center"/>
            <w:hideMark/>
          </w:tcPr>
          <w:p w14:paraId="3CE72004"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b/>
                <w:bCs/>
                <w:i/>
                <w:iCs/>
                <w:sz w:val="18"/>
                <w:szCs w:val="18"/>
              </w:rPr>
              <w:t>Biogeochemical flows — nitrogen</w:t>
            </w:r>
          </w:p>
        </w:tc>
        <w:tc>
          <w:tcPr>
            <w:tcW w:w="0" w:type="auto"/>
            <w:vAlign w:val="center"/>
            <w:hideMark/>
          </w:tcPr>
          <w:p w14:paraId="09C4123F"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Reactive nitrogen release</w:t>
            </w:r>
          </w:p>
        </w:tc>
        <w:tc>
          <w:tcPr>
            <w:tcW w:w="0" w:type="auto"/>
            <w:vAlign w:val="center"/>
            <w:hideMark/>
          </w:tcPr>
          <w:p w14:paraId="41FCB7BB"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0 Mt/year</w:t>
            </w:r>
          </w:p>
        </w:tc>
        <w:tc>
          <w:tcPr>
            <w:tcW w:w="0" w:type="auto"/>
            <w:vAlign w:val="center"/>
            <w:hideMark/>
          </w:tcPr>
          <w:p w14:paraId="1721474B"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62–82 Mt/year</w:t>
            </w:r>
          </w:p>
        </w:tc>
        <w:tc>
          <w:tcPr>
            <w:tcW w:w="0" w:type="auto"/>
            <w:vAlign w:val="center"/>
            <w:hideMark/>
          </w:tcPr>
          <w:p w14:paraId="72B8D139"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190 Mt/year</w:t>
            </w:r>
          </w:p>
        </w:tc>
        <w:tc>
          <w:tcPr>
            <w:tcW w:w="0" w:type="auto"/>
            <w:vAlign w:val="center"/>
            <w:hideMark/>
          </w:tcPr>
          <w:p w14:paraId="373F74C3"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FAO, EDGAR</w:t>
            </w:r>
          </w:p>
        </w:tc>
        <w:tc>
          <w:tcPr>
            <w:tcW w:w="0" w:type="auto"/>
            <w:vAlign w:val="center"/>
            <w:hideMark/>
          </w:tcPr>
          <w:p w14:paraId="186F3CD3"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Annual</w:t>
            </w:r>
          </w:p>
        </w:tc>
      </w:tr>
      <w:tr w:rsidR="00356654" w:rsidRPr="00B479AE" w14:paraId="46ED5575" w14:textId="77777777" w:rsidTr="007A4B90">
        <w:trPr>
          <w:tblCellSpacing w:w="15" w:type="dxa"/>
        </w:trPr>
        <w:tc>
          <w:tcPr>
            <w:tcW w:w="0" w:type="auto"/>
            <w:vAlign w:val="center"/>
            <w:hideMark/>
          </w:tcPr>
          <w:p w14:paraId="24E4DC87"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b/>
                <w:bCs/>
                <w:i/>
                <w:iCs/>
                <w:sz w:val="18"/>
                <w:szCs w:val="18"/>
              </w:rPr>
              <w:t>Land-system change</w:t>
            </w:r>
          </w:p>
        </w:tc>
        <w:tc>
          <w:tcPr>
            <w:tcW w:w="0" w:type="auto"/>
            <w:vAlign w:val="center"/>
            <w:hideMark/>
          </w:tcPr>
          <w:p w14:paraId="7AECEDB2"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Global forest cover, percentage of original forest</w:t>
            </w:r>
          </w:p>
        </w:tc>
        <w:tc>
          <w:tcPr>
            <w:tcW w:w="0" w:type="auto"/>
            <w:vAlign w:val="center"/>
            <w:hideMark/>
          </w:tcPr>
          <w:p w14:paraId="6E67D0E1"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100%</w:t>
            </w:r>
          </w:p>
        </w:tc>
        <w:tc>
          <w:tcPr>
            <w:tcW w:w="0" w:type="auto"/>
            <w:vAlign w:val="center"/>
            <w:hideMark/>
          </w:tcPr>
          <w:p w14:paraId="1FC53476"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75–54%, global weighted range</w:t>
            </w:r>
          </w:p>
        </w:tc>
        <w:tc>
          <w:tcPr>
            <w:tcW w:w="0" w:type="auto"/>
            <w:vAlign w:val="center"/>
            <w:hideMark/>
          </w:tcPr>
          <w:p w14:paraId="6B7A5BEC"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60%</w:t>
            </w:r>
          </w:p>
        </w:tc>
        <w:tc>
          <w:tcPr>
            <w:tcW w:w="0" w:type="auto"/>
            <w:vAlign w:val="center"/>
            <w:hideMark/>
          </w:tcPr>
          <w:p w14:paraId="50254A65"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ESA CCI, MODIS, Global Forest Watch</w:t>
            </w:r>
          </w:p>
        </w:tc>
        <w:tc>
          <w:tcPr>
            <w:tcW w:w="0" w:type="auto"/>
            <w:vAlign w:val="center"/>
            <w:hideMark/>
          </w:tcPr>
          <w:p w14:paraId="41A3E0A1"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Annual</w:t>
            </w:r>
          </w:p>
        </w:tc>
      </w:tr>
      <w:tr w:rsidR="00356654" w:rsidRPr="00B479AE" w14:paraId="31251A65" w14:textId="77777777" w:rsidTr="007A4B90">
        <w:trPr>
          <w:tblCellSpacing w:w="15" w:type="dxa"/>
        </w:trPr>
        <w:tc>
          <w:tcPr>
            <w:tcW w:w="0" w:type="auto"/>
            <w:vAlign w:val="center"/>
            <w:hideMark/>
          </w:tcPr>
          <w:p w14:paraId="19F44299"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b/>
                <w:bCs/>
                <w:i/>
                <w:iCs/>
                <w:sz w:val="18"/>
                <w:szCs w:val="18"/>
              </w:rPr>
              <w:t>Land-system change</w:t>
            </w:r>
          </w:p>
        </w:tc>
        <w:tc>
          <w:tcPr>
            <w:tcW w:w="0" w:type="auto"/>
            <w:vAlign w:val="center"/>
            <w:hideMark/>
          </w:tcPr>
          <w:p w14:paraId="4AAB99EF"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Tropical forest cover, percentage of original forest</w:t>
            </w:r>
          </w:p>
        </w:tc>
        <w:tc>
          <w:tcPr>
            <w:tcW w:w="0" w:type="auto"/>
            <w:vAlign w:val="center"/>
            <w:hideMark/>
          </w:tcPr>
          <w:p w14:paraId="343D4210"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100%</w:t>
            </w:r>
          </w:p>
        </w:tc>
        <w:tc>
          <w:tcPr>
            <w:tcW w:w="0" w:type="auto"/>
            <w:vAlign w:val="center"/>
            <w:hideMark/>
          </w:tcPr>
          <w:p w14:paraId="2D1C2A4B"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85–60%</w:t>
            </w:r>
          </w:p>
        </w:tc>
        <w:tc>
          <w:tcPr>
            <w:tcW w:w="0" w:type="auto"/>
            <w:vAlign w:val="center"/>
            <w:hideMark/>
          </w:tcPr>
          <w:p w14:paraId="2C8F47DA"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Americas: 83.9%; Africa: 54.3%; Asia: 37.5%</w:t>
            </w:r>
          </w:p>
        </w:tc>
        <w:tc>
          <w:tcPr>
            <w:tcW w:w="0" w:type="auto"/>
            <w:vAlign w:val="center"/>
            <w:hideMark/>
          </w:tcPr>
          <w:p w14:paraId="0FC4506A"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FAO FRA, Global Forest Watch</w:t>
            </w:r>
          </w:p>
        </w:tc>
        <w:tc>
          <w:tcPr>
            <w:tcW w:w="0" w:type="auto"/>
            <w:vAlign w:val="center"/>
            <w:hideMark/>
          </w:tcPr>
          <w:p w14:paraId="794D9A4B"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Annual</w:t>
            </w:r>
          </w:p>
        </w:tc>
      </w:tr>
      <w:tr w:rsidR="00356654" w:rsidRPr="00B479AE" w14:paraId="12061D97" w14:textId="77777777" w:rsidTr="007A4B90">
        <w:trPr>
          <w:tblCellSpacing w:w="15" w:type="dxa"/>
        </w:trPr>
        <w:tc>
          <w:tcPr>
            <w:tcW w:w="0" w:type="auto"/>
            <w:vAlign w:val="center"/>
            <w:hideMark/>
          </w:tcPr>
          <w:p w14:paraId="777264F0"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b/>
                <w:bCs/>
                <w:i/>
                <w:iCs/>
                <w:sz w:val="18"/>
                <w:szCs w:val="18"/>
              </w:rPr>
              <w:t>Land-system change</w:t>
            </w:r>
          </w:p>
        </w:tc>
        <w:tc>
          <w:tcPr>
            <w:tcW w:w="0" w:type="auto"/>
            <w:vAlign w:val="center"/>
            <w:hideMark/>
          </w:tcPr>
          <w:p w14:paraId="7A9739A1"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Temperate forest cover, percentage of original forest</w:t>
            </w:r>
          </w:p>
        </w:tc>
        <w:tc>
          <w:tcPr>
            <w:tcW w:w="0" w:type="auto"/>
            <w:vAlign w:val="center"/>
            <w:hideMark/>
          </w:tcPr>
          <w:p w14:paraId="168ACBCE"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100%</w:t>
            </w:r>
          </w:p>
        </w:tc>
        <w:tc>
          <w:tcPr>
            <w:tcW w:w="0" w:type="auto"/>
            <w:vAlign w:val="center"/>
            <w:hideMark/>
          </w:tcPr>
          <w:p w14:paraId="65B94A1E"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50–30%</w:t>
            </w:r>
          </w:p>
        </w:tc>
        <w:tc>
          <w:tcPr>
            <w:tcW w:w="0" w:type="auto"/>
            <w:vAlign w:val="center"/>
            <w:hideMark/>
          </w:tcPr>
          <w:p w14:paraId="105D4827"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Americas: 51.2%; Europe: 34.2%; Asia: 37.9%</w:t>
            </w:r>
          </w:p>
        </w:tc>
        <w:tc>
          <w:tcPr>
            <w:tcW w:w="0" w:type="auto"/>
            <w:vAlign w:val="center"/>
            <w:hideMark/>
          </w:tcPr>
          <w:p w14:paraId="65A5BF2E"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FAO FRA, Global Forest Watch</w:t>
            </w:r>
          </w:p>
        </w:tc>
        <w:tc>
          <w:tcPr>
            <w:tcW w:w="0" w:type="auto"/>
            <w:vAlign w:val="center"/>
            <w:hideMark/>
          </w:tcPr>
          <w:p w14:paraId="22A43EB3"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Annual</w:t>
            </w:r>
          </w:p>
        </w:tc>
      </w:tr>
      <w:tr w:rsidR="00356654" w:rsidRPr="00B479AE" w14:paraId="08FB2376" w14:textId="77777777" w:rsidTr="007A4B90">
        <w:trPr>
          <w:tblCellSpacing w:w="15" w:type="dxa"/>
        </w:trPr>
        <w:tc>
          <w:tcPr>
            <w:tcW w:w="0" w:type="auto"/>
            <w:vAlign w:val="center"/>
            <w:hideMark/>
          </w:tcPr>
          <w:p w14:paraId="0FA9E50D"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b/>
                <w:bCs/>
                <w:i/>
                <w:iCs/>
                <w:sz w:val="18"/>
                <w:szCs w:val="18"/>
              </w:rPr>
              <w:t>Land-system change</w:t>
            </w:r>
          </w:p>
        </w:tc>
        <w:tc>
          <w:tcPr>
            <w:tcW w:w="0" w:type="auto"/>
            <w:vAlign w:val="center"/>
            <w:hideMark/>
          </w:tcPr>
          <w:p w14:paraId="03C4EA3C"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Boreal forest cover, percentage of original forest</w:t>
            </w:r>
          </w:p>
        </w:tc>
        <w:tc>
          <w:tcPr>
            <w:tcW w:w="0" w:type="auto"/>
            <w:vAlign w:val="center"/>
            <w:hideMark/>
          </w:tcPr>
          <w:p w14:paraId="345AB05A"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100%</w:t>
            </w:r>
          </w:p>
        </w:tc>
        <w:tc>
          <w:tcPr>
            <w:tcW w:w="0" w:type="auto"/>
            <w:vAlign w:val="center"/>
            <w:hideMark/>
          </w:tcPr>
          <w:p w14:paraId="162C3B26"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85–60%</w:t>
            </w:r>
          </w:p>
        </w:tc>
        <w:tc>
          <w:tcPr>
            <w:tcW w:w="0" w:type="auto"/>
            <w:vAlign w:val="center"/>
            <w:hideMark/>
          </w:tcPr>
          <w:p w14:paraId="39E5DB19"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Americas: 56.6%; Eurasia: 70.3%</w:t>
            </w:r>
          </w:p>
        </w:tc>
        <w:tc>
          <w:tcPr>
            <w:tcW w:w="0" w:type="auto"/>
            <w:vAlign w:val="center"/>
            <w:hideMark/>
          </w:tcPr>
          <w:p w14:paraId="4213340F"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FAO FRA, Global Forest Watch</w:t>
            </w:r>
          </w:p>
        </w:tc>
        <w:tc>
          <w:tcPr>
            <w:tcW w:w="0" w:type="auto"/>
            <w:vAlign w:val="center"/>
            <w:hideMark/>
          </w:tcPr>
          <w:p w14:paraId="75C10574"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Annual</w:t>
            </w:r>
          </w:p>
        </w:tc>
      </w:tr>
      <w:tr w:rsidR="00356654" w:rsidRPr="00B479AE" w14:paraId="27176E4B" w14:textId="77777777" w:rsidTr="007A4B90">
        <w:trPr>
          <w:tblCellSpacing w:w="15" w:type="dxa"/>
        </w:trPr>
        <w:tc>
          <w:tcPr>
            <w:tcW w:w="0" w:type="auto"/>
            <w:vAlign w:val="center"/>
            <w:hideMark/>
          </w:tcPr>
          <w:p w14:paraId="258C2422"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b/>
                <w:bCs/>
                <w:i/>
                <w:iCs/>
                <w:sz w:val="18"/>
                <w:szCs w:val="18"/>
              </w:rPr>
              <w:t>Freshwater change — blue water</w:t>
            </w:r>
          </w:p>
        </w:tc>
        <w:tc>
          <w:tcPr>
            <w:tcW w:w="0" w:type="auto"/>
            <w:vAlign w:val="center"/>
            <w:hideMark/>
          </w:tcPr>
          <w:p w14:paraId="0C530405"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Human-induced flow disturbance, 95th percentile deviation</w:t>
            </w:r>
          </w:p>
        </w:tc>
        <w:tc>
          <w:tcPr>
            <w:tcW w:w="0" w:type="auto"/>
            <w:vAlign w:val="center"/>
            <w:hideMark/>
          </w:tcPr>
          <w:p w14:paraId="67CDFB39"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9.4%</w:t>
            </w:r>
          </w:p>
        </w:tc>
        <w:tc>
          <w:tcPr>
            <w:tcW w:w="0" w:type="auto"/>
            <w:vAlign w:val="center"/>
            <w:hideMark/>
          </w:tcPr>
          <w:p w14:paraId="642B9784"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10.2–50%</w:t>
            </w:r>
          </w:p>
        </w:tc>
        <w:tc>
          <w:tcPr>
            <w:tcW w:w="0" w:type="auto"/>
            <w:vAlign w:val="center"/>
            <w:hideMark/>
          </w:tcPr>
          <w:p w14:paraId="77608CAD"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18.2%</w:t>
            </w:r>
          </w:p>
        </w:tc>
        <w:tc>
          <w:tcPr>
            <w:tcW w:w="0" w:type="auto"/>
            <w:vAlign w:val="center"/>
            <w:hideMark/>
          </w:tcPr>
          <w:p w14:paraId="4E01AE00"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WaterGAP, PCR-GLOBWB, GRDC</w:t>
            </w:r>
          </w:p>
        </w:tc>
        <w:tc>
          <w:tcPr>
            <w:tcW w:w="0" w:type="auto"/>
            <w:vAlign w:val="center"/>
            <w:hideMark/>
          </w:tcPr>
          <w:p w14:paraId="317D183B"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Annual</w:t>
            </w:r>
          </w:p>
        </w:tc>
      </w:tr>
      <w:tr w:rsidR="00356654" w:rsidRPr="00B479AE" w14:paraId="383D2DE7" w14:textId="77777777" w:rsidTr="007A4B90">
        <w:trPr>
          <w:tblCellSpacing w:w="15" w:type="dxa"/>
        </w:trPr>
        <w:tc>
          <w:tcPr>
            <w:tcW w:w="0" w:type="auto"/>
            <w:vAlign w:val="center"/>
            <w:hideMark/>
          </w:tcPr>
          <w:p w14:paraId="48EF0B70"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b/>
                <w:bCs/>
                <w:i/>
                <w:iCs/>
                <w:sz w:val="18"/>
                <w:szCs w:val="18"/>
              </w:rPr>
              <w:t>Freshwater change — green water</w:t>
            </w:r>
          </w:p>
        </w:tc>
        <w:tc>
          <w:tcPr>
            <w:tcW w:w="0" w:type="auto"/>
            <w:vAlign w:val="center"/>
            <w:hideMark/>
          </w:tcPr>
          <w:p w14:paraId="15969983"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Soil-moisture deviation from Holocene variability, percentage of ice-free land</w:t>
            </w:r>
          </w:p>
        </w:tc>
        <w:tc>
          <w:tcPr>
            <w:tcW w:w="0" w:type="auto"/>
            <w:vAlign w:val="center"/>
            <w:hideMark/>
          </w:tcPr>
          <w:p w14:paraId="4D8BF78D"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9.8%</w:t>
            </w:r>
          </w:p>
        </w:tc>
        <w:tc>
          <w:tcPr>
            <w:tcW w:w="0" w:type="auto"/>
            <w:vAlign w:val="center"/>
            <w:hideMark/>
          </w:tcPr>
          <w:p w14:paraId="0DA4C893"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11.1–50%</w:t>
            </w:r>
          </w:p>
        </w:tc>
        <w:tc>
          <w:tcPr>
            <w:tcW w:w="0" w:type="auto"/>
            <w:vAlign w:val="center"/>
            <w:hideMark/>
          </w:tcPr>
          <w:p w14:paraId="05AF558B"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15.8%</w:t>
            </w:r>
          </w:p>
        </w:tc>
        <w:tc>
          <w:tcPr>
            <w:tcW w:w="0" w:type="auto"/>
            <w:vAlign w:val="center"/>
            <w:hideMark/>
          </w:tcPr>
          <w:p w14:paraId="32717A6E"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ESA CCI, GLEAM, ERA5</w:t>
            </w:r>
          </w:p>
        </w:tc>
        <w:tc>
          <w:tcPr>
            <w:tcW w:w="0" w:type="auto"/>
            <w:vAlign w:val="center"/>
            <w:hideMark/>
          </w:tcPr>
          <w:p w14:paraId="4672ABFF"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Monthly</w:t>
            </w:r>
          </w:p>
        </w:tc>
      </w:tr>
      <w:tr w:rsidR="00356654" w:rsidRPr="00B479AE" w14:paraId="3B008DC4" w14:textId="77777777" w:rsidTr="007A4B90">
        <w:trPr>
          <w:tblCellSpacing w:w="15" w:type="dxa"/>
        </w:trPr>
        <w:tc>
          <w:tcPr>
            <w:tcW w:w="0" w:type="auto"/>
            <w:vAlign w:val="center"/>
            <w:hideMark/>
          </w:tcPr>
          <w:p w14:paraId="1E16CFB6"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b/>
                <w:bCs/>
                <w:i/>
                <w:iCs/>
                <w:sz w:val="18"/>
                <w:szCs w:val="18"/>
              </w:rPr>
              <w:lastRenderedPageBreak/>
              <w:t>Atmospheric aerosol loading</w:t>
            </w:r>
          </w:p>
        </w:tc>
        <w:tc>
          <w:tcPr>
            <w:tcW w:w="0" w:type="auto"/>
            <w:vAlign w:val="center"/>
            <w:hideMark/>
          </w:tcPr>
          <w:p w14:paraId="6C2B35F5"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Interhemispheric difference in aerosol optical thickness, AOD</w:t>
            </w:r>
          </w:p>
        </w:tc>
        <w:tc>
          <w:tcPr>
            <w:tcW w:w="0" w:type="auto"/>
            <w:vAlign w:val="center"/>
            <w:hideMark/>
          </w:tcPr>
          <w:p w14:paraId="50C1E4B9"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0.03</w:t>
            </w:r>
          </w:p>
        </w:tc>
        <w:tc>
          <w:tcPr>
            <w:tcW w:w="0" w:type="auto"/>
            <w:vAlign w:val="center"/>
            <w:hideMark/>
          </w:tcPr>
          <w:p w14:paraId="39707CA0"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0.1–0.25</w:t>
            </w:r>
          </w:p>
        </w:tc>
        <w:tc>
          <w:tcPr>
            <w:tcW w:w="0" w:type="auto"/>
            <w:vAlign w:val="center"/>
            <w:hideMark/>
          </w:tcPr>
          <w:p w14:paraId="2B69E3C9"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0.076</w:t>
            </w:r>
          </w:p>
        </w:tc>
        <w:tc>
          <w:tcPr>
            <w:tcW w:w="0" w:type="auto"/>
            <w:vAlign w:val="center"/>
            <w:hideMark/>
          </w:tcPr>
          <w:p w14:paraId="185471CF"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MODIS, MISR, Copernicus CAMS</w:t>
            </w:r>
          </w:p>
        </w:tc>
        <w:tc>
          <w:tcPr>
            <w:tcW w:w="0" w:type="auto"/>
            <w:vAlign w:val="center"/>
            <w:hideMark/>
          </w:tcPr>
          <w:p w14:paraId="7A9ED93A"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Monthly</w:t>
            </w:r>
          </w:p>
        </w:tc>
      </w:tr>
      <w:tr w:rsidR="00356654" w:rsidRPr="00B479AE" w14:paraId="7259B727" w14:textId="77777777" w:rsidTr="007A4B90">
        <w:trPr>
          <w:tblCellSpacing w:w="15" w:type="dxa"/>
        </w:trPr>
        <w:tc>
          <w:tcPr>
            <w:tcW w:w="0" w:type="auto"/>
            <w:vAlign w:val="center"/>
            <w:hideMark/>
          </w:tcPr>
          <w:p w14:paraId="1F4B703F"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b/>
                <w:bCs/>
                <w:i/>
                <w:iCs/>
                <w:sz w:val="18"/>
                <w:szCs w:val="18"/>
              </w:rPr>
              <w:t>Novel entities</w:t>
            </w:r>
          </w:p>
        </w:tc>
        <w:tc>
          <w:tcPr>
            <w:tcW w:w="0" w:type="auto"/>
            <w:vAlign w:val="center"/>
            <w:hideMark/>
          </w:tcPr>
          <w:p w14:paraId="2C1DE4C6"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Qualitative assessment of synthetic chemicals and novel entities released without adequate safety testing</w:t>
            </w:r>
          </w:p>
        </w:tc>
        <w:tc>
          <w:tcPr>
            <w:tcW w:w="0" w:type="auto"/>
            <w:vAlign w:val="center"/>
            <w:hideMark/>
          </w:tcPr>
          <w:p w14:paraId="11DE4923"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0</w:t>
            </w:r>
          </w:p>
        </w:tc>
        <w:tc>
          <w:tcPr>
            <w:tcW w:w="0" w:type="auto"/>
            <w:vAlign w:val="center"/>
            <w:hideMark/>
          </w:tcPr>
          <w:p w14:paraId="17A888F4"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Threshold not quantitatively defined</w:t>
            </w:r>
          </w:p>
        </w:tc>
        <w:tc>
          <w:tcPr>
            <w:tcW w:w="0" w:type="auto"/>
            <w:vAlign w:val="center"/>
            <w:hideMark/>
          </w:tcPr>
          <w:p w14:paraId="379AA5D3"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Exceeded</w:t>
            </w:r>
          </w:p>
        </w:tc>
        <w:tc>
          <w:tcPr>
            <w:tcW w:w="0" w:type="auto"/>
            <w:vAlign w:val="center"/>
            <w:hideMark/>
          </w:tcPr>
          <w:p w14:paraId="42D8576F"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UNEP, OECD, national chemical registries</w:t>
            </w:r>
          </w:p>
        </w:tc>
        <w:tc>
          <w:tcPr>
            <w:tcW w:w="0" w:type="auto"/>
            <w:vAlign w:val="center"/>
            <w:hideMark/>
          </w:tcPr>
          <w:p w14:paraId="009F179E" w14:textId="77777777" w:rsidR="00356654" w:rsidRPr="00B479AE" w:rsidRDefault="00356654" w:rsidP="00356654">
            <w:pPr>
              <w:spacing w:line="360" w:lineRule="auto"/>
              <w:rPr>
                <w:rFonts w:ascii="Baskerville Old Face" w:hAnsi="Baskerville Old Face"/>
                <w:i/>
                <w:iCs/>
                <w:sz w:val="18"/>
                <w:szCs w:val="18"/>
              </w:rPr>
            </w:pPr>
            <w:r w:rsidRPr="00B479AE">
              <w:rPr>
                <w:rFonts w:ascii="Baskerville Old Face" w:hAnsi="Baskerville Old Face"/>
                <w:i/>
                <w:iCs/>
                <w:sz w:val="18"/>
                <w:szCs w:val="18"/>
              </w:rPr>
              <w:t>Annual review</w:t>
            </w:r>
          </w:p>
        </w:tc>
      </w:tr>
    </w:tbl>
    <w:p w14:paraId="76D43A31"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This table should be maintained as a versioned reference table.</w:t>
      </w:r>
    </w:p>
    <w:p w14:paraId="46C96C40"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Each future release should record:</w:t>
      </w:r>
    </w:p>
    <w:p w14:paraId="384AB63B"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 table version;</w:t>
      </w:r>
      <w:r w:rsidRPr="00B479AE">
        <w:rPr>
          <w:rFonts w:ascii="Baskerville Old Face" w:hAnsi="Baskerville Old Face"/>
          <w:i/>
          <w:iCs/>
        </w:rPr>
        <w:br/>
        <w:t>• data year;</w:t>
      </w:r>
      <w:r w:rsidRPr="00B479AE">
        <w:rPr>
          <w:rFonts w:ascii="Baskerville Old Face" w:hAnsi="Baskerville Old Face"/>
          <w:i/>
          <w:iCs/>
        </w:rPr>
        <w:br/>
        <w:t>• source update;</w:t>
      </w:r>
      <w:r w:rsidRPr="00B479AE">
        <w:rPr>
          <w:rFonts w:ascii="Baskerville Old Face" w:hAnsi="Baskerville Old Face"/>
          <w:i/>
          <w:iCs/>
        </w:rPr>
        <w:br/>
        <w:t>• methodology note;</w:t>
      </w:r>
      <w:r w:rsidRPr="00B479AE">
        <w:rPr>
          <w:rFonts w:ascii="Baskerville Old Face" w:hAnsi="Baskerville Old Face"/>
          <w:i/>
          <w:iCs/>
        </w:rPr>
        <w:br/>
        <w:t>• uncertainty note;</w:t>
      </w:r>
      <w:r w:rsidRPr="00B479AE">
        <w:rPr>
          <w:rFonts w:ascii="Baskerville Old Face" w:hAnsi="Baskerville Old Face"/>
          <w:i/>
          <w:iCs/>
        </w:rPr>
        <w:br/>
        <w:t>• affected PHI domains;</w:t>
      </w:r>
      <w:r w:rsidRPr="00B479AE">
        <w:rPr>
          <w:rFonts w:ascii="Baskerville Old Face" w:hAnsi="Baskerville Old Face"/>
          <w:i/>
          <w:iCs/>
        </w:rPr>
        <w:br/>
        <w:t>• affected MRV priorities;</w:t>
      </w:r>
      <w:r w:rsidRPr="00B479AE">
        <w:rPr>
          <w:rFonts w:ascii="Baskerville Old Face" w:hAnsi="Baskerville Old Face"/>
          <w:i/>
          <w:iCs/>
        </w:rPr>
        <w:br/>
        <w:t>• affected boundary-pressure profiles;</w:t>
      </w:r>
      <w:r w:rsidRPr="00B479AE">
        <w:rPr>
          <w:rFonts w:ascii="Baskerville Old Face" w:hAnsi="Baskerville Old Face"/>
          <w:i/>
          <w:iCs/>
        </w:rPr>
        <w:br/>
        <w:t>• change from prior release.</w:t>
      </w:r>
    </w:p>
    <w:p w14:paraId="253DCD40"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Where updated scientific assessments modify values, thresholds, or interpretations, Prometheus should update the table through the canonical release process.</w:t>
      </w:r>
    </w:p>
    <w:p w14:paraId="4EF7E598"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The table should therefore be understood as:</w:t>
      </w:r>
    </w:p>
    <w:p w14:paraId="172FCDCA"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global context for ecological intelligence;</w:t>
      </w:r>
      <w:r w:rsidRPr="00B479AE">
        <w:rPr>
          <w:rFonts w:ascii="Baskerville Old Face" w:hAnsi="Baskerville Old Face"/>
          <w:i/>
          <w:iCs/>
        </w:rPr>
        <w:br/>
        <w:t>not automatic project-level proof.</w:t>
      </w:r>
    </w:p>
    <w:p w14:paraId="1FF6827F"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A local Prometheus pilot may be inspired by planetary-boundary pressure, but its claims must still be grounded in site-level evidence, bioregional interpretation, MRV methodology, confidence scoring, and review.</w:t>
      </w:r>
    </w:p>
    <w:p w14:paraId="4EF8F9E2"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lastRenderedPageBreak/>
        <w:t>For example:</w:t>
      </w:r>
    </w:p>
    <w:p w14:paraId="40973256"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 climate-boundary pressure may guide carbon, biomass, energy, and resilience indicators;</w:t>
      </w:r>
      <w:r w:rsidRPr="00B479AE">
        <w:rPr>
          <w:rFonts w:ascii="Baskerville Old Face" w:hAnsi="Baskerville Old Face"/>
          <w:i/>
          <w:iCs/>
        </w:rPr>
        <w:br/>
        <w:t>• biosphere-integrity pressure may guide biodiversity, habitat, pollinator, and corridor indicators;</w:t>
      </w:r>
      <w:r w:rsidRPr="00B479AE">
        <w:rPr>
          <w:rFonts w:ascii="Baskerville Old Face" w:hAnsi="Baskerville Old Face"/>
          <w:i/>
          <w:iCs/>
        </w:rPr>
        <w:br/>
        <w:t>• freshwater-boundary pressure may guide infiltration, retention, soil-moisture, irrigation, and watershed indicators;</w:t>
      </w:r>
      <w:r w:rsidRPr="00B479AE">
        <w:rPr>
          <w:rFonts w:ascii="Baskerville Old Face" w:hAnsi="Baskerville Old Face"/>
          <w:i/>
          <w:iCs/>
        </w:rPr>
        <w:br/>
        <w:t>• biogeochemical-flow pressure may guide nutrient cycling, composting, fertilizer-dependency, and runoff indicators;</w:t>
      </w:r>
      <w:r w:rsidRPr="00B479AE">
        <w:rPr>
          <w:rFonts w:ascii="Baskerville Old Face" w:hAnsi="Baskerville Old Face"/>
          <w:i/>
          <w:iCs/>
        </w:rPr>
        <w:br/>
        <w:t>• land-system-change pressure may guide agroforestry, soil cover, canopy structure, and regenerative land-use indicators;</w:t>
      </w:r>
      <w:r w:rsidRPr="00B479AE">
        <w:rPr>
          <w:rFonts w:ascii="Baskerville Old Face" w:hAnsi="Baskerville Old Face"/>
          <w:i/>
          <w:iCs/>
        </w:rPr>
        <w:br/>
        <w:t>• novel-entities pressure may guide material safety, toxic-input reduction, chemical substitution, and contamination-risk review.</w:t>
      </w:r>
    </w:p>
    <w:p w14:paraId="0372E1EA" w14:textId="12F69AAF"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This is how Prometheus connects planetary reality to local evidence</w:t>
      </w:r>
      <w:r w:rsidR="00812032">
        <w:rPr>
          <w:rFonts w:ascii="Baskerville Old Face" w:hAnsi="Baskerville Old Face"/>
          <w:i/>
          <w:iCs/>
        </w:rPr>
        <w:t>:</w:t>
      </w:r>
    </w:p>
    <w:p w14:paraId="69518B39"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The planet gives the warning.</w:t>
      </w:r>
    </w:p>
    <w:p w14:paraId="7856F2E7"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The bioregion gives the context.</w:t>
      </w:r>
    </w:p>
    <w:p w14:paraId="3AB18905"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The field gives the data.</w:t>
      </w:r>
    </w:p>
    <w:p w14:paraId="47E25D75"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MRV gives the verification.</w:t>
      </w:r>
    </w:p>
    <w:p w14:paraId="522826C6"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PHI gives the synthesis.</w:t>
      </w:r>
    </w:p>
    <w:p w14:paraId="69644887" w14:textId="77777777" w:rsidR="00356654" w:rsidRPr="00B479AE" w:rsidRDefault="00356654" w:rsidP="00356654">
      <w:pPr>
        <w:spacing w:line="360" w:lineRule="auto"/>
        <w:rPr>
          <w:rFonts w:ascii="Baskerville Old Face" w:hAnsi="Baskerville Old Face"/>
          <w:i/>
          <w:iCs/>
        </w:rPr>
      </w:pPr>
      <w:r w:rsidRPr="00B479AE">
        <w:rPr>
          <w:rFonts w:ascii="Baskerville Old Face" w:hAnsi="Baskerville Old Face"/>
          <w:i/>
          <w:iCs/>
        </w:rPr>
        <w:t>PRU gives the value discipline.</w:t>
      </w:r>
    </w:p>
    <w:p w14:paraId="7893C3A8" w14:textId="77777777" w:rsidR="00C53243" w:rsidRPr="00B479AE" w:rsidRDefault="00C53243" w:rsidP="00C53243">
      <w:pPr>
        <w:spacing w:line="360" w:lineRule="auto"/>
        <w:rPr>
          <w:rFonts w:ascii="Baskerville Old Face" w:hAnsi="Baskerville Old Face"/>
          <w:b/>
          <w:bCs/>
          <w:i/>
          <w:iCs/>
        </w:rPr>
      </w:pPr>
      <w:r w:rsidRPr="00B479AE">
        <w:rPr>
          <w:rFonts w:ascii="Baskerville Old Face" w:hAnsi="Baskerville Old Face"/>
          <w:b/>
          <w:bCs/>
          <w:i/>
          <w:iCs/>
        </w:rPr>
        <w:t>K.3 Bioregional interpretation</w:t>
      </w:r>
    </w:p>
    <w:p w14:paraId="57C5EB6E"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Prometheus should interpret planetary-boundary logic through bioregional context.</w:t>
      </w:r>
    </w:p>
    <w:p w14:paraId="5EE5CE46"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A bioregion is not only a map.</w:t>
      </w:r>
    </w:p>
    <w:p w14:paraId="4A227DA8" w14:textId="2A5A05EC"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It is a living pattern of climate, water, soil, biodiversity, culture, food systems, settlement, and ecological memory.</w:t>
      </w:r>
      <w:r w:rsidR="00812032">
        <w:rPr>
          <w:rFonts w:ascii="Baskerville Old Face" w:hAnsi="Baskerville Old Face"/>
          <w:i/>
          <w:iCs/>
        </w:rPr>
        <w:t xml:space="preserve"> </w:t>
      </w:r>
      <w:r w:rsidRPr="00B479AE">
        <w:rPr>
          <w:rFonts w:ascii="Baskerville Old Face" w:hAnsi="Baskerville Old Face"/>
          <w:i/>
          <w:iCs/>
        </w:rPr>
        <w:t>Bioregional interpretation should consider:</w:t>
      </w:r>
    </w:p>
    <w:p w14:paraId="283B708C"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climate zone;</w:t>
      </w:r>
      <w:r w:rsidRPr="00B479AE">
        <w:rPr>
          <w:rFonts w:ascii="Baskerville Old Face" w:hAnsi="Baskerville Old Face"/>
          <w:i/>
          <w:iCs/>
        </w:rPr>
        <w:br/>
        <w:t>• rainfall pattern;</w:t>
      </w:r>
      <w:r w:rsidRPr="00B479AE">
        <w:rPr>
          <w:rFonts w:ascii="Baskerville Old Face" w:hAnsi="Baskerville Old Face"/>
          <w:i/>
          <w:iCs/>
        </w:rPr>
        <w:br/>
        <w:t>• drought risk;</w:t>
      </w:r>
      <w:r w:rsidRPr="00B479AE">
        <w:rPr>
          <w:rFonts w:ascii="Baskerville Old Face" w:hAnsi="Baskerville Old Face"/>
          <w:i/>
          <w:iCs/>
        </w:rPr>
        <w:br/>
      </w:r>
      <w:r w:rsidRPr="00B479AE">
        <w:rPr>
          <w:rFonts w:ascii="Baskerville Old Face" w:hAnsi="Baskerville Old Face"/>
          <w:i/>
          <w:iCs/>
        </w:rPr>
        <w:lastRenderedPageBreak/>
        <w:t>• flood risk;</w:t>
      </w:r>
      <w:r w:rsidRPr="00B479AE">
        <w:rPr>
          <w:rFonts w:ascii="Baskerville Old Face" w:hAnsi="Baskerville Old Face"/>
          <w:i/>
          <w:iCs/>
        </w:rPr>
        <w:br/>
        <w:t>• watershed position;</w:t>
      </w:r>
      <w:r w:rsidRPr="00B479AE">
        <w:rPr>
          <w:rFonts w:ascii="Baskerville Old Face" w:hAnsi="Baskerville Old Face"/>
          <w:i/>
          <w:iCs/>
        </w:rPr>
        <w:br/>
        <w:t>• soil type;</w:t>
      </w:r>
      <w:r w:rsidRPr="00B479AE">
        <w:rPr>
          <w:rFonts w:ascii="Baskerville Old Face" w:hAnsi="Baskerville Old Face"/>
          <w:i/>
          <w:iCs/>
        </w:rPr>
        <w:br/>
        <w:t>• erosion risk;</w:t>
      </w:r>
      <w:r w:rsidRPr="00B479AE">
        <w:rPr>
          <w:rFonts w:ascii="Baskerville Old Face" w:hAnsi="Baskerville Old Face"/>
          <w:i/>
          <w:iCs/>
        </w:rPr>
        <w:br/>
        <w:t>• salinity risk;</w:t>
      </w:r>
      <w:r w:rsidRPr="00B479AE">
        <w:rPr>
          <w:rFonts w:ascii="Baskerville Old Face" w:hAnsi="Baskerville Old Face"/>
          <w:i/>
          <w:iCs/>
        </w:rPr>
        <w:br/>
        <w:t>• fire risk;</w:t>
      </w:r>
      <w:r w:rsidRPr="00B479AE">
        <w:rPr>
          <w:rFonts w:ascii="Baskerville Old Face" w:hAnsi="Baskerville Old Face"/>
          <w:i/>
          <w:iCs/>
        </w:rPr>
        <w:br/>
        <w:t>• biodiversity corridors;</w:t>
      </w:r>
      <w:r w:rsidRPr="00B479AE">
        <w:rPr>
          <w:rFonts w:ascii="Baskerville Old Face" w:hAnsi="Baskerville Old Face"/>
          <w:i/>
          <w:iCs/>
        </w:rPr>
        <w:br/>
        <w:t>• land-use history;</w:t>
      </w:r>
      <w:r w:rsidRPr="00B479AE">
        <w:rPr>
          <w:rFonts w:ascii="Baskerville Old Face" w:hAnsi="Baskerville Old Face"/>
          <w:i/>
          <w:iCs/>
        </w:rPr>
        <w:br/>
        <w:t>• agricultural system;</w:t>
      </w:r>
      <w:r w:rsidRPr="00B479AE">
        <w:rPr>
          <w:rFonts w:ascii="Baskerville Old Face" w:hAnsi="Baskerville Old Face"/>
          <w:i/>
          <w:iCs/>
        </w:rPr>
        <w:br/>
        <w:t>• cultural and community context;</w:t>
      </w:r>
      <w:r w:rsidRPr="00B479AE">
        <w:rPr>
          <w:rFonts w:ascii="Baskerville Old Face" w:hAnsi="Baskerville Old Face"/>
          <w:i/>
          <w:iCs/>
        </w:rPr>
        <w:br/>
        <w:t>• food-system dependency;</w:t>
      </w:r>
      <w:r w:rsidRPr="00B479AE">
        <w:rPr>
          <w:rFonts w:ascii="Baskerville Old Face" w:hAnsi="Baskerville Old Face"/>
          <w:i/>
          <w:iCs/>
        </w:rPr>
        <w:br/>
        <w:t>• infrastructure fragility;</w:t>
      </w:r>
      <w:r w:rsidRPr="00B479AE">
        <w:rPr>
          <w:rFonts w:ascii="Baskerville Old Face" w:hAnsi="Baskerville Old Face"/>
          <w:i/>
          <w:iCs/>
        </w:rPr>
        <w:br/>
        <w:t>• governance capacity;</w:t>
      </w:r>
      <w:r w:rsidRPr="00B479AE">
        <w:rPr>
          <w:rFonts w:ascii="Baskerville Old Face" w:hAnsi="Baskerville Old Face"/>
          <w:i/>
          <w:iCs/>
        </w:rPr>
        <w:br/>
        <w:t>• local knowledge.</w:t>
      </w:r>
    </w:p>
    <w:p w14:paraId="0B596E86"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This allows Prometheus to avoid universal metrics without context.</w:t>
      </w:r>
    </w:p>
    <w:p w14:paraId="71E4EF13" w14:textId="7A6070C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An indicator that matters in Sicily may not matter in the same way in Florida, the Andes, the Sahel, or a future off-world habitat.</w:t>
      </w:r>
      <w:r w:rsidR="001121B9">
        <w:rPr>
          <w:rFonts w:ascii="Baskerville Old Face" w:hAnsi="Baskerville Old Face"/>
          <w:i/>
          <w:iCs/>
        </w:rPr>
        <w:t xml:space="preserve"> </w:t>
      </w:r>
      <w:r w:rsidRPr="00B479AE">
        <w:rPr>
          <w:rFonts w:ascii="Baskerville Old Face" w:hAnsi="Baskerville Old Face"/>
          <w:i/>
          <w:iCs/>
        </w:rPr>
        <w:t>Prometheus therefore reads planetary boundaries through place.</w:t>
      </w:r>
      <w:r w:rsidR="00812032">
        <w:rPr>
          <w:rFonts w:ascii="Baskerville Old Face" w:hAnsi="Baskerville Old Face"/>
          <w:i/>
          <w:iCs/>
        </w:rPr>
        <w:t xml:space="preserve"> </w:t>
      </w:r>
      <w:r w:rsidRPr="00B479AE">
        <w:rPr>
          <w:rFonts w:ascii="Baskerville Old Face" w:hAnsi="Baskerville Old Face"/>
          <w:i/>
          <w:iCs/>
        </w:rPr>
        <w:t>The principle is:</w:t>
      </w:r>
    </w:p>
    <w:p w14:paraId="76B4B013" w14:textId="03BD8058"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planetary science sets the horizon;</w:t>
      </w:r>
      <w:r w:rsidRPr="00B479AE">
        <w:rPr>
          <w:rFonts w:ascii="Baskerville Old Face" w:hAnsi="Baskerville Old Face"/>
          <w:i/>
          <w:iCs/>
        </w:rPr>
        <w:br/>
        <w:t>bioregional reality sets the interpretation;</w:t>
      </w:r>
      <w:r w:rsidRPr="00B479AE">
        <w:rPr>
          <w:rFonts w:ascii="Baskerville Old Face" w:hAnsi="Baskerville Old Face"/>
          <w:i/>
          <w:iCs/>
        </w:rPr>
        <w:br/>
        <w:t>local evidence sets the claim.</w:t>
      </w:r>
      <w:r w:rsidR="002F74D9" w:rsidRPr="00B479AE">
        <w:rPr>
          <w:rFonts w:ascii="Baskerville Old Face" w:hAnsi="Baskerville Old Face"/>
          <w:i/>
          <w:iCs/>
        </w:rPr>
        <w:t xml:space="preserve"> </w:t>
      </w:r>
    </w:p>
    <w:p w14:paraId="230AD7E1" w14:textId="2A8778F7" w:rsidR="002F74D9" w:rsidRPr="00B479AE" w:rsidRDefault="002F74D9" w:rsidP="00C53243">
      <w:pPr>
        <w:spacing w:line="360" w:lineRule="auto"/>
        <w:rPr>
          <w:rFonts w:ascii="Baskerville Old Face" w:hAnsi="Baskerville Old Face"/>
          <w:i/>
          <w:iCs/>
        </w:rPr>
      </w:pPr>
      <w:r w:rsidRPr="00B479AE">
        <w:rPr>
          <w:rFonts w:ascii="Baskerville Old Face" w:hAnsi="Baskerville Old Face"/>
          <w:i/>
          <w:iCs/>
        </w:rPr>
        <w:t>A sustained decline in PHI, even while absolute values remain above critical thresholds, may trigger a yellow protective review signal, prompting proactive governance, MRV, ecological, or operational review before negative trends become harder to reverse.</w:t>
      </w:r>
    </w:p>
    <w:p w14:paraId="3078895B" w14:textId="77777777" w:rsidR="00C53243" w:rsidRPr="00B479AE" w:rsidRDefault="00C53243" w:rsidP="00C53243">
      <w:pPr>
        <w:spacing w:line="360" w:lineRule="auto"/>
        <w:rPr>
          <w:rFonts w:ascii="Baskerville Old Face" w:hAnsi="Baskerville Old Face"/>
          <w:b/>
          <w:bCs/>
          <w:i/>
          <w:iCs/>
        </w:rPr>
      </w:pPr>
      <w:r w:rsidRPr="00B479AE">
        <w:rPr>
          <w:rFonts w:ascii="Baskerville Old Face" w:hAnsi="Baskerville Old Face"/>
          <w:b/>
          <w:bCs/>
          <w:i/>
          <w:iCs/>
        </w:rPr>
        <w:t>K.4 Planetary Health Index logic</w:t>
      </w:r>
    </w:p>
    <w:p w14:paraId="1B3A2ABF"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Prometheus may use a Planetary Health Index, or PHI, as an analytical lens.</w:t>
      </w:r>
    </w:p>
    <w:p w14:paraId="2186AE31"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PHI should not be treated as a single sovereign number.</w:t>
      </w:r>
    </w:p>
    <w:p w14:paraId="46D5483F"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It should be treated as a composite decision-support framework.</w:t>
      </w:r>
    </w:p>
    <w:p w14:paraId="7F41666F"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PHI may help organize ecological and systemic indicators across domains such as:</w:t>
      </w:r>
    </w:p>
    <w:p w14:paraId="0B03B075"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lastRenderedPageBreak/>
        <w:t>• soil function;</w:t>
      </w:r>
      <w:r w:rsidRPr="00B479AE">
        <w:rPr>
          <w:rFonts w:ascii="Baskerville Old Face" w:hAnsi="Baskerville Old Face"/>
          <w:i/>
          <w:iCs/>
        </w:rPr>
        <w:br/>
        <w:t>• water cycling;</w:t>
      </w:r>
      <w:r w:rsidRPr="00B479AE">
        <w:rPr>
          <w:rFonts w:ascii="Baskerville Old Face" w:hAnsi="Baskerville Old Face"/>
          <w:i/>
          <w:iCs/>
        </w:rPr>
        <w:br/>
        <w:t>• biodiversity;</w:t>
      </w:r>
      <w:r w:rsidRPr="00B479AE">
        <w:rPr>
          <w:rFonts w:ascii="Baskerville Old Face" w:hAnsi="Baskerville Old Face"/>
          <w:i/>
          <w:iCs/>
        </w:rPr>
        <w:br/>
        <w:t>• carbon dynamics;</w:t>
      </w:r>
      <w:r w:rsidRPr="00B479AE">
        <w:rPr>
          <w:rFonts w:ascii="Baskerville Old Face" w:hAnsi="Baskerville Old Face"/>
          <w:i/>
          <w:iCs/>
        </w:rPr>
        <w:br/>
        <w:t>• productive resilience;</w:t>
      </w:r>
      <w:r w:rsidRPr="00B479AE">
        <w:rPr>
          <w:rFonts w:ascii="Baskerville Old Face" w:hAnsi="Baskerville Old Face"/>
          <w:i/>
          <w:iCs/>
        </w:rPr>
        <w:br/>
        <w:t>• input dependency;</w:t>
      </w:r>
      <w:r w:rsidRPr="00B479AE">
        <w:rPr>
          <w:rFonts w:ascii="Baskerville Old Face" w:hAnsi="Baskerville Old Face"/>
          <w:i/>
          <w:iCs/>
        </w:rPr>
        <w:br/>
        <w:t>• pollution reduction;</w:t>
      </w:r>
      <w:r w:rsidRPr="00B479AE">
        <w:rPr>
          <w:rFonts w:ascii="Baskerville Old Face" w:hAnsi="Baskerville Old Face"/>
          <w:i/>
          <w:iCs/>
        </w:rPr>
        <w:br/>
        <w:t>• human nourishment;</w:t>
      </w:r>
      <w:r w:rsidRPr="00B479AE">
        <w:rPr>
          <w:rFonts w:ascii="Baskerville Old Face" w:hAnsi="Baskerville Old Face"/>
          <w:i/>
          <w:iCs/>
        </w:rPr>
        <w:br/>
        <w:t>• community resilience;</w:t>
      </w:r>
      <w:r w:rsidRPr="00B479AE">
        <w:rPr>
          <w:rFonts w:ascii="Baskerville Old Face" w:hAnsi="Baskerville Old Face"/>
          <w:i/>
          <w:iCs/>
        </w:rPr>
        <w:br/>
        <w:t>• governance maturity;</w:t>
      </w:r>
      <w:r w:rsidRPr="00B479AE">
        <w:rPr>
          <w:rFonts w:ascii="Baskerville Old Face" w:hAnsi="Baskerville Old Face"/>
          <w:i/>
          <w:iCs/>
        </w:rPr>
        <w:br/>
        <w:t>• evidence quality;</w:t>
      </w:r>
      <w:r w:rsidRPr="00B479AE">
        <w:rPr>
          <w:rFonts w:ascii="Baskerville Old Face" w:hAnsi="Baskerville Old Face"/>
          <w:i/>
          <w:iCs/>
        </w:rPr>
        <w:br/>
        <w:t>• continuity resilience.</w:t>
      </w:r>
    </w:p>
    <w:p w14:paraId="27951CFF"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A PHI-style score may support:</w:t>
      </w:r>
    </w:p>
    <w:p w14:paraId="1E8627B9"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baseline understanding;</w:t>
      </w:r>
      <w:r w:rsidRPr="00B479AE">
        <w:rPr>
          <w:rFonts w:ascii="Baskerville Old Face" w:hAnsi="Baskerville Old Face"/>
          <w:i/>
          <w:iCs/>
        </w:rPr>
        <w:br/>
        <w:t>• pilot comparison;</w:t>
      </w:r>
      <w:r w:rsidRPr="00B479AE">
        <w:rPr>
          <w:rFonts w:ascii="Baskerville Old Face" w:hAnsi="Baskerville Old Face"/>
          <w:i/>
          <w:iCs/>
        </w:rPr>
        <w:br/>
        <w:t>• bioregional diagnosis;</w:t>
      </w:r>
      <w:r w:rsidRPr="00B479AE">
        <w:rPr>
          <w:rFonts w:ascii="Baskerville Old Face" w:hAnsi="Baskerville Old Face"/>
          <w:i/>
          <w:iCs/>
        </w:rPr>
        <w:br/>
        <w:t>• risk communication;</w:t>
      </w:r>
      <w:r w:rsidRPr="00B479AE">
        <w:rPr>
          <w:rFonts w:ascii="Baskerville Old Face" w:hAnsi="Baskerville Old Face"/>
          <w:i/>
          <w:iCs/>
        </w:rPr>
        <w:br/>
        <w:t>• MRV prioritization;</w:t>
      </w:r>
      <w:r w:rsidRPr="00B479AE">
        <w:rPr>
          <w:rFonts w:ascii="Baskerville Old Face" w:hAnsi="Baskerville Old Face"/>
          <w:i/>
          <w:iCs/>
        </w:rPr>
        <w:br/>
        <w:t>• PRU research;</w:t>
      </w:r>
      <w:r w:rsidRPr="00B479AE">
        <w:rPr>
          <w:rFonts w:ascii="Baskerville Old Face" w:hAnsi="Baskerville Old Face"/>
          <w:i/>
          <w:iCs/>
        </w:rPr>
        <w:br/>
        <w:t>• RAP portfolio screening;</w:t>
      </w:r>
      <w:r w:rsidRPr="00B479AE">
        <w:rPr>
          <w:rFonts w:ascii="Baskerville Old Face" w:hAnsi="Baskerville Old Face"/>
          <w:i/>
          <w:iCs/>
        </w:rPr>
        <w:br/>
        <w:t>• institutional diligence;</w:t>
      </w:r>
      <w:r w:rsidRPr="00B479AE">
        <w:rPr>
          <w:rFonts w:ascii="Baskerville Old Face" w:hAnsi="Baskerville Old Face"/>
          <w:i/>
          <w:iCs/>
        </w:rPr>
        <w:br/>
        <w:t>• capital-readiness review.</w:t>
      </w:r>
    </w:p>
    <w:p w14:paraId="1BAEA9D1"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PHI should not automatically:</w:t>
      </w:r>
    </w:p>
    <w:p w14:paraId="16B586F4"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issue PRU value;</w:t>
      </w:r>
      <w:r w:rsidRPr="00B479AE">
        <w:rPr>
          <w:rFonts w:ascii="Baskerville Old Face" w:hAnsi="Baskerville Old Face"/>
          <w:i/>
          <w:iCs/>
        </w:rPr>
        <w:br/>
        <w:t>• approve RAP inclusion;</w:t>
      </w:r>
      <w:r w:rsidRPr="00B479AE">
        <w:rPr>
          <w:rFonts w:ascii="Baskerville Old Face" w:hAnsi="Baskerville Old Face"/>
          <w:i/>
          <w:iCs/>
        </w:rPr>
        <w:br/>
        <w:t>• trigger token issuance;</w:t>
      </w:r>
      <w:r w:rsidRPr="00B479AE">
        <w:rPr>
          <w:rFonts w:ascii="Baskerville Old Face" w:hAnsi="Baskerville Old Face"/>
          <w:i/>
          <w:iCs/>
        </w:rPr>
        <w:br/>
        <w:t>• determine investor rights;</w:t>
      </w:r>
      <w:r w:rsidRPr="00B479AE">
        <w:rPr>
          <w:rFonts w:ascii="Baskerville Old Face" w:hAnsi="Baskerville Old Face"/>
          <w:i/>
          <w:iCs/>
        </w:rPr>
        <w:br/>
        <w:t>• determine governance authority;</w:t>
      </w:r>
      <w:r w:rsidRPr="00B479AE">
        <w:rPr>
          <w:rFonts w:ascii="Baskerville Old Face" w:hAnsi="Baskerville Old Face"/>
          <w:i/>
          <w:iCs/>
        </w:rPr>
        <w:br/>
        <w:t>• replace MRV;</w:t>
      </w:r>
      <w:r w:rsidRPr="00B479AE">
        <w:rPr>
          <w:rFonts w:ascii="Baskerville Old Face" w:hAnsi="Baskerville Old Face"/>
          <w:i/>
          <w:iCs/>
        </w:rPr>
        <w:br/>
        <w:t>• replace scientific review;</w:t>
      </w:r>
      <w:r w:rsidRPr="00B479AE">
        <w:rPr>
          <w:rFonts w:ascii="Baskerville Old Face" w:hAnsi="Baskerville Old Face"/>
          <w:i/>
          <w:iCs/>
        </w:rPr>
        <w:br/>
        <w:t>• replace local stewardship judgment.</w:t>
      </w:r>
    </w:p>
    <w:p w14:paraId="1E77BB17" w14:textId="3B85D85A"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lastRenderedPageBreak/>
        <w:t>PHI is a compass.</w:t>
      </w:r>
      <w:r w:rsidR="00693436" w:rsidRPr="00B479AE">
        <w:rPr>
          <w:rFonts w:ascii="Baskerville Old Face" w:hAnsi="Baskerville Old Face"/>
          <w:i/>
          <w:iCs/>
        </w:rPr>
        <w:t xml:space="preserve"> </w:t>
      </w:r>
      <w:r w:rsidRPr="00B479AE">
        <w:rPr>
          <w:rFonts w:ascii="Baskerville Old Face" w:hAnsi="Baskerville Old Face"/>
          <w:i/>
          <w:iCs/>
        </w:rPr>
        <w:t>It is not a court.</w:t>
      </w:r>
    </w:p>
    <w:p w14:paraId="2E002560" w14:textId="77777777" w:rsidR="00C53243" w:rsidRPr="00B479AE" w:rsidRDefault="00C53243" w:rsidP="00C53243">
      <w:pPr>
        <w:spacing w:line="360" w:lineRule="auto"/>
        <w:rPr>
          <w:rFonts w:ascii="Baskerville Old Face" w:hAnsi="Baskerville Old Face"/>
          <w:b/>
          <w:bCs/>
          <w:i/>
          <w:iCs/>
        </w:rPr>
      </w:pPr>
      <w:r w:rsidRPr="00B479AE">
        <w:rPr>
          <w:rFonts w:ascii="Baskerville Old Face" w:hAnsi="Baskerville Old Face"/>
          <w:b/>
          <w:bCs/>
          <w:i/>
          <w:iCs/>
        </w:rPr>
        <w:t>K.5 PHI domain structure</w:t>
      </w:r>
    </w:p>
    <w:p w14:paraId="56A6ADB7" w14:textId="2A27BA04"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A Prometheus PHI framework may be organized into domains.</w:t>
      </w:r>
      <w:r w:rsidR="00356654" w:rsidRPr="00B479AE">
        <w:rPr>
          <w:rFonts w:ascii="Baskerville Old Face" w:hAnsi="Baskerville Old Face"/>
          <w:i/>
          <w:iCs/>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8"/>
        <w:gridCol w:w="5340"/>
        <w:gridCol w:w="2610"/>
      </w:tblGrid>
      <w:tr w:rsidR="00C53243" w:rsidRPr="001121B9" w14:paraId="28ACC21A" w14:textId="77777777" w:rsidTr="00356654">
        <w:trPr>
          <w:tblHeader/>
          <w:tblCellSpacing w:w="15" w:type="dxa"/>
        </w:trPr>
        <w:tc>
          <w:tcPr>
            <w:tcW w:w="0" w:type="auto"/>
            <w:vAlign w:val="center"/>
            <w:hideMark/>
          </w:tcPr>
          <w:p w14:paraId="53631727" w14:textId="77777777" w:rsidR="00C53243" w:rsidRPr="001121B9" w:rsidRDefault="00C53243" w:rsidP="00C53243">
            <w:pPr>
              <w:spacing w:line="360" w:lineRule="auto"/>
              <w:rPr>
                <w:rFonts w:ascii="Baskerville Old Face" w:hAnsi="Baskerville Old Face"/>
                <w:b/>
                <w:bCs/>
                <w:i/>
                <w:iCs/>
                <w:sz w:val="20"/>
                <w:szCs w:val="20"/>
              </w:rPr>
            </w:pPr>
            <w:r w:rsidRPr="001121B9">
              <w:rPr>
                <w:rFonts w:ascii="Baskerville Old Face" w:hAnsi="Baskerville Old Face"/>
                <w:b/>
                <w:bCs/>
                <w:i/>
                <w:iCs/>
                <w:sz w:val="20"/>
                <w:szCs w:val="20"/>
              </w:rPr>
              <w:t>PHI domain</w:t>
            </w:r>
          </w:p>
        </w:tc>
        <w:tc>
          <w:tcPr>
            <w:tcW w:w="0" w:type="auto"/>
            <w:vAlign w:val="center"/>
            <w:hideMark/>
          </w:tcPr>
          <w:p w14:paraId="1B7C0C8F" w14:textId="77777777" w:rsidR="00C53243" w:rsidRPr="001121B9" w:rsidRDefault="00C53243" w:rsidP="00C53243">
            <w:pPr>
              <w:spacing w:line="360" w:lineRule="auto"/>
              <w:rPr>
                <w:rFonts w:ascii="Baskerville Old Face" w:hAnsi="Baskerville Old Face"/>
                <w:b/>
                <w:bCs/>
                <w:i/>
                <w:iCs/>
                <w:sz w:val="20"/>
                <w:szCs w:val="20"/>
              </w:rPr>
            </w:pPr>
            <w:r w:rsidRPr="001121B9">
              <w:rPr>
                <w:rFonts w:ascii="Baskerville Old Face" w:hAnsi="Baskerville Old Face"/>
                <w:b/>
                <w:bCs/>
                <w:i/>
                <w:iCs/>
                <w:sz w:val="20"/>
                <w:szCs w:val="20"/>
              </w:rPr>
              <w:t>Example indicators</w:t>
            </w:r>
          </w:p>
        </w:tc>
        <w:tc>
          <w:tcPr>
            <w:tcW w:w="0" w:type="auto"/>
            <w:vAlign w:val="center"/>
            <w:hideMark/>
          </w:tcPr>
          <w:p w14:paraId="00FA982E" w14:textId="77777777" w:rsidR="00C53243" w:rsidRPr="001121B9" w:rsidRDefault="00C53243" w:rsidP="00C53243">
            <w:pPr>
              <w:spacing w:line="360" w:lineRule="auto"/>
              <w:rPr>
                <w:rFonts w:ascii="Baskerville Old Face" w:hAnsi="Baskerville Old Face"/>
                <w:b/>
                <w:bCs/>
                <w:i/>
                <w:iCs/>
                <w:sz w:val="20"/>
                <w:szCs w:val="20"/>
              </w:rPr>
            </w:pPr>
            <w:r w:rsidRPr="001121B9">
              <w:rPr>
                <w:rFonts w:ascii="Baskerville Old Face" w:hAnsi="Baskerville Old Face"/>
                <w:b/>
                <w:bCs/>
                <w:i/>
                <w:iCs/>
                <w:sz w:val="20"/>
                <w:szCs w:val="20"/>
              </w:rPr>
              <w:t>Use</w:t>
            </w:r>
          </w:p>
        </w:tc>
      </w:tr>
      <w:tr w:rsidR="00C53243" w:rsidRPr="001121B9" w14:paraId="3C47EABB" w14:textId="77777777" w:rsidTr="00356654">
        <w:trPr>
          <w:tblCellSpacing w:w="15" w:type="dxa"/>
        </w:trPr>
        <w:tc>
          <w:tcPr>
            <w:tcW w:w="0" w:type="auto"/>
            <w:vAlign w:val="center"/>
            <w:hideMark/>
          </w:tcPr>
          <w:p w14:paraId="069F2B6D"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b/>
                <w:bCs/>
                <w:i/>
                <w:iCs/>
                <w:sz w:val="20"/>
                <w:szCs w:val="20"/>
              </w:rPr>
              <w:t>Soil vitality</w:t>
            </w:r>
          </w:p>
        </w:tc>
        <w:tc>
          <w:tcPr>
            <w:tcW w:w="0" w:type="auto"/>
            <w:vAlign w:val="center"/>
            <w:hideMark/>
          </w:tcPr>
          <w:p w14:paraId="2351BA9F"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i/>
                <w:iCs/>
                <w:sz w:val="20"/>
                <w:szCs w:val="20"/>
              </w:rPr>
              <w:t>Organic matter, soil carbon, aggregate stability, infiltration, microbial indicators.</w:t>
            </w:r>
          </w:p>
        </w:tc>
        <w:tc>
          <w:tcPr>
            <w:tcW w:w="0" w:type="auto"/>
            <w:vAlign w:val="center"/>
            <w:hideMark/>
          </w:tcPr>
          <w:p w14:paraId="11712292"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i/>
                <w:iCs/>
                <w:sz w:val="20"/>
                <w:szCs w:val="20"/>
              </w:rPr>
              <w:t>Regenerative soil function.</w:t>
            </w:r>
          </w:p>
        </w:tc>
      </w:tr>
      <w:tr w:rsidR="00C53243" w:rsidRPr="001121B9" w14:paraId="34A77363" w14:textId="77777777" w:rsidTr="00356654">
        <w:trPr>
          <w:tblCellSpacing w:w="15" w:type="dxa"/>
        </w:trPr>
        <w:tc>
          <w:tcPr>
            <w:tcW w:w="0" w:type="auto"/>
            <w:vAlign w:val="center"/>
            <w:hideMark/>
          </w:tcPr>
          <w:p w14:paraId="2E04E628"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b/>
                <w:bCs/>
                <w:i/>
                <w:iCs/>
                <w:sz w:val="20"/>
                <w:szCs w:val="20"/>
              </w:rPr>
              <w:t>Water resilience</w:t>
            </w:r>
          </w:p>
        </w:tc>
        <w:tc>
          <w:tcPr>
            <w:tcW w:w="0" w:type="auto"/>
            <w:vAlign w:val="center"/>
            <w:hideMark/>
          </w:tcPr>
          <w:p w14:paraId="0CFE6300"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i/>
                <w:iCs/>
                <w:sz w:val="20"/>
                <w:szCs w:val="20"/>
              </w:rPr>
              <w:t>Infiltration, retention, irrigation reduction, runoff reduction, water quality.</w:t>
            </w:r>
          </w:p>
        </w:tc>
        <w:tc>
          <w:tcPr>
            <w:tcW w:w="0" w:type="auto"/>
            <w:vAlign w:val="center"/>
            <w:hideMark/>
          </w:tcPr>
          <w:p w14:paraId="1628C202"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i/>
                <w:iCs/>
                <w:sz w:val="20"/>
                <w:szCs w:val="20"/>
              </w:rPr>
              <w:t>Hydrological stability.</w:t>
            </w:r>
          </w:p>
        </w:tc>
      </w:tr>
      <w:tr w:rsidR="00C53243" w:rsidRPr="001121B9" w14:paraId="648D7092" w14:textId="77777777" w:rsidTr="00356654">
        <w:trPr>
          <w:tblCellSpacing w:w="15" w:type="dxa"/>
        </w:trPr>
        <w:tc>
          <w:tcPr>
            <w:tcW w:w="0" w:type="auto"/>
            <w:vAlign w:val="center"/>
            <w:hideMark/>
          </w:tcPr>
          <w:p w14:paraId="17025A55"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b/>
                <w:bCs/>
                <w:i/>
                <w:iCs/>
                <w:sz w:val="20"/>
                <w:szCs w:val="20"/>
              </w:rPr>
              <w:t>Biodiversity function</w:t>
            </w:r>
          </w:p>
        </w:tc>
        <w:tc>
          <w:tcPr>
            <w:tcW w:w="0" w:type="auto"/>
            <w:vAlign w:val="center"/>
            <w:hideMark/>
          </w:tcPr>
          <w:p w14:paraId="50503FA7"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i/>
                <w:iCs/>
                <w:sz w:val="20"/>
                <w:szCs w:val="20"/>
              </w:rPr>
              <w:t>Species richness, habitat structure, pollinators, functional diversity.</w:t>
            </w:r>
          </w:p>
        </w:tc>
        <w:tc>
          <w:tcPr>
            <w:tcW w:w="0" w:type="auto"/>
            <w:vAlign w:val="center"/>
            <w:hideMark/>
          </w:tcPr>
          <w:p w14:paraId="31A6BC2A"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i/>
                <w:iCs/>
                <w:sz w:val="20"/>
                <w:szCs w:val="20"/>
              </w:rPr>
              <w:t>Ecological resilience.</w:t>
            </w:r>
          </w:p>
        </w:tc>
      </w:tr>
      <w:tr w:rsidR="00C53243" w:rsidRPr="001121B9" w14:paraId="7988CF86" w14:textId="77777777" w:rsidTr="00356654">
        <w:trPr>
          <w:tblCellSpacing w:w="15" w:type="dxa"/>
        </w:trPr>
        <w:tc>
          <w:tcPr>
            <w:tcW w:w="0" w:type="auto"/>
            <w:vAlign w:val="center"/>
            <w:hideMark/>
          </w:tcPr>
          <w:p w14:paraId="21247EA9"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b/>
                <w:bCs/>
                <w:i/>
                <w:iCs/>
                <w:sz w:val="20"/>
                <w:szCs w:val="20"/>
              </w:rPr>
              <w:t>Carbon and biomass</w:t>
            </w:r>
          </w:p>
        </w:tc>
        <w:tc>
          <w:tcPr>
            <w:tcW w:w="0" w:type="auto"/>
            <w:vAlign w:val="center"/>
            <w:hideMark/>
          </w:tcPr>
          <w:p w14:paraId="101BE945"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i/>
                <w:iCs/>
                <w:sz w:val="20"/>
                <w:szCs w:val="20"/>
              </w:rPr>
              <w:t>Biomass return, perennial cover, carbon storage proxies, energy/input reduction.</w:t>
            </w:r>
          </w:p>
        </w:tc>
        <w:tc>
          <w:tcPr>
            <w:tcW w:w="0" w:type="auto"/>
            <w:vAlign w:val="center"/>
            <w:hideMark/>
          </w:tcPr>
          <w:p w14:paraId="19D0C7AC"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i/>
                <w:iCs/>
                <w:sz w:val="20"/>
                <w:szCs w:val="20"/>
              </w:rPr>
              <w:t>Climate-relevant performance.</w:t>
            </w:r>
          </w:p>
        </w:tc>
      </w:tr>
      <w:tr w:rsidR="00C53243" w:rsidRPr="001121B9" w14:paraId="1ED91E75" w14:textId="77777777" w:rsidTr="00356654">
        <w:trPr>
          <w:tblCellSpacing w:w="15" w:type="dxa"/>
        </w:trPr>
        <w:tc>
          <w:tcPr>
            <w:tcW w:w="0" w:type="auto"/>
            <w:vAlign w:val="center"/>
            <w:hideMark/>
          </w:tcPr>
          <w:p w14:paraId="108E30CF"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b/>
                <w:bCs/>
                <w:i/>
                <w:iCs/>
                <w:sz w:val="20"/>
                <w:szCs w:val="20"/>
              </w:rPr>
              <w:t>Productive resilience</w:t>
            </w:r>
          </w:p>
        </w:tc>
        <w:tc>
          <w:tcPr>
            <w:tcW w:w="0" w:type="auto"/>
            <w:vAlign w:val="center"/>
            <w:hideMark/>
          </w:tcPr>
          <w:p w14:paraId="39F322AE"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i/>
                <w:iCs/>
                <w:sz w:val="20"/>
                <w:szCs w:val="20"/>
              </w:rPr>
              <w:t>Yield diversity, input dependency, seasonal stability, edible biomass.</w:t>
            </w:r>
          </w:p>
        </w:tc>
        <w:tc>
          <w:tcPr>
            <w:tcW w:w="0" w:type="auto"/>
            <w:vAlign w:val="center"/>
            <w:hideMark/>
          </w:tcPr>
          <w:p w14:paraId="3F8650DE"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i/>
                <w:iCs/>
                <w:sz w:val="20"/>
                <w:szCs w:val="20"/>
              </w:rPr>
              <w:t>Food and economic viability.</w:t>
            </w:r>
          </w:p>
        </w:tc>
      </w:tr>
      <w:tr w:rsidR="00C53243" w:rsidRPr="001121B9" w14:paraId="6D0384C8" w14:textId="77777777" w:rsidTr="00356654">
        <w:trPr>
          <w:tblCellSpacing w:w="15" w:type="dxa"/>
        </w:trPr>
        <w:tc>
          <w:tcPr>
            <w:tcW w:w="0" w:type="auto"/>
            <w:vAlign w:val="center"/>
            <w:hideMark/>
          </w:tcPr>
          <w:p w14:paraId="0A721EC3"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b/>
                <w:bCs/>
                <w:i/>
                <w:iCs/>
                <w:sz w:val="20"/>
                <w:szCs w:val="20"/>
              </w:rPr>
              <w:t>Pollution reduction</w:t>
            </w:r>
          </w:p>
        </w:tc>
        <w:tc>
          <w:tcPr>
            <w:tcW w:w="0" w:type="auto"/>
            <w:vAlign w:val="center"/>
            <w:hideMark/>
          </w:tcPr>
          <w:p w14:paraId="5712D16A"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i/>
                <w:iCs/>
                <w:sz w:val="20"/>
                <w:szCs w:val="20"/>
              </w:rPr>
              <w:t>Chemical inputs, waste loops, nutrient leakage, material safety.</w:t>
            </w:r>
          </w:p>
        </w:tc>
        <w:tc>
          <w:tcPr>
            <w:tcW w:w="0" w:type="auto"/>
            <w:vAlign w:val="center"/>
            <w:hideMark/>
          </w:tcPr>
          <w:p w14:paraId="07F8C0A7"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i/>
                <w:iCs/>
                <w:sz w:val="20"/>
                <w:szCs w:val="20"/>
              </w:rPr>
              <w:t>Novel-entity and contamination risk.</w:t>
            </w:r>
          </w:p>
        </w:tc>
      </w:tr>
      <w:tr w:rsidR="00C53243" w:rsidRPr="001121B9" w14:paraId="02A7604E" w14:textId="77777777" w:rsidTr="00356654">
        <w:trPr>
          <w:tblCellSpacing w:w="15" w:type="dxa"/>
        </w:trPr>
        <w:tc>
          <w:tcPr>
            <w:tcW w:w="0" w:type="auto"/>
            <w:vAlign w:val="center"/>
            <w:hideMark/>
          </w:tcPr>
          <w:p w14:paraId="3B09DCC0"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b/>
                <w:bCs/>
                <w:i/>
                <w:iCs/>
                <w:sz w:val="20"/>
                <w:szCs w:val="20"/>
              </w:rPr>
              <w:t>Community resilience</w:t>
            </w:r>
          </w:p>
        </w:tc>
        <w:tc>
          <w:tcPr>
            <w:tcW w:w="0" w:type="auto"/>
            <w:vAlign w:val="center"/>
            <w:hideMark/>
          </w:tcPr>
          <w:p w14:paraId="04668167"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i/>
                <w:iCs/>
                <w:sz w:val="20"/>
                <w:szCs w:val="20"/>
              </w:rPr>
              <w:t>Local participation, stewardship continuity, food sovereignty, skills.</w:t>
            </w:r>
          </w:p>
        </w:tc>
        <w:tc>
          <w:tcPr>
            <w:tcW w:w="0" w:type="auto"/>
            <w:vAlign w:val="center"/>
            <w:hideMark/>
          </w:tcPr>
          <w:p w14:paraId="6B7F031D"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i/>
                <w:iCs/>
                <w:sz w:val="20"/>
                <w:szCs w:val="20"/>
              </w:rPr>
              <w:t>Social-ecological durability.</w:t>
            </w:r>
          </w:p>
        </w:tc>
      </w:tr>
      <w:tr w:rsidR="00C53243" w:rsidRPr="001121B9" w14:paraId="686D0D7C" w14:textId="77777777" w:rsidTr="00356654">
        <w:trPr>
          <w:tblCellSpacing w:w="15" w:type="dxa"/>
        </w:trPr>
        <w:tc>
          <w:tcPr>
            <w:tcW w:w="0" w:type="auto"/>
            <w:vAlign w:val="center"/>
            <w:hideMark/>
          </w:tcPr>
          <w:p w14:paraId="6A26520C"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b/>
                <w:bCs/>
                <w:i/>
                <w:iCs/>
                <w:sz w:val="20"/>
                <w:szCs w:val="20"/>
              </w:rPr>
              <w:t>Governance maturity</w:t>
            </w:r>
          </w:p>
        </w:tc>
        <w:tc>
          <w:tcPr>
            <w:tcW w:w="0" w:type="auto"/>
            <w:vAlign w:val="center"/>
            <w:hideMark/>
          </w:tcPr>
          <w:p w14:paraId="5B267BAA"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i/>
                <w:iCs/>
                <w:sz w:val="20"/>
                <w:szCs w:val="20"/>
              </w:rPr>
              <w:t>Role clarity, decision records, review pathways, conflict handling.</w:t>
            </w:r>
          </w:p>
        </w:tc>
        <w:tc>
          <w:tcPr>
            <w:tcW w:w="0" w:type="auto"/>
            <w:vAlign w:val="center"/>
            <w:hideMark/>
          </w:tcPr>
          <w:p w14:paraId="6E63096A"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i/>
                <w:iCs/>
                <w:sz w:val="20"/>
                <w:szCs w:val="20"/>
              </w:rPr>
              <w:t>Institutional resilience.</w:t>
            </w:r>
          </w:p>
        </w:tc>
      </w:tr>
      <w:tr w:rsidR="00C53243" w:rsidRPr="001121B9" w14:paraId="2191D157" w14:textId="77777777" w:rsidTr="00356654">
        <w:trPr>
          <w:tblCellSpacing w:w="15" w:type="dxa"/>
        </w:trPr>
        <w:tc>
          <w:tcPr>
            <w:tcW w:w="0" w:type="auto"/>
            <w:vAlign w:val="center"/>
            <w:hideMark/>
          </w:tcPr>
          <w:p w14:paraId="3AAB3021"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b/>
                <w:bCs/>
                <w:i/>
                <w:iCs/>
                <w:sz w:val="20"/>
                <w:szCs w:val="20"/>
              </w:rPr>
              <w:t>Evidence quality</w:t>
            </w:r>
          </w:p>
        </w:tc>
        <w:tc>
          <w:tcPr>
            <w:tcW w:w="0" w:type="auto"/>
            <w:vAlign w:val="center"/>
            <w:hideMark/>
          </w:tcPr>
          <w:p w14:paraId="546232E9"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i/>
                <w:iCs/>
                <w:sz w:val="20"/>
                <w:szCs w:val="20"/>
              </w:rPr>
              <w:t>Provenance, confidence, sampling, independent review, admissibility.</w:t>
            </w:r>
          </w:p>
        </w:tc>
        <w:tc>
          <w:tcPr>
            <w:tcW w:w="0" w:type="auto"/>
            <w:vAlign w:val="center"/>
            <w:hideMark/>
          </w:tcPr>
          <w:p w14:paraId="5647F514"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i/>
                <w:iCs/>
                <w:sz w:val="20"/>
                <w:szCs w:val="20"/>
              </w:rPr>
              <w:t>Claim reliability.</w:t>
            </w:r>
          </w:p>
        </w:tc>
      </w:tr>
      <w:tr w:rsidR="00C53243" w:rsidRPr="001121B9" w14:paraId="0885CD92" w14:textId="77777777" w:rsidTr="00356654">
        <w:trPr>
          <w:tblCellSpacing w:w="15" w:type="dxa"/>
        </w:trPr>
        <w:tc>
          <w:tcPr>
            <w:tcW w:w="0" w:type="auto"/>
            <w:vAlign w:val="center"/>
            <w:hideMark/>
          </w:tcPr>
          <w:p w14:paraId="7218BE9C"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b/>
                <w:bCs/>
                <w:i/>
                <w:iCs/>
                <w:sz w:val="20"/>
                <w:szCs w:val="20"/>
              </w:rPr>
              <w:t>Continuity resilience</w:t>
            </w:r>
          </w:p>
        </w:tc>
        <w:tc>
          <w:tcPr>
            <w:tcW w:w="0" w:type="auto"/>
            <w:vAlign w:val="center"/>
            <w:hideMark/>
          </w:tcPr>
          <w:p w14:paraId="3A5555DE"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i/>
                <w:iCs/>
                <w:sz w:val="20"/>
                <w:szCs w:val="20"/>
              </w:rPr>
              <w:t>Canonical records, offline archives, governance memory, recovery pathways.</w:t>
            </w:r>
          </w:p>
        </w:tc>
        <w:tc>
          <w:tcPr>
            <w:tcW w:w="0" w:type="auto"/>
            <w:vAlign w:val="center"/>
            <w:hideMark/>
          </w:tcPr>
          <w:p w14:paraId="76CBEE67" w14:textId="77777777" w:rsidR="00C53243" w:rsidRPr="001121B9" w:rsidRDefault="00C53243" w:rsidP="00C53243">
            <w:pPr>
              <w:spacing w:line="360" w:lineRule="auto"/>
              <w:rPr>
                <w:rFonts w:ascii="Baskerville Old Face" w:hAnsi="Baskerville Old Face"/>
                <w:i/>
                <w:iCs/>
                <w:sz w:val="20"/>
                <w:szCs w:val="20"/>
              </w:rPr>
            </w:pPr>
            <w:r w:rsidRPr="001121B9">
              <w:rPr>
                <w:rFonts w:ascii="Baskerville Old Face" w:hAnsi="Baskerville Old Face"/>
                <w:i/>
                <w:iCs/>
                <w:sz w:val="20"/>
                <w:szCs w:val="20"/>
              </w:rPr>
              <w:t>Long-term system survival.</w:t>
            </w:r>
          </w:p>
        </w:tc>
      </w:tr>
    </w:tbl>
    <w:p w14:paraId="102C201A"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Domains should be weighted according to methodology, site type, bioregion, pilot maturity, and intended use.</w:t>
      </w:r>
    </w:p>
    <w:p w14:paraId="07D8328E"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lastRenderedPageBreak/>
        <w:t>Weights should be documented.</w:t>
      </w:r>
    </w:p>
    <w:p w14:paraId="0C183267"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Where weights are experimental, they should be labelled as research-use or pilot-use.</w:t>
      </w:r>
    </w:p>
    <w:p w14:paraId="4C0C16F9" w14:textId="77777777" w:rsidR="00C53243" w:rsidRPr="00B479AE" w:rsidRDefault="00C53243" w:rsidP="00C53243">
      <w:pPr>
        <w:spacing w:line="360" w:lineRule="auto"/>
        <w:rPr>
          <w:rFonts w:ascii="Baskerville Old Face" w:hAnsi="Baskerville Old Face"/>
          <w:b/>
          <w:bCs/>
          <w:i/>
          <w:iCs/>
        </w:rPr>
      </w:pPr>
      <w:r w:rsidRPr="00B479AE">
        <w:rPr>
          <w:rFonts w:ascii="Baskerville Old Face" w:hAnsi="Baskerville Old Face"/>
          <w:b/>
          <w:bCs/>
          <w:i/>
          <w:iCs/>
        </w:rPr>
        <w:t>K.6 PHI evidence maturity</w:t>
      </w:r>
    </w:p>
    <w:p w14:paraId="06DA3902"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PHI should incorporate evidence maturity.</w:t>
      </w:r>
    </w:p>
    <w:p w14:paraId="7CC9C070"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An indicator should not be scored with high confidence merely because it is important.</w:t>
      </w:r>
    </w:p>
    <w:p w14:paraId="62E88A29"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It should be scored according to evidence strength.</w:t>
      </w:r>
    </w:p>
    <w:p w14:paraId="0E09424E" w14:textId="3FB23496"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A PHI record may therefore include:</w:t>
      </w:r>
      <w:r w:rsidR="002D00A3" w:rsidRPr="00B479AE">
        <w:rPr>
          <w:rFonts w:ascii="Baskerville Old Face" w:hAnsi="Baskerville Old Face"/>
          <w:i/>
          <w:iCs/>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2"/>
        <w:gridCol w:w="5506"/>
      </w:tblGrid>
      <w:tr w:rsidR="00C53243" w:rsidRPr="00B479AE" w14:paraId="4E6E1A1C" w14:textId="77777777" w:rsidTr="00356654">
        <w:trPr>
          <w:tblHeader/>
          <w:tblCellSpacing w:w="15" w:type="dxa"/>
        </w:trPr>
        <w:tc>
          <w:tcPr>
            <w:tcW w:w="0" w:type="auto"/>
            <w:vAlign w:val="center"/>
            <w:hideMark/>
          </w:tcPr>
          <w:p w14:paraId="14416409" w14:textId="77777777" w:rsidR="00C53243" w:rsidRPr="00B479AE" w:rsidRDefault="00C53243" w:rsidP="00C53243">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Evidence level</w:t>
            </w:r>
          </w:p>
        </w:tc>
        <w:tc>
          <w:tcPr>
            <w:tcW w:w="0" w:type="auto"/>
            <w:vAlign w:val="center"/>
            <w:hideMark/>
          </w:tcPr>
          <w:p w14:paraId="2BA75B80" w14:textId="77777777" w:rsidR="00C53243" w:rsidRPr="00B479AE" w:rsidRDefault="00C53243" w:rsidP="00C53243">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r>
      <w:tr w:rsidR="00C53243" w:rsidRPr="00B479AE" w14:paraId="2B4C3FF4" w14:textId="77777777" w:rsidTr="00356654">
        <w:trPr>
          <w:tblCellSpacing w:w="15" w:type="dxa"/>
        </w:trPr>
        <w:tc>
          <w:tcPr>
            <w:tcW w:w="0" w:type="auto"/>
            <w:vAlign w:val="center"/>
            <w:hideMark/>
          </w:tcPr>
          <w:p w14:paraId="70EC917D"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Narrative / claim</w:t>
            </w:r>
          </w:p>
        </w:tc>
        <w:tc>
          <w:tcPr>
            <w:tcW w:w="0" w:type="auto"/>
            <w:vAlign w:val="center"/>
            <w:hideMark/>
          </w:tcPr>
          <w:p w14:paraId="3E966923"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i/>
                <w:iCs/>
                <w:sz w:val="22"/>
                <w:szCs w:val="22"/>
              </w:rPr>
              <w:t>Meaningful but not yet evidenced.</w:t>
            </w:r>
          </w:p>
        </w:tc>
      </w:tr>
      <w:tr w:rsidR="00C53243" w:rsidRPr="00B479AE" w14:paraId="0C5565DE" w14:textId="77777777" w:rsidTr="00356654">
        <w:trPr>
          <w:tblCellSpacing w:w="15" w:type="dxa"/>
        </w:trPr>
        <w:tc>
          <w:tcPr>
            <w:tcW w:w="0" w:type="auto"/>
            <w:vAlign w:val="center"/>
            <w:hideMark/>
          </w:tcPr>
          <w:p w14:paraId="273E3E1F"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Observation</w:t>
            </w:r>
          </w:p>
        </w:tc>
        <w:tc>
          <w:tcPr>
            <w:tcW w:w="0" w:type="auto"/>
            <w:vAlign w:val="center"/>
            <w:hideMark/>
          </w:tcPr>
          <w:p w14:paraId="19E1F3DF"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i/>
                <w:iCs/>
                <w:sz w:val="22"/>
                <w:szCs w:val="22"/>
              </w:rPr>
              <w:t>Recorded field note, image, measurement, or testimony.</w:t>
            </w:r>
          </w:p>
        </w:tc>
      </w:tr>
      <w:tr w:rsidR="00C53243" w:rsidRPr="00B479AE" w14:paraId="5DA6700E" w14:textId="77777777" w:rsidTr="00356654">
        <w:trPr>
          <w:tblCellSpacing w:w="15" w:type="dxa"/>
        </w:trPr>
        <w:tc>
          <w:tcPr>
            <w:tcW w:w="0" w:type="auto"/>
            <w:vAlign w:val="center"/>
            <w:hideMark/>
          </w:tcPr>
          <w:p w14:paraId="43319D6F"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Evidence</w:t>
            </w:r>
          </w:p>
        </w:tc>
        <w:tc>
          <w:tcPr>
            <w:tcW w:w="0" w:type="auto"/>
            <w:vAlign w:val="center"/>
            <w:hideMark/>
          </w:tcPr>
          <w:p w14:paraId="61719678"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i/>
                <w:iCs/>
                <w:sz w:val="22"/>
                <w:szCs w:val="22"/>
              </w:rPr>
              <w:t>Observation with provenance and method.</w:t>
            </w:r>
          </w:p>
        </w:tc>
      </w:tr>
      <w:tr w:rsidR="00C53243" w:rsidRPr="00B479AE" w14:paraId="7FF84239" w14:textId="77777777" w:rsidTr="00356654">
        <w:trPr>
          <w:tblCellSpacing w:w="15" w:type="dxa"/>
        </w:trPr>
        <w:tc>
          <w:tcPr>
            <w:tcW w:w="0" w:type="auto"/>
            <w:vAlign w:val="center"/>
            <w:hideMark/>
          </w:tcPr>
          <w:p w14:paraId="5525A998"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Validated indicator</w:t>
            </w:r>
          </w:p>
        </w:tc>
        <w:tc>
          <w:tcPr>
            <w:tcW w:w="0" w:type="auto"/>
            <w:vAlign w:val="center"/>
            <w:hideMark/>
          </w:tcPr>
          <w:p w14:paraId="20E80443"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i/>
                <w:iCs/>
                <w:sz w:val="22"/>
                <w:szCs w:val="22"/>
              </w:rPr>
              <w:t>Evidence passed quality checks.</w:t>
            </w:r>
          </w:p>
        </w:tc>
      </w:tr>
      <w:tr w:rsidR="00C53243" w:rsidRPr="00B479AE" w14:paraId="6A7FF908" w14:textId="77777777" w:rsidTr="00356654">
        <w:trPr>
          <w:tblCellSpacing w:w="15" w:type="dxa"/>
        </w:trPr>
        <w:tc>
          <w:tcPr>
            <w:tcW w:w="0" w:type="auto"/>
            <w:vAlign w:val="center"/>
            <w:hideMark/>
          </w:tcPr>
          <w:p w14:paraId="72117446"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MRV-admissible</w:t>
            </w:r>
          </w:p>
        </w:tc>
        <w:tc>
          <w:tcPr>
            <w:tcW w:w="0" w:type="auto"/>
            <w:vAlign w:val="center"/>
            <w:hideMark/>
          </w:tcPr>
          <w:p w14:paraId="22A68D1B"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i/>
                <w:iCs/>
                <w:sz w:val="22"/>
                <w:szCs w:val="22"/>
              </w:rPr>
              <w:t>Evidence accepted for reporting under scope.</w:t>
            </w:r>
          </w:p>
        </w:tc>
      </w:tr>
      <w:tr w:rsidR="00C53243" w:rsidRPr="00B479AE" w14:paraId="15CC3F0E" w14:textId="77777777" w:rsidTr="00356654">
        <w:trPr>
          <w:tblCellSpacing w:w="15" w:type="dxa"/>
        </w:trPr>
        <w:tc>
          <w:tcPr>
            <w:tcW w:w="0" w:type="auto"/>
            <w:vAlign w:val="center"/>
            <w:hideMark/>
          </w:tcPr>
          <w:p w14:paraId="4A8198E6"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PRU-eligible</w:t>
            </w:r>
          </w:p>
        </w:tc>
        <w:tc>
          <w:tcPr>
            <w:tcW w:w="0" w:type="auto"/>
            <w:vAlign w:val="center"/>
            <w:hideMark/>
          </w:tcPr>
          <w:p w14:paraId="68D38618"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i/>
                <w:iCs/>
                <w:sz w:val="22"/>
                <w:szCs w:val="22"/>
              </w:rPr>
              <w:t>Evidence may contribute to PRU analysis under methodology.</w:t>
            </w:r>
          </w:p>
        </w:tc>
      </w:tr>
    </w:tbl>
    <w:p w14:paraId="579BCAFC"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This prevents PHI from becoming decorative scoring.</w:t>
      </w:r>
    </w:p>
    <w:p w14:paraId="0EC709A8"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A low-confidence indicator should remain low confidence even if it is emotionally or strategically important.</w:t>
      </w:r>
    </w:p>
    <w:p w14:paraId="04CA18EC"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Prometheus should reward evidence maturity, not rhetorical intensity.</w:t>
      </w:r>
    </w:p>
    <w:p w14:paraId="7E057C4F" w14:textId="77777777" w:rsidR="00C53243" w:rsidRPr="00B479AE" w:rsidRDefault="00C53243" w:rsidP="00C53243">
      <w:pPr>
        <w:spacing w:line="360" w:lineRule="auto"/>
        <w:rPr>
          <w:rFonts w:ascii="Baskerville Old Face" w:hAnsi="Baskerville Old Face"/>
          <w:b/>
          <w:bCs/>
          <w:i/>
          <w:iCs/>
        </w:rPr>
      </w:pPr>
      <w:r w:rsidRPr="00B479AE">
        <w:rPr>
          <w:rFonts w:ascii="Baskerville Old Face" w:hAnsi="Baskerville Old Face"/>
          <w:b/>
          <w:bCs/>
          <w:i/>
          <w:iCs/>
        </w:rPr>
        <w:t>K.7 Composite scoring caution</w:t>
      </w:r>
    </w:p>
    <w:p w14:paraId="337EE513"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Composite indices can be useful.</w:t>
      </w:r>
    </w:p>
    <w:p w14:paraId="2626E5D7"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They can also hide uncertainty.</w:t>
      </w:r>
    </w:p>
    <w:p w14:paraId="3D4C3E13"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lastRenderedPageBreak/>
        <w:t>Prometheus should therefore treat PHI scoring with caution.</w:t>
      </w:r>
    </w:p>
    <w:p w14:paraId="30F637FE"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Composite PHI outputs should disclose:</w:t>
      </w:r>
    </w:p>
    <w:p w14:paraId="70CEE3FC"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indicator list;</w:t>
      </w:r>
      <w:r w:rsidRPr="00B479AE">
        <w:rPr>
          <w:rFonts w:ascii="Baskerville Old Face" w:hAnsi="Baskerville Old Face"/>
          <w:i/>
          <w:iCs/>
        </w:rPr>
        <w:br/>
        <w:t>• data source;</w:t>
      </w:r>
      <w:r w:rsidRPr="00B479AE">
        <w:rPr>
          <w:rFonts w:ascii="Baskerville Old Face" w:hAnsi="Baskerville Old Face"/>
          <w:i/>
          <w:iCs/>
        </w:rPr>
        <w:br/>
        <w:t>• methodology version;</w:t>
      </w:r>
      <w:r w:rsidRPr="00B479AE">
        <w:rPr>
          <w:rFonts w:ascii="Baskerville Old Face" w:hAnsi="Baskerville Old Face"/>
          <w:i/>
          <w:iCs/>
        </w:rPr>
        <w:br/>
        <w:t>• weighting logic;</w:t>
      </w:r>
      <w:r w:rsidRPr="00B479AE">
        <w:rPr>
          <w:rFonts w:ascii="Baskerville Old Face" w:hAnsi="Baskerville Old Face"/>
          <w:i/>
          <w:iCs/>
        </w:rPr>
        <w:br/>
        <w:t>• confidence level;</w:t>
      </w:r>
      <w:r w:rsidRPr="00B479AE">
        <w:rPr>
          <w:rFonts w:ascii="Baskerville Old Face" w:hAnsi="Baskerville Old Face"/>
          <w:i/>
          <w:iCs/>
        </w:rPr>
        <w:br/>
        <w:t>• missing data;</w:t>
      </w:r>
      <w:r w:rsidRPr="00B479AE">
        <w:rPr>
          <w:rFonts w:ascii="Baskerville Old Face" w:hAnsi="Baskerville Old Face"/>
          <w:i/>
          <w:iCs/>
        </w:rPr>
        <w:br/>
        <w:t>• uncertainty;</w:t>
      </w:r>
      <w:r w:rsidRPr="00B479AE">
        <w:rPr>
          <w:rFonts w:ascii="Baskerville Old Face" w:hAnsi="Baskerville Old Face"/>
          <w:i/>
          <w:iCs/>
        </w:rPr>
        <w:br/>
        <w:t>• reviewer status;</w:t>
      </w:r>
      <w:r w:rsidRPr="00B479AE">
        <w:rPr>
          <w:rFonts w:ascii="Baskerville Old Face" w:hAnsi="Baskerville Old Face"/>
          <w:i/>
          <w:iCs/>
        </w:rPr>
        <w:br/>
        <w:t>• intended use;</w:t>
      </w:r>
      <w:r w:rsidRPr="00B479AE">
        <w:rPr>
          <w:rFonts w:ascii="Baskerville Old Face" w:hAnsi="Baskerville Old Face"/>
          <w:i/>
          <w:iCs/>
        </w:rPr>
        <w:br/>
        <w:t>• limitations;</w:t>
      </w:r>
      <w:r w:rsidRPr="00B479AE">
        <w:rPr>
          <w:rFonts w:ascii="Baskerville Old Face" w:hAnsi="Baskerville Old Face"/>
          <w:i/>
          <w:iCs/>
        </w:rPr>
        <w:br/>
        <w:t>• update date.</w:t>
      </w:r>
    </w:p>
    <w:p w14:paraId="4C0D3D25"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A PHI score should never be presented without its evidence profile.</w:t>
      </w:r>
    </w:p>
    <w:p w14:paraId="32EFA55C"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The correct reporting format is not merely:</w:t>
      </w:r>
    </w:p>
    <w:p w14:paraId="2EA789FF"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PHI = 82.</w:t>
      </w:r>
    </w:p>
    <w:p w14:paraId="6C65D1BA"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The correct reporting format is:</w:t>
      </w:r>
    </w:p>
    <w:p w14:paraId="192BC176"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PHI = 82</w:t>
      </w:r>
      <w:r w:rsidRPr="00B479AE">
        <w:rPr>
          <w:rFonts w:ascii="Baskerville Old Face" w:hAnsi="Baskerville Old Face"/>
          <w:i/>
          <w:iCs/>
        </w:rPr>
        <w:br/>
        <w:t>methodology version: vX</w:t>
      </w:r>
      <w:r w:rsidRPr="00B479AE">
        <w:rPr>
          <w:rFonts w:ascii="Baskerville Old Face" w:hAnsi="Baskerville Old Face"/>
          <w:i/>
          <w:iCs/>
        </w:rPr>
        <w:br/>
        <w:t>confidence: moderate</w:t>
      </w:r>
      <w:r w:rsidRPr="00B479AE">
        <w:rPr>
          <w:rFonts w:ascii="Baskerville Old Face" w:hAnsi="Baskerville Old Face"/>
          <w:i/>
          <w:iCs/>
        </w:rPr>
        <w:br/>
        <w:t>missing data: biodiversity lab proxy unavailable</w:t>
      </w:r>
      <w:r w:rsidRPr="00B479AE">
        <w:rPr>
          <w:rFonts w:ascii="Baskerville Old Face" w:hAnsi="Baskerville Old Face"/>
          <w:i/>
          <w:iCs/>
        </w:rPr>
        <w:br/>
        <w:t>review status: internal review</w:t>
      </w:r>
      <w:r w:rsidRPr="00B479AE">
        <w:rPr>
          <w:rFonts w:ascii="Baskerville Old Face" w:hAnsi="Baskerville Old Face"/>
          <w:i/>
          <w:iCs/>
        </w:rPr>
        <w:br/>
        <w:t>use: pilot comparison only.</w:t>
      </w:r>
    </w:p>
    <w:p w14:paraId="3EA98D21"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The number becomes credible only when its boundary travels with it.</w:t>
      </w:r>
    </w:p>
    <w:p w14:paraId="29319CDA" w14:textId="77777777" w:rsidR="00C53243" w:rsidRPr="00B479AE" w:rsidRDefault="00C53243" w:rsidP="00C53243">
      <w:pPr>
        <w:spacing w:line="360" w:lineRule="auto"/>
        <w:rPr>
          <w:rFonts w:ascii="Baskerville Old Face" w:hAnsi="Baskerville Old Face"/>
          <w:b/>
          <w:bCs/>
          <w:i/>
          <w:iCs/>
        </w:rPr>
      </w:pPr>
      <w:r w:rsidRPr="00B479AE">
        <w:rPr>
          <w:rFonts w:ascii="Baskerville Old Face" w:hAnsi="Baskerville Old Face"/>
          <w:b/>
          <w:bCs/>
          <w:i/>
          <w:iCs/>
        </w:rPr>
        <w:t>K.8 Boundary pressure profile</w:t>
      </w:r>
    </w:p>
    <w:p w14:paraId="6F5B1DA0"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Prometheus may create a Boundary Pressure Profile for each project or bioregion.</w:t>
      </w:r>
    </w:p>
    <w:p w14:paraId="158C7971"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This profile maps where a site may reduce or increase pressure in relation to planetary-boundary domains.</w:t>
      </w:r>
    </w:p>
    <w:p w14:paraId="491B9055"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lastRenderedPageBreak/>
        <w:t>Possible profile categories: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7"/>
        <w:gridCol w:w="6284"/>
      </w:tblGrid>
      <w:tr w:rsidR="00C53243" w:rsidRPr="00B479AE" w14:paraId="4DBF95C5" w14:textId="77777777" w:rsidTr="00356654">
        <w:trPr>
          <w:tblHeader/>
          <w:tblCellSpacing w:w="15" w:type="dxa"/>
        </w:trPr>
        <w:tc>
          <w:tcPr>
            <w:tcW w:w="0" w:type="auto"/>
            <w:vAlign w:val="center"/>
            <w:hideMark/>
          </w:tcPr>
          <w:p w14:paraId="417CF421" w14:textId="77777777" w:rsidR="00C53243" w:rsidRPr="00B479AE" w:rsidRDefault="00C53243" w:rsidP="00C53243">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Profile category</w:t>
            </w:r>
          </w:p>
        </w:tc>
        <w:tc>
          <w:tcPr>
            <w:tcW w:w="0" w:type="auto"/>
            <w:vAlign w:val="center"/>
            <w:hideMark/>
          </w:tcPr>
          <w:p w14:paraId="71AE7B5D" w14:textId="77777777" w:rsidR="00C53243" w:rsidRPr="00B479AE" w:rsidRDefault="00C53243" w:rsidP="00C53243">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r>
      <w:tr w:rsidR="00C53243" w:rsidRPr="00B479AE" w14:paraId="5FFD759A" w14:textId="77777777" w:rsidTr="00356654">
        <w:trPr>
          <w:tblCellSpacing w:w="15" w:type="dxa"/>
        </w:trPr>
        <w:tc>
          <w:tcPr>
            <w:tcW w:w="0" w:type="auto"/>
            <w:vAlign w:val="center"/>
            <w:hideMark/>
          </w:tcPr>
          <w:p w14:paraId="49E1917D"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Pressure-reducing</w:t>
            </w:r>
          </w:p>
        </w:tc>
        <w:tc>
          <w:tcPr>
            <w:tcW w:w="0" w:type="auto"/>
            <w:vAlign w:val="center"/>
            <w:hideMark/>
          </w:tcPr>
          <w:p w14:paraId="6D9749F7"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i/>
                <w:iCs/>
                <w:sz w:val="22"/>
                <w:szCs w:val="22"/>
              </w:rPr>
              <w:t>Evidence suggests intervention reduces pressure in a boundary domain.</w:t>
            </w:r>
          </w:p>
        </w:tc>
      </w:tr>
      <w:tr w:rsidR="00C53243" w:rsidRPr="00B479AE" w14:paraId="757635D8" w14:textId="77777777" w:rsidTr="00356654">
        <w:trPr>
          <w:tblCellSpacing w:w="15" w:type="dxa"/>
        </w:trPr>
        <w:tc>
          <w:tcPr>
            <w:tcW w:w="0" w:type="auto"/>
            <w:vAlign w:val="center"/>
            <w:hideMark/>
          </w:tcPr>
          <w:p w14:paraId="19956BF1"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Neutral / low relevance</w:t>
            </w:r>
          </w:p>
        </w:tc>
        <w:tc>
          <w:tcPr>
            <w:tcW w:w="0" w:type="auto"/>
            <w:vAlign w:val="center"/>
            <w:hideMark/>
          </w:tcPr>
          <w:p w14:paraId="145AAB9C"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i/>
                <w:iCs/>
                <w:sz w:val="22"/>
                <w:szCs w:val="22"/>
              </w:rPr>
              <w:t>Limited relationship to the boundary domain.</w:t>
            </w:r>
          </w:p>
        </w:tc>
      </w:tr>
      <w:tr w:rsidR="00C53243" w:rsidRPr="00B479AE" w14:paraId="6084F262" w14:textId="77777777" w:rsidTr="00356654">
        <w:trPr>
          <w:tblCellSpacing w:w="15" w:type="dxa"/>
        </w:trPr>
        <w:tc>
          <w:tcPr>
            <w:tcW w:w="0" w:type="auto"/>
            <w:vAlign w:val="center"/>
            <w:hideMark/>
          </w:tcPr>
          <w:p w14:paraId="52FC85D2"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Pressure-uncertain</w:t>
            </w:r>
          </w:p>
        </w:tc>
        <w:tc>
          <w:tcPr>
            <w:tcW w:w="0" w:type="auto"/>
            <w:vAlign w:val="center"/>
            <w:hideMark/>
          </w:tcPr>
          <w:p w14:paraId="3CA6A7ED"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i/>
                <w:iCs/>
                <w:sz w:val="22"/>
                <w:szCs w:val="22"/>
              </w:rPr>
              <w:t>Evidence is insufficient or ambiguous.</w:t>
            </w:r>
          </w:p>
        </w:tc>
      </w:tr>
      <w:tr w:rsidR="00C53243" w:rsidRPr="00B479AE" w14:paraId="64D79B41" w14:textId="77777777" w:rsidTr="00356654">
        <w:trPr>
          <w:tblCellSpacing w:w="15" w:type="dxa"/>
        </w:trPr>
        <w:tc>
          <w:tcPr>
            <w:tcW w:w="0" w:type="auto"/>
            <w:vAlign w:val="center"/>
            <w:hideMark/>
          </w:tcPr>
          <w:p w14:paraId="675377C9"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Pressure-increasing risk</w:t>
            </w:r>
          </w:p>
        </w:tc>
        <w:tc>
          <w:tcPr>
            <w:tcW w:w="0" w:type="auto"/>
            <w:vAlign w:val="center"/>
            <w:hideMark/>
          </w:tcPr>
          <w:p w14:paraId="0827403A"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i/>
                <w:iCs/>
                <w:sz w:val="22"/>
                <w:szCs w:val="22"/>
              </w:rPr>
              <w:t>Potential negative effect requires review or mitigation.</w:t>
            </w:r>
          </w:p>
        </w:tc>
      </w:tr>
      <w:tr w:rsidR="00C53243" w:rsidRPr="00B479AE" w14:paraId="5D5DF931" w14:textId="77777777" w:rsidTr="00356654">
        <w:trPr>
          <w:tblCellSpacing w:w="15" w:type="dxa"/>
        </w:trPr>
        <w:tc>
          <w:tcPr>
            <w:tcW w:w="0" w:type="auto"/>
            <w:vAlign w:val="center"/>
            <w:hideMark/>
          </w:tcPr>
          <w:p w14:paraId="3E6BF091"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High concern</w:t>
            </w:r>
          </w:p>
        </w:tc>
        <w:tc>
          <w:tcPr>
            <w:tcW w:w="0" w:type="auto"/>
            <w:vAlign w:val="center"/>
            <w:hideMark/>
          </w:tcPr>
          <w:p w14:paraId="4DF8D05A"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i/>
                <w:iCs/>
                <w:sz w:val="22"/>
                <w:szCs w:val="22"/>
              </w:rPr>
              <w:t>Serious risk to ecological integrity or public claim reliability.</w:t>
            </w:r>
          </w:p>
        </w:tc>
      </w:tr>
    </w:tbl>
    <w:p w14:paraId="792DA73C"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Boundary pressure profiles support:</w:t>
      </w:r>
    </w:p>
    <w:p w14:paraId="6775B237"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design review;</w:t>
      </w:r>
      <w:r w:rsidRPr="00B479AE">
        <w:rPr>
          <w:rFonts w:ascii="Baskerville Old Face" w:hAnsi="Baskerville Old Face"/>
          <w:i/>
          <w:iCs/>
        </w:rPr>
        <w:br/>
        <w:t>• MRV prioritization;</w:t>
      </w:r>
      <w:r w:rsidRPr="00B479AE">
        <w:rPr>
          <w:rFonts w:ascii="Baskerville Old Face" w:hAnsi="Baskerville Old Face"/>
          <w:i/>
          <w:iCs/>
        </w:rPr>
        <w:br/>
        <w:t>• risk disclosure;</w:t>
      </w:r>
      <w:r w:rsidRPr="00B479AE">
        <w:rPr>
          <w:rFonts w:ascii="Baskerville Old Face" w:hAnsi="Baskerville Old Face"/>
          <w:i/>
          <w:iCs/>
        </w:rPr>
        <w:br/>
        <w:t>• intervention redesign;</w:t>
      </w:r>
      <w:r w:rsidRPr="00B479AE">
        <w:rPr>
          <w:rFonts w:ascii="Baskerville Old Face" w:hAnsi="Baskerville Old Face"/>
          <w:i/>
          <w:iCs/>
        </w:rPr>
        <w:br/>
        <w:t>• PRU analysis;</w:t>
      </w:r>
      <w:r w:rsidRPr="00B479AE">
        <w:rPr>
          <w:rFonts w:ascii="Baskerville Old Face" w:hAnsi="Baskerville Old Face"/>
          <w:i/>
          <w:iCs/>
        </w:rPr>
        <w:br/>
        <w:t>• RAP portfolio screening;</w:t>
      </w:r>
      <w:r w:rsidRPr="00B479AE">
        <w:rPr>
          <w:rFonts w:ascii="Baskerville Old Face" w:hAnsi="Baskerville Old Face"/>
          <w:i/>
          <w:iCs/>
        </w:rPr>
        <w:br/>
        <w:t>• investor diligence;</w:t>
      </w:r>
      <w:r w:rsidRPr="00B479AE">
        <w:rPr>
          <w:rFonts w:ascii="Baskerville Old Face" w:hAnsi="Baskerville Old Face"/>
          <w:i/>
          <w:iCs/>
        </w:rPr>
        <w:br/>
        <w:t>• public communication discipline.</w:t>
      </w:r>
    </w:p>
    <w:p w14:paraId="2942C6EB"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They should not become automatic enforcement.</w:t>
      </w:r>
    </w:p>
    <w:p w14:paraId="01D5DE2C"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They are ecological intelligence for review.</w:t>
      </w:r>
    </w:p>
    <w:p w14:paraId="4C240CEB" w14:textId="3B0B0C58" w:rsidR="00C53243" w:rsidRPr="00B479AE" w:rsidRDefault="00C53243" w:rsidP="00C53243">
      <w:pPr>
        <w:spacing w:line="360" w:lineRule="auto"/>
        <w:rPr>
          <w:rFonts w:ascii="Baskerville Old Face" w:hAnsi="Baskerville Old Face"/>
          <w:b/>
          <w:bCs/>
          <w:i/>
          <w:iCs/>
        </w:rPr>
      </w:pPr>
      <w:r w:rsidRPr="00B479AE">
        <w:rPr>
          <w:rFonts w:ascii="Baskerville Old Face" w:hAnsi="Baskerville Old Face"/>
          <w:b/>
          <w:bCs/>
          <w:i/>
          <w:iCs/>
        </w:rPr>
        <w:t>K.9 MRV Review and Verification Network</w:t>
      </w:r>
    </w:p>
    <w:p w14:paraId="1E107109"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This network may include:</w:t>
      </w:r>
    </w:p>
    <w:p w14:paraId="77CD1BB1"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soil scientists;</w:t>
      </w:r>
      <w:r w:rsidRPr="00B479AE">
        <w:rPr>
          <w:rFonts w:ascii="Baskerville Old Face" w:hAnsi="Baskerville Old Face"/>
          <w:i/>
          <w:iCs/>
        </w:rPr>
        <w:br/>
        <w:t>• ecologists;</w:t>
      </w:r>
      <w:r w:rsidRPr="00B479AE">
        <w:rPr>
          <w:rFonts w:ascii="Baskerville Old Face" w:hAnsi="Baskerville Old Face"/>
          <w:i/>
          <w:iCs/>
        </w:rPr>
        <w:br/>
        <w:t>• hydrologists;</w:t>
      </w:r>
      <w:r w:rsidRPr="00B479AE">
        <w:rPr>
          <w:rFonts w:ascii="Baskerville Old Face" w:hAnsi="Baskerville Old Face"/>
          <w:i/>
          <w:iCs/>
        </w:rPr>
        <w:br/>
        <w:t>• agroecologists;</w:t>
      </w:r>
      <w:r w:rsidRPr="00B479AE">
        <w:rPr>
          <w:rFonts w:ascii="Baskerville Old Face" w:hAnsi="Baskerville Old Face"/>
          <w:i/>
          <w:iCs/>
        </w:rPr>
        <w:br/>
        <w:t>• biodiversity specialists;</w:t>
      </w:r>
      <w:r w:rsidRPr="00B479AE">
        <w:rPr>
          <w:rFonts w:ascii="Baskerville Old Face" w:hAnsi="Baskerville Old Face"/>
          <w:i/>
          <w:iCs/>
        </w:rPr>
        <w:br/>
        <w:t>• remote-sensing analysts;</w:t>
      </w:r>
      <w:r w:rsidRPr="00B479AE">
        <w:rPr>
          <w:rFonts w:ascii="Baskerville Old Face" w:hAnsi="Baskerville Old Face"/>
          <w:i/>
          <w:iCs/>
        </w:rPr>
        <w:br/>
      </w:r>
      <w:r w:rsidRPr="00B479AE">
        <w:rPr>
          <w:rFonts w:ascii="Baskerville Old Face" w:hAnsi="Baskerville Old Face"/>
          <w:i/>
          <w:iCs/>
        </w:rPr>
        <w:lastRenderedPageBreak/>
        <w:t>• field auditors;</w:t>
      </w:r>
      <w:r w:rsidRPr="00B479AE">
        <w:rPr>
          <w:rFonts w:ascii="Baskerville Old Face" w:hAnsi="Baskerville Old Face"/>
          <w:i/>
          <w:iCs/>
        </w:rPr>
        <w:br/>
        <w:t>• laboratories;</w:t>
      </w:r>
      <w:r w:rsidRPr="00B479AE">
        <w:rPr>
          <w:rFonts w:ascii="Baskerville Old Face" w:hAnsi="Baskerville Old Face"/>
          <w:i/>
          <w:iCs/>
        </w:rPr>
        <w:br/>
        <w:t>• local stewards;</w:t>
      </w:r>
      <w:r w:rsidRPr="00B479AE">
        <w:rPr>
          <w:rFonts w:ascii="Baskerville Old Face" w:hAnsi="Baskerville Old Face"/>
          <w:i/>
          <w:iCs/>
        </w:rPr>
        <w:br/>
        <w:t>• indigenous or traditional ecological knowledge holders where appropriate and consented;</w:t>
      </w:r>
      <w:r w:rsidRPr="00B479AE">
        <w:rPr>
          <w:rFonts w:ascii="Baskerville Old Face" w:hAnsi="Baskerville Old Face"/>
          <w:i/>
          <w:iCs/>
        </w:rPr>
        <w:br/>
        <w:t>• bioregional experts;</w:t>
      </w:r>
      <w:r w:rsidRPr="00B479AE">
        <w:rPr>
          <w:rFonts w:ascii="Baskerville Old Face" w:hAnsi="Baskerville Old Face"/>
          <w:i/>
          <w:iCs/>
        </w:rPr>
        <w:br/>
        <w:t>• methodology reviewers;</w:t>
      </w:r>
      <w:r w:rsidRPr="00B479AE">
        <w:rPr>
          <w:rFonts w:ascii="Baskerville Old Face" w:hAnsi="Baskerville Old Face"/>
          <w:i/>
          <w:iCs/>
        </w:rPr>
        <w:br/>
        <w:t>• legal or reporting reviewers where necessary.</w:t>
      </w:r>
    </w:p>
    <w:p w14:paraId="12AC42B3"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The network does not act as an oracle.</w:t>
      </w:r>
    </w:p>
    <w:p w14:paraId="758787FE"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It reviews evidence.</w:t>
      </w:r>
    </w:p>
    <w:p w14:paraId="6B79199A"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It validates methods.</w:t>
      </w:r>
    </w:p>
    <w:p w14:paraId="1FD80C61"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It identifies uncertainty.</w:t>
      </w:r>
    </w:p>
    <w:p w14:paraId="3E5F9A37"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It supports admissibility.</w:t>
      </w:r>
    </w:p>
    <w:p w14:paraId="74ABF390"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It improves interpretation.</w:t>
      </w:r>
    </w:p>
    <w:p w14:paraId="03ABD560"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It brings plural intelligence into disciplined review.</w:t>
      </w:r>
    </w:p>
    <w:p w14:paraId="7225734D"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Prometheus does not need ecological prophecy.</w:t>
      </w:r>
    </w:p>
    <w:p w14:paraId="21C5505A"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It needs accountable ecological verification.</w:t>
      </w:r>
    </w:p>
    <w:p w14:paraId="3B3BF569" w14:textId="77777777" w:rsidR="00C53243" w:rsidRPr="00B479AE" w:rsidRDefault="00C53243" w:rsidP="00C53243">
      <w:pPr>
        <w:spacing w:line="360" w:lineRule="auto"/>
        <w:rPr>
          <w:rFonts w:ascii="Baskerville Old Face" w:hAnsi="Baskerville Old Face"/>
          <w:b/>
          <w:bCs/>
          <w:i/>
          <w:iCs/>
        </w:rPr>
      </w:pPr>
      <w:r w:rsidRPr="00B479AE">
        <w:rPr>
          <w:rFonts w:ascii="Baskerville Old Face" w:hAnsi="Baskerville Old Face"/>
          <w:b/>
          <w:bCs/>
          <w:i/>
          <w:iCs/>
        </w:rPr>
        <w:t>K.10 Integration with MRV</w:t>
      </w:r>
    </w:p>
    <w:p w14:paraId="06428741"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PHI and planetary-boundary logic should integrate with MRV through evidence classification.</w:t>
      </w:r>
    </w:p>
    <w:p w14:paraId="414B6E61"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Each PHI or boundary-related indicator should reference:</w:t>
      </w:r>
    </w:p>
    <w:p w14:paraId="05D647B3"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data source;</w:t>
      </w:r>
      <w:r w:rsidRPr="00B479AE">
        <w:rPr>
          <w:rFonts w:ascii="Baskerville Old Face" w:hAnsi="Baskerville Old Face"/>
          <w:i/>
          <w:iCs/>
        </w:rPr>
        <w:br/>
        <w:t>• methodology version;</w:t>
      </w:r>
      <w:r w:rsidRPr="00B479AE">
        <w:rPr>
          <w:rFonts w:ascii="Baskerville Old Face" w:hAnsi="Baskerville Old Face"/>
          <w:i/>
          <w:iCs/>
        </w:rPr>
        <w:br/>
        <w:t>• evidence maturity;</w:t>
      </w:r>
      <w:r w:rsidRPr="00B479AE">
        <w:rPr>
          <w:rFonts w:ascii="Baskerville Old Face" w:hAnsi="Baskerville Old Face"/>
          <w:i/>
          <w:iCs/>
        </w:rPr>
        <w:br/>
        <w:t>• confidence score;</w:t>
      </w:r>
      <w:r w:rsidRPr="00B479AE">
        <w:rPr>
          <w:rFonts w:ascii="Baskerville Old Face" w:hAnsi="Baskerville Old Face"/>
          <w:i/>
          <w:iCs/>
        </w:rPr>
        <w:br/>
        <w:t>• reviewer status;</w:t>
      </w:r>
      <w:r w:rsidRPr="00B479AE">
        <w:rPr>
          <w:rFonts w:ascii="Baskerville Old Face" w:hAnsi="Baskerville Old Face"/>
          <w:i/>
          <w:iCs/>
        </w:rPr>
        <w:br/>
        <w:t>• admissibility status;</w:t>
      </w:r>
      <w:r w:rsidRPr="00B479AE">
        <w:rPr>
          <w:rFonts w:ascii="Baskerville Old Face" w:hAnsi="Baskerville Old Face"/>
          <w:i/>
          <w:iCs/>
        </w:rPr>
        <w:br/>
      </w:r>
      <w:r w:rsidRPr="00B479AE">
        <w:rPr>
          <w:rFonts w:ascii="Baskerville Old Face" w:hAnsi="Baskerville Old Face"/>
          <w:i/>
          <w:iCs/>
        </w:rPr>
        <w:lastRenderedPageBreak/>
        <w:t>• reporting boundary;</w:t>
      </w:r>
      <w:r w:rsidRPr="00B479AE">
        <w:rPr>
          <w:rFonts w:ascii="Baskerville Old Face" w:hAnsi="Baskerville Old Face"/>
          <w:i/>
          <w:iCs/>
        </w:rPr>
        <w:br/>
        <w:t>• update frequency.</w:t>
      </w:r>
    </w:p>
    <w:p w14:paraId="088943F2"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MRV should determine whether PHI-relevant evidence is:</w:t>
      </w:r>
    </w:p>
    <w:p w14:paraId="15004AF2"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claim;</w:t>
      </w:r>
      <w:r w:rsidRPr="00B479AE">
        <w:rPr>
          <w:rFonts w:ascii="Baskerville Old Face" w:hAnsi="Baskerville Old Face"/>
          <w:i/>
          <w:iCs/>
        </w:rPr>
        <w:br/>
        <w:t>• observation;</w:t>
      </w:r>
      <w:r w:rsidRPr="00B479AE">
        <w:rPr>
          <w:rFonts w:ascii="Baskerville Old Face" w:hAnsi="Baskerville Old Face"/>
          <w:i/>
          <w:iCs/>
        </w:rPr>
        <w:br/>
        <w:t>• evidence;</w:t>
      </w:r>
      <w:r w:rsidRPr="00B479AE">
        <w:rPr>
          <w:rFonts w:ascii="Baskerville Old Face" w:hAnsi="Baskerville Old Face"/>
          <w:i/>
          <w:iCs/>
        </w:rPr>
        <w:br/>
        <w:t>• validated indicator;</w:t>
      </w:r>
      <w:r w:rsidRPr="00B479AE">
        <w:rPr>
          <w:rFonts w:ascii="Baskerville Old Face" w:hAnsi="Baskerville Old Face"/>
          <w:i/>
          <w:iCs/>
        </w:rPr>
        <w:br/>
        <w:t>• research-use only;</w:t>
      </w:r>
      <w:r w:rsidRPr="00B479AE">
        <w:rPr>
          <w:rFonts w:ascii="Baskerville Old Face" w:hAnsi="Baskerville Old Face"/>
          <w:i/>
          <w:iCs/>
        </w:rPr>
        <w:br/>
        <w:t>• MRV-admissible;</w:t>
      </w:r>
      <w:r w:rsidRPr="00B479AE">
        <w:rPr>
          <w:rFonts w:ascii="Baskerville Old Face" w:hAnsi="Baskerville Old Face"/>
          <w:i/>
          <w:iCs/>
        </w:rPr>
        <w:br/>
        <w:t>• PRU-eligible;</w:t>
      </w:r>
      <w:r w:rsidRPr="00B479AE">
        <w:rPr>
          <w:rFonts w:ascii="Baskerville Old Face" w:hAnsi="Baskerville Old Face"/>
          <w:i/>
          <w:iCs/>
        </w:rPr>
        <w:br/>
        <w:t>• non-admissible.</w:t>
      </w:r>
    </w:p>
    <w:p w14:paraId="4747E9F3"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This keeps PHI from becoming a parallel authority.</w:t>
      </w:r>
    </w:p>
    <w:p w14:paraId="2CE6E66C"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PHI organizes ecological meaning.</w:t>
      </w:r>
    </w:p>
    <w:p w14:paraId="31227A3A"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MRV verifies ecological evidence.</w:t>
      </w:r>
    </w:p>
    <w:p w14:paraId="31CDF1E3" w14:textId="77777777" w:rsidR="00C53243" w:rsidRPr="00B479AE" w:rsidRDefault="00C53243" w:rsidP="00C53243">
      <w:pPr>
        <w:spacing w:line="360" w:lineRule="auto"/>
        <w:rPr>
          <w:rFonts w:ascii="Baskerville Old Face" w:hAnsi="Baskerville Old Face"/>
          <w:b/>
          <w:bCs/>
          <w:i/>
          <w:iCs/>
        </w:rPr>
      </w:pPr>
      <w:r w:rsidRPr="00B479AE">
        <w:rPr>
          <w:rFonts w:ascii="Baskerville Old Face" w:hAnsi="Baskerville Old Face"/>
          <w:b/>
          <w:bCs/>
          <w:i/>
          <w:iCs/>
        </w:rPr>
        <w:t>K.11 Integration with PRU</w:t>
      </w:r>
    </w:p>
    <w:p w14:paraId="44C568E8"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PHI may inform PRU analysis only through approved methodology.</w:t>
      </w:r>
    </w:p>
    <w:p w14:paraId="64566525"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Possible PHI-to-PRU relationships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3"/>
        <w:gridCol w:w="5626"/>
      </w:tblGrid>
      <w:tr w:rsidR="00C53243" w:rsidRPr="00B479AE" w14:paraId="40525F92" w14:textId="77777777" w:rsidTr="00356654">
        <w:trPr>
          <w:tblHeader/>
          <w:tblCellSpacing w:w="15" w:type="dxa"/>
        </w:trPr>
        <w:tc>
          <w:tcPr>
            <w:tcW w:w="0" w:type="auto"/>
            <w:vAlign w:val="center"/>
            <w:hideMark/>
          </w:tcPr>
          <w:p w14:paraId="6173269D" w14:textId="77777777" w:rsidR="00C53243" w:rsidRPr="00B479AE" w:rsidRDefault="00C53243" w:rsidP="00C53243">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PHI role</w:t>
            </w:r>
          </w:p>
        </w:tc>
        <w:tc>
          <w:tcPr>
            <w:tcW w:w="0" w:type="auto"/>
            <w:vAlign w:val="center"/>
            <w:hideMark/>
          </w:tcPr>
          <w:p w14:paraId="199D3DA3" w14:textId="77777777" w:rsidR="00C53243" w:rsidRPr="00B479AE" w:rsidRDefault="00C53243" w:rsidP="00C53243">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PRU implication</w:t>
            </w:r>
          </w:p>
        </w:tc>
      </w:tr>
      <w:tr w:rsidR="00C53243" w:rsidRPr="00B479AE" w14:paraId="2D496F44" w14:textId="77777777" w:rsidTr="00356654">
        <w:trPr>
          <w:tblCellSpacing w:w="15" w:type="dxa"/>
        </w:trPr>
        <w:tc>
          <w:tcPr>
            <w:tcW w:w="0" w:type="auto"/>
            <w:vAlign w:val="center"/>
            <w:hideMark/>
          </w:tcPr>
          <w:p w14:paraId="33293736"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Contextual baseline</w:t>
            </w:r>
          </w:p>
        </w:tc>
        <w:tc>
          <w:tcPr>
            <w:tcW w:w="0" w:type="auto"/>
            <w:vAlign w:val="center"/>
            <w:hideMark/>
          </w:tcPr>
          <w:p w14:paraId="4F37DDEB"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i/>
                <w:iCs/>
                <w:sz w:val="22"/>
                <w:szCs w:val="22"/>
              </w:rPr>
              <w:t>Helps describe initial ecological condition.</w:t>
            </w:r>
          </w:p>
        </w:tc>
      </w:tr>
      <w:tr w:rsidR="00C53243" w:rsidRPr="00B479AE" w14:paraId="085C37C9" w14:textId="77777777" w:rsidTr="00356654">
        <w:trPr>
          <w:tblCellSpacing w:w="15" w:type="dxa"/>
        </w:trPr>
        <w:tc>
          <w:tcPr>
            <w:tcW w:w="0" w:type="auto"/>
            <w:vAlign w:val="center"/>
            <w:hideMark/>
          </w:tcPr>
          <w:p w14:paraId="753E56F2"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Indicator family</w:t>
            </w:r>
          </w:p>
        </w:tc>
        <w:tc>
          <w:tcPr>
            <w:tcW w:w="0" w:type="auto"/>
            <w:vAlign w:val="center"/>
            <w:hideMark/>
          </w:tcPr>
          <w:p w14:paraId="739A7A8C"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i/>
                <w:iCs/>
                <w:sz w:val="22"/>
                <w:szCs w:val="22"/>
              </w:rPr>
              <w:t>Helps select relevant indicators.</w:t>
            </w:r>
          </w:p>
        </w:tc>
      </w:tr>
      <w:tr w:rsidR="00C53243" w:rsidRPr="00B479AE" w14:paraId="25FCAD38" w14:textId="77777777" w:rsidTr="00356654">
        <w:trPr>
          <w:tblCellSpacing w:w="15" w:type="dxa"/>
        </w:trPr>
        <w:tc>
          <w:tcPr>
            <w:tcW w:w="0" w:type="auto"/>
            <w:vAlign w:val="center"/>
            <w:hideMark/>
          </w:tcPr>
          <w:p w14:paraId="54D4D549"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Risk screen</w:t>
            </w:r>
          </w:p>
        </w:tc>
        <w:tc>
          <w:tcPr>
            <w:tcW w:w="0" w:type="auto"/>
            <w:vAlign w:val="center"/>
            <w:hideMark/>
          </w:tcPr>
          <w:p w14:paraId="0407455D"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i/>
                <w:iCs/>
                <w:sz w:val="22"/>
                <w:szCs w:val="22"/>
              </w:rPr>
              <w:t>Flags ecological domains requiring stronger evidence.</w:t>
            </w:r>
          </w:p>
        </w:tc>
      </w:tr>
      <w:tr w:rsidR="00C53243" w:rsidRPr="00B479AE" w14:paraId="0224A5DA" w14:textId="77777777" w:rsidTr="00356654">
        <w:trPr>
          <w:tblCellSpacing w:w="15" w:type="dxa"/>
        </w:trPr>
        <w:tc>
          <w:tcPr>
            <w:tcW w:w="0" w:type="auto"/>
            <w:vAlign w:val="center"/>
            <w:hideMark/>
          </w:tcPr>
          <w:p w14:paraId="698E0C2B"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Confidence input</w:t>
            </w:r>
          </w:p>
        </w:tc>
        <w:tc>
          <w:tcPr>
            <w:tcW w:w="0" w:type="auto"/>
            <w:vAlign w:val="center"/>
            <w:hideMark/>
          </w:tcPr>
          <w:p w14:paraId="0975AAC3"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i/>
                <w:iCs/>
                <w:sz w:val="22"/>
                <w:szCs w:val="22"/>
              </w:rPr>
              <w:t>May support confidence adjustment where methodology allows.</w:t>
            </w:r>
          </w:p>
        </w:tc>
      </w:tr>
      <w:tr w:rsidR="00C53243" w:rsidRPr="00B479AE" w14:paraId="0D279B47" w14:textId="77777777" w:rsidTr="00356654">
        <w:trPr>
          <w:tblCellSpacing w:w="15" w:type="dxa"/>
        </w:trPr>
        <w:tc>
          <w:tcPr>
            <w:tcW w:w="0" w:type="auto"/>
            <w:vAlign w:val="center"/>
            <w:hideMark/>
          </w:tcPr>
          <w:p w14:paraId="52FB59B6"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Performance signal</w:t>
            </w:r>
          </w:p>
        </w:tc>
        <w:tc>
          <w:tcPr>
            <w:tcW w:w="0" w:type="auto"/>
            <w:vAlign w:val="center"/>
            <w:hideMark/>
          </w:tcPr>
          <w:p w14:paraId="0FAD79D5"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i/>
                <w:iCs/>
                <w:sz w:val="22"/>
                <w:szCs w:val="22"/>
              </w:rPr>
              <w:t>May contribute to PRU analysis if MRV-admissible.</w:t>
            </w:r>
          </w:p>
        </w:tc>
      </w:tr>
      <w:tr w:rsidR="00C53243" w:rsidRPr="00B479AE" w14:paraId="6B7A3AF3" w14:textId="77777777" w:rsidTr="00356654">
        <w:trPr>
          <w:tblCellSpacing w:w="15" w:type="dxa"/>
        </w:trPr>
        <w:tc>
          <w:tcPr>
            <w:tcW w:w="0" w:type="auto"/>
            <w:vAlign w:val="center"/>
            <w:hideMark/>
          </w:tcPr>
          <w:p w14:paraId="437C9D6D"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Portfolio screen</w:t>
            </w:r>
          </w:p>
        </w:tc>
        <w:tc>
          <w:tcPr>
            <w:tcW w:w="0" w:type="auto"/>
            <w:vAlign w:val="center"/>
            <w:hideMark/>
          </w:tcPr>
          <w:p w14:paraId="1EB04600" w14:textId="77777777" w:rsidR="00C53243" w:rsidRPr="00B479AE" w:rsidRDefault="00C53243" w:rsidP="00C53243">
            <w:pPr>
              <w:spacing w:line="360" w:lineRule="auto"/>
              <w:rPr>
                <w:rFonts w:ascii="Baskerville Old Face" w:hAnsi="Baskerville Old Face"/>
                <w:i/>
                <w:iCs/>
                <w:sz w:val="22"/>
                <w:szCs w:val="22"/>
              </w:rPr>
            </w:pPr>
            <w:r w:rsidRPr="00B479AE">
              <w:rPr>
                <w:rFonts w:ascii="Baskerville Old Face" w:hAnsi="Baskerville Old Face"/>
                <w:i/>
                <w:iCs/>
                <w:sz w:val="22"/>
                <w:szCs w:val="22"/>
              </w:rPr>
              <w:t>May help compare PRU-relevant units for RAP review.</w:t>
            </w:r>
          </w:p>
        </w:tc>
      </w:tr>
    </w:tbl>
    <w:p w14:paraId="4B346B05"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lastRenderedPageBreak/>
        <w:t>PHI should not directly create PRU value.</w:t>
      </w:r>
    </w:p>
    <w:p w14:paraId="34FA8AA4"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PHI may support PRU only when underlying indicators are evidence-backed, methodology-aligned, and admissible.</w:t>
      </w:r>
    </w:p>
    <w:p w14:paraId="0AA577AB"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The PRU rule remains:</w:t>
      </w:r>
    </w:p>
    <w:p w14:paraId="08EC968B" w14:textId="5FEC4421"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verified regenerative performance first;</w:t>
      </w:r>
      <w:r w:rsidRPr="00B479AE">
        <w:rPr>
          <w:rFonts w:ascii="Baskerville Old Face" w:hAnsi="Baskerville Old Face"/>
          <w:i/>
          <w:iCs/>
        </w:rPr>
        <w:br/>
      </w:r>
      <w:r w:rsidR="003A1979" w:rsidRPr="00B479AE">
        <w:rPr>
          <w:rFonts w:ascii="Baskerville Old Face" w:hAnsi="Baskerville Old Face"/>
          <w:i/>
          <w:iCs/>
        </w:rPr>
        <w:t>value-analysis interface</w:t>
      </w:r>
      <w:r w:rsidR="00A15B86" w:rsidRPr="00B479AE">
        <w:rPr>
          <w:rFonts w:ascii="Baskerville Old Face" w:hAnsi="Baskerville Old Face"/>
          <w:i/>
          <w:iCs/>
        </w:rPr>
        <w:t xml:space="preserve"> </w:t>
      </w:r>
      <w:r w:rsidRPr="00B479AE">
        <w:rPr>
          <w:rFonts w:ascii="Baskerville Old Face" w:hAnsi="Baskerville Old Face"/>
          <w:i/>
          <w:iCs/>
        </w:rPr>
        <w:t>second.</w:t>
      </w:r>
    </w:p>
    <w:p w14:paraId="0726506B" w14:textId="77777777" w:rsidR="00C53243" w:rsidRPr="00B479AE" w:rsidRDefault="00C53243" w:rsidP="00C53243">
      <w:pPr>
        <w:spacing w:line="360" w:lineRule="auto"/>
        <w:rPr>
          <w:rFonts w:ascii="Baskerville Old Face" w:hAnsi="Baskerville Old Face"/>
          <w:b/>
          <w:bCs/>
          <w:i/>
          <w:iCs/>
        </w:rPr>
      </w:pPr>
      <w:r w:rsidRPr="00B479AE">
        <w:rPr>
          <w:rFonts w:ascii="Baskerville Old Face" w:hAnsi="Baskerville Old Face"/>
          <w:b/>
          <w:bCs/>
          <w:i/>
          <w:iCs/>
        </w:rPr>
        <w:t>K.12 Integration with RAP</w:t>
      </w:r>
    </w:p>
    <w:p w14:paraId="63E7C228"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RAP logic may use PHI and planetary-boundary profiles for portfolio-level assessment.</w:t>
      </w:r>
    </w:p>
    <w:p w14:paraId="4D105597"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Possible uses include:</w:t>
      </w:r>
    </w:p>
    <w:p w14:paraId="06B072A0"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bioregional diversification;</w:t>
      </w:r>
      <w:r w:rsidRPr="00B479AE">
        <w:rPr>
          <w:rFonts w:ascii="Baskerville Old Face" w:hAnsi="Baskerville Old Face"/>
          <w:i/>
          <w:iCs/>
        </w:rPr>
        <w:br/>
        <w:t>• ecological risk mapping;</w:t>
      </w:r>
      <w:r w:rsidRPr="00B479AE">
        <w:rPr>
          <w:rFonts w:ascii="Baskerville Old Face" w:hAnsi="Baskerville Old Face"/>
          <w:i/>
          <w:iCs/>
        </w:rPr>
        <w:br/>
        <w:t>• boundary-pressure diversification;</w:t>
      </w:r>
      <w:r w:rsidRPr="00B479AE">
        <w:rPr>
          <w:rFonts w:ascii="Baskerville Old Face" w:hAnsi="Baskerville Old Face"/>
          <w:i/>
          <w:iCs/>
        </w:rPr>
        <w:br/>
        <w:t>• climate and water-risk screening;</w:t>
      </w:r>
      <w:r w:rsidRPr="00B479AE">
        <w:rPr>
          <w:rFonts w:ascii="Baskerville Old Face" w:hAnsi="Baskerville Old Face"/>
          <w:i/>
          <w:iCs/>
        </w:rPr>
        <w:br/>
        <w:t>• biodiversity exposure;</w:t>
      </w:r>
      <w:r w:rsidRPr="00B479AE">
        <w:rPr>
          <w:rFonts w:ascii="Baskerville Old Face" w:hAnsi="Baskerville Old Face"/>
          <w:i/>
          <w:iCs/>
        </w:rPr>
        <w:br/>
        <w:t>• evidence-quality comparison;</w:t>
      </w:r>
      <w:r w:rsidRPr="00B479AE">
        <w:rPr>
          <w:rFonts w:ascii="Baskerville Old Face" w:hAnsi="Baskerville Old Face"/>
          <w:i/>
          <w:iCs/>
        </w:rPr>
        <w:br/>
        <w:t>• governance maturity screening;</w:t>
      </w:r>
      <w:r w:rsidRPr="00B479AE">
        <w:rPr>
          <w:rFonts w:ascii="Baskerville Old Face" w:hAnsi="Baskerville Old Face"/>
          <w:i/>
          <w:iCs/>
        </w:rPr>
        <w:br/>
        <w:t>• resilience weighting;</w:t>
      </w:r>
      <w:r w:rsidRPr="00B479AE">
        <w:rPr>
          <w:rFonts w:ascii="Baskerville Old Face" w:hAnsi="Baskerville Old Face"/>
          <w:i/>
          <w:iCs/>
        </w:rPr>
        <w:br/>
        <w:t>• portfolio stress testing.</w:t>
      </w:r>
    </w:p>
    <w:p w14:paraId="3A2A25C3"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RAP should not aggregate weak claims into strong portfolio language.</w:t>
      </w:r>
    </w:p>
    <w:p w14:paraId="7DF7882C"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A portfolio of weak evidence does not become strong evidence by being grouped.</w:t>
      </w:r>
    </w:p>
    <w:p w14:paraId="1C2FF420"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RAP maturity depends on the maturity of underlying units.</w:t>
      </w:r>
    </w:p>
    <w:p w14:paraId="76B53814" w14:textId="77777777" w:rsidR="00C53243" w:rsidRPr="005907F1" w:rsidRDefault="00C53243" w:rsidP="00C53243">
      <w:pPr>
        <w:spacing w:line="360" w:lineRule="auto"/>
        <w:rPr>
          <w:rFonts w:ascii="Baskerville Old Face" w:hAnsi="Baskerville Old Face"/>
          <w:i/>
          <w:iCs/>
          <w:lang w:val="it-IT"/>
        </w:rPr>
      </w:pPr>
      <w:r w:rsidRPr="005907F1">
        <w:rPr>
          <w:rFonts w:ascii="Baskerville Old Face" w:hAnsi="Baskerville Old Face"/>
          <w:i/>
          <w:iCs/>
          <w:lang w:val="it-IT"/>
        </w:rPr>
        <w:t>PHI may improve portfolio intelligence.</w:t>
      </w:r>
    </w:p>
    <w:p w14:paraId="213549E8"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It may not launder uncertainty.</w:t>
      </w:r>
    </w:p>
    <w:p w14:paraId="6D0EB39F" w14:textId="77777777" w:rsidR="00C53243" w:rsidRPr="00B479AE" w:rsidRDefault="00C53243" w:rsidP="00C53243">
      <w:pPr>
        <w:spacing w:line="360" w:lineRule="auto"/>
        <w:rPr>
          <w:rFonts w:ascii="Baskerville Old Face" w:hAnsi="Baskerville Old Face"/>
          <w:b/>
          <w:bCs/>
          <w:i/>
          <w:iCs/>
        </w:rPr>
      </w:pPr>
      <w:r w:rsidRPr="00B479AE">
        <w:rPr>
          <w:rFonts w:ascii="Baskerville Old Face" w:hAnsi="Baskerville Old Face"/>
          <w:b/>
          <w:bCs/>
          <w:i/>
          <w:iCs/>
        </w:rPr>
        <w:t>K.13 Integration with Ravel risk-signaling</w:t>
      </w:r>
    </w:p>
    <w:p w14:paraId="680DD006"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PHI and boundary-pressure profiles may support the Ravel Risk-Signaling Model.</w:t>
      </w:r>
    </w:p>
    <w:p w14:paraId="74F25A5B"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lastRenderedPageBreak/>
        <w:t>They may provide risk signals such as:</w:t>
      </w:r>
    </w:p>
    <w:p w14:paraId="10814FA5"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ecological stress increasing;</w:t>
      </w:r>
      <w:r w:rsidRPr="00B479AE">
        <w:rPr>
          <w:rFonts w:ascii="Baskerville Old Face" w:hAnsi="Baskerville Old Face"/>
          <w:i/>
          <w:iCs/>
        </w:rPr>
        <w:br/>
        <w:t>• water vulnerability rising;</w:t>
      </w:r>
      <w:r w:rsidRPr="00B479AE">
        <w:rPr>
          <w:rFonts w:ascii="Baskerville Old Face" w:hAnsi="Baskerville Old Face"/>
          <w:i/>
          <w:iCs/>
        </w:rPr>
        <w:br/>
        <w:t>• biodiversity evidence weak;</w:t>
      </w:r>
      <w:r w:rsidRPr="00B479AE">
        <w:rPr>
          <w:rFonts w:ascii="Baskerville Old Face" w:hAnsi="Baskerville Old Face"/>
          <w:i/>
          <w:iCs/>
        </w:rPr>
        <w:br/>
        <w:t>• soil indicators improving slowly;</w:t>
      </w:r>
      <w:r w:rsidRPr="00B479AE">
        <w:rPr>
          <w:rFonts w:ascii="Baskerville Old Face" w:hAnsi="Baskerville Old Face"/>
          <w:i/>
          <w:iCs/>
        </w:rPr>
        <w:br/>
        <w:t>• climate risk exposure high;</w:t>
      </w:r>
      <w:r w:rsidRPr="00B479AE">
        <w:rPr>
          <w:rFonts w:ascii="Baskerville Old Face" w:hAnsi="Baskerville Old Face"/>
          <w:i/>
          <w:iCs/>
        </w:rPr>
        <w:br/>
        <w:t>• public claims exceeding boundary evidence;</w:t>
      </w:r>
      <w:r w:rsidRPr="00B479AE">
        <w:rPr>
          <w:rFonts w:ascii="Baskerville Old Face" w:hAnsi="Baskerville Old Face"/>
          <w:i/>
          <w:iCs/>
        </w:rPr>
        <w:br/>
        <w:t>• portfolio concentrated in high-stress bioregions;</w:t>
      </w:r>
      <w:r w:rsidRPr="00B479AE">
        <w:rPr>
          <w:rFonts w:ascii="Baskerville Old Face" w:hAnsi="Baskerville Old Face"/>
          <w:i/>
          <w:iCs/>
        </w:rPr>
        <w:br/>
        <w:t>• governance underprepared for ecological complexity.</w:t>
      </w:r>
    </w:p>
    <w:p w14:paraId="4BD926B6"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Ravel may use these signals for review routing.</w:t>
      </w:r>
    </w:p>
    <w:p w14:paraId="64AEEFAD"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Ravel should not use PHI as automatic enforcement.</w:t>
      </w:r>
    </w:p>
    <w:p w14:paraId="262DBEB4"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The correct relationship is:</w:t>
      </w:r>
    </w:p>
    <w:p w14:paraId="43F9C6B9"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PHI informs ecological risk;</w:t>
      </w:r>
      <w:r w:rsidRPr="00B479AE">
        <w:rPr>
          <w:rFonts w:ascii="Baskerville Old Face" w:hAnsi="Baskerville Old Face"/>
          <w:i/>
          <w:iCs/>
        </w:rPr>
        <w:br/>
        <w:t>Ravel routes systemic risk;</w:t>
      </w:r>
      <w:r w:rsidRPr="00B479AE">
        <w:rPr>
          <w:rFonts w:ascii="Baskerville Old Face" w:hAnsi="Baskerville Old Face"/>
          <w:i/>
          <w:iCs/>
        </w:rPr>
        <w:br/>
        <w:t>governance reviews;</w:t>
      </w:r>
      <w:r w:rsidRPr="00B479AE">
        <w:rPr>
          <w:rFonts w:ascii="Baskerville Old Face" w:hAnsi="Baskerville Old Face"/>
          <w:i/>
          <w:iCs/>
        </w:rPr>
        <w:br/>
        <w:t>MRV verifies;</w:t>
      </w:r>
      <w:r w:rsidRPr="00B479AE">
        <w:rPr>
          <w:rFonts w:ascii="Baskerville Old Face" w:hAnsi="Baskerville Old Face"/>
          <w:i/>
          <w:iCs/>
        </w:rPr>
        <w:br/>
        <w:t>legal structures consequences where needed.</w:t>
      </w:r>
    </w:p>
    <w:p w14:paraId="7E758033" w14:textId="77777777" w:rsidR="00C53243" w:rsidRPr="00B479AE" w:rsidRDefault="00C53243" w:rsidP="00C53243">
      <w:pPr>
        <w:spacing w:line="360" w:lineRule="auto"/>
        <w:rPr>
          <w:rFonts w:ascii="Baskerville Old Face" w:hAnsi="Baskerville Old Face"/>
          <w:b/>
          <w:bCs/>
          <w:i/>
          <w:iCs/>
        </w:rPr>
      </w:pPr>
      <w:r w:rsidRPr="00B479AE">
        <w:rPr>
          <w:rFonts w:ascii="Baskerville Old Face" w:hAnsi="Baskerville Old Face"/>
          <w:b/>
          <w:bCs/>
          <w:i/>
          <w:iCs/>
        </w:rPr>
        <w:t>K.14 Planetary Boundaries and capital readiness</w:t>
      </w:r>
    </w:p>
    <w:p w14:paraId="7CC42FAA"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Planetary-boundary logic may strengthen capital readiness when used correctly.</w:t>
      </w:r>
    </w:p>
    <w:p w14:paraId="0D6598CD"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Capital partners increasingly need to understand ecological risk, transition risk, climate resilience, natural capital dependency, physical risk, and environmental claims reliability.</w:t>
      </w:r>
    </w:p>
    <w:p w14:paraId="0DA3B6AF"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Prometheus may use boundary-aware reporting to show:</w:t>
      </w:r>
    </w:p>
    <w:p w14:paraId="5CA4129E"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how a site reduces ecological pressure;</w:t>
      </w:r>
      <w:r w:rsidRPr="00B479AE">
        <w:rPr>
          <w:rFonts w:ascii="Baskerville Old Face" w:hAnsi="Baskerville Old Face"/>
          <w:i/>
          <w:iCs/>
        </w:rPr>
        <w:br/>
        <w:t>• where risks remain;</w:t>
      </w:r>
      <w:r w:rsidRPr="00B479AE">
        <w:rPr>
          <w:rFonts w:ascii="Baskerville Old Face" w:hAnsi="Baskerville Old Face"/>
          <w:i/>
          <w:iCs/>
        </w:rPr>
        <w:br/>
        <w:t>• which indicators are verified;</w:t>
      </w:r>
      <w:r w:rsidRPr="00B479AE">
        <w:rPr>
          <w:rFonts w:ascii="Baskerville Old Face" w:hAnsi="Baskerville Old Face"/>
          <w:i/>
          <w:iCs/>
        </w:rPr>
        <w:br/>
        <w:t>• which indicators are emerging;</w:t>
      </w:r>
      <w:r w:rsidRPr="00B479AE">
        <w:rPr>
          <w:rFonts w:ascii="Baskerville Old Face" w:hAnsi="Baskerville Old Face"/>
          <w:i/>
          <w:iCs/>
        </w:rPr>
        <w:br/>
        <w:t>• where further investment improves resilience;</w:t>
      </w:r>
      <w:r w:rsidRPr="00B479AE">
        <w:rPr>
          <w:rFonts w:ascii="Baskerville Old Face" w:hAnsi="Baskerville Old Face"/>
          <w:i/>
          <w:iCs/>
        </w:rPr>
        <w:br/>
      </w:r>
      <w:r w:rsidRPr="00B479AE">
        <w:rPr>
          <w:rFonts w:ascii="Baskerville Old Face" w:hAnsi="Baskerville Old Face"/>
          <w:i/>
          <w:iCs/>
        </w:rPr>
        <w:lastRenderedPageBreak/>
        <w:t>• how regenerative intervention affects long-term productive capacity;</w:t>
      </w:r>
      <w:r w:rsidRPr="00B479AE">
        <w:rPr>
          <w:rFonts w:ascii="Baskerville Old Face" w:hAnsi="Baskerville Old Face"/>
          <w:i/>
          <w:iCs/>
        </w:rPr>
        <w:br/>
        <w:t>• how PRU-relevant performance may become more robust over time.</w:t>
      </w:r>
    </w:p>
    <w:p w14:paraId="1D6B1656"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This makes capital more intelligent.</w:t>
      </w:r>
    </w:p>
    <w:p w14:paraId="30449A0A"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It also makes claims more disciplined.</w:t>
      </w:r>
    </w:p>
    <w:p w14:paraId="52D63F55"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A capital-facing boundary report should distinguish:</w:t>
      </w:r>
    </w:p>
    <w:p w14:paraId="00488795"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verified indicators;</w:t>
      </w:r>
      <w:r w:rsidRPr="00B479AE">
        <w:rPr>
          <w:rFonts w:ascii="Baskerville Old Face" w:hAnsi="Baskerville Old Face"/>
          <w:i/>
          <w:iCs/>
        </w:rPr>
        <w:br/>
        <w:t>• preliminary signals;</w:t>
      </w:r>
      <w:r w:rsidRPr="00B479AE">
        <w:rPr>
          <w:rFonts w:ascii="Baskerville Old Face" w:hAnsi="Baskerville Old Face"/>
          <w:i/>
          <w:iCs/>
        </w:rPr>
        <w:br/>
        <w:t>• risk assumptions;</w:t>
      </w:r>
      <w:r w:rsidRPr="00B479AE">
        <w:rPr>
          <w:rFonts w:ascii="Baskerville Old Face" w:hAnsi="Baskerville Old Face"/>
          <w:i/>
          <w:iCs/>
        </w:rPr>
        <w:br/>
        <w:t>• methodology limitations;</w:t>
      </w:r>
      <w:r w:rsidRPr="00B479AE">
        <w:rPr>
          <w:rFonts w:ascii="Baskerville Old Face" w:hAnsi="Baskerville Old Face"/>
          <w:i/>
          <w:iCs/>
        </w:rPr>
        <w:br/>
        <w:t>• scenario analysis;</w:t>
      </w:r>
      <w:r w:rsidRPr="00B479AE">
        <w:rPr>
          <w:rFonts w:ascii="Baskerville Old Face" w:hAnsi="Baskerville Old Face"/>
          <w:i/>
          <w:iCs/>
        </w:rPr>
        <w:br/>
        <w:t>• non-admissible claims;</w:t>
      </w:r>
      <w:r w:rsidRPr="00B479AE">
        <w:rPr>
          <w:rFonts w:ascii="Baskerville Old Face" w:hAnsi="Baskerville Old Face"/>
          <w:i/>
          <w:iCs/>
        </w:rPr>
        <w:br/>
        <w:t>• future research pathways.</w:t>
      </w:r>
    </w:p>
    <w:p w14:paraId="79862196"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Planetary language should increase diligence, not inflate valuation.</w:t>
      </w:r>
    </w:p>
    <w:p w14:paraId="4B7D6017" w14:textId="77777777" w:rsidR="00C53243" w:rsidRPr="00B479AE" w:rsidRDefault="00C53243" w:rsidP="00C53243">
      <w:pPr>
        <w:spacing w:line="360" w:lineRule="auto"/>
        <w:rPr>
          <w:rFonts w:ascii="Baskerville Old Face" w:hAnsi="Baskerville Old Face"/>
          <w:b/>
          <w:bCs/>
          <w:i/>
          <w:iCs/>
        </w:rPr>
      </w:pPr>
      <w:r w:rsidRPr="00B479AE">
        <w:rPr>
          <w:rFonts w:ascii="Baskerville Old Face" w:hAnsi="Baskerville Old Face"/>
          <w:b/>
          <w:bCs/>
          <w:i/>
          <w:iCs/>
        </w:rPr>
        <w:t>K.15 Local knowledge and cultural context</w:t>
      </w:r>
    </w:p>
    <w:p w14:paraId="23DC405A"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Planetary-boundary analysis should not erase local knowledge.</w:t>
      </w:r>
    </w:p>
    <w:p w14:paraId="539D890C"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Local communities, farmers, stewards, indigenous knowledge holders, elders, field workers, and bioregional practitioners may understand patterns invisible to remote systems.</w:t>
      </w:r>
    </w:p>
    <w:p w14:paraId="5D9F6EB8"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Prometheus should include local knowledge where:</w:t>
      </w:r>
    </w:p>
    <w:p w14:paraId="48676F1F"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consent is obtained;</w:t>
      </w:r>
      <w:r w:rsidRPr="00B479AE">
        <w:rPr>
          <w:rFonts w:ascii="Baskerville Old Face" w:hAnsi="Baskerville Old Face"/>
          <w:i/>
          <w:iCs/>
        </w:rPr>
        <w:br/>
        <w:t>• cultural context is respected;</w:t>
      </w:r>
      <w:r w:rsidRPr="00B479AE">
        <w:rPr>
          <w:rFonts w:ascii="Baskerville Old Face" w:hAnsi="Baskerville Old Face"/>
          <w:i/>
          <w:iCs/>
        </w:rPr>
        <w:br/>
        <w:t>• attribution is handled properly;</w:t>
      </w:r>
      <w:r w:rsidRPr="00B479AE">
        <w:rPr>
          <w:rFonts w:ascii="Baskerville Old Face" w:hAnsi="Baskerville Old Face"/>
          <w:i/>
          <w:iCs/>
        </w:rPr>
        <w:br/>
        <w:t>• data sovereignty is considered;</w:t>
      </w:r>
      <w:r w:rsidRPr="00B479AE">
        <w:rPr>
          <w:rFonts w:ascii="Baskerville Old Face" w:hAnsi="Baskerville Old Face"/>
          <w:i/>
          <w:iCs/>
        </w:rPr>
        <w:br/>
        <w:t>• extractive knowledge capture is avoided;</w:t>
      </w:r>
      <w:r w:rsidRPr="00B479AE">
        <w:rPr>
          <w:rFonts w:ascii="Baskerville Old Face" w:hAnsi="Baskerville Old Face"/>
          <w:i/>
          <w:iCs/>
        </w:rPr>
        <w:br/>
        <w:t>• evidence classification remains clear.</w:t>
      </w:r>
    </w:p>
    <w:p w14:paraId="431ECFC7"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Local knowledge may guide:</w:t>
      </w:r>
    </w:p>
    <w:p w14:paraId="1015E521"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indicator selection;</w:t>
      </w:r>
      <w:r w:rsidRPr="00B479AE">
        <w:rPr>
          <w:rFonts w:ascii="Baskerville Old Face" w:hAnsi="Baskerville Old Face"/>
          <w:i/>
          <w:iCs/>
        </w:rPr>
        <w:br/>
        <w:t>• seasonal interpretation;</w:t>
      </w:r>
      <w:r w:rsidRPr="00B479AE">
        <w:rPr>
          <w:rFonts w:ascii="Baskerville Old Face" w:hAnsi="Baskerville Old Face"/>
          <w:i/>
          <w:iCs/>
        </w:rPr>
        <w:br/>
      </w:r>
      <w:r w:rsidRPr="00B479AE">
        <w:rPr>
          <w:rFonts w:ascii="Baskerville Old Face" w:hAnsi="Baskerville Old Face"/>
          <w:i/>
          <w:iCs/>
        </w:rPr>
        <w:lastRenderedPageBreak/>
        <w:t>• water behavior;</w:t>
      </w:r>
      <w:r w:rsidRPr="00B479AE">
        <w:rPr>
          <w:rFonts w:ascii="Baskerville Old Face" w:hAnsi="Baskerville Old Face"/>
          <w:i/>
          <w:iCs/>
        </w:rPr>
        <w:br/>
        <w:t>• species presence;</w:t>
      </w:r>
      <w:r w:rsidRPr="00B479AE">
        <w:rPr>
          <w:rFonts w:ascii="Baskerville Old Face" w:hAnsi="Baskerville Old Face"/>
          <w:i/>
          <w:iCs/>
        </w:rPr>
        <w:br/>
        <w:t>• land-use history;</w:t>
      </w:r>
      <w:r w:rsidRPr="00B479AE">
        <w:rPr>
          <w:rFonts w:ascii="Baskerville Old Face" w:hAnsi="Baskerville Old Face"/>
          <w:i/>
          <w:iCs/>
        </w:rPr>
        <w:br/>
        <w:t>• restoration design;</w:t>
      </w:r>
      <w:r w:rsidRPr="00B479AE">
        <w:rPr>
          <w:rFonts w:ascii="Baskerville Old Face" w:hAnsi="Baskerville Old Face"/>
          <w:i/>
          <w:iCs/>
        </w:rPr>
        <w:br/>
        <w:t>• risk interpretation;</w:t>
      </w:r>
      <w:r w:rsidRPr="00B479AE">
        <w:rPr>
          <w:rFonts w:ascii="Baskerville Old Face" w:hAnsi="Baskerville Old Face"/>
          <w:i/>
          <w:iCs/>
        </w:rPr>
        <w:br/>
        <w:t>• stewardship practice.</w:t>
      </w:r>
    </w:p>
    <w:p w14:paraId="3303E2AE"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Local knowledge is not automatically MRV-admissible.</w:t>
      </w:r>
    </w:p>
    <w:p w14:paraId="371BEFD3"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It is also not inferior.</w:t>
      </w:r>
    </w:p>
    <w:p w14:paraId="45CC377C"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It becomes part of the evidence pathway when structured, consented, contextualized, and reviewed.</w:t>
      </w:r>
    </w:p>
    <w:p w14:paraId="3C8967FF" w14:textId="77777777" w:rsidR="00C53243" w:rsidRPr="00B479AE" w:rsidRDefault="00C53243" w:rsidP="00C53243">
      <w:pPr>
        <w:spacing w:line="360" w:lineRule="auto"/>
        <w:rPr>
          <w:rFonts w:ascii="Baskerville Old Face" w:hAnsi="Baskerville Old Face"/>
          <w:b/>
          <w:bCs/>
          <w:i/>
          <w:iCs/>
        </w:rPr>
      </w:pPr>
      <w:r w:rsidRPr="00B479AE">
        <w:rPr>
          <w:rFonts w:ascii="Baskerville Old Face" w:hAnsi="Baskerville Old Face"/>
          <w:b/>
          <w:bCs/>
          <w:i/>
          <w:iCs/>
        </w:rPr>
        <w:t>K.16 Network-independent planetary continuity</w:t>
      </w:r>
    </w:p>
    <w:p w14:paraId="7E677EEB"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Planetary-boundary and PHI knowledge should be preserved in network-independent forms.</w:t>
      </w:r>
    </w:p>
    <w:p w14:paraId="637D030B"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A Prometheus continuity archive may include:</w:t>
      </w:r>
    </w:p>
    <w:p w14:paraId="4DEA98A2"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local ecological baselines;</w:t>
      </w:r>
      <w:r w:rsidRPr="00B479AE">
        <w:rPr>
          <w:rFonts w:ascii="Baskerville Old Face" w:hAnsi="Baskerville Old Face"/>
          <w:i/>
          <w:iCs/>
        </w:rPr>
        <w:br/>
        <w:t>• bioregional maps;</w:t>
      </w:r>
      <w:r w:rsidRPr="00B479AE">
        <w:rPr>
          <w:rFonts w:ascii="Baskerville Old Face" w:hAnsi="Baskerville Old Face"/>
          <w:i/>
          <w:iCs/>
        </w:rPr>
        <w:br/>
        <w:t>• seed and species lists;</w:t>
      </w:r>
      <w:r w:rsidRPr="00B479AE">
        <w:rPr>
          <w:rFonts w:ascii="Baskerville Old Face" w:hAnsi="Baskerville Old Face"/>
          <w:i/>
          <w:iCs/>
        </w:rPr>
        <w:br/>
        <w:t>• soil and water records;</w:t>
      </w:r>
      <w:r w:rsidRPr="00B479AE">
        <w:rPr>
          <w:rFonts w:ascii="Baskerville Old Face" w:hAnsi="Baskerville Old Face"/>
          <w:i/>
          <w:iCs/>
        </w:rPr>
        <w:br/>
        <w:t>• climate-risk notes;</w:t>
      </w:r>
      <w:r w:rsidRPr="00B479AE">
        <w:rPr>
          <w:rFonts w:ascii="Baskerville Old Face" w:hAnsi="Baskerville Old Face"/>
          <w:i/>
          <w:iCs/>
        </w:rPr>
        <w:br/>
        <w:t>• agroecological designs;</w:t>
      </w:r>
      <w:r w:rsidRPr="00B479AE">
        <w:rPr>
          <w:rFonts w:ascii="Baskerville Old Face" w:hAnsi="Baskerville Old Face"/>
          <w:i/>
          <w:iCs/>
        </w:rPr>
        <w:br/>
        <w:t>• syntropic succession plans;</w:t>
      </w:r>
      <w:r w:rsidRPr="00B479AE">
        <w:rPr>
          <w:rFonts w:ascii="Baskerville Old Face" w:hAnsi="Baskerville Old Face"/>
          <w:i/>
          <w:iCs/>
        </w:rPr>
        <w:br/>
        <w:t>• restoration protocols;</w:t>
      </w:r>
      <w:r w:rsidRPr="00B479AE">
        <w:rPr>
          <w:rFonts w:ascii="Baskerville Old Face" w:hAnsi="Baskerville Old Face"/>
          <w:i/>
          <w:iCs/>
        </w:rPr>
        <w:br/>
        <w:t>• MRV methods;</w:t>
      </w:r>
      <w:r w:rsidRPr="00B479AE">
        <w:rPr>
          <w:rFonts w:ascii="Baskerville Old Face" w:hAnsi="Baskerville Old Face"/>
          <w:i/>
          <w:iCs/>
        </w:rPr>
        <w:br/>
        <w:t>• PHI domain definitions;</w:t>
      </w:r>
      <w:r w:rsidRPr="00B479AE">
        <w:rPr>
          <w:rFonts w:ascii="Baskerville Old Face" w:hAnsi="Baskerville Old Face"/>
          <w:i/>
          <w:iCs/>
        </w:rPr>
        <w:br/>
        <w:t>• planetary-boundary educational materials;</w:t>
      </w:r>
      <w:r w:rsidRPr="00B479AE">
        <w:rPr>
          <w:rFonts w:ascii="Baskerville Old Face" w:hAnsi="Baskerville Old Face"/>
          <w:i/>
          <w:iCs/>
        </w:rPr>
        <w:br/>
        <w:t>• local-language stewardship manuals;</w:t>
      </w:r>
      <w:r w:rsidRPr="00B479AE">
        <w:rPr>
          <w:rFonts w:ascii="Baskerville Old Face" w:hAnsi="Baskerville Old Face"/>
          <w:i/>
          <w:iCs/>
        </w:rPr>
        <w:br/>
        <w:t>• printed field protocols;</w:t>
      </w:r>
      <w:r w:rsidRPr="00B479AE">
        <w:rPr>
          <w:rFonts w:ascii="Baskerville Old Face" w:hAnsi="Baskerville Old Face"/>
          <w:i/>
          <w:iCs/>
        </w:rPr>
        <w:br/>
        <w:t>• offline datasets;</w:t>
      </w:r>
      <w:r w:rsidRPr="00B479AE">
        <w:rPr>
          <w:rFonts w:ascii="Baskerville Old Face" w:hAnsi="Baskerville Old Face"/>
          <w:i/>
          <w:iCs/>
        </w:rPr>
        <w:br/>
        <w:t>• institutional archive copies.</w:t>
      </w:r>
    </w:p>
    <w:p w14:paraId="3BEE5E50"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If the network fails, ecological memory must remain.</w:t>
      </w:r>
    </w:p>
    <w:p w14:paraId="42A4E646"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A community should be able to continue stewardship with:</w:t>
      </w:r>
    </w:p>
    <w:p w14:paraId="4B22E2A5"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lastRenderedPageBreak/>
        <w:t>paper maps;</w:t>
      </w:r>
      <w:r w:rsidRPr="00B479AE">
        <w:rPr>
          <w:rFonts w:ascii="Baskerville Old Face" w:hAnsi="Baskerville Old Face"/>
          <w:i/>
          <w:iCs/>
        </w:rPr>
        <w:br/>
        <w:t>field notebooks;</w:t>
      </w:r>
      <w:r w:rsidRPr="00B479AE">
        <w:rPr>
          <w:rFonts w:ascii="Baskerville Old Face" w:hAnsi="Baskerville Old Face"/>
          <w:i/>
          <w:iCs/>
        </w:rPr>
        <w:br/>
        <w:t>seed archives;</w:t>
      </w:r>
      <w:r w:rsidRPr="00B479AE">
        <w:rPr>
          <w:rFonts w:ascii="Baskerville Old Face" w:hAnsi="Baskerville Old Face"/>
          <w:i/>
          <w:iCs/>
        </w:rPr>
        <w:br/>
        <w:t>soil knowledge;</w:t>
      </w:r>
      <w:r w:rsidRPr="00B479AE">
        <w:rPr>
          <w:rFonts w:ascii="Baskerville Old Face" w:hAnsi="Baskerville Old Face"/>
          <w:i/>
          <w:iCs/>
        </w:rPr>
        <w:br/>
        <w:t>water knowledge;</w:t>
      </w:r>
      <w:r w:rsidRPr="00B479AE">
        <w:rPr>
          <w:rFonts w:ascii="Baskerville Old Face" w:hAnsi="Baskerville Old Face"/>
          <w:i/>
          <w:iCs/>
        </w:rPr>
        <w:br/>
        <w:t>local governance memory;</w:t>
      </w:r>
      <w:r w:rsidRPr="00B479AE">
        <w:rPr>
          <w:rFonts w:ascii="Baskerville Old Face" w:hAnsi="Baskerville Old Face"/>
          <w:i/>
          <w:iCs/>
        </w:rPr>
        <w:br/>
        <w:t>offline MRV forms;</w:t>
      </w:r>
      <w:r w:rsidRPr="00B479AE">
        <w:rPr>
          <w:rFonts w:ascii="Baskerville Old Face" w:hAnsi="Baskerville Old Face"/>
          <w:i/>
          <w:iCs/>
        </w:rPr>
        <w:br/>
        <w:t>and a verified canonical package.</w:t>
      </w:r>
    </w:p>
    <w:p w14:paraId="145DBE45"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Prometheus survives when ecological intelligence can still be practiced without a dashboard.</w:t>
      </w:r>
    </w:p>
    <w:p w14:paraId="5169A6DA" w14:textId="77777777" w:rsidR="00C53243" w:rsidRPr="00B479AE" w:rsidRDefault="00C53243" w:rsidP="00C53243">
      <w:pPr>
        <w:spacing w:line="360" w:lineRule="auto"/>
        <w:rPr>
          <w:rFonts w:ascii="Baskerville Old Face" w:hAnsi="Baskerville Old Face"/>
          <w:b/>
          <w:bCs/>
          <w:i/>
          <w:iCs/>
        </w:rPr>
      </w:pPr>
      <w:r w:rsidRPr="00B479AE">
        <w:rPr>
          <w:rFonts w:ascii="Baskerville Old Face" w:hAnsi="Baskerville Old Face"/>
          <w:b/>
          <w:bCs/>
          <w:i/>
          <w:iCs/>
        </w:rPr>
        <w:t>K.17 Suggested PHI record schema</w:t>
      </w:r>
    </w:p>
    <w:p w14:paraId="5D32CD30"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A simplified PHI record may include:</w:t>
      </w:r>
    </w:p>
    <w:p w14:paraId="00F69C08"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w:t>
      </w:r>
    </w:p>
    <w:p w14:paraId="0FCCA079"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"phi_record_id": "phi_record_0001",</w:t>
      </w:r>
    </w:p>
    <w:p w14:paraId="3834F2F6"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"site_id": "ohe_or_project_reference",</w:t>
      </w:r>
    </w:p>
    <w:p w14:paraId="6259A4C3"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"bioregion": "bioregional_reference",</w:t>
      </w:r>
    </w:p>
    <w:p w14:paraId="2412C9D2"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"methodology_version": "phi_method_v1.0",</w:t>
      </w:r>
    </w:p>
    <w:p w14:paraId="7FD5563A"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"assessment_date": "2026-01-01",</w:t>
      </w:r>
    </w:p>
    <w:p w14:paraId="3659E037"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"domains": [</w:t>
      </w:r>
    </w:p>
    <w:p w14:paraId="30FB5C3F"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w:t>
      </w:r>
    </w:p>
    <w:p w14:paraId="360EB48E"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"domain": "soil_vitality",</w:t>
      </w:r>
    </w:p>
    <w:p w14:paraId="6D3172FD"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"indicator": "soil_organic_matter",</w:t>
      </w:r>
    </w:p>
    <w:p w14:paraId="1D155816"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"value": 3.2,</w:t>
      </w:r>
    </w:p>
    <w:p w14:paraId="56E1075A"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"unit": "%",</w:t>
      </w:r>
    </w:p>
    <w:p w14:paraId="11E3ECDA"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"evidence_status": "evidence",</w:t>
      </w:r>
    </w:p>
    <w:p w14:paraId="700222E9"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lastRenderedPageBreak/>
        <w:t xml:space="preserve">      "confidence": 0.76,</w:t>
      </w:r>
    </w:p>
    <w:p w14:paraId="1D023BEF"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"review_status": "internal_review",</w:t>
      </w:r>
    </w:p>
    <w:p w14:paraId="79C1F9E4"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"data_reference": "mrv_record_hash"</w:t>
      </w:r>
    </w:p>
    <w:p w14:paraId="219C9744"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w:t>
      </w:r>
    </w:p>
    <w:p w14:paraId="0F63D3DD"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w:t>
      </w:r>
    </w:p>
    <w:p w14:paraId="03C375B1"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"boundary_pressure_profile": {</w:t>
      </w:r>
    </w:p>
    <w:p w14:paraId="7C86C7D0"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"climate_change": "pressure_reducing",</w:t>
      </w:r>
    </w:p>
    <w:p w14:paraId="59AC5F76"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"biosphere_integrity": "pressure_uncertain",</w:t>
      </w:r>
    </w:p>
    <w:p w14:paraId="44D71718"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"freshwater_change": "pressure_reducing"</w:t>
      </w:r>
    </w:p>
    <w:p w14:paraId="0A9DDCC6"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w:t>
      </w:r>
    </w:p>
    <w:p w14:paraId="652B3E5E"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"limitations": [</w:t>
      </w:r>
    </w:p>
    <w:p w14:paraId="47047CF5"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"Biodiversity survey incomplete"</w:t>
      </w:r>
    </w:p>
    <w:p w14:paraId="123A908F"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w:t>
      </w:r>
    </w:p>
    <w:p w14:paraId="6BC87159"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"permitted_use": "pilot_comparison_only",</w:t>
      </w:r>
    </w:p>
    <w:p w14:paraId="03B15467"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 xml:space="preserve">  "pru_relevance": "not_yet_pru_eligible"</w:t>
      </w:r>
    </w:p>
    <w:p w14:paraId="44FFAAA4"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w:t>
      </w:r>
    </w:p>
    <w:p w14:paraId="1F422A66"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This schema is illustrative.</w:t>
      </w:r>
    </w:p>
    <w:p w14:paraId="48615635"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The operative schema should be versioned, tested, and aligned with the MRV methodology.</w:t>
      </w:r>
    </w:p>
    <w:p w14:paraId="63BBC31A" w14:textId="77777777" w:rsidR="00C53243" w:rsidRPr="00B479AE" w:rsidRDefault="00C53243" w:rsidP="00C53243">
      <w:pPr>
        <w:spacing w:line="360" w:lineRule="auto"/>
        <w:rPr>
          <w:rFonts w:ascii="Baskerville Old Face" w:hAnsi="Baskerville Old Face"/>
          <w:b/>
          <w:bCs/>
          <w:i/>
          <w:iCs/>
        </w:rPr>
      </w:pPr>
      <w:r w:rsidRPr="00B479AE">
        <w:rPr>
          <w:rFonts w:ascii="Baskerville Old Face" w:hAnsi="Baskerville Old Face"/>
          <w:b/>
          <w:bCs/>
          <w:i/>
          <w:iCs/>
        </w:rPr>
        <w:t>K.18 Final planetary-boundary principle</w:t>
      </w:r>
    </w:p>
    <w:p w14:paraId="3538B455"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Prometheus uses planetary-boundary logic to remember scale.</w:t>
      </w:r>
    </w:p>
    <w:p w14:paraId="5B6AEC55"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It uses bioregional interpretation to remember place.</w:t>
      </w:r>
    </w:p>
    <w:p w14:paraId="2FF94F59"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It uses PHI to organize ecological intelligence.</w:t>
      </w:r>
    </w:p>
    <w:p w14:paraId="0A65D457"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lastRenderedPageBreak/>
        <w:t>It uses MRV to verify evidence.</w:t>
      </w:r>
    </w:p>
    <w:p w14:paraId="7F8FBA42"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It uses PRU to translate verified regeneration into value logic.</w:t>
      </w:r>
    </w:p>
    <w:p w14:paraId="47E98012"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It uses RAP to aggregate only what is mature enough to be aggregated.</w:t>
      </w:r>
    </w:p>
    <w:p w14:paraId="63E30363"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It uses governance to keep these layers distinct.</w:t>
      </w:r>
    </w:p>
    <w:p w14:paraId="1705C66F"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The final principle is:</w:t>
      </w:r>
    </w:p>
    <w:p w14:paraId="539A3F27"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the planet gives context;</w:t>
      </w:r>
      <w:r w:rsidRPr="00B479AE">
        <w:rPr>
          <w:rFonts w:ascii="Baskerville Old Face" w:hAnsi="Baskerville Old Face"/>
          <w:i/>
          <w:iCs/>
        </w:rPr>
        <w:br/>
        <w:t>the bioregion gives meaning;</w:t>
      </w:r>
      <w:r w:rsidRPr="00B479AE">
        <w:rPr>
          <w:rFonts w:ascii="Baskerville Old Face" w:hAnsi="Baskerville Old Face"/>
          <w:i/>
          <w:iCs/>
        </w:rPr>
        <w:br/>
        <w:t>the field gives evidence;</w:t>
      </w:r>
      <w:r w:rsidRPr="00B479AE">
        <w:rPr>
          <w:rFonts w:ascii="Baskerville Old Face" w:hAnsi="Baskerville Old Face"/>
          <w:i/>
          <w:iCs/>
        </w:rPr>
        <w:br/>
        <w:t>MRV gives verification;</w:t>
      </w:r>
      <w:r w:rsidRPr="00B479AE">
        <w:rPr>
          <w:rFonts w:ascii="Baskerville Old Face" w:hAnsi="Baskerville Old Face"/>
          <w:i/>
          <w:iCs/>
        </w:rPr>
        <w:br/>
        <w:t>PRU gives value discipline;</w:t>
      </w:r>
      <w:r w:rsidRPr="00B479AE">
        <w:rPr>
          <w:rFonts w:ascii="Baskerville Old Face" w:hAnsi="Baskerville Old Face"/>
          <w:i/>
          <w:iCs/>
        </w:rPr>
        <w:br/>
        <w:t>capital follows what life has made real.</w:t>
      </w:r>
    </w:p>
    <w:p w14:paraId="5F75A929" w14:textId="77777777" w:rsidR="00C53243" w:rsidRPr="00B479AE" w:rsidRDefault="00C53243" w:rsidP="00C53243">
      <w:pPr>
        <w:spacing w:line="360" w:lineRule="auto"/>
        <w:rPr>
          <w:rFonts w:ascii="Baskerville Old Face" w:hAnsi="Baskerville Old Face"/>
          <w:i/>
          <w:iCs/>
        </w:rPr>
      </w:pPr>
      <w:r w:rsidRPr="00B479AE">
        <w:rPr>
          <w:rFonts w:ascii="Baskerville Old Face" w:hAnsi="Baskerville Old Face"/>
          <w:i/>
          <w:iCs/>
        </w:rPr>
        <w:t>Prometheus is planetary in awareness, bioregional in interpretation, local in evidence, and constitutional in fidelity.</w:t>
      </w:r>
    </w:p>
    <w:p w14:paraId="1CC2B9FF" w14:textId="77777777" w:rsidR="004E7C51" w:rsidRPr="00EF369E" w:rsidRDefault="004E7C51" w:rsidP="00EF369E">
      <w:pPr>
        <w:pStyle w:val="Titolo1"/>
        <w:rPr>
          <w:rFonts w:ascii="Baskerville Old Face" w:hAnsi="Baskerville Old Face"/>
          <w:b/>
          <w:bCs/>
          <w:i/>
          <w:iCs/>
          <w:sz w:val="24"/>
          <w:szCs w:val="24"/>
          <w:lang w:val="it-IT"/>
        </w:rPr>
      </w:pPr>
      <w:r w:rsidRPr="00EF369E">
        <w:rPr>
          <w:rFonts w:ascii="Baskerville Old Face" w:hAnsi="Baskerville Old Face"/>
          <w:b/>
          <w:bCs/>
          <w:i/>
          <w:iCs/>
          <w:sz w:val="24"/>
          <w:szCs w:val="24"/>
          <w:lang w:val="it-IT"/>
        </w:rPr>
        <w:t>Appendix L: Integration Zome API Documentation</w:t>
      </w:r>
    </w:p>
    <w:p w14:paraId="756639B6"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t>L.1 Overview</w:t>
      </w:r>
    </w:p>
    <w:p w14:paraId="6DC0DF4B"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The Integration Zome is the controlled interface layer through which external systems, dashboards, applications, data services, institutional tools, MRV pipelines, and partner systems may interact with the h•eart•h Prometheus ecosystem.</w:t>
      </w:r>
    </w:p>
    <w:p w14:paraId="1B433AE8"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Its purpose is not to create unrestricted external access.</w:t>
      </w:r>
    </w:p>
    <w:p w14:paraId="7D379717"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Its purpose is to provide structured, authenticated, review-bound, and constitutionally constrained integration pathways for data ingestion, evidence retrieval, query execution, operational reporting, governance interaction, and future interoperability.</w:t>
      </w:r>
    </w:p>
    <w:p w14:paraId="58AC5221"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The Integration Zome should preserve the following principles:</w:t>
      </w:r>
    </w:p>
    <w:p w14:paraId="65D790BB"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source-layer fidelity;</w:t>
      </w:r>
    </w:p>
    <w:p w14:paraId="19D8407C"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agent sovereignty;</w:t>
      </w:r>
    </w:p>
    <w:p w14:paraId="182E93C4"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lastRenderedPageBreak/>
        <w:t>• privacy and purpose limitation;</w:t>
      </w:r>
    </w:p>
    <w:p w14:paraId="4DE77AF4"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syntropic sovereignty header validation;</w:t>
      </w:r>
    </w:p>
    <w:p w14:paraId="4464B7AF"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MRV provenance;</w:t>
      </w:r>
    </w:p>
    <w:p w14:paraId="66E794A1"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no-double-counting discipline;</w:t>
      </w:r>
    </w:p>
    <w:p w14:paraId="5D3DDF72"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public-claim boundaries;</w:t>
      </w:r>
    </w:p>
    <w:p w14:paraId="29B1F507"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token-boundary separation;</w:t>
      </w:r>
    </w:p>
    <w:p w14:paraId="2B11D480"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legal and jurisdictional review where relevant;</w:t>
      </w:r>
    </w:p>
    <w:p w14:paraId="66120CDD"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Holochain-compatible agent-centric operation;</w:t>
      </w:r>
    </w:p>
    <w:p w14:paraId="5D84565F"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review before protected-domain action.</w:t>
      </w:r>
    </w:p>
    <w:p w14:paraId="38F25D6B"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The Integration Zome is designed to be protocol-flexible.</w:t>
      </w:r>
    </w:p>
    <w:p w14:paraId="44F6A2B8"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It may support REST, GraphQL, gRPC, webhooks, signed agent calls, internal bridge calls, and future integration methods where appropriate.</w:t>
      </w:r>
    </w:p>
    <w:p w14:paraId="44CD464F"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However, protocol flexibility does not mean authority flexibility.</w:t>
      </w:r>
    </w:p>
    <w:p w14:paraId="120F19E5"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All external requests remain subject to defined authentication, authorization, validation, rate limiting, logging, constitutional constraints, and protected-domain review.</w:t>
      </w:r>
    </w:p>
    <w:p w14:paraId="68612DD2"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The Integration Zome should be understood as a gateway to reviewable interoperability, not as a gateway to automatic rights, token issuance, financial execution, certification, PRU value creation, or legal status.</w:t>
      </w:r>
    </w:p>
    <w:p w14:paraId="7327C400" w14:textId="3B3E2B83"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xml:space="preserve">The integration architecture may support the following API paradigms: </w:t>
      </w:r>
    </w:p>
    <w:p w14:paraId="4775973A" w14:textId="77777777" w:rsidR="004E7C51" w:rsidRPr="00B479AE" w:rsidRDefault="004E7C51" w:rsidP="004E7C51">
      <w:pPr>
        <w:tabs>
          <w:tab w:val="left" w:pos="2685"/>
        </w:tabs>
        <w:spacing w:line="360" w:lineRule="auto"/>
        <w:rPr>
          <w:rFonts w:ascii="Baskerville Old Face" w:hAnsi="Baskerville Old Face"/>
          <w:i/>
          <w:iCs/>
        </w:rPr>
      </w:pPr>
    </w:p>
    <w:p w14:paraId="39560CEE" w14:textId="77777777" w:rsidR="004E7C51" w:rsidRPr="00B479AE" w:rsidRDefault="004E7C51" w:rsidP="004E7C51">
      <w:pPr>
        <w:tabs>
          <w:tab w:val="left" w:pos="2685"/>
        </w:tabs>
        <w:spacing w:line="360" w:lineRule="auto"/>
        <w:rPr>
          <w:rFonts w:ascii="Baskerville Old Face" w:hAnsi="Baskerville Old Face"/>
          <w:i/>
          <w:iCs/>
        </w:rPr>
      </w:pPr>
    </w:p>
    <w:p w14:paraId="2CD031C3" w14:textId="77777777" w:rsidR="004E7C51" w:rsidRPr="00B479AE" w:rsidRDefault="004E7C51" w:rsidP="004E7C51">
      <w:pPr>
        <w:tabs>
          <w:tab w:val="left" w:pos="2685"/>
        </w:tabs>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7"/>
        <w:gridCol w:w="3057"/>
        <w:gridCol w:w="2658"/>
        <w:gridCol w:w="2656"/>
      </w:tblGrid>
      <w:tr w:rsidR="004E7C51" w:rsidRPr="00B479AE" w14:paraId="376703FA" w14:textId="77777777" w:rsidTr="004E7C51">
        <w:trPr>
          <w:tblHeader/>
          <w:tblCellSpacing w:w="15" w:type="dxa"/>
        </w:trPr>
        <w:tc>
          <w:tcPr>
            <w:tcW w:w="0" w:type="auto"/>
            <w:vAlign w:val="center"/>
            <w:hideMark/>
          </w:tcPr>
          <w:p w14:paraId="579737B9" w14:textId="77777777" w:rsidR="004E7C51" w:rsidRPr="00B479AE" w:rsidRDefault="004E7C51" w:rsidP="004E7C51">
            <w:pPr>
              <w:tabs>
                <w:tab w:val="left" w:pos="2685"/>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Protocol</w:t>
            </w:r>
          </w:p>
        </w:tc>
        <w:tc>
          <w:tcPr>
            <w:tcW w:w="0" w:type="auto"/>
            <w:vAlign w:val="center"/>
            <w:hideMark/>
          </w:tcPr>
          <w:p w14:paraId="5F419AA2" w14:textId="77777777" w:rsidR="004E7C51" w:rsidRPr="00B479AE" w:rsidRDefault="004E7C51" w:rsidP="004E7C51">
            <w:pPr>
              <w:tabs>
                <w:tab w:val="left" w:pos="2685"/>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Primary use case</w:t>
            </w:r>
          </w:p>
        </w:tc>
        <w:tc>
          <w:tcPr>
            <w:tcW w:w="0" w:type="auto"/>
            <w:vAlign w:val="center"/>
            <w:hideMark/>
          </w:tcPr>
          <w:p w14:paraId="72D61E4D" w14:textId="77777777" w:rsidR="004E7C51" w:rsidRPr="00B479AE" w:rsidRDefault="004E7C51" w:rsidP="004E7C51">
            <w:pPr>
              <w:tabs>
                <w:tab w:val="left" w:pos="2685"/>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Advantages</w:t>
            </w:r>
          </w:p>
        </w:tc>
        <w:tc>
          <w:tcPr>
            <w:tcW w:w="0" w:type="auto"/>
            <w:vAlign w:val="center"/>
            <w:hideMark/>
          </w:tcPr>
          <w:p w14:paraId="1B556DEE" w14:textId="77777777" w:rsidR="004E7C51" w:rsidRPr="00B479AE" w:rsidRDefault="004E7C51" w:rsidP="004E7C51">
            <w:pPr>
              <w:tabs>
                <w:tab w:val="left" w:pos="2685"/>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Boundary</w:t>
            </w:r>
          </w:p>
        </w:tc>
      </w:tr>
      <w:tr w:rsidR="004E7C51" w:rsidRPr="00B479AE" w14:paraId="41A84AEA" w14:textId="77777777" w:rsidTr="004E7C51">
        <w:trPr>
          <w:tblCellSpacing w:w="15" w:type="dxa"/>
        </w:trPr>
        <w:tc>
          <w:tcPr>
            <w:tcW w:w="0" w:type="auto"/>
            <w:vAlign w:val="center"/>
            <w:hideMark/>
          </w:tcPr>
          <w:p w14:paraId="0610505C"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REST</w:t>
            </w:r>
          </w:p>
        </w:tc>
        <w:tc>
          <w:tcPr>
            <w:tcW w:w="0" w:type="auto"/>
            <w:vAlign w:val="center"/>
            <w:hideMark/>
          </w:tcPr>
          <w:p w14:paraId="3AE7984A"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Simple data retrieval, public reports, webhook integrations, legacy-system connectivity, operational status endpoints</w:t>
            </w:r>
          </w:p>
        </w:tc>
        <w:tc>
          <w:tcPr>
            <w:tcW w:w="0" w:type="auto"/>
            <w:vAlign w:val="center"/>
            <w:hideMark/>
          </w:tcPr>
          <w:p w14:paraId="61CA1191"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Universal compatibility, stateless operation, cacheable responses, broad developer familiarity</w:t>
            </w:r>
          </w:p>
        </w:tc>
        <w:tc>
          <w:tcPr>
            <w:tcW w:w="0" w:type="auto"/>
            <w:vAlign w:val="center"/>
            <w:hideMark/>
          </w:tcPr>
          <w:p w14:paraId="2010DAD8"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Suitable for low-risk and clearly bounded access; not sufficient by itself for protected-domain actions</w:t>
            </w:r>
          </w:p>
        </w:tc>
      </w:tr>
      <w:tr w:rsidR="004E7C51" w:rsidRPr="00B479AE" w14:paraId="0237B621" w14:textId="77777777" w:rsidTr="004E7C51">
        <w:trPr>
          <w:tblCellSpacing w:w="15" w:type="dxa"/>
        </w:trPr>
        <w:tc>
          <w:tcPr>
            <w:tcW w:w="0" w:type="auto"/>
            <w:vAlign w:val="center"/>
            <w:hideMark/>
          </w:tcPr>
          <w:p w14:paraId="704EC08E"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GraphQL</w:t>
            </w:r>
          </w:p>
        </w:tc>
        <w:tc>
          <w:tcPr>
            <w:tcW w:w="0" w:type="auto"/>
            <w:vAlign w:val="center"/>
            <w:hideMark/>
          </w:tcPr>
          <w:p w14:paraId="183E07B7"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Complex queries, dashboards, filtered reporting, internal tools, visualization interfaces</w:t>
            </w:r>
          </w:p>
        </w:tc>
        <w:tc>
          <w:tcPr>
            <w:tcW w:w="0" w:type="auto"/>
            <w:vAlign w:val="center"/>
            <w:hideMark/>
          </w:tcPr>
          <w:p w14:paraId="1EBAC256"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Efficient data fetching, typed schemas, flexible aggregation, subscription support</w:t>
            </w:r>
          </w:p>
        </w:tc>
        <w:tc>
          <w:tcPr>
            <w:tcW w:w="0" w:type="auto"/>
            <w:vAlign w:val="center"/>
            <w:hideMark/>
          </w:tcPr>
          <w:p w14:paraId="7DBE2253"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Query scope must respect permissions, privacy, disclosure classification, and public-claim boundaries</w:t>
            </w:r>
          </w:p>
        </w:tc>
      </w:tr>
      <w:tr w:rsidR="004E7C51" w:rsidRPr="00B479AE" w14:paraId="71AE6263" w14:textId="77777777" w:rsidTr="004E7C51">
        <w:trPr>
          <w:tblCellSpacing w:w="15" w:type="dxa"/>
        </w:trPr>
        <w:tc>
          <w:tcPr>
            <w:tcW w:w="0" w:type="auto"/>
            <w:vAlign w:val="center"/>
            <w:hideMark/>
          </w:tcPr>
          <w:p w14:paraId="2E52B9BA"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gRPC</w:t>
            </w:r>
          </w:p>
        </w:tc>
        <w:tc>
          <w:tcPr>
            <w:tcW w:w="0" w:type="auto"/>
            <w:vAlign w:val="center"/>
            <w:hideMark/>
          </w:tcPr>
          <w:p w14:paraId="36ABCEB8"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High-throughput data exchange, inter-service communication, sensor ingestion, internal bridge communication</w:t>
            </w:r>
          </w:p>
        </w:tc>
        <w:tc>
          <w:tcPr>
            <w:tcW w:w="0" w:type="auto"/>
            <w:vAlign w:val="center"/>
            <w:hideMark/>
          </w:tcPr>
          <w:p w14:paraId="78263185"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Streaming support, strong typing, high performance, suitable for infrastructure-level integration</w:t>
            </w:r>
          </w:p>
        </w:tc>
        <w:tc>
          <w:tcPr>
            <w:tcW w:w="0" w:type="auto"/>
            <w:vAlign w:val="center"/>
            <w:hideMark/>
          </w:tcPr>
          <w:p w14:paraId="6C46C2DC"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Best used for authenticated infrastructure services and not as a public authority layer</w:t>
            </w:r>
          </w:p>
        </w:tc>
      </w:tr>
      <w:tr w:rsidR="004E7C51" w:rsidRPr="00B479AE" w14:paraId="0F7561DA" w14:textId="77777777" w:rsidTr="004E7C51">
        <w:trPr>
          <w:tblCellSpacing w:w="15" w:type="dxa"/>
        </w:trPr>
        <w:tc>
          <w:tcPr>
            <w:tcW w:w="0" w:type="auto"/>
            <w:vAlign w:val="center"/>
            <w:hideMark/>
          </w:tcPr>
          <w:p w14:paraId="4A016288"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Signed Holochain calls</w:t>
            </w:r>
          </w:p>
        </w:tc>
        <w:tc>
          <w:tcPr>
            <w:tcW w:w="0" w:type="auto"/>
            <w:vAlign w:val="center"/>
            <w:hideMark/>
          </w:tcPr>
          <w:p w14:paraId="322DCAE8"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Agent-centric operations, source-chain actions, DHT-published records, governance-relevant events</w:t>
            </w:r>
          </w:p>
        </w:tc>
        <w:tc>
          <w:tcPr>
            <w:tcW w:w="0" w:type="auto"/>
            <w:vAlign w:val="center"/>
            <w:hideMark/>
          </w:tcPr>
          <w:p w14:paraId="21CDF568"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Cryptographic identity, agent sovereignty, contextual validation, source-chain integrity</w:t>
            </w:r>
          </w:p>
        </w:tc>
        <w:tc>
          <w:tcPr>
            <w:tcW w:w="0" w:type="auto"/>
            <w:vAlign w:val="center"/>
            <w:hideMark/>
          </w:tcPr>
          <w:p w14:paraId="754C696D"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Required for actions that affect agent records, governance records, MRV evidence, or protected status</w:t>
            </w:r>
          </w:p>
        </w:tc>
      </w:tr>
      <w:tr w:rsidR="004E7C51" w:rsidRPr="00B479AE" w14:paraId="57DFD7AF" w14:textId="77777777" w:rsidTr="004E7C51">
        <w:trPr>
          <w:tblCellSpacing w:w="15" w:type="dxa"/>
        </w:trPr>
        <w:tc>
          <w:tcPr>
            <w:tcW w:w="0" w:type="auto"/>
            <w:vAlign w:val="center"/>
            <w:hideMark/>
          </w:tcPr>
          <w:p w14:paraId="2537A75D"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Webhooks</w:t>
            </w:r>
          </w:p>
        </w:tc>
        <w:tc>
          <w:tcPr>
            <w:tcW w:w="0" w:type="auto"/>
            <w:vAlign w:val="center"/>
            <w:hideMark/>
          </w:tcPr>
          <w:p w14:paraId="631C52FB"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Asynchronous notifications for external systems, dashboards, partners, auditors, and operational monitors</w:t>
            </w:r>
          </w:p>
        </w:tc>
        <w:tc>
          <w:tcPr>
            <w:tcW w:w="0" w:type="auto"/>
            <w:vAlign w:val="center"/>
            <w:hideMark/>
          </w:tcPr>
          <w:p w14:paraId="50A849DD"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Event-driven integration, near-real-time updates, system interoperability</w:t>
            </w:r>
          </w:p>
        </w:tc>
        <w:tc>
          <w:tcPr>
            <w:tcW w:w="0" w:type="auto"/>
            <w:vAlign w:val="center"/>
            <w:hideMark/>
          </w:tcPr>
          <w:p w14:paraId="63268597"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Webhooks notify; they do not authorize protected-domain action by themselves</w:t>
            </w:r>
          </w:p>
        </w:tc>
      </w:tr>
    </w:tbl>
    <w:p w14:paraId="416228A5"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All API and integration pathways should validate syntropic sovereignty header requirements where applicable.</w:t>
      </w:r>
    </w:p>
    <w:p w14:paraId="6DBE1423"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The syntropic sovereignty header ensures that requests, records, responses, and data packets remain connected to the constitutional principles of Prometheus, including non-commodification of life, agent sovereignty, source-layer constraints, evidence discipline, and the spiral of abundance.</w:t>
      </w:r>
    </w:p>
    <w:p w14:paraId="30176685"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t>L.2 Authentication and Authorization</w:t>
      </w:r>
    </w:p>
    <w:p w14:paraId="0CC4D410"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All non-public API requests should be authenticated and authorized.</w:t>
      </w:r>
    </w:p>
    <w:p w14:paraId="760811D2"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lastRenderedPageBreak/>
        <w:t>Authentication identifies the caller.</w:t>
      </w:r>
    </w:p>
    <w:p w14:paraId="2EA0A558"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Authorization determines what the caller is permitted to do.</w:t>
      </w:r>
    </w:p>
    <w:p w14:paraId="63F3E4C7"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Prometheus should treat authentication and authorization as separate controls.</w:t>
      </w:r>
    </w:p>
    <w:p w14:paraId="1E9C8EE5"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A valid identity does not automatically create permission.</w:t>
      </w:r>
    </w:p>
    <w:p w14:paraId="7722B08B"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A valid API key does not automatically create governance authority.</w:t>
      </w:r>
    </w:p>
    <w:p w14:paraId="08DBBE09"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A valid partner credential does not automatically create public-claim authority.</w:t>
      </w:r>
    </w:p>
    <w:p w14:paraId="7116045B"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A valid investor-data-room credential does not automatically create investor entitlement.</w:t>
      </w:r>
    </w:p>
    <w:p w14:paraId="74B213E3"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A valid system token does not automatically authorize protected-domain actions.</w:t>
      </w:r>
    </w:p>
    <w:p w14:paraId="6EB1DCFB"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t>L.2.1 Authentication Methods</w:t>
      </w:r>
    </w:p>
    <w:p w14:paraId="38776A37"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The Integration Zome may support multiple authentication methods, each appropriate for different risk levels and use cases.</w:t>
      </w:r>
    </w:p>
    <w:p w14:paraId="48F62BBC" w14:textId="77777777" w:rsidR="004E7C51" w:rsidRPr="00B479AE" w:rsidRDefault="004E7C51" w:rsidP="004E7C51">
      <w:pPr>
        <w:tabs>
          <w:tab w:val="left" w:pos="2685"/>
        </w:tabs>
        <w:spacing w:line="360" w:lineRule="auto"/>
        <w:rPr>
          <w:rFonts w:ascii="Baskerville Old Face" w:hAnsi="Baskerville Old Face"/>
          <w:i/>
          <w:iCs/>
        </w:rPr>
      </w:pPr>
    </w:p>
    <w:p w14:paraId="2E50E574" w14:textId="77777777" w:rsidR="004E7C51" w:rsidRPr="00B479AE" w:rsidRDefault="004E7C51" w:rsidP="004E7C51">
      <w:pPr>
        <w:tabs>
          <w:tab w:val="left" w:pos="2685"/>
        </w:tabs>
        <w:spacing w:line="360" w:lineRule="auto"/>
        <w:rPr>
          <w:rFonts w:ascii="Baskerville Old Face" w:hAnsi="Baskerville Old Face"/>
          <w:i/>
          <w:iCs/>
        </w:rPr>
      </w:pPr>
    </w:p>
    <w:p w14:paraId="62487914" w14:textId="77777777" w:rsidR="004E7C51" w:rsidRPr="00B479AE" w:rsidRDefault="004E7C51" w:rsidP="004E7C51">
      <w:pPr>
        <w:tabs>
          <w:tab w:val="left" w:pos="2685"/>
        </w:tabs>
        <w:spacing w:line="360" w:lineRule="auto"/>
        <w:rPr>
          <w:rFonts w:ascii="Baskerville Old Face" w:hAnsi="Baskerville Old Face"/>
          <w:i/>
          <w:iCs/>
        </w:rPr>
      </w:pPr>
    </w:p>
    <w:p w14:paraId="41E4FE33" w14:textId="77777777" w:rsidR="004E7C51" w:rsidRPr="00B479AE" w:rsidRDefault="004E7C51" w:rsidP="004E7C51">
      <w:pPr>
        <w:tabs>
          <w:tab w:val="left" w:pos="2685"/>
        </w:tabs>
        <w:spacing w:line="360" w:lineRule="auto"/>
        <w:rPr>
          <w:rFonts w:ascii="Baskerville Old Face" w:hAnsi="Baskerville Old Face"/>
          <w:i/>
          <w:iCs/>
        </w:rPr>
      </w:pPr>
    </w:p>
    <w:p w14:paraId="49056DAB" w14:textId="77777777" w:rsidR="004E7C51" w:rsidRPr="00B479AE" w:rsidRDefault="004E7C51" w:rsidP="004E7C51">
      <w:pPr>
        <w:tabs>
          <w:tab w:val="left" w:pos="2685"/>
        </w:tabs>
        <w:spacing w:line="360" w:lineRule="auto"/>
        <w:rPr>
          <w:rFonts w:ascii="Baskerville Old Face" w:hAnsi="Baskerville Old Face"/>
          <w:i/>
          <w:iCs/>
        </w:rPr>
      </w:pPr>
    </w:p>
    <w:p w14:paraId="56C94574" w14:textId="77777777" w:rsidR="004E7C51" w:rsidRPr="00B479AE" w:rsidRDefault="004E7C51" w:rsidP="004E7C51">
      <w:pPr>
        <w:tabs>
          <w:tab w:val="left" w:pos="2685"/>
        </w:tabs>
        <w:spacing w:line="360" w:lineRule="auto"/>
        <w:rPr>
          <w:rFonts w:ascii="Baskerville Old Face" w:hAnsi="Baskerville Old Face"/>
          <w:i/>
          <w:iCs/>
        </w:rPr>
      </w:pPr>
    </w:p>
    <w:p w14:paraId="2AA876AF" w14:textId="77777777" w:rsidR="004E7C51" w:rsidRPr="00B479AE" w:rsidRDefault="004E7C51" w:rsidP="004E7C51">
      <w:pPr>
        <w:tabs>
          <w:tab w:val="left" w:pos="2685"/>
        </w:tabs>
        <w:spacing w:line="360" w:lineRule="auto"/>
        <w:rPr>
          <w:rFonts w:ascii="Baskerville Old Face" w:hAnsi="Baskerville Old Face"/>
          <w:i/>
          <w:iCs/>
        </w:rPr>
      </w:pPr>
    </w:p>
    <w:p w14:paraId="2816CB24" w14:textId="77777777" w:rsidR="004E7C51" w:rsidRPr="00B479AE" w:rsidRDefault="004E7C51" w:rsidP="004E7C51">
      <w:pPr>
        <w:tabs>
          <w:tab w:val="left" w:pos="2685"/>
        </w:tabs>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9"/>
        <w:gridCol w:w="2554"/>
        <w:gridCol w:w="2801"/>
        <w:gridCol w:w="2774"/>
      </w:tblGrid>
      <w:tr w:rsidR="004E7C51" w:rsidRPr="00B479AE" w14:paraId="51A8F7F2" w14:textId="77777777" w:rsidTr="004E7C51">
        <w:trPr>
          <w:tblHeader/>
          <w:tblCellSpacing w:w="15" w:type="dxa"/>
        </w:trPr>
        <w:tc>
          <w:tcPr>
            <w:tcW w:w="0" w:type="auto"/>
            <w:vAlign w:val="center"/>
            <w:hideMark/>
          </w:tcPr>
          <w:p w14:paraId="5832A283" w14:textId="77777777" w:rsidR="004E7C51" w:rsidRPr="00B479AE" w:rsidRDefault="004E7C51" w:rsidP="004E7C51">
            <w:pPr>
              <w:tabs>
                <w:tab w:val="left" w:pos="2685"/>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Method</w:t>
            </w:r>
          </w:p>
        </w:tc>
        <w:tc>
          <w:tcPr>
            <w:tcW w:w="0" w:type="auto"/>
            <w:vAlign w:val="center"/>
            <w:hideMark/>
          </w:tcPr>
          <w:p w14:paraId="29914FF6" w14:textId="77777777" w:rsidR="004E7C51" w:rsidRPr="00B479AE" w:rsidRDefault="004E7C51" w:rsidP="004E7C51">
            <w:pPr>
              <w:tabs>
                <w:tab w:val="left" w:pos="2685"/>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Description</w:t>
            </w:r>
          </w:p>
        </w:tc>
        <w:tc>
          <w:tcPr>
            <w:tcW w:w="0" w:type="auto"/>
            <w:vAlign w:val="center"/>
            <w:hideMark/>
          </w:tcPr>
          <w:p w14:paraId="46B55813" w14:textId="77777777" w:rsidR="004E7C51" w:rsidRPr="00B479AE" w:rsidRDefault="004E7C51" w:rsidP="004E7C51">
            <w:pPr>
              <w:tabs>
                <w:tab w:val="left" w:pos="2685"/>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Appropriate use case</w:t>
            </w:r>
          </w:p>
        </w:tc>
        <w:tc>
          <w:tcPr>
            <w:tcW w:w="0" w:type="auto"/>
            <w:vAlign w:val="center"/>
            <w:hideMark/>
          </w:tcPr>
          <w:p w14:paraId="3600A439" w14:textId="77777777" w:rsidR="004E7C51" w:rsidRPr="00B479AE" w:rsidRDefault="004E7C51" w:rsidP="004E7C51">
            <w:pPr>
              <w:tabs>
                <w:tab w:val="left" w:pos="2685"/>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Boundary</w:t>
            </w:r>
          </w:p>
        </w:tc>
      </w:tr>
      <w:tr w:rsidR="004E7C51" w:rsidRPr="00B479AE" w14:paraId="4546C75D" w14:textId="77777777" w:rsidTr="004E7C51">
        <w:trPr>
          <w:tblCellSpacing w:w="15" w:type="dxa"/>
        </w:trPr>
        <w:tc>
          <w:tcPr>
            <w:tcW w:w="0" w:type="auto"/>
            <w:vAlign w:val="center"/>
            <w:hideMark/>
          </w:tcPr>
          <w:p w14:paraId="5A3CE591"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API key</w:t>
            </w:r>
          </w:p>
        </w:tc>
        <w:tc>
          <w:tcPr>
            <w:tcW w:w="0" w:type="auto"/>
            <w:vAlign w:val="center"/>
            <w:hideMark/>
          </w:tcPr>
          <w:p w14:paraId="6D3FBFAB"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Simple token-based authentication for low-risk access</w:t>
            </w:r>
          </w:p>
        </w:tc>
        <w:tc>
          <w:tcPr>
            <w:tcW w:w="0" w:type="auto"/>
            <w:vAlign w:val="center"/>
            <w:hideMark/>
          </w:tcPr>
          <w:p w14:paraId="41A8F4B6"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Public reports, dashboard queries, non-sensitive aggregated data, system health endpoints</w:t>
            </w:r>
          </w:p>
        </w:tc>
        <w:tc>
          <w:tcPr>
            <w:tcW w:w="0" w:type="auto"/>
            <w:vAlign w:val="center"/>
            <w:hideMark/>
          </w:tcPr>
          <w:p w14:paraId="09C0D20C"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Should not authorize protected-domain actions, private data access, governance decisions, or financial workflows</w:t>
            </w:r>
          </w:p>
        </w:tc>
      </w:tr>
      <w:tr w:rsidR="004E7C51" w:rsidRPr="00B479AE" w14:paraId="2C63585C" w14:textId="77777777" w:rsidTr="004E7C51">
        <w:trPr>
          <w:tblCellSpacing w:w="15" w:type="dxa"/>
        </w:trPr>
        <w:tc>
          <w:tcPr>
            <w:tcW w:w="0" w:type="auto"/>
            <w:vAlign w:val="center"/>
            <w:hideMark/>
          </w:tcPr>
          <w:p w14:paraId="475B0CAF"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JWT</w:t>
            </w:r>
          </w:p>
        </w:tc>
        <w:tc>
          <w:tcPr>
            <w:tcW w:w="0" w:type="auto"/>
            <w:vAlign w:val="center"/>
            <w:hideMark/>
          </w:tcPr>
          <w:p w14:paraId="0B025D82"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Time-limited signed token containing agent identity, session context, role claims, and permissions</w:t>
            </w:r>
          </w:p>
        </w:tc>
        <w:tc>
          <w:tcPr>
            <w:tcW w:w="0" w:type="auto"/>
            <w:vAlign w:val="center"/>
            <w:hideMark/>
          </w:tcPr>
          <w:p w14:paraId="74CA0616"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User-authenticated requests, partner portals, dashboard access, limited governance interaction</w:t>
            </w:r>
          </w:p>
        </w:tc>
        <w:tc>
          <w:tcPr>
            <w:tcW w:w="0" w:type="auto"/>
            <w:vAlign w:val="center"/>
            <w:hideMark/>
          </w:tcPr>
          <w:p w14:paraId="05586D3C"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Role claims must be verified against canonical governance or access records</w:t>
            </w:r>
          </w:p>
        </w:tc>
      </w:tr>
      <w:tr w:rsidR="004E7C51" w:rsidRPr="00B479AE" w14:paraId="3AC6AC1D" w14:textId="77777777" w:rsidTr="004E7C51">
        <w:trPr>
          <w:tblCellSpacing w:w="15" w:type="dxa"/>
        </w:trPr>
        <w:tc>
          <w:tcPr>
            <w:tcW w:w="0" w:type="auto"/>
            <w:vAlign w:val="center"/>
            <w:hideMark/>
          </w:tcPr>
          <w:p w14:paraId="7A4198C9"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Holochain agent signature</w:t>
            </w:r>
          </w:p>
        </w:tc>
        <w:tc>
          <w:tcPr>
            <w:tcW w:w="0" w:type="auto"/>
            <w:vAlign w:val="center"/>
            <w:hideMark/>
          </w:tcPr>
          <w:p w14:paraId="418F4F48"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Cryptographic signature using an agent key, verified through Holochain-compatible identity logic</w:t>
            </w:r>
          </w:p>
        </w:tc>
        <w:tc>
          <w:tcPr>
            <w:tcW w:w="0" w:type="auto"/>
            <w:vAlign w:val="center"/>
            <w:hideMark/>
          </w:tcPr>
          <w:p w14:paraId="31E1452A"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Agent-owned records, source-chain actions, MRV submissions, governance-relevant events, high-security operations</w:t>
            </w:r>
          </w:p>
        </w:tc>
        <w:tc>
          <w:tcPr>
            <w:tcW w:w="0" w:type="auto"/>
            <w:vAlign w:val="center"/>
            <w:hideMark/>
          </w:tcPr>
          <w:p w14:paraId="2A272517"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Preferred for agent-centric actions and protected record creation</w:t>
            </w:r>
          </w:p>
        </w:tc>
      </w:tr>
      <w:tr w:rsidR="004E7C51" w:rsidRPr="00B479AE" w14:paraId="7778A783" w14:textId="77777777" w:rsidTr="004E7C51">
        <w:trPr>
          <w:tblCellSpacing w:w="15" w:type="dxa"/>
        </w:trPr>
        <w:tc>
          <w:tcPr>
            <w:tcW w:w="0" w:type="auto"/>
            <w:vAlign w:val="center"/>
            <w:hideMark/>
          </w:tcPr>
          <w:p w14:paraId="72C59652"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OAuth 2.0 / OpenID Connect</w:t>
            </w:r>
          </w:p>
        </w:tc>
        <w:tc>
          <w:tcPr>
            <w:tcW w:w="0" w:type="auto"/>
            <w:vAlign w:val="center"/>
            <w:hideMark/>
          </w:tcPr>
          <w:p w14:paraId="2124B410"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Delegated authentication through trusted identity providers</w:t>
            </w:r>
          </w:p>
        </w:tc>
        <w:tc>
          <w:tcPr>
            <w:tcW w:w="0" w:type="auto"/>
            <w:vAlign w:val="center"/>
            <w:hideMark/>
          </w:tcPr>
          <w:p w14:paraId="181C8F6C"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Enterprise SSO, institutional partners, public-sector systems, research platforms</w:t>
            </w:r>
          </w:p>
        </w:tc>
        <w:tc>
          <w:tcPr>
            <w:tcW w:w="0" w:type="auto"/>
            <w:vAlign w:val="center"/>
            <w:hideMark/>
          </w:tcPr>
          <w:p w14:paraId="1AB6F243"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External identity does not replace Prometheus authorization rules</w:t>
            </w:r>
          </w:p>
        </w:tc>
      </w:tr>
      <w:tr w:rsidR="004E7C51" w:rsidRPr="00B479AE" w14:paraId="195A625A" w14:textId="77777777" w:rsidTr="004E7C51">
        <w:trPr>
          <w:tblCellSpacing w:w="15" w:type="dxa"/>
        </w:trPr>
        <w:tc>
          <w:tcPr>
            <w:tcW w:w="0" w:type="auto"/>
            <w:vAlign w:val="center"/>
            <w:hideMark/>
          </w:tcPr>
          <w:p w14:paraId="6ABF4F1D"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mTLS / service credentials</w:t>
            </w:r>
          </w:p>
        </w:tc>
        <w:tc>
          <w:tcPr>
            <w:tcW w:w="0" w:type="auto"/>
            <w:vAlign w:val="center"/>
            <w:hideMark/>
          </w:tcPr>
          <w:p w14:paraId="484AF58F"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Mutual authentication between infrastructure services</w:t>
            </w:r>
          </w:p>
        </w:tc>
        <w:tc>
          <w:tcPr>
            <w:tcW w:w="0" w:type="auto"/>
            <w:vAlign w:val="center"/>
            <w:hideMark/>
          </w:tcPr>
          <w:p w14:paraId="7EBB499C"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Bridge services, internal infrastructure, sensor gateways, secure backend services</w:t>
            </w:r>
          </w:p>
        </w:tc>
        <w:tc>
          <w:tcPr>
            <w:tcW w:w="0" w:type="auto"/>
            <w:vAlign w:val="center"/>
            <w:hideMark/>
          </w:tcPr>
          <w:p w14:paraId="7203DDA1"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Should be restricted to known infrastructure contexts and monitored carefully</w:t>
            </w:r>
          </w:p>
        </w:tc>
      </w:tr>
      <w:tr w:rsidR="004E7C51" w:rsidRPr="00B479AE" w14:paraId="52770468" w14:textId="77777777" w:rsidTr="004E7C51">
        <w:trPr>
          <w:tblCellSpacing w:w="15" w:type="dxa"/>
        </w:trPr>
        <w:tc>
          <w:tcPr>
            <w:tcW w:w="0" w:type="auto"/>
            <w:vAlign w:val="center"/>
            <w:hideMark/>
          </w:tcPr>
          <w:p w14:paraId="3B7BC9B9"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Multi-signature authorization</w:t>
            </w:r>
          </w:p>
        </w:tc>
        <w:tc>
          <w:tcPr>
            <w:tcW w:w="0" w:type="auto"/>
            <w:vAlign w:val="center"/>
            <w:hideMark/>
          </w:tcPr>
          <w:p w14:paraId="16F68C6F"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Multiple authorized signatures required for high-risk actions</w:t>
            </w:r>
          </w:p>
        </w:tc>
        <w:tc>
          <w:tcPr>
            <w:tcW w:w="0" w:type="auto"/>
            <w:vAlign w:val="center"/>
            <w:hideMark/>
          </w:tcPr>
          <w:p w14:paraId="0B764A15"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Canonical releases, protected-domain changes, emergency procedures, registry actions</w:t>
            </w:r>
          </w:p>
        </w:tc>
        <w:tc>
          <w:tcPr>
            <w:tcW w:w="0" w:type="auto"/>
            <w:vAlign w:val="center"/>
            <w:hideMark/>
          </w:tcPr>
          <w:p w14:paraId="5404AD3E"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Should be used for constitutional, registry, release, or high-impact governance operations</w:t>
            </w:r>
          </w:p>
        </w:tc>
      </w:tr>
    </w:tbl>
    <w:p w14:paraId="3AF0DE4D"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t>L.2.2 Authorization Levels</w:t>
      </w:r>
    </w:p>
    <w:p w14:paraId="458D059E"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Authorization levels should be defined according to action scope, risk, data sensitivity, and protected-domain relevance.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57"/>
        <w:gridCol w:w="3053"/>
        <w:gridCol w:w="2137"/>
        <w:gridCol w:w="2981"/>
      </w:tblGrid>
      <w:tr w:rsidR="004E7C51" w:rsidRPr="00B479AE" w14:paraId="792427E1" w14:textId="77777777" w:rsidTr="004E7C51">
        <w:trPr>
          <w:tblHeader/>
          <w:tblCellSpacing w:w="15" w:type="dxa"/>
        </w:trPr>
        <w:tc>
          <w:tcPr>
            <w:tcW w:w="0" w:type="auto"/>
            <w:vAlign w:val="center"/>
            <w:hideMark/>
          </w:tcPr>
          <w:p w14:paraId="4E1D497A"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lastRenderedPageBreak/>
              <w:t>Level</w:t>
            </w:r>
          </w:p>
        </w:tc>
        <w:tc>
          <w:tcPr>
            <w:tcW w:w="0" w:type="auto"/>
            <w:vAlign w:val="center"/>
            <w:hideMark/>
          </w:tcPr>
          <w:p w14:paraId="5498A74F"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Permitted scope</w:t>
            </w:r>
          </w:p>
        </w:tc>
        <w:tc>
          <w:tcPr>
            <w:tcW w:w="0" w:type="auto"/>
            <w:vAlign w:val="center"/>
            <w:hideMark/>
          </w:tcPr>
          <w:p w14:paraId="7F57614E"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Required authentication</w:t>
            </w:r>
          </w:p>
        </w:tc>
        <w:tc>
          <w:tcPr>
            <w:tcW w:w="0" w:type="auto"/>
            <w:vAlign w:val="center"/>
            <w:hideMark/>
          </w:tcPr>
          <w:p w14:paraId="563CE4D8"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Boundary</w:t>
            </w:r>
          </w:p>
        </w:tc>
      </w:tr>
      <w:tr w:rsidR="004E7C51" w:rsidRPr="00B479AE" w14:paraId="71569628" w14:textId="77777777" w:rsidTr="004E7C51">
        <w:trPr>
          <w:tblCellSpacing w:w="15" w:type="dxa"/>
        </w:trPr>
        <w:tc>
          <w:tcPr>
            <w:tcW w:w="0" w:type="auto"/>
            <w:vAlign w:val="center"/>
            <w:hideMark/>
          </w:tcPr>
          <w:p w14:paraId="7B1AD4C7"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Public</w:t>
            </w:r>
          </w:p>
        </w:tc>
        <w:tc>
          <w:tcPr>
            <w:tcW w:w="0" w:type="auto"/>
            <w:vAlign w:val="center"/>
            <w:hideMark/>
          </w:tcPr>
          <w:p w14:paraId="4F61C1D1"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Read-only access to approved public, non-sensitive, aggregated, or already published information</w:t>
            </w:r>
          </w:p>
        </w:tc>
        <w:tc>
          <w:tcPr>
            <w:tcW w:w="0" w:type="auto"/>
            <w:vAlign w:val="center"/>
            <w:hideMark/>
          </w:tcPr>
          <w:p w14:paraId="74553B93"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None or API key</w:t>
            </w:r>
          </w:p>
        </w:tc>
        <w:tc>
          <w:tcPr>
            <w:tcW w:w="0" w:type="auto"/>
            <w:vAlign w:val="center"/>
            <w:hideMark/>
          </w:tcPr>
          <w:p w14:paraId="04DB6FA4"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Public access must not expose private data, protected records, non-public methodology, or investor-review materials</w:t>
            </w:r>
          </w:p>
        </w:tc>
      </w:tr>
      <w:tr w:rsidR="004E7C51" w:rsidRPr="00B479AE" w14:paraId="7901E53C" w14:textId="77777777" w:rsidTr="004E7C51">
        <w:trPr>
          <w:tblCellSpacing w:w="15" w:type="dxa"/>
        </w:trPr>
        <w:tc>
          <w:tcPr>
            <w:tcW w:w="0" w:type="auto"/>
            <w:vAlign w:val="center"/>
            <w:hideMark/>
          </w:tcPr>
          <w:p w14:paraId="21CB637C"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Authenticated agent</w:t>
            </w:r>
          </w:p>
        </w:tc>
        <w:tc>
          <w:tcPr>
            <w:tcW w:w="0" w:type="auto"/>
            <w:vAlign w:val="center"/>
            <w:hideMark/>
          </w:tcPr>
          <w:p w14:paraId="12B455B4"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Read/write access to the agent’s own permitted data and scoped participation records</w:t>
            </w:r>
          </w:p>
        </w:tc>
        <w:tc>
          <w:tcPr>
            <w:tcW w:w="0" w:type="auto"/>
            <w:vAlign w:val="center"/>
            <w:hideMark/>
          </w:tcPr>
          <w:p w14:paraId="2B48A313"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JWT or Holochain agent signature</w:t>
            </w:r>
          </w:p>
        </w:tc>
        <w:tc>
          <w:tcPr>
            <w:tcW w:w="0" w:type="auto"/>
            <w:vAlign w:val="center"/>
            <w:hideMark/>
          </w:tcPr>
          <w:p w14:paraId="1CA4CAB9"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Agent access does not authorize changes to other agents, governance outcomes, MRV admissibility, or public claims</w:t>
            </w:r>
          </w:p>
        </w:tc>
      </w:tr>
      <w:tr w:rsidR="004E7C51" w:rsidRPr="00B479AE" w14:paraId="45518BCD" w14:textId="77777777" w:rsidTr="004E7C51">
        <w:trPr>
          <w:tblCellSpacing w:w="15" w:type="dxa"/>
        </w:trPr>
        <w:tc>
          <w:tcPr>
            <w:tcW w:w="0" w:type="auto"/>
            <w:vAlign w:val="center"/>
            <w:hideMark/>
          </w:tcPr>
          <w:p w14:paraId="58C41A51"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Project operator</w:t>
            </w:r>
          </w:p>
        </w:tc>
        <w:tc>
          <w:tcPr>
            <w:tcW w:w="0" w:type="auto"/>
            <w:vAlign w:val="center"/>
            <w:hideMark/>
          </w:tcPr>
          <w:p w14:paraId="76328870"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Operational records, site data, evidence uploads, task updates, internal reporting within assigned project scope</w:t>
            </w:r>
          </w:p>
        </w:tc>
        <w:tc>
          <w:tcPr>
            <w:tcW w:w="0" w:type="auto"/>
            <w:vAlign w:val="center"/>
            <w:hideMark/>
          </w:tcPr>
          <w:p w14:paraId="0BA929ED"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JWT plus role verification, or Holochain signature</w:t>
            </w:r>
          </w:p>
        </w:tc>
        <w:tc>
          <w:tcPr>
            <w:tcW w:w="0" w:type="auto"/>
            <w:vAlign w:val="center"/>
            <w:hideMark/>
          </w:tcPr>
          <w:p w14:paraId="73BA18AD"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Operator access remains project-bounded and review-bound</w:t>
            </w:r>
          </w:p>
        </w:tc>
      </w:tr>
      <w:tr w:rsidR="004E7C51" w:rsidRPr="00B479AE" w14:paraId="39A0E94F" w14:textId="77777777" w:rsidTr="004E7C51">
        <w:trPr>
          <w:tblCellSpacing w:w="15" w:type="dxa"/>
        </w:trPr>
        <w:tc>
          <w:tcPr>
            <w:tcW w:w="0" w:type="auto"/>
            <w:vAlign w:val="center"/>
            <w:hideMark/>
          </w:tcPr>
          <w:p w14:paraId="646D0120"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MRV submitter</w:t>
            </w:r>
          </w:p>
        </w:tc>
        <w:tc>
          <w:tcPr>
            <w:tcW w:w="0" w:type="auto"/>
            <w:vAlign w:val="center"/>
            <w:hideMark/>
          </w:tcPr>
          <w:p w14:paraId="44D117AB"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Submission of sensor, laboratory, field, satellite, audit, or operational evidence</w:t>
            </w:r>
          </w:p>
        </w:tc>
        <w:tc>
          <w:tcPr>
            <w:tcW w:w="0" w:type="auto"/>
            <w:vAlign w:val="center"/>
            <w:hideMark/>
          </w:tcPr>
          <w:p w14:paraId="2485DC4E"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Holochain signature, project credential, or approved service credential</w:t>
            </w:r>
          </w:p>
        </w:tc>
        <w:tc>
          <w:tcPr>
            <w:tcW w:w="0" w:type="auto"/>
            <w:vAlign w:val="center"/>
            <w:hideMark/>
          </w:tcPr>
          <w:p w14:paraId="3E61665E"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Submission is not verification; evidence remains under review until validated</w:t>
            </w:r>
          </w:p>
        </w:tc>
      </w:tr>
      <w:tr w:rsidR="004E7C51" w:rsidRPr="00B479AE" w14:paraId="30EC0BD0" w14:textId="77777777" w:rsidTr="004E7C51">
        <w:trPr>
          <w:tblCellSpacing w:w="15" w:type="dxa"/>
        </w:trPr>
        <w:tc>
          <w:tcPr>
            <w:tcW w:w="0" w:type="auto"/>
            <w:vAlign w:val="center"/>
            <w:hideMark/>
          </w:tcPr>
          <w:p w14:paraId="6D234846"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MRV reviewer / validator</w:t>
            </w:r>
          </w:p>
        </w:tc>
        <w:tc>
          <w:tcPr>
            <w:tcW w:w="0" w:type="auto"/>
            <w:vAlign w:val="center"/>
            <w:hideMark/>
          </w:tcPr>
          <w:p w14:paraId="7D9897B1"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Review, validation, anomaly flagging, confidence scoring, and evidence-quality assessment</w:t>
            </w:r>
          </w:p>
        </w:tc>
        <w:tc>
          <w:tcPr>
            <w:tcW w:w="0" w:type="auto"/>
            <w:vAlign w:val="center"/>
            <w:hideMark/>
          </w:tcPr>
          <w:p w14:paraId="620061A7"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Holochain signature plus role authorization</w:t>
            </w:r>
          </w:p>
        </w:tc>
        <w:tc>
          <w:tcPr>
            <w:tcW w:w="0" w:type="auto"/>
            <w:vAlign w:val="center"/>
            <w:hideMark/>
          </w:tcPr>
          <w:p w14:paraId="43AF235A"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Review may inform admissibility but does not by itself create financial rights</w:t>
            </w:r>
          </w:p>
        </w:tc>
      </w:tr>
      <w:tr w:rsidR="004E7C51" w:rsidRPr="00B479AE" w14:paraId="7CC315FC" w14:textId="77777777" w:rsidTr="004E7C51">
        <w:trPr>
          <w:tblCellSpacing w:w="15" w:type="dxa"/>
        </w:trPr>
        <w:tc>
          <w:tcPr>
            <w:tcW w:w="0" w:type="auto"/>
            <w:vAlign w:val="center"/>
            <w:hideMark/>
          </w:tcPr>
          <w:p w14:paraId="6A8DF56A"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Circle delegate</w:t>
            </w:r>
          </w:p>
        </w:tc>
        <w:tc>
          <w:tcPr>
            <w:tcW w:w="0" w:type="auto"/>
            <w:vAlign w:val="center"/>
            <w:hideMark/>
          </w:tcPr>
          <w:p w14:paraId="630CCEF4"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Governance proposals, circle records, consent records, review participation, delegated communications</w:t>
            </w:r>
          </w:p>
        </w:tc>
        <w:tc>
          <w:tcPr>
            <w:tcW w:w="0" w:type="auto"/>
            <w:vAlign w:val="center"/>
            <w:hideMark/>
          </w:tcPr>
          <w:p w14:paraId="7D6C529C"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JWT or Holochain signature plus governance role verification</w:t>
            </w:r>
          </w:p>
        </w:tc>
        <w:tc>
          <w:tcPr>
            <w:tcW w:w="0" w:type="auto"/>
            <w:vAlign w:val="center"/>
            <w:hideMark/>
          </w:tcPr>
          <w:p w14:paraId="3FAA210F"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Delegate authority is limited by circle scope and source-layer constraints</w:t>
            </w:r>
          </w:p>
        </w:tc>
      </w:tr>
      <w:tr w:rsidR="004E7C51" w:rsidRPr="00B479AE" w14:paraId="77A1845D" w14:textId="77777777" w:rsidTr="004E7C51">
        <w:trPr>
          <w:tblCellSpacing w:w="15" w:type="dxa"/>
        </w:trPr>
        <w:tc>
          <w:tcPr>
            <w:tcW w:w="0" w:type="auto"/>
            <w:vAlign w:val="center"/>
            <w:hideMark/>
          </w:tcPr>
          <w:p w14:paraId="632F6712"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Protocol steward</w:t>
            </w:r>
          </w:p>
        </w:tc>
        <w:tc>
          <w:tcPr>
            <w:tcW w:w="0" w:type="auto"/>
            <w:vAlign w:val="center"/>
            <w:hideMark/>
          </w:tcPr>
          <w:p w14:paraId="2C920790"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Methodology review, release alignment, protected terminology, registry status review, compatibility assessment</w:t>
            </w:r>
          </w:p>
        </w:tc>
        <w:tc>
          <w:tcPr>
            <w:tcW w:w="0" w:type="auto"/>
            <w:vAlign w:val="center"/>
            <w:hideMark/>
          </w:tcPr>
          <w:p w14:paraId="7938F9F9"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Holochain signature plus steward authorization</w:t>
            </w:r>
          </w:p>
        </w:tc>
        <w:tc>
          <w:tcPr>
            <w:tcW w:w="0" w:type="auto"/>
            <w:vAlign w:val="center"/>
            <w:hideMark/>
          </w:tcPr>
          <w:p w14:paraId="19DABD6B"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Stewardship supports coherence; it does not create unilateral sovereign authority</w:t>
            </w:r>
          </w:p>
        </w:tc>
      </w:tr>
      <w:tr w:rsidR="004E7C51" w:rsidRPr="00B479AE" w14:paraId="351257AB" w14:textId="77777777" w:rsidTr="004E7C51">
        <w:trPr>
          <w:tblCellSpacing w:w="15" w:type="dxa"/>
        </w:trPr>
        <w:tc>
          <w:tcPr>
            <w:tcW w:w="0" w:type="auto"/>
            <w:vAlign w:val="center"/>
            <w:hideMark/>
          </w:tcPr>
          <w:p w14:paraId="0A5FE377"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Canonical registry authority</w:t>
            </w:r>
          </w:p>
        </w:tc>
        <w:tc>
          <w:tcPr>
            <w:tcW w:w="0" w:type="auto"/>
            <w:vAlign w:val="center"/>
            <w:hideMark/>
          </w:tcPr>
          <w:p w14:paraId="1BA6137D"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Registry entries, release records, fork classifications, compatibility status, public verification metadata</w:t>
            </w:r>
          </w:p>
        </w:tc>
        <w:tc>
          <w:tcPr>
            <w:tcW w:w="0" w:type="auto"/>
            <w:vAlign w:val="center"/>
            <w:hideMark/>
          </w:tcPr>
          <w:p w14:paraId="4D467249"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Multi-signature authorization</w:t>
            </w:r>
          </w:p>
        </w:tc>
        <w:tc>
          <w:tcPr>
            <w:tcW w:w="0" w:type="auto"/>
            <w:vAlign w:val="center"/>
            <w:hideMark/>
          </w:tcPr>
          <w:p w14:paraId="229B2620"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Registry changes require strong controls, logs, and release governance</w:t>
            </w:r>
          </w:p>
        </w:tc>
      </w:tr>
      <w:tr w:rsidR="004E7C51" w:rsidRPr="00B479AE" w14:paraId="51EB47E2" w14:textId="77777777" w:rsidTr="004E7C51">
        <w:trPr>
          <w:tblCellSpacing w:w="15" w:type="dxa"/>
        </w:trPr>
        <w:tc>
          <w:tcPr>
            <w:tcW w:w="0" w:type="auto"/>
            <w:vAlign w:val="center"/>
            <w:hideMark/>
          </w:tcPr>
          <w:p w14:paraId="1BB9FDE2"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Institutional / data-room user</w:t>
            </w:r>
          </w:p>
        </w:tc>
        <w:tc>
          <w:tcPr>
            <w:tcW w:w="0" w:type="auto"/>
            <w:vAlign w:val="center"/>
            <w:hideMark/>
          </w:tcPr>
          <w:p w14:paraId="494D9ADF"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Controlled access to investor-review, partner-review, audit, research, or diligence materials</w:t>
            </w:r>
          </w:p>
        </w:tc>
        <w:tc>
          <w:tcPr>
            <w:tcW w:w="0" w:type="auto"/>
            <w:vAlign w:val="center"/>
            <w:hideMark/>
          </w:tcPr>
          <w:p w14:paraId="413B39B3"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Contractual access credential plus identity verification</w:t>
            </w:r>
          </w:p>
        </w:tc>
        <w:tc>
          <w:tcPr>
            <w:tcW w:w="0" w:type="auto"/>
            <w:vAlign w:val="center"/>
            <w:hideMark/>
          </w:tcPr>
          <w:p w14:paraId="182155F5"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Data-room access does not create investment entitlement, endorsement, or offering status</w:t>
            </w:r>
          </w:p>
        </w:tc>
      </w:tr>
      <w:tr w:rsidR="004E7C51" w:rsidRPr="00B479AE" w14:paraId="750C9E5D" w14:textId="77777777" w:rsidTr="004E7C51">
        <w:trPr>
          <w:tblCellSpacing w:w="15" w:type="dxa"/>
        </w:trPr>
        <w:tc>
          <w:tcPr>
            <w:tcW w:w="0" w:type="auto"/>
            <w:vAlign w:val="center"/>
            <w:hideMark/>
          </w:tcPr>
          <w:p w14:paraId="4A318590"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Emergency / quarantine authority</w:t>
            </w:r>
          </w:p>
        </w:tc>
        <w:tc>
          <w:tcPr>
            <w:tcW w:w="0" w:type="auto"/>
            <w:vAlign w:val="center"/>
            <w:hideMark/>
          </w:tcPr>
          <w:p w14:paraId="68DDC4B2"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Temporary suspension, quarantine, compromised-key response, fake-release notice, or critical incident response</w:t>
            </w:r>
          </w:p>
        </w:tc>
        <w:tc>
          <w:tcPr>
            <w:tcW w:w="0" w:type="auto"/>
            <w:vAlign w:val="center"/>
            <w:hideMark/>
          </w:tcPr>
          <w:p w14:paraId="1ECFC346"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Multi-signature and documented emergency procedure</w:t>
            </w:r>
          </w:p>
        </w:tc>
        <w:tc>
          <w:tcPr>
            <w:tcW w:w="0" w:type="auto"/>
            <w:vAlign w:val="center"/>
            <w:hideMark/>
          </w:tcPr>
          <w:p w14:paraId="23830968"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Emergency actions require post-action review and audit trail</w:t>
            </w:r>
          </w:p>
        </w:tc>
      </w:tr>
    </w:tbl>
    <w:p w14:paraId="4C4254FA" w14:textId="77777777" w:rsidR="004E7C51" w:rsidRPr="00B479AE" w:rsidRDefault="004E7C51" w:rsidP="004E7C51">
      <w:pPr>
        <w:tabs>
          <w:tab w:val="left" w:pos="2685"/>
        </w:tabs>
        <w:spacing w:line="360" w:lineRule="auto"/>
        <w:rPr>
          <w:rFonts w:ascii="Baskerville Old Face" w:hAnsi="Baskerville Old Face"/>
          <w:b/>
          <w:bCs/>
          <w:i/>
          <w:iCs/>
        </w:rPr>
      </w:pPr>
    </w:p>
    <w:p w14:paraId="00244FD9" w14:textId="3869C1F3"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lastRenderedPageBreak/>
        <w:t>L.2.3 API Key Management</w:t>
      </w:r>
    </w:p>
    <w:p w14:paraId="0C17E744"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API keys should be issued only through authorized governance, operations, or registry procedures.</w:t>
      </w:r>
    </w:p>
    <w:p w14:paraId="0C0FCE5C"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API keys may be scoped by:</w:t>
      </w:r>
    </w:p>
    <w:p w14:paraId="556C592E"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endpoint;</w:t>
      </w:r>
    </w:p>
    <w:p w14:paraId="38A62C61"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project;</w:t>
      </w:r>
    </w:p>
    <w:p w14:paraId="5A01630C"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role;</w:t>
      </w:r>
    </w:p>
    <w:p w14:paraId="0241AD16"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organization;</w:t>
      </w:r>
    </w:p>
    <w:p w14:paraId="2C99E3C9"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IP range;</w:t>
      </w:r>
    </w:p>
    <w:p w14:paraId="26C451BE"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rate-limit tier;</w:t>
      </w:r>
    </w:p>
    <w:p w14:paraId="5480A796"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expiration date;</w:t>
      </w:r>
    </w:p>
    <w:p w14:paraId="66A9FCDB"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data classification;</w:t>
      </w:r>
    </w:p>
    <w:p w14:paraId="225655D2"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permitted environment;</w:t>
      </w:r>
    </w:p>
    <w:p w14:paraId="65272138"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read/write boundary.</w:t>
      </w:r>
    </w:p>
    <w:p w14:paraId="093D32EB" w14:textId="5323D090"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API keys should be hashed before storage. Plaintext keys should be displayed only once at creation.</w:t>
      </w:r>
    </w:p>
    <w:p w14:paraId="0BD722C9"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Keys should be rotated periodically.</w:t>
      </w:r>
    </w:p>
    <w:p w14:paraId="56280FEA" w14:textId="7C8DF934"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Keys should be revoked immediately if compromised, unused, misused, transferred without authorization, or associated with misleading public claims. API key possession should not be treated as constitutional authority.</w:t>
      </w:r>
    </w:p>
    <w:p w14:paraId="59F7718D"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t>L.3 REST API Endpoints</w:t>
      </w:r>
    </w:p>
    <w:p w14:paraId="04CC1D7F"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The REST API may support simple data retrieval, operational submissions, dashboard access, health checks, and integration with legacy systems.</w:t>
      </w:r>
    </w:p>
    <w:p w14:paraId="25943A80"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lastRenderedPageBreak/>
        <w:t>The following endpoint structure is conceptual and should be treated as implementation guidance, not as final public API commitment until the canonical technical release confirms base URLs, authentication, schemas, and deployment environments.</w:t>
      </w:r>
    </w:p>
    <w:p w14:paraId="68E77DE7" w14:textId="6D119899" w:rsidR="004E7C51" w:rsidRPr="005907F1" w:rsidRDefault="004E7C51" w:rsidP="004E7C51">
      <w:pPr>
        <w:tabs>
          <w:tab w:val="left" w:pos="2685"/>
        </w:tabs>
        <w:spacing w:line="360" w:lineRule="auto"/>
        <w:rPr>
          <w:rFonts w:ascii="Baskerville Old Face" w:hAnsi="Baskerville Old Face"/>
          <w:i/>
          <w:iCs/>
          <w:lang w:val="it-IT"/>
        </w:rPr>
      </w:pPr>
      <w:r w:rsidRPr="005907F1">
        <w:rPr>
          <w:rFonts w:ascii="Baskerville Old Face" w:hAnsi="Baskerville Old Face"/>
          <w:i/>
          <w:iCs/>
          <w:lang w:val="it-IT"/>
        </w:rPr>
        <w:t xml:space="preserve">Base URL: </w:t>
      </w:r>
      <w:hyperlink r:id="rId25" w:history="1">
        <w:r w:rsidRPr="005907F1">
          <w:rPr>
            <w:rStyle w:val="Collegamentoipertestuale"/>
            <w:rFonts w:ascii="Baskerville Old Face" w:hAnsi="Baskerville Old Face"/>
            <w:i/>
            <w:iCs/>
            <w:lang w:val="it-IT"/>
          </w:rPr>
          <w:t>https://api.heart-intelligence.earth/v1</w:t>
        </w:r>
      </w:hyperlink>
    </w:p>
    <w:p w14:paraId="13D5EF4C"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If this endpoint is not yet live, it should be treated as a planned or reserved endpoint rather than an operational production service.</w:t>
      </w:r>
    </w:p>
    <w:p w14:paraId="1149EB10"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All endpoints should return JSON responses unless otherwise specified.</w:t>
      </w:r>
    </w:p>
    <w:p w14:paraId="5BCB7DFB"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Requests should include the required authentication headers.</w:t>
      </w:r>
    </w:p>
    <w:p w14:paraId="28ACF6BA"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Protected-domain actions should be routed to review and should not execute automatically merely because an API request is syntactically valid.</w:t>
      </w:r>
    </w:p>
    <w:p w14:paraId="0E8210AB"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t>L.3.1 Agent Endpoints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3"/>
        <w:gridCol w:w="651"/>
        <w:gridCol w:w="2565"/>
        <w:gridCol w:w="1515"/>
        <w:gridCol w:w="750"/>
        <w:gridCol w:w="2334"/>
      </w:tblGrid>
      <w:tr w:rsidR="004E7C51" w:rsidRPr="00B479AE" w14:paraId="51D2B504" w14:textId="77777777" w:rsidTr="004E7C51">
        <w:trPr>
          <w:tblHeader/>
          <w:tblCellSpacing w:w="15" w:type="dxa"/>
        </w:trPr>
        <w:tc>
          <w:tcPr>
            <w:tcW w:w="0" w:type="auto"/>
            <w:vAlign w:val="center"/>
            <w:hideMark/>
          </w:tcPr>
          <w:p w14:paraId="2EC63475"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Endpoint</w:t>
            </w:r>
          </w:p>
        </w:tc>
        <w:tc>
          <w:tcPr>
            <w:tcW w:w="0" w:type="auto"/>
            <w:vAlign w:val="center"/>
            <w:hideMark/>
          </w:tcPr>
          <w:p w14:paraId="04D73929"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Method</w:t>
            </w:r>
          </w:p>
        </w:tc>
        <w:tc>
          <w:tcPr>
            <w:tcW w:w="0" w:type="auto"/>
            <w:vAlign w:val="center"/>
            <w:hideMark/>
          </w:tcPr>
          <w:p w14:paraId="4FB88667"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Description</w:t>
            </w:r>
          </w:p>
        </w:tc>
        <w:tc>
          <w:tcPr>
            <w:tcW w:w="0" w:type="auto"/>
            <w:vAlign w:val="center"/>
            <w:hideMark/>
          </w:tcPr>
          <w:p w14:paraId="7508F335"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Authentication</w:t>
            </w:r>
          </w:p>
        </w:tc>
        <w:tc>
          <w:tcPr>
            <w:tcW w:w="0" w:type="auto"/>
            <w:vAlign w:val="center"/>
            <w:hideMark/>
          </w:tcPr>
          <w:p w14:paraId="736737A1"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Rate limit</w:t>
            </w:r>
          </w:p>
        </w:tc>
        <w:tc>
          <w:tcPr>
            <w:tcW w:w="0" w:type="auto"/>
            <w:vAlign w:val="center"/>
            <w:hideMark/>
          </w:tcPr>
          <w:p w14:paraId="59CE1399"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Boundary</w:t>
            </w:r>
          </w:p>
        </w:tc>
      </w:tr>
      <w:tr w:rsidR="004E7C51" w:rsidRPr="00B479AE" w14:paraId="51B5AB63" w14:textId="77777777" w:rsidTr="004E7C51">
        <w:trPr>
          <w:tblCellSpacing w:w="15" w:type="dxa"/>
        </w:trPr>
        <w:tc>
          <w:tcPr>
            <w:tcW w:w="0" w:type="auto"/>
            <w:vAlign w:val="center"/>
            <w:hideMark/>
          </w:tcPr>
          <w:p w14:paraId="1B772B87"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/agent/register</w:t>
            </w:r>
          </w:p>
        </w:tc>
        <w:tc>
          <w:tcPr>
            <w:tcW w:w="0" w:type="auto"/>
            <w:vAlign w:val="center"/>
            <w:hideMark/>
          </w:tcPr>
          <w:p w14:paraId="45CDA20D"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POST</w:t>
            </w:r>
          </w:p>
        </w:tc>
        <w:tc>
          <w:tcPr>
            <w:tcW w:w="0" w:type="auto"/>
            <w:vAlign w:val="center"/>
            <w:hideMark/>
          </w:tcPr>
          <w:p w14:paraId="7CCE958D"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Register a new agent profile or initiate agent identity creation</w:t>
            </w:r>
          </w:p>
        </w:tc>
        <w:tc>
          <w:tcPr>
            <w:tcW w:w="0" w:type="auto"/>
            <w:vAlign w:val="center"/>
            <w:hideMark/>
          </w:tcPr>
          <w:p w14:paraId="1C4C3158"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API key or invitation credential</w:t>
            </w:r>
          </w:p>
        </w:tc>
        <w:tc>
          <w:tcPr>
            <w:tcW w:w="0" w:type="auto"/>
            <w:vAlign w:val="center"/>
            <w:hideMark/>
          </w:tcPr>
          <w:p w14:paraId="320DBED5"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10/hour</w:t>
            </w:r>
          </w:p>
        </w:tc>
        <w:tc>
          <w:tcPr>
            <w:tcW w:w="0" w:type="auto"/>
            <w:vAlign w:val="center"/>
            <w:hideMark/>
          </w:tcPr>
          <w:p w14:paraId="545EBE41"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Registration does not create governance authority or PRU eligibility</w:t>
            </w:r>
          </w:p>
        </w:tc>
      </w:tr>
      <w:tr w:rsidR="004E7C51" w:rsidRPr="00B479AE" w14:paraId="65AF9D74" w14:textId="77777777" w:rsidTr="004E7C51">
        <w:trPr>
          <w:tblCellSpacing w:w="15" w:type="dxa"/>
        </w:trPr>
        <w:tc>
          <w:tcPr>
            <w:tcW w:w="0" w:type="auto"/>
            <w:vAlign w:val="center"/>
            <w:hideMark/>
          </w:tcPr>
          <w:p w14:paraId="417CE4C2"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/agent/{id}</w:t>
            </w:r>
          </w:p>
        </w:tc>
        <w:tc>
          <w:tcPr>
            <w:tcW w:w="0" w:type="auto"/>
            <w:vAlign w:val="center"/>
            <w:hideMark/>
          </w:tcPr>
          <w:p w14:paraId="6F60C09D"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GET</w:t>
            </w:r>
          </w:p>
        </w:tc>
        <w:tc>
          <w:tcPr>
            <w:tcW w:w="0" w:type="auto"/>
            <w:vAlign w:val="center"/>
            <w:hideMark/>
          </w:tcPr>
          <w:p w14:paraId="6DCA3494"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Retrieve permitted agent profile information</w:t>
            </w:r>
          </w:p>
        </w:tc>
        <w:tc>
          <w:tcPr>
            <w:tcW w:w="0" w:type="auto"/>
            <w:vAlign w:val="center"/>
            <w:hideMark/>
          </w:tcPr>
          <w:p w14:paraId="01500130"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JWT or Holochain signature</w:t>
            </w:r>
          </w:p>
        </w:tc>
        <w:tc>
          <w:tcPr>
            <w:tcW w:w="0" w:type="auto"/>
            <w:vAlign w:val="center"/>
            <w:hideMark/>
          </w:tcPr>
          <w:p w14:paraId="754A45CE"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100/hour</w:t>
            </w:r>
          </w:p>
        </w:tc>
        <w:tc>
          <w:tcPr>
            <w:tcW w:w="0" w:type="auto"/>
            <w:vAlign w:val="center"/>
            <w:hideMark/>
          </w:tcPr>
          <w:p w14:paraId="3D64F8F5"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Access limited by privacy and role permissions</w:t>
            </w:r>
          </w:p>
        </w:tc>
      </w:tr>
      <w:tr w:rsidR="004E7C51" w:rsidRPr="00B479AE" w14:paraId="592502D0" w14:textId="77777777" w:rsidTr="004E7C51">
        <w:trPr>
          <w:tblCellSpacing w:w="15" w:type="dxa"/>
        </w:trPr>
        <w:tc>
          <w:tcPr>
            <w:tcW w:w="0" w:type="auto"/>
            <w:vAlign w:val="center"/>
            <w:hideMark/>
          </w:tcPr>
          <w:p w14:paraId="1D384BCD"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/agent/{id}/status</w:t>
            </w:r>
          </w:p>
        </w:tc>
        <w:tc>
          <w:tcPr>
            <w:tcW w:w="0" w:type="auto"/>
            <w:vAlign w:val="center"/>
            <w:hideMark/>
          </w:tcPr>
          <w:p w14:paraId="13C0B717"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GET</w:t>
            </w:r>
          </w:p>
        </w:tc>
        <w:tc>
          <w:tcPr>
            <w:tcW w:w="0" w:type="auto"/>
            <w:vAlign w:val="center"/>
            <w:hideMark/>
          </w:tcPr>
          <w:p w14:paraId="633CA8FF"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Retrieve agent operational status within permitted scope</w:t>
            </w:r>
          </w:p>
        </w:tc>
        <w:tc>
          <w:tcPr>
            <w:tcW w:w="0" w:type="auto"/>
            <w:vAlign w:val="center"/>
            <w:hideMark/>
          </w:tcPr>
          <w:p w14:paraId="292C2EF5"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JWT or Holochain signature</w:t>
            </w:r>
          </w:p>
        </w:tc>
        <w:tc>
          <w:tcPr>
            <w:tcW w:w="0" w:type="auto"/>
            <w:vAlign w:val="center"/>
            <w:hideMark/>
          </w:tcPr>
          <w:p w14:paraId="1F122B32"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100/hour</w:t>
            </w:r>
          </w:p>
        </w:tc>
        <w:tc>
          <w:tcPr>
            <w:tcW w:w="0" w:type="auto"/>
            <w:vAlign w:val="center"/>
            <w:hideMark/>
          </w:tcPr>
          <w:p w14:paraId="170FEDDD"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Status is contextual and not human ranking</w:t>
            </w:r>
          </w:p>
        </w:tc>
      </w:tr>
      <w:tr w:rsidR="004E7C51" w:rsidRPr="00B479AE" w14:paraId="56D31F74" w14:textId="77777777" w:rsidTr="004E7C51">
        <w:trPr>
          <w:tblCellSpacing w:w="15" w:type="dxa"/>
        </w:trPr>
        <w:tc>
          <w:tcPr>
            <w:tcW w:w="0" w:type="auto"/>
            <w:vAlign w:val="center"/>
            <w:hideMark/>
          </w:tcPr>
          <w:p w14:paraId="7BE9C2FF"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/agent/{id}/reputation-context</w:t>
            </w:r>
          </w:p>
        </w:tc>
        <w:tc>
          <w:tcPr>
            <w:tcW w:w="0" w:type="auto"/>
            <w:vAlign w:val="center"/>
            <w:hideMark/>
          </w:tcPr>
          <w:p w14:paraId="51EA9DE2"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GET</w:t>
            </w:r>
          </w:p>
        </w:tc>
        <w:tc>
          <w:tcPr>
            <w:tcW w:w="0" w:type="auto"/>
            <w:vAlign w:val="center"/>
            <w:hideMark/>
          </w:tcPr>
          <w:p w14:paraId="30B7BAA6"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Retrieve permitted reputation context</w:t>
            </w:r>
          </w:p>
        </w:tc>
        <w:tc>
          <w:tcPr>
            <w:tcW w:w="0" w:type="auto"/>
            <w:vAlign w:val="center"/>
            <w:hideMark/>
          </w:tcPr>
          <w:p w14:paraId="13803A17"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JWT plus role authorization</w:t>
            </w:r>
          </w:p>
        </w:tc>
        <w:tc>
          <w:tcPr>
            <w:tcW w:w="0" w:type="auto"/>
            <w:vAlign w:val="center"/>
            <w:hideMark/>
          </w:tcPr>
          <w:p w14:paraId="39413848"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100/hour</w:t>
            </w:r>
          </w:p>
        </w:tc>
        <w:tc>
          <w:tcPr>
            <w:tcW w:w="0" w:type="auto"/>
            <w:vAlign w:val="center"/>
            <w:hideMark/>
          </w:tcPr>
          <w:p w14:paraId="1618F747"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Reputation is an integrity signal, not human worth or automatic authority</w:t>
            </w:r>
          </w:p>
        </w:tc>
      </w:tr>
      <w:tr w:rsidR="004E7C51" w:rsidRPr="00B479AE" w14:paraId="6CCBB1E6" w14:textId="77777777" w:rsidTr="004E7C51">
        <w:trPr>
          <w:tblCellSpacing w:w="15" w:type="dxa"/>
        </w:trPr>
        <w:tc>
          <w:tcPr>
            <w:tcW w:w="0" w:type="auto"/>
            <w:vAlign w:val="center"/>
            <w:hideMark/>
          </w:tcPr>
          <w:p w14:paraId="7C6A9BF9"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/agent/{id}/coherence</w:t>
            </w:r>
          </w:p>
        </w:tc>
        <w:tc>
          <w:tcPr>
            <w:tcW w:w="0" w:type="auto"/>
            <w:vAlign w:val="center"/>
            <w:hideMark/>
          </w:tcPr>
          <w:p w14:paraId="20EEA2CF"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GET</w:t>
            </w:r>
          </w:p>
        </w:tc>
        <w:tc>
          <w:tcPr>
            <w:tcW w:w="0" w:type="auto"/>
            <w:vAlign w:val="center"/>
            <w:hideMark/>
          </w:tcPr>
          <w:p w14:paraId="7DE8A2B5"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Retrieve voluntary, aggregated, privacy-preserving coherence context where enabled</w:t>
            </w:r>
          </w:p>
        </w:tc>
        <w:tc>
          <w:tcPr>
            <w:tcW w:w="0" w:type="auto"/>
            <w:vAlign w:val="center"/>
            <w:hideMark/>
          </w:tcPr>
          <w:p w14:paraId="60B6ECD8"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JWT plus explicit consent</w:t>
            </w:r>
          </w:p>
        </w:tc>
        <w:tc>
          <w:tcPr>
            <w:tcW w:w="0" w:type="auto"/>
            <w:vAlign w:val="center"/>
            <w:hideMark/>
          </w:tcPr>
          <w:p w14:paraId="64A8F44E"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100/hour</w:t>
            </w:r>
          </w:p>
        </w:tc>
        <w:tc>
          <w:tcPr>
            <w:tcW w:w="0" w:type="auto"/>
            <w:vAlign w:val="center"/>
            <w:hideMark/>
          </w:tcPr>
          <w:p w14:paraId="40B14C5F"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HSI-related data remains voluntary, private, and non-financial</w:t>
            </w:r>
          </w:p>
        </w:tc>
      </w:tr>
    </w:tbl>
    <w:p w14:paraId="32AB52BC" w14:textId="77777777" w:rsidR="00E83E5E" w:rsidRPr="00B479AE" w:rsidRDefault="00E83E5E" w:rsidP="004E7C51">
      <w:pPr>
        <w:tabs>
          <w:tab w:val="left" w:pos="2685"/>
        </w:tabs>
        <w:spacing w:line="360" w:lineRule="auto"/>
        <w:rPr>
          <w:rFonts w:ascii="Baskerville Old Face" w:hAnsi="Baskerville Old Face"/>
          <w:b/>
          <w:bCs/>
          <w:i/>
          <w:iCs/>
        </w:rPr>
      </w:pPr>
    </w:p>
    <w:p w14:paraId="7D785399" w14:textId="77777777" w:rsidR="00E83E5E" w:rsidRPr="00B479AE" w:rsidRDefault="00E83E5E" w:rsidP="004E7C51">
      <w:pPr>
        <w:tabs>
          <w:tab w:val="left" w:pos="2685"/>
        </w:tabs>
        <w:spacing w:line="360" w:lineRule="auto"/>
        <w:rPr>
          <w:rFonts w:ascii="Baskerville Old Face" w:hAnsi="Baskerville Old Face"/>
          <w:b/>
          <w:bCs/>
          <w:i/>
          <w:iCs/>
        </w:rPr>
      </w:pPr>
    </w:p>
    <w:p w14:paraId="5D74B924" w14:textId="7191B276"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lastRenderedPageBreak/>
        <w:t>L.3.2 MRV and Evidence Endpoints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9"/>
        <w:gridCol w:w="778"/>
        <w:gridCol w:w="2143"/>
        <w:gridCol w:w="1899"/>
        <w:gridCol w:w="996"/>
        <w:gridCol w:w="1813"/>
      </w:tblGrid>
      <w:tr w:rsidR="004E7C51" w:rsidRPr="00B479AE" w14:paraId="0DBE7C3E" w14:textId="77777777" w:rsidTr="00E83E5E">
        <w:trPr>
          <w:tblHeader/>
          <w:tblCellSpacing w:w="15" w:type="dxa"/>
        </w:trPr>
        <w:tc>
          <w:tcPr>
            <w:tcW w:w="0" w:type="auto"/>
            <w:vAlign w:val="center"/>
            <w:hideMark/>
          </w:tcPr>
          <w:p w14:paraId="61EF8C31" w14:textId="77777777" w:rsidR="004E7C51" w:rsidRPr="00B479AE" w:rsidRDefault="004E7C51" w:rsidP="004E7C51">
            <w:pPr>
              <w:tabs>
                <w:tab w:val="left" w:pos="2685"/>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Endpoint</w:t>
            </w:r>
          </w:p>
        </w:tc>
        <w:tc>
          <w:tcPr>
            <w:tcW w:w="0" w:type="auto"/>
            <w:vAlign w:val="center"/>
            <w:hideMark/>
          </w:tcPr>
          <w:p w14:paraId="3DE22624" w14:textId="77777777" w:rsidR="004E7C51" w:rsidRPr="00B479AE" w:rsidRDefault="004E7C51" w:rsidP="004E7C51">
            <w:pPr>
              <w:tabs>
                <w:tab w:val="left" w:pos="2685"/>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Method</w:t>
            </w:r>
          </w:p>
        </w:tc>
        <w:tc>
          <w:tcPr>
            <w:tcW w:w="0" w:type="auto"/>
            <w:vAlign w:val="center"/>
            <w:hideMark/>
          </w:tcPr>
          <w:p w14:paraId="27DE13F6" w14:textId="77777777" w:rsidR="004E7C51" w:rsidRPr="00B479AE" w:rsidRDefault="004E7C51" w:rsidP="004E7C51">
            <w:pPr>
              <w:tabs>
                <w:tab w:val="left" w:pos="2685"/>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Description</w:t>
            </w:r>
          </w:p>
        </w:tc>
        <w:tc>
          <w:tcPr>
            <w:tcW w:w="0" w:type="auto"/>
            <w:vAlign w:val="center"/>
            <w:hideMark/>
          </w:tcPr>
          <w:p w14:paraId="0DB098E4" w14:textId="77777777" w:rsidR="004E7C51" w:rsidRPr="00B479AE" w:rsidRDefault="004E7C51" w:rsidP="004E7C51">
            <w:pPr>
              <w:tabs>
                <w:tab w:val="left" w:pos="2685"/>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Authentication</w:t>
            </w:r>
          </w:p>
        </w:tc>
        <w:tc>
          <w:tcPr>
            <w:tcW w:w="0" w:type="auto"/>
            <w:vAlign w:val="center"/>
            <w:hideMark/>
          </w:tcPr>
          <w:p w14:paraId="4AE6121C" w14:textId="77777777" w:rsidR="004E7C51" w:rsidRPr="00B479AE" w:rsidRDefault="004E7C51" w:rsidP="004E7C51">
            <w:pPr>
              <w:tabs>
                <w:tab w:val="left" w:pos="2685"/>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Rate limit</w:t>
            </w:r>
          </w:p>
        </w:tc>
        <w:tc>
          <w:tcPr>
            <w:tcW w:w="0" w:type="auto"/>
            <w:vAlign w:val="center"/>
            <w:hideMark/>
          </w:tcPr>
          <w:p w14:paraId="7751873F" w14:textId="77777777" w:rsidR="004E7C51" w:rsidRPr="00B479AE" w:rsidRDefault="004E7C51" w:rsidP="004E7C51">
            <w:pPr>
              <w:tabs>
                <w:tab w:val="left" w:pos="2685"/>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Boundary</w:t>
            </w:r>
          </w:p>
        </w:tc>
      </w:tr>
      <w:tr w:rsidR="004E7C51" w:rsidRPr="00B479AE" w14:paraId="0E8F8E4C" w14:textId="77777777" w:rsidTr="00E83E5E">
        <w:trPr>
          <w:tblCellSpacing w:w="15" w:type="dxa"/>
        </w:trPr>
        <w:tc>
          <w:tcPr>
            <w:tcW w:w="0" w:type="auto"/>
            <w:vAlign w:val="center"/>
            <w:hideMark/>
          </w:tcPr>
          <w:p w14:paraId="5FB10FD8"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/mrv/submit</w:t>
            </w:r>
          </w:p>
        </w:tc>
        <w:tc>
          <w:tcPr>
            <w:tcW w:w="0" w:type="auto"/>
            <w:vAlign w:val="center"/>
            <w:hideMark/>
          </w:tcPr>
          <w:p w14:paraId="26B9A996"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POST</w:t>
            </w:r>
          </w:p>
        </w:tc>
        <w:tc>
          <w:tcPr>
            <w:tcW w:w="0" w:type="auto"/>
            <w:vAlign w:val="center"/>
            <w:hideMark/>
          </w:tcPr>
          <w:p w14:paraId="3BABAA59"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Submit MRV-related evidence, including sensor, field, laboratory, satellite, audit, or operational data</w:t>
            </w:r>
          </w:p>
        </w:tc>
        <w:tc>
          <w:tcPr>
            <w:tcW w:w="0" w:type="auto"/>
            <w:vAlign w:val="center"/>
            <w:hideMark/>
          </w:tcPr>
          <w:p w14:paraId="43B2DD6B"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JWT plus Holochain signature or approved service credential</w:t>
            </w:r>
          </w:p>
        </w:tc>
        <w:tc>
          <w:tcPr>
            <w:tcW w:w="0" w:type="auto"/>
            <w:vAlign w:val="center"/>
            <w:hideMark/>
          </w:tcPr>
          <w:p w14:paraId="3FE5177B"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1000/day</w:t>
            </w:r>
          </w:p>
        </w:tc>
        <w:tc>
          <w:tcPr>
            <w:tcW w:w="0" w:type="auto"/>
            <w:vAlign w:val="center"/>
            <w:hideMark/>
          </w:tcPr>
          <w:p w14:paraId="52C299B5"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Submission does not create verification or admissibility</w:t>
            </w:r>
          </w:p>
        </w:tc>
      </w:tr>
      <w:tr w:rsidR="004E7C51" w:rsidRPr="00B479AE" w14:paraId="5079142E" w14:textId="77777777" w:rsidTr="00E83E5E">
        <w:trPr>
          <w:tblCellSpacing w:w="15" w:type="dxa"/>
        </w:trPr>
        <w:tc>
          <w:tcPr>
            <w:tcW w:w="0" w:type="auto"/>
            <w:vAlign w:val="center"/>
            <w:hideMark/>
          </w:tcPr>
          <w:p w14:paraId="3452AF69"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/mrv/{id}</w:t>
            </w:r>
          </w:p>
        </w:tc>
        <w:tc>
          <w:tcPr>
            <w:tcW w:w="0" w:type="auto"/>
            <w:vAlign w:val="center"/>
            <w:hideMark/>
          </w:tcPr>
          <w:p w14:paraId="632012A7"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GET</w:t>
            </w:r>
          </w:p>
        </w:tc>
        <w:tc>
          <w:tcPr>
            <w:tcW w:w="0" w:type="auto"/>
            <w:vAlign w:val="center"/>
            <w:hideMark/>
          </w:tcPr>
          <w:p w14:paraId="607883C2"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Retrieve permitted MRV event details</w:t>
            </w:r>
          </w:p>
        </w:tc>
        <w:tc>
          <w:tcPr>
            <w:tcW w:w="0" w:type="auto"/>
            <w:vAlign w:val="center"/>
            <w:hideMark/>
          </w:tcPr>
          <w:p w14:paraId="0A638352"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API key, JWT, or role credential depending on classification</w:t>
            </w:r>
          </w:p>
        </w:tc>
        <w:tc>
          <w:tcPr>
            <w:tcW w:w="0" w:type="auto"/>
            <w:vAlign w:val="center"/>
            <w:hideMark/>
          </w:tcPr>
          <w:p w14:paraId="26B18C19"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1000/hour</w:t>
            </w:r>
          </w:p>
        </w:tc>
        <w:tc>
          <w:tcPr>
            <w:tcW w:w="0" w:type="auto"/>
            <w:vAlign w:val="center"/>
            <w:hideMark/>
          </w:tcPr>
          <w:p w14:paraId="0458747A"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Access depends on disclosure status and data sensitivity</w:t>
            </w:r>
          </w:p>
        </w:tc>
      </w:tr>
      <w:tr w:rsidR="004E7C51" w:rsidRPr="00B479AE" w14:paraId="74320A0E" w14:textId="77777777" w:rsidTr="00E83E5E">
        <w:trPr>
          <w:tblCellSpacing w:w="15" w:type="dxa"/>
        </w:trPr>
        <w:tc>
          <w:tcPr>
            <w:tcW w:w="0" w:type="auto"/>
            <w:vAlign w:val="center"/>
            <w:hideMark/>
          </w:tcPr>
          <w:p w14:paraId="50081AD3"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/mrv/project/{id}</w:t>
            </w:r>
          </w:p>
        </w:tc>
        <w:tc>
          <w:tcPr>
            <w:tcW w:w="0" w:type="auto"/>
            <w:vAlign w:val="center"/>
            <w:hideMark/>
          </w:tcPr>
          <w:p w14:paraId="61FA02FE"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GET</w:t>
            </w:r>
          </w:p>
        </w:tc>
        <w:tc>
          <w:tcPr>
            <w:tcW w:w="0" w:type="auto"/>
            <w:vAlign w:val="center"/>
            <w:hideMark/>
          </w:tcPr>
          <w:p w14:paraId="4F51AB28"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Retrieve permitted MRV data for a project</w:t>
            </w:r>
          </w:p>
        </w:tc>
        <w:tc>
          <w:tcPr>
            <w:tcW w:w="0" w:type="auto"/>
            <w:vAlign w:val="center"/>
            <w:hideMark/>
          </w:tcPr>
          <w:p w14:paraId="0B1FF20E"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API key, JWT, or data-room credential</w:t>
            </w:r>
          </w:p>
        </w:tc>
        <w:tc>
          <w:tcPr>
            <w:tcW w:w="0" w:type="auto"/>
            <w:vAlign w:val="center"/>
            <w:hideMark/>
          </w:tcPr>
          <w:p w14:paraId="6395B25D"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1000/hour</w:t>
            </w:r>
          </w:p>
        </w:tc>
        <w:tc>
          <w:tcPr>
            <w:tcW w:w="0" w:type="auto"/>
            <w:vAlign w:val="center"/>
            <w:hideMark/>
          </w:tcPr>
          <w:p w14:paraId="00E88B3B"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Investor-review data requires controlled access</w:t>
            </w:r>
          </w:p>
        </w:tc>
      </w:tr>
      <w:tr w:rsidR="004E7C51" w:rsidRPr="00B479AE" w14:paraId="3C3D7DF5" w14:textId="77777777" w:rsidTr="00E83E5E">
        <w:trPr>
          <w:tblCellSpacing w:w="15" w:type="dxa"/>
        </w:trPr>
        <w:tc>
          <w:tcPr>
            <w:tcW w:w="0" w:type="auto"/>
            <w:vAlign w:val="center"/>
            <w:hideMark/>
          </w:tcPr>
          <w:p w14:paraId="3EB8C10F"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/mrv/verify/{id}</w:t>
            </w:r>
          </w:p>
        </w:tc>
        <w:tc>
          <w:tcPr>
            <w:tcW w:w="0" w:type="auto"/>
            <w:vAlign w:val="center"/>
            <w:hideMark/>
          </w:tcPr>
          <w:p w14:paraId="50D33923"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POST</w:t>
            </w:r>
          </w:p>
        </w:tc>
        <w:tc>
          <w:tcPr>
            <w:tcW w:w="0" w:type="auto"/>
            <w:vAlign w:val="center"/>
            <w:hideMark/>
          </w:tcPr>
          <w:p w14:paraId="5243C1A4"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Request or perform review of a pending MRV event</w:t>
            </w:r>
          </w:p>
        </w:tc>
        <w:tc>
          <w:tcPr>
            <w:tcW w:w="0" w:type="auto"/>
            <w:vAlign w:val="center"/>
            <w:hideMark/>
          </w:tcPr>
          <w:p w14:paraId="0C6886D3"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MRV reviewer / validator authorization</w:t>
            </w:r>
          </w:p>
        </w:tc>
        <w:tc>
          <w:tcPr>
            <w:tcW w:w="0" w:type="auto"/>
            <w:vAlign w:val="center"/>
            <w:hideMark/>
          </w:tcPr>
          <w:p w14:paraId="210902C1"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100/hour</w:t>
            </w:r>
          </w:p>
        </w:tc>
        <w:tc>
          <w:tcPr>
            <w:tcW w:w="0" w:type="auto"/>
            <w:vAlign w:val="center"/>
            <w:hideMark/>
          </w:tcPr>
          <w:p w14:paraId="71BB5F22"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Verification remains methodology-bound and review-bound</w:t>
            </w:r>
          </w:p>
        </w:tc>
      </w:tr>
      <w:tr w:rsidR="004E7C51" w:rsidRPr="00B479AE" w14:paraId="01CEF195" w14:textId="77777777" w:rsidTr="00E83E5E">
        <w:trPr>
          <w:tblCellSpacing w:w="15" w:type="dxa"/>
        </w:trPr>
        <w:tc>
          <w:tcPr>
            <w:tcW w:w="0" w:type="auto"/>
            <w:vAlign w:val="center"/>
            <w:hideMark/>
          </w:tcPr>
          <w:p w14:paraId="1E15FB58"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/mrv/{id}/admissibility</w:t>
            </w:r>
          </w:p>
        </w:tc>
        <w:tc>
          <w:tcPr>
            <w:tcW w:w="0" w:type="auto"/>
            <w:vAlign w:val="center"/>
            <w:hideMark/>
          </w:tcPr>
          <w:p w14:paraId="4C58228E"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POST</w:t>
            </w:r>
          </w:p>
        </w:tc>
        <w:tc>
          <w:tcPr>
            <w:tcW w:w="0" w:type="auto"/>
            <w:vAlign w:val="center"/>
            <w:hideMark/>
          </w:tcPr>
          <w:p w14:paraId="6C327547"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Route evidence bundle to admissibility review</w:t>
            </w:r>
          </w:p>
        </w:tc>
        <w:tc>
          <w:tcPr>
            <w:tcW w:w="0" w:type="auto"/>
            <w:vAlign w:val="center"/>
            <w:hideMark/>
          </w:tcPr>
          <w:p w14:paraId="66CA20DF"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MRV reviewer, protocol steward, or governance role</w:t>
            </w:r>
          </w:p>
        </w:tc>
        <w:tc>
          <w:tcPr>
            <w:tcW w:w="0" w:type="auto"/>
            <w:vAlign w:val="center"/>
            <w:hideMark/>
          </w:tcPr>
          <w:p w14:paraId="735C036B"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50/hour</w:t>
            </w:r>
          </w:p>
        </w:tc>
        <w:tc>
          <w:tcPr>
            <w:tcW w:w="0" w:type="auto"/>
            <w:vAlign w:val="center"/>
            <w:hideMark/>
          </w:tcPr>
          <w:p w14:paraId="2BFC1C1B"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Admissibility does not create legal rights by itself</w:t>
            </w:r>
          </w:p>
        </w:tc>
      </w:tr>
      <w:tr w:rsidR="004E7C51" w:rsidRPr="00B479AE" w14:paraId="209BB8F2" w14:textId="77777777" w:rsidTr="00E83E5E">
        <w:trPr>
          <w:tblCellSpacing w:w="15" w:type="dxa"/>
        </w:trPr>
        <w:tc>
          <w:tcPr>
            <w:tcW w:w="0" w:type="auto"/>
            <w:vAlign w:val="center"/>
            <w:hideMark/>
          </w:tcPr>
          <w:p w14:paraId="7B169653"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/mrv/{id}/correct</w:t>
            </w:r>
          </w:p>
        </w:tc>
        <w:tc>
          <w:tcPr>
            <w:tcW w:w="0" w:type="auto"/>
            <w:vAlign w:val="center"/>
            <w:hideMark/>
          </w:tcPr>
          <w:p w14:paraId="2C91ED03"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POST</w:t>
            </w:r>
          </w:p>
        </w:tc>
        <w:tc>
          <w:tcPr>
            <w:tcW w:w="0" w:type="auto"/>
            <w:vAlign w:val="center"/>
            <w:hideMark/>
          </w:tcPr>
          <w:p w14:paraId="753E440F"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Submit correction, challenge, or updated evidence</w:t>
            </w:r>
          </w:p>
        </w:tc>
        <w:tc>
          <w:tcPr>
            <w:tcW w:w="0" w:type="auto"/>
            <w:vAlign w:val="center"/>
            <w:hideMark/>
          </w:tcPr>
          <w:p w14:paraId="70C5E796"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Authorized agent or reviewer</w:t>
            </w:r>
          </w:p>
        </w:tc>
        <w:tc>
          <w:tcPr>
            <w:tcW w:w="0" w:type="auto"/>
            <w:vAlign w:val="center"/>
            <w:hideMark/>
          </w:tcPr>
          <w:p w14:paraId="7352544F"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100/hour</w:t>
            </w:r>
          </w:p>
        </w:tc>
        <w:tc>
          <w:tcPr>
            <w:tcW w:w="0" w:type="auto"/>
            <w:vAlign w:val="center"/>
            <w:hideMark/>
          </w:tcPr>
          <w:p w14:paraId="38794D6A"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Corrections require provenance and audit trail</w:t>
            </w:r>
          </w:p>
        </w:tc>
      </w:tr>
    </w:tbl>
    <w:p w14:paraId="5BD64786" w14:textId="77777777" w:rsidR="00E83E5E" w:rsidRPr="00B479AE" w:rsidRDefault="00E83E5E" w:rsidP="004E7C51">
      <w:pPr>
        <w:tabs>
          <w:tab w:val="left" w:pos="2685"/>
        </w:tabs>
        <w:spacing w:line="360" w:lineRule="auto"/>
        <w:rPr>
          <w:rFonts w:ascii="Baskerville Old Face" w:hAnsi="Baskerville Old Face"/>
          <w:b/>
          <w:bCs/>
          <w:i/>
          <w:iCs/>
        </w:rPr>
      </w:pPr>
    </w:p>
    <w:p w14:paraId="237AEDCE" w14:textId="77777777" w:rsidR="00E83E5E" w:rsidRPr="00B479AE" w:rsidRDefault="00E83E5E" w:rsidP="004E7C51">
      <w:pPr>
        <w:tabs>
          <w:tab w:val="left" w:pos="2685"/>
        </w:tabs>
        <w:spacing w:line="360" w:lineRule="auto"/>
        <w:rPr>
          <w:rFonts w:ascii="Baskerville Old Face" w:hAnsi="Baskerville Old Face"/>
          <w:b/>
          <w:bCs/>
          <w:i/>
          <w:iCs/>
        </w:rPr>
      </w:pPr>
    </w:p>
    <w:p w14:paraId="639CB0A2" w14:textId="77777777" w:rsidR="00E83E5E" w:rsidRPr="00B479AE" w:rsidRDefault="00E83E5E" w:rsidP="004E7C51">
      <w:pPr>
        <w:tabs>
          <w:tab w:val="left" w:pos="2685"/>
        </w:tabs>
        <w:spacing w:line="360" w:lineRule="auto"/>
        <w:rPr>
          <w:rFonts w:ascii="Baskerville Old Face" w:hAnsi="Baskerville Old Face"/>
          <w:b/>
          <w:bCs/>
          <w:i/>
          <w:iCs/>
        </w:rPr>
      </w:pPr>
    </w:p>
    <w:p w14:paraId="1112E2CD" w14:textId="3E01BC2C"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lastRenderedPageBreak/>
        <w:t>L.3.3 PRU and Value-Analysis Endpoints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6"/>
        <w:gridCol w:w="714"/>
        <w:gridCol w:w="1879"/>
        <w:gridCol w:w="1934"/>
        <w:gridCol w:w="821"/>
        <w:gridCol w:w="2204"/>
      </w:tblGrid>
      <w:tr w:rsidR="004E7C51" w:rsidRPr="00B479AE" w14:paraId="3556FFB2" w14:textId="77777777" w:rsidTr="00E83E5E">
        <w:trPr>
          <w:tblHeader/>
          <w:tblCellSpacing w:w="15" w:type="dxa"/>
        </w:trPr>
        <w:tc>
          <w:tcPr>
            <w:tcW w:w="0" w:type="auto"/>
            <w:vAlign w:val="center"/>
            <w:hideMark/>
          </w:tcPr>
          <w:p w14:paraId="1C937F82"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Endpoint</w:t>
            </w:r>
          </w:p>
        </w:tc>
        <w:tc>
          <w:tcPr>
            <w:tcW w:w="0" w:type="auto"/>
            <w:vAlign w:val="center"/>
            <w:hideMark/>
          </w:tcPr>
          <w:p w14:paraId="618F5812"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Method</w:t>
            </w:r>
          </w:p>
        </w:tc>
        <w:tc>
          <w:tcPr>
            <w:tcW w:w="0" w:type="auto"/>
            <w:vAlign w:val="center"/>
            <w:hideMark/>
          </w:tcPr>
          <w:p w14:paraId="53328D12"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Description</w:t>
            </w:r>
          </w:p>
        </w:tc>
        <w:tc>
          <w:tcPr>
            <w:tcW w:w="0" w:type="auto"/>
            <w:vAlign w:val="center"/>
            <w:hideMark/>
          </w:tcPr>
          <w:p w14:paraId="555ABFE8"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Authentication</w:t>
            </w:r>
          </w:p>
        </w:tc>
        <w:tc>
          <w:tcPr>
            <w:tcW w:w="0" w:type="auto"/>
            <w:vAlign w:val="center"/>
            <w:hideMark/>
          </w:tcPr>
          <w:p w14:paraId="1581155B"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Rate limit</w:t>
            </w:r>
          </w:p>
        </w:tc>
        <w:tc>
          <w:tcPr>
            <w:tcW w:w="0" w:type="auto"/>
            <w:vAlign w:val="center"/>
            <w:hideMark/>
          </w:tcPr>
          <w:p w14:paraId="141CF105"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Boundary</w:t>
            </w:r>
          </w:p>
        </w:tc>
      </w:tr>
      <w:tr w:rsidR="004E7C51" w:rsidRPr="00B479AE" w14:paraId="64E62D52" w14:textId="77777777" w:rsidTr="00E83E5E">
        <w:trPr>
          <w:tblCellSpacing w:w="15" w:type="dxa"/>
        </w:trPr>
        <w:tc>
          <w:tcPr>
            <w:tcW w:w="0" w:type="auto"/>
            <w:vAlign w:val="center"/>
            <w:hideMark/>
          </w:tcPr>
          <w:p w14:paraId="659C0FF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/pru/project/{id}/analysis</w:t>
            </w:r>
          </w:p>
        </w:tc>
        <w:tc>
          <w:tcPr>
            <w:tcW w:w="0" w:type="auto"/>
            <w:vAlign w:val="center"/>
            <w:hideMark/>
          </w:tcPr>
          <w:p w14:paraId="2F1CD7A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GET</w:t>
            </w:r>
          </w:p>
        </w:tc>
        <w:tc>
          <w:tcPr>
            <w:tcW w:w="0" w:type="auto"/>
            <w:vAlign w:val="center"/>
            <w:hideMark/>
          </w:tcPr>
          <w:p w14:paraId="00895372"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Retrieve permitted PRU value-analysis status for a project</w:t>
            </w:r>
          </w:p>
        </w:tc>
        <w:tc>
          <w:tcPr>
            <w:tcW w:w="0" w:type="auto"/>
            <w:vAlign w:val="center"/>
            <w:hideMark/>
          </w:tcPr>
          <w:p w14:paraId="2F52FDF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Authorized agent, reviewer, or data-room credential</w:t>
            </w:r>
          </w:p>
        </w:tc>
        <w:tc>
          <w:tcPr>
            <w:tcW w:w="0" w:type="auto"/>
            <w:vAlign w:val="center"/>
            <w:hideMark/>
          </w:tcPr>
          <w:p w14:paraId="1DE63731"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100/hour</w:t>
            </w:r>
          </w:p>
        </w:tc>
        <w:tc>
          <w:tcPr>
            <w:tcW w:w="0" w:type="auto"/>
            <w:vAlign w:val="center"/>
            <w:hideMark/>
          </w:tcPr>
          <w:p w14:paraId="23E009D6"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PRU analysis is not market price, security rating, or investor entitlement</w:t>
            </w:r>
          </w:p>
        </w:tc>
      </w:tr>
      <w:tr w:rsidR="004E7C51" w:rsidRPr="00B479AE" w14:paraId="04E762F2" w14:textId="77777777" w:rsidTr="00E83E5E">
        <w:trPr>
          <w:tblCellSpacing w:w="15" w:type="dxa"/>
        </w:trPr>
        <w:tc>
          <w:tcPr>
            <w:tcW w:w="0" w:type="auto"/>
            <w:vAlign w:val="center"/>
            <w:hideMark/>
          </w:tcPr>
          <w:p w14:paraId="6D658B6D"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/pru/project/{id}/maturity</w:t>
            </w:r>
          </w:p>
        </w:tc>
        <w:tc>
          <w:tcPr>
            <w:tcW w:w="0" w:type="auto"/>
            <w:vAlign w:val="center"/>
            <w:hideMark/>
          </w:tcPr>
          <w:p w14:paraId="6BA2B4A7"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GET</w:t>
            </w:r>
          </w:p>
        </w:tc>
        <w:tc>
          <w:tcPr>
            <w:tcW w:w="0" w:type="auto"/>
            <w:vAlign w:val="center"/>
            <w:hideMark/>
          </w:tcPr>
          <w:p w14:paraId="5BF965C6"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Retrieve PRU maturity-classification status</w:t>
            </w:r>
          </w:p>
        </w:tc>
        <w:tc>
          <w:tcPr>
            <w:tcW w:w="0" w:type="auto"/>
            <w:vAlign w:val="center"/>
            <w:hideMark/>
          </w:tcPr>
          <w:p w14:paraId="09C2478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Authorized agent, reviewer, or data-room credential</w:t>
            </w:r>
          </w:p>
        </w:tc>
        <w:tc>
          <w:tcPr>
            <w:tcW w:w="0" w:type="auto"/>
            <w:vAlign w:val="center"/>
            <w:hideMark/>
          </w:tcPr>
          <w:p w14:paraId="7D3FD84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100/hour</w:t>
            </w:r>
          </w:p>
        </w:tc>
        <w:tc>
          <w:tcPr>
            <w:tcW w:w="0" w:type="auto"/>
            <w:vAlign w:val="center"/>
            <w:hideMark/>
          </w:tcPr>
          <w:p w14:paraId="1558A610"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Maturity class supports diligence and does not replace underwriting</w:t>
            </w:r>
          </w:p>
        </w:tc>
      </w:tr>
      <w:tr w:rsidR="004E7C51" w:rsidRPr="00B479AE" w14:paraId="273E4F03" w14:textId="77777777" w:rsidTr="00E83E5E">
        <w:trPr>
          <w:tblCellSpacing w:w="15" w:type="dxa"/>
        </w:trPr>
        <w:tc>
          <w:tcPr>
            <w:tcW w:w="0" w:type="auto"/>
            <w:vAlign w:val="center"/>
            <w:hideMark/>
          </w:tcPr>
          <w:p w14:paraId="3BCB9B0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/pru/project/{id}/review</w:t>
            </w:r>
          </w:p>
        </w:tc>
        <w:tc>
          <w:tcPr>
            <w:tcW w:w="0" w:type="auto"/>
            <w:vAlign w:val="center"/>
            <w:hideMark/>
          </w:tcPr>
          <w:p w14:paraId="0D084A52"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POST</w:t>
            </w:r>
          </w:p>
        </w:tc>
        <w:tc>
          <w:tcPr>
            <w:tcW w:w="0" w:type="auto"/>
            <w:vAlign w:val="center"/>
            <w:hideMark/>
          </w:tcPr>
          <w:p w14:paraId="1217E44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Submit PRU-related evidence bundle for review</w:t>
            </w:r>
          </w:p>
        </w:tc>
        <w:tc>
          <w:tcPr>
            <w:tcW w:w="0" w:type="auto"/>
            <w:vAlign w:val="center"/>
            <w:hideMark/>
          </w:tcPr>
          <w:p w14:paraId="399D9CB6"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MRV reviewer, protocol steward, or governance role</w:t>
            </w:r>
          </w:p>
        </w:tc>
        <w:tc>
          <w:tcPr>
            <w:tcW w:w="0" w:type="auto"/>
            <w:vAlign w:val="center"/>
            <w:hideMark/>
          </w:tcPr>
          <w:p w14:paraId="6E91C3F0"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50/hour</w:t>
            </w:r>
          </w:p>
        </w:tc>
        <w:tc>
          <w:tcPr>
            <w:tcW w:w="0" w:type="auto"/>
            <w:vAlign w:val="center"/>
            <w:hideMark/>
          </w:tcPr>
          <w:p w14:paraId="6916B58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Review may result in admissible, non-admissible, or review-required status</w:t>
            </w:r>
          </w:p>
        </w:tc>
      </w:tr>
      <w:tr w:rsidR="004E7C51" w:rsidRPr="00B479AE" w14:paraId="52E0995C" w14:textId="77777777" w:rsidTr="00E83E5E">
        <w:trPr>
          <w:tblCellSpacing w:w="15" w:type="dxa"/>
        </w:trPr>
        <w:tc>
          <w:tcPr>
            <w:tcW w:w="0" w:type="auto"/>
            <w:vAlign w:val="center"/>
            <w:hideMark/>
          </w:tcPr>
          <w:p w14:paraId="1C69F990"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/pru/project/{id}/report</w:t>
            </w:r>
          </w:p>
        </w:tc>
        <w:tc>
          <w:tcPr>
            <w:tcW w:w="0" w:type="auto"/>
            <w:vAlign w:val="center"/>
            <w:hideMark/>
          </w:tcPr>
          <w:p w14:paraId="2897CA21"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GET</w:t>
            </w:r>
          </w:p>
        </w:tc>
        <w:tc>
          <w:tcPr>
            <w:tcW w:w="0" w:type="auto"/>
            <w:vAlign w:val="center"/>
            <w:hideMark/>
          </w:tcPr>
          <w:p w14:paraId="62320C0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Retrieve permitted PRU analysis report</w:t>
            </w:r>
          </w:p>
        </w:tc>
        <w:tc>
          <w:tcPr>
            <w:tcW w:w="0" w:type="auto"/>
            <w:vAlign w:val="center"/>
            <w:hideMark/>
          </w:tcPr>
          <w:p w14:paraId="35048A0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Data-room credential or authorized role</w:t>
            </w:r>
          </w:p>
        </w:tc>
        <w:tc>
          <w:tcPr>
            <w:tcW w:w="0" w:type="auto"/>
            <w:vAlign w:val="center"/>
            <w:hideMark/>
          </w:tcPr>
          <w:p w14:paraId="0A2F7FA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50/hour</w:t>
            </w:r>
          </w:p>
        </w:tc>
        <w:tc>
          <w:tcPr>
            <w:tcW w:w="0" w:type="auto"/>
            <w:vAlign w:val="center"/>
            <w:hideMark/>
          </w:tcPr>
          <w:p w14:paraId="5B40754B"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Report classification determines permitted language and use</w:t>
            </w:r>
          </w:p>
        </w:tc>
      </w:tr>
    </w:tbl>
    <w:p w14:paraId="330E91C9" w14:textId="77777777" w:rsidR="00E83E5E" w:rsidRPr="00B479AE" w:rsidRDefault="00E83E5E" w:rsidP="004E7C51">
      <w:pPr>
        <w:tabs>
          <w:tab w:val="left" w:pos="2685"/>
        </w:tabs>
        <w:spacing w:line="360" w:lineRule="auto"/>
        <w:rPr>
          <w:rFonts w:ascii="Baskerville Old Face" w:hAnsi="Baskerville Old Face"/>
          <w:b/>
          <w:bCs/>
          <w:i/>
          <w:iCs/>
        </w:rPr>
      </w:pPr>
    </w:p>
    <w:p w14:paraId="60F71C04" w14:textId="77777777" w:rsidR="00E83E5E" w:rsidRPr="00B479AE" w:rsidRDefault="00E83E5E" w:rsidP="004E7C51">
      <w:pPr>
        <w:tabs>
          <w:tab w:val="left" w:pos="2685"/>
        </w:tabs>
        <w:spacing w:line="360" w:lineRule="auto"/>
        <w:rPr>
          <w:rFonts w:ascii="Baskerville Old Face" w:hAnsi="Baskerville Old Face"/>
          <w:b/>
          <w:bCs/>
          <w:i/>
          <w:iCs/>
        </w:rPr>
      </w:pPr>
    </w:p>
    <w:p w14:paraId="64B7E6AA" w14:textId="77777777" w:rsidR="00E83E5E" w:rsidRPr="00B479AE" w:rsidRDefault="00E83E5E" w:rsidP="004E7C51">
      <w:pPr>
        <w:tabs>
          <w:tab w:val="left" w:pos="2685"/>
        </w:tabs>
        <w:spacing w:line="360" w:lineRule="auto"/>
        <w:rPr>
          <w:rFonts w:ascii="Baskerville Old Face" w:hAnsi="Baskerville Old Face"/>
          <w:b/>
          <w:bCs/>
          <w:i/>
          <w:iCs/>
        </w:rPr>
      </w:pPr>
    </w:p>
    <w:p w14:paraId="1F4548B6" w14:textId="77777777" w:rsidR="00E83E5E" w:rsidRPr="00B479AE" w:rsidRDefault="00E83E5E" w:rsidP="004E7C51">
      <w:pPr>
        <w:tabs>
          <w:tab w:val="left" w:pos="2685"/>
        </w:tabs>
        <w:spacing w:line="360" w:lineRule="auto"/>
        <w:rPr>
          <w:rFonts w:ascii="Baskerville Old Face" w:hAnsi="Baskerville Old Face"/>
          <w:b/>
          <w:bCs/>
          <w:i/>
          <w:iCs/>
        </w:rPr>
      </w:pPr>
    </w:p>
    <w:p w14:paraId="558DFA79" w14:textId="77777777" w:rsidR="00E83E5E" w:rsidRPr="00B479AE" w:rsidRDefault="00E83E5E" w:rsidP="004E7C51">
      <w:pPr>
        <w:tabs>
          <w:tab w:val="left" w:pos="2685"/>
        </w:tabs>
        <w:spacing w:line="360" w:lineRule="auto"/>
        <w:rPr>
          <w:rFonts w:ascii="Baskerville Old Face" w:hAnsi="Baskerville Old Face"/>
          <w:b/>
          <w:bCs/>
          <w:i/>
          <w:iCs/>
        </w:rPr>
      </w:pPr>
    </w:p>
    <w:p w14:paraId="13F60E8F" w14:textId="77777777" w:rsidR="00E83E5E" w:rsidRPr="00B479AE" w:rsidRDefault="00E83E5E" w:rsidP="004E7C51">
      <w:pPr>
        <w:tabs>
          <w:tab w:val="left" w:pos="2685"/>
        </w:tabs>
        <w:spacing w:line="360" w:lineRule="auto"/>
        <w:rPr>
          <w:rFonts w:ascii="Baskerville Old Face" w:hAnsi="Baskerville Old Face"/>
          <w:b/>
          <w:bCs/>
          <w:i/>
          <w:iCs/>
        </w:rPr>
      </w:pPr>
    </w:p>
    <w:p w14:paraId="4EED16E3" w14:textId="77777777" w:rsidR="00E83E5E" w:rsidRPr="00B479AE" w:rsidRDefault="00E83E5E" w:rsidP="004E7C51">
      <w:pPr>
        <w:tabs>
          <w:tab w:val="left" w:pos="2685"/>
        </w:tabs>
        <w:spacing w:line="360" w:lineRule="auto"/>
        <w:rPr>
          <w:rFonts w:ascii="Baskerville Old Face" w:hAnsi="Baskerville Old Face"/>
          <w:b/>
          <w:bCs/>
          <w:i/>
          <w:iCs/>
        </w:rPr>
      </w:pPr>
    </w:p>
    <w:p w14:paraId="5E8B0A92" w14:textId="77777777" w:rsidR="00E83E5E" w:rsidRPr="00B479AE" w:rsidRDefault="00E83E5E" w:rsidP="004E7C51">
      <w:pPr>
        <w:tabs>
          <w:tab w:val="left" w:pos="2685"/>
        </w:tabs>
        <w:spacing w:line="360" w:lineRule="auto"/>
        <w:rPr>
          <w:rFonts w:ascii="Baskerville Old Face" w:hAnsi="Baskerville Old Face"/>
          <w:b/>
          <w:bCs/>
          <w:i/>
          <w:iCs/>
        </w:rPr>
      </w:pPr>
    </w:p>
    <w:p w14:paraId="792550AE" w14:textId="77777777" w:rsidR="00E83E5E" w:rsidRPr="00B479AE" w:rsidRDefault="00E83E5E" w:rsidP="004E7C51">
      <w:pPr>
        <w:tabs>
          <w:tab w:val="left" w:pos="2685"/>
        </w:tabs>
        <w:spacing w:line="360" w:lineRule="auto"/>
        <w:rPr>
          <w:rFonts w:ascii="Baskerville Old Face" w:hAnsi="Baskerville Old Face"/>
          <w:b/>
          <w:bCs/>
          <w:i/>
          <w:iCs/>
        </w:rPr>
      </w:pPr>
    </w:p>
    <w:p w14:paraId="1C7FCDA8" w14:textId="77777777" w:rsidR="00E83E5E" w:rsidRPr="00B479AE" w:rsidRDefault="00E83E5E" w:rsidP="004E7C51">
      <w:pPr>
        <w:tabs>
          <w:tab w:val="left" w:pos="2685"/>
        </w:tabs>
        <w:spacing w:line="360" w:lineRule="auto"/>
        <w:rPr>
          <w:rFonts w:ascii="Baskerville Old Face" w:hAnsi="Baskerville Old Face"/>
          <w:b/>
          <w:bCs/>
          <w:i/>
          <w:iCs/>
        </w:rPr>
      </w:pPr>
    </w:p>
    <w:p w14:paraId="0D683378" w14:textId="27950F7C"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lastRenderedPageBreak/>
        <w:t>L.3.4 Governance Endpoints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8"/>
        <w:gridCol w:w="714"/>
        <w:gridCol w:w="2023"/>
        <w:gridCol w:w="2000"/>
        <w:gridCol w:w="822"/>
        <w:gridCol w:w="1941"/>
      </w:tblGrid>
      <w:tr w:rsidR="004E7C51" w:rsidRPr="00B479AE" w14:paraId="3C0F1431" w14:textId="77777777" w:rsidTr="00E83E5E">
        <w:trPr>
          <w:tblHeader/>
          <w:tblCellSpacing w:w="15" w:type="dxa"/>
        </w:trPr>
        <w:tc>
          <w:tcPr>
            <w:tcW w:w="0" w:type="auto"/>
            <w:vAlign w:val="center"/>
            <w:hideMark/>
          </w:tcPr>
          <w:p w14:paraId="718B3C49"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Endpoint</w:t>
            </w:r>
          </w:p>
        </w:tc>
        <w:tc>
          <w:tcPr>
            <w:tcW w:w="0" w:type="auto"/>
            <w:vAlign w:val="center"/>
            <w:hideMark/>
          </w:tcPr>
          <w:p w14:paraId="0594B77B"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Method</w:t>
            </w:r>
          </w:p>
        </w:tc>
        <w:tc>
          <w:tcPr>
            <w:tcW w:w="0" w:type="auto"/>
            <w:vAlign w:val="center"/>
            <w:hideMark/>
          </w:tcPr>
          <w:p w14:paraId="354FA002"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Description</w:t>
            </w:r>
          </w:p>
        </w:tc>
        <w:tc>
          <w:tcPr>
            <w:tcW w:w="0" w:type="auto"/>
            <w:vAlign w:val="center"/>
            <w:hideMark/>
          </w:tcPr>
          <w:p w14:paraId="4ABA3AA7"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Authentication</w:t>
            </w:r>
          </w:p>
        </w:tc>
        <w:tc>
          <w:tcPr>
            <w:tcW w:w="0" w:type="auto"/>
            <w:vAlign w:val="center"/>
            <w:hideMark/>
          </w:tcPr>
          <w:p w14:paraId="6568EEE9"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Rate limit</w:t>
            </w:r>
          </w:p>
        </w:tc>
        <w:tc>
          <w:tcPr>
            <w:tcW w:w="0" w:type="auto"/>
            <w:vAlign w:val="center"/>
            <w:hideMark/>
          </w:tcPr>
          <w:p w14:paraId="05A23D1C"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Boundary</w:t>
            </w:r>
          </w:p>
        </w:tc>
      </w:tr>
      <w:tr w:rsidR="004E7C51" w:rsidRPr="00B479AE" w14:paraId="08399756" w14:textId="77777777" w:rsidTr="00E83E5E">
        <w:trPr>
          <w:tblCellSpacing w:w="15" w:type="dxa"/>
        </w:trPr>
        <w:tc>
          <w:tcPr>
            <w:tcW w:w="0" w:type="auto"/>
            <w:vAlign w:val="center"/>
            <w:hideMark/>
          </w:tcPr>
          <w:p w14:paraId="29867E6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/governance/circles</w:t>
            </w:r>
          </w:p>
        </w:tc>
        <w:tc>
          <w:tcPr>
            <w:tcW w:w="0" w:type="auto"/>
            <w:vAlign w:val="center"/>
            <w:hideMark/>
          </w:tcPr>
          <w:p w14:paraId="27AC371F"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GET</w:t>
            </w:r>
          </w:p>
        </w:tc>
        <w:tc>
          <w:tcPr>
            <w:tcW w:w="0" w:type="auto"/>
            <w:vAlign w:val="center"/>
            <w:hideMark/>
          </w:tcPr>
          <w:p w14:paraId="14CB63D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List permitted governance circles</w:t>
            </w:r>
          </w:p>
        </w:tc>
        <w:tc>
          <w:tcPr>
            <w:tcW w:w="0" w:type="auto"/>
            <w:vAlign w:val="center"/>
            <w:hideMark/>
          </w:tcPr>
          <w:p w14:paraId="59C24F87"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API key or JWT depending on visibility</w:t>
            </w:r>
          </w:p>
        </w:tc>
        <w:tc>
          <w:tcPr>
            <w:tcW w:w="0" w:type="auto"/>
            <w:vAlign w:val="center"/>
            <w:hideMark/>
          </w:tcPr>
          <w:p w14:paraId="0E71C3C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100/hour</w:t>
            </w:r>
          </w:p>
        </w:tc>
        <w:tc>
          <w:tcPr>
            <w:tcW w:w="0" w:type="auto"/>
            <w:vAlign w:val="center"/>
            <w:hideMark/>
          </w:tcPr>
          <w:p w14:paraId="3D6FE1E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Visibility depends on governance disclosure rules</w:t>
            </w:r>
          </w:p>
        </w:tc>
      </w:tr>
      <w:tr w:rsidR="004E7C51" w:rsidRPr="00B479AE" w14:paraId="44E503A9" w14:textId="77777777" w:rsidTr="00E83E5E">
        <w:trPr>
          <w:tblCellSpacing w:w="15" w:type="dxa"/>
        </w:trPr>
        <w:tc>
          <w:tcPr>
            <w:tcW w:w="0" w:type="auto"/>
            <w:vAlign w:val="center"/>
            <w:hideMark/>
          </w:tcPr>
          <w:p w14:paraId="246F77DD"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/governance/proposals</w:t>
            </w:r>
          </w:p>
        </w:tc>
        <w:tc>
          <w:tcPr>
            <w:tcW w:w="0" w:type="auto"/>
            <w:vAlign w:val="center"/>
            <w:hideMark/>
          </w:tcPr>
          <w:p w14:paraId="635626E9"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GET</w:t>
            </w:r>
          </w:p>
        </w:tc>
        <w:tc>
          <w:tcPr>
            <w:tcW w:w="0" w:type="auto"/>
            <w:vAlign w:val="center"/>
            <w:hideMark/>
          </w:tcPr>
          <w:p w14:paraId="7B1F9960"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List active proposals within permitted scope</w:t>
            </w:r>
          </w:p>
        </w:tc>
        <w:tc>
          <w:tcPr>
            <w:tcW w:w="0" w:type="auto"/>
            <w:vAlign w:val="center"/>
            <w:hideMark/>
          </w:tcPr>
          <w:p w14:paraId="064BE4D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API key or JWT</w:t>
            </w:r>
          </w:p>
        </w:tc>
        <w:tc>
          <w:tcPr>
            <w:tcW w:w="0" w:type="auto"/>
            <w:vAlign w:val="center"/>
            <w:hideMark/>
          </w:tcPr>
          <w:p w14:paraId="28962A5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100/hour</w:t>
            </w:r>
          </w:p>
        </w:tc>
        <w:tc>
          <w:tcPr>
            <w:tcW w:w="0" w:type="auto"/>
            <w:vAlign w:val="center"/>
            <w:hideMark/>
          </w:tcPr>
          <w:p w14:paraId="23E28A6B"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Proposal visibility may be public, circle-limited, or restricted</w:t>
            </w:r>
          </w:p>
        </w:tc>
      </w:tr>
      <w:tr w:rsidR="004E7C51" w:rsidRPr="00B479AE" w14:paraId="1352456A" w14:textId="77777777" w:rsidTr="00E83E5E">
        <w:trPr>
          <w:tblCellSpacing w:w="15" w:type="dxa"/>
        </w:trPr>
        <w:tc>
          <w:tcPr>
            <w:tcW w:w="0" w:type="auto"/>
            <w:vAlign w:val="center"/>
            <w:hideMark/>
          </w:tcPr>
          <w:p w14:paraId="20CA4D9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/governance/proposal/{id}</w:t>
            </w:r>
          </w:p>
        </w:tc>
        <w:tc>
          <w:tcPr>
            <w:tcW w:w="0" w:type="auto"/>
            <w:vAlign w:val="center"/>
            <w:hideMark/>
          </w:tcPr>
          <w:p w14:paraId="0C0FD34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GET</w:t>
            </w:r>
          </w:p>
        </w:tc>
        <w:tc>
          <w:tcPr>
            <w:tcW w:w="0" w:type="auto"/>
            <w:vAlign w:val="center"/>
            <w:hideMark/>
          </w:tcPr>
          <w:p w14:paraId="562A2051"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Retrieve proposal details</w:t>
            </w:r>
          </w:p>
        </w:tc>
        <w:tc>
          <w:tcPr>
            <w:tcW w:w="0" w:type="auto"/>
            <w:vAlign w:val="center"/>
            <w:hideMark/>
          </w:tcPr>
          <w:p w14:paraId="29269A1F"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API key or JWT depending on visibility</w:t>
            </w:r>
          </w:p>
        </w:tc>
        <w:tc>
          <w:tcPr>
            <w:tcW w:w="0" w:type="auto"/>
            <w:vAlign w:val="center"/>
            <w:hideMark/>
          </w:tcPr>
          <w:p w14:paraId="48F350C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100/hour</w:t>
            </w:r>
          </w:p>
        </w:tc>
        <w:tc>
          <w:tcPr>
            <w:tcW w:w="0" w:type="auto"/>
            <w:vAlign w:val="center"/>
            <w:hideMark/>
          </w:tcPr>
          <w:p w14:paraId="396FDBDB"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Protected-domain proposals may require restricted access</w:t>
            </w:r>
          </w:p>
        </w:tc>
      </w:tr>
      <w:tr w:rsidR="004E7C51" w:rsidRPr="00B479AE" w14:paraId="72B4BD77" w14:textId="77777777" w:rsidTr="00E83E5E">
        <w:trPr>
          <w:tblCellSpacing w:w="15" w:type="dxa"/>
        </w:trPr>
        <w:tc>
          <w:tcPr>
            <w:tcW w:w="0" w:type="auto"/>
            <w:vAlign w:val="center"/>
            <w:hideMark/>
          </w:tcPr>
          <w:p w14:paraId="563DB9B7"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/governance/proposal</w:t>
            </w:r>
          </w:p>
        </w:tc>
        <w:tc>
          <w:tcPr>
            <w:tcW w:w="0" w:type="auto"/>
            <w:vAlign w:val="center"/>
            <w:hideMark/>
          </w:tcPr>
          <w:p w14:paraId="190A82E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POST</w:t>
            </w:r>
          </w:p>
        </w:tc>
        <w:tc>
          <w:tcPr>
            <w:tcW w:w="0" w:type="auto"/>
            <w:vAlign w:val="center"/>
            <w:hideMark/>
          </w:tcPr>
          <w:p w14:paraId="434C1D66"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Submit new proposal</w:t>
            </w:r>
          </w:p>
        </w:tc>
        <w:tc>
          <w:tcPr>
            <w:tcW w:w="0" w:type="auto"/>
            <w:vAlign w:val="center"/>
            <w:hideMark/>
          </w:tcPr>
          <w:p w14:paraId="5A10B136"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JWT plus role verification or Holochain signature</w:t>
            </w:r>
          </w:p>
        </w:tc>
        <w:tc>
          <w:tcPr>
            <w:tcW w:w="0" w:type="auto"/>
            <w:vAlign w:val="center"/>
            <w:hideMark/>
          </w:tcPr>
          <w:p w14:paraId="4D6B58A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10/hour</w:t>
            </w:r>
          </w:p>
        </w:tc>
        <w:tc>
          <w:tcPr>
            <w:tcW w:w="0" w:type="auto"/>
            <w:vAlign w:val="center"/>
            <w:hideMark/>
          </w:tcPr>
          <w:p w14:paraId="2A35F2E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Submission does not guarantee adoption</w:t>
            </w:r>
          </w:p>
        </w:tc>
      </w:tr>
      <w:tr w:rsidR="004E7C51" w:rsidRPr="00B479AE" w14:paraId="41ECC9E7" w14:textId="77777777" w:rsidTr="00E83E5E">
        <w:trPr>
          <w:tblCellSpacing w:w="15" w:type="dxa"/>
        </w:trPr>
        <w:tc>
          <w:tcPr>
            <w:tcW w:w="0" w:type="auto"/>
            <w:vAlign w:val="center"/>
            <w:hideMark/>
          </w:tcPr>
          <w:p w14:paraId="1AD582DB"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/governance/consent</w:t>
            </w:r>
          </w:p>
        </w:tc>
        <w:tc>
          <w:tcPr>
            <w:tcW w:w="0" w:type="auto"/>
            <w:vAlign w:val="center"/>
            <w:hideMark/>
          </w:tcPr>
          <w:p w14:paraId="0C09D285"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POST</w:t>
            </w:r>
          </w:p>
        </w:tc>
        <w:tc>
          <w:tcPr>
            <w:tcW w:w="0" w:type="auto"/>
            <w:vAlign w:val="center"/>
            <w:hideMark/>
          </w:tcPr>
          <w:p w14:paraId="6FDDEC50"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Record consent, stand-aside, objection, or review position</w:t>
            </w:r>
          </w:p>
        </w:tc>
        <w:tc>
          <w:tcPr>
            <w:tcW w:w="0" w:type="auto"/>
            <w:vAlign w:val="center"/>
            <w:hideMark/>
          </w:tcPr>
          <w:p w14:paraId="2FBFBB8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Holochain signature or verified governance credential</w:t>
            </w:r>
          </w:p>
        </w:tc>
        <w:tc>
          <w:tcPr>
            <w:tcW w:w="0" w:type="auto"/>
            <w:vAlign w:val="center"/>
            <w:hideMark/>
          </w:tcPr>
          <w:p w14:paraId="69897391"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100/hour</w:t>
            </w:r>
          </w:p>
        </w:tc>
        <w:tc>
          <w:tcPr>
            <w:tcW w:w="0" w:type="auto"/>
            <w:vAlign w:val="center"/>
            <w:hideMark/>
          </w:tcPr>
          <w:p w14:paraId="59237FDB"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Consent process remains subject to circle rules</w:t>
            </w:r>
          </w:p>
        </w:tc>
      </w:tr>
      <w:tr w:rsidR="004E7C51" w:rsidRPr="00B479AE" w14:paraId="47620E63" w14:textId="77777777" w:rsidTr="00E83E5E">
        <w:trPr>
          <w:tblCellSpacing w:w="15" w:type="dxa"/>
        </w:trPr>
        <w:tc>
          <w:tcPr>
            <w:tcW w:w="0" w:type="auto"/>
            <w:vAlign w:val="center"/>
            <w:hideMark/>
          </w:tcPr>
          <w:p w14:paraId="340A787D"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/governance/review-route</w:t>
            </w:r>
          </w:p>
        </w:tc>
        <w:tc>
          <w:tcPr>
            <w:tcW w:w="0" w:type="auto"/>
            <w:vAlign w:val="center"/>
            <w:hideMark/>
          </w:tcPr>
          <w:p w14:paraId="10BD1786"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POST</w:t>
            </w:r>
          </w:p>
        </w:tc>
        <w:tc>
          <w:tcPr>
            <w:tcW w:w="0" w:type="auto"/>
            <w:vAlign w:val="center"/>
            <w:hideMark/>
          </w:tcPr>
          <w:p w14:paraId="413C276D"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Route protected-domain question to appropriate review pathway</w:t>
            </w:r>
          </w:p>
        </w:tc>
        <w:tc>
          <w:tcPr>
            <w:tcW w:w="0" w:type="auto"/>
            <w:vAlign w:val="center"/>
            <w:hideMark/>
          </w:tcPr>
          <w:p w14:paraId="3BC15FD5"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Authorized governance role</w:t>
            </w:r>
          </w:p>
        </w:tc>
        <w:tc>
          <w:tcPr>
            <w:tcW w:w="0" w:type="auto"/>
            <w:vAlign w:val="center"/>
            <w:hideMark/>
          </w:tcPr>
          <w:p w14:paraId="0486430D"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50/hour</w:t>
            </w:r>
          </w:p>
        </w:tc>
        <w:tc>
          <w:tcPr>
            <w:tcW w:w="0" w:type="auto"/>
            <w:vAlign w:val="center"/>
            <w:hideMark/>
          </w:tcPr>
          <w:p w14:paraId="2DC706F1"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Routing is decision support, not final authority</w:t>
            </w:r>
          </w:p>
        </w:tc>
      </w:tr>
    </w:tbl>
    <w:p w14:paraId="4CB140EF" w14:textId="77777777" w:rsidR="00E83E5E" w:rsidRPr="00B479AE" w:rsidRDefault="00E83E5E" w:rsidP="004E7C51">
      <w:pPr>
        <w:tabs>
          <w:tab w:val="left" w:pos="2685"/>
        </w:tabs>
        <w:spacing w:line="360" w:lineRule="auto"/>
        <w:rPr>
          <w:rFonts w:ascii="Baskerville Old Face" w:hAnsi="Baskerville Old Face"/>
          <w:b/>
          <w:bCs/>
          <w:i/>
          <w:iCs/>
        </w:rPr>
      </w:pPr>
    </w:p>
    <w:p w14:paraId="06A3E2A5" w14:textId="77777777" w:rsidR="00E83E5E" w:rsidRPr="00B479AE" w:rsidRDefault="00E83E5E" w:rsidP="004E7C51">
      <w:pPr>
        <w:tabs>
          <w:tab w:val="left" w:pos="2685"/>
        </w:tabs>
        <w:spacing w:line="360" w:lineRule="auto"/>
        <w:rPr>
          <w:rFonts w:ascii="Baskerville Old Face" w:hAnsi="Baskerville Old Face"/>
          <w:b/>
          <w:bCs/>
          <w:i/>
          <w:iCs/>
        </w:rPr>
      </w:pPr>
    </w:p>
    <w:p w14:paraId="56253FAA" w14:textId="77777777" w:rsidR="00E83E5E" w:rsidRPr="00B479AE" w:rsidRDefault="00E83E5E" w:rsidP="004E7C51">
      <w:pPr>
        <w:tabs>
          <w:tab w:val="left" w:pos="2685"/>
        </w:tabs>
        <w:spacing w:line="360" w:lineRule="auto"/>
        <w:rPr>
          <w:rFonts w:ascii="Baskerville Old Face" w:hAnsi="Baskerville Old Face"/>
          <w:b/>
          <w:bCs/>
          <w:i/>
          <w:iCs/>
        </w:rPr>
      </w:pPr>
    </w:p>
    <w:p w14:paraId="50172FBB" w14:textId="77777777" w:rsidR="00E83E5E" w:rsidRPr="00B479AE" w:rsidRDefault="00E83E5E" w:rsidP="004E7C51">
      <w:pPr>
        <w:tabs>
          <w:tab w:val="left" w:pos="2685"/>
        </w:tabs>
        <w:spacing w:line="360" w:lineRule="auto"/>
        <w:rPr>
          <w:rFonts w:ascii="Baskerville Old Face" w:hAnsi="Baskerville Old Face"/>
          <w:b/>
          <w:bCs/>
          <w:i/>
          <w:iCs/>
        </w:rPr>
      </w:pPr>
    </w:p>
    <w:p w14:paraId="1C0CDBB5" w14:textId="77777777" w:rsidR="00E83E5E" w:rsidRPr="00B479AE" w:rsidRDefault="00E83E5E" w:rsidP="004E7C51">
      <w:pPr>
        <w:tabs>
          <w:tab w:val="left" w:pos="2685"/>
        </w:tabs>
        <w:spacing w:line="360" w:lineRule="auto"/>
        <w:rPr>
          <w:rFonts w:ascii="Baskerville Old Face" w:hAnsi="Baskerville Old Face"/>
          <w:b/>
          <w:bCs/>
          <w:i/>
          <w:iCs/>
        </w:rPr>
      </w:pPr>
    </w:p>
    <w:p w14:paraId="4B417C1F" w14:textId="77777777" w:rsidR="00E83E5E" w:rsidRPr="00B479AE" w:rsidRDefault="00E83E5E" w:rsidP="004E7C51">
      <w:pPr>
        <w:tabs>
          <w:tab w:val="left" w:pos="2685"/>
        </w:tabs>
        <w:spacing w:line="360" w:lineRule="auto"/>
        <w:rPr>
          <w:rFonts w:ascii="Baskerville Old Face" w:hAnsi="Baskerville Old Face"/>
          <w:b/>
          <w:bCs/>
          <w:i/>
          <w:iCs/>
        </w:rPr>
      </w:pPr>
    </w:p>
    <w:p w14:paraId="7D5029B3" w14:textId="77777777" w:rsidR="00E83E5E" w:rsidRPr="00B479AE" w:rsidRDefault="00E83E5E" w:rsidP="004E7C51">
      <w:pPr>
        <w:tabs>
          <w:tab w:val="left" w:pos="2685"/>
        </w:tabs>
        <w:spacing w:line="360" w:lineRule="auto"/>
        <w:rPr>
          <w:rFonts w:ascii="Baskerville Old Face" w:hAnsi="Baskerville Old Face"/>
          <w:b/>
          <w:bCs/>
          <w:i/>
          <w:iCs/>
        </w:rPr>
      </w:pPr>
    </w:p>
    <w:p w14:paraId="17CEC6B5" w14:textId="2A43924C"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lastRenderedPageBreak/>
        <w:t>L.3.5 Integrity, Warrant, and Quarantine Endpoints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9"/>
        <w:gridCol w:w="714"/>
        <w:gridCol w:w="1980"/>
        <w:gridCol w:w="1995"/>
        <w:gridCol w:w="820"/>
        <w:gridCol w:w="1710"/>
      </w:tblGrid>
      <w:tr w:rsidR="004E7C51" w:rsidRPr="00B479AE" w14:paraId="109A52F6" w14:textId="77777777" w:rsidTr="00E83E5E">
        <w:trPr>
          <w:tblHeader/>
          <w:tblCellSpacing w:w="15" w:type="dxa"/>
        </w:trPr>
        <w:tc>
          <w:tcPr>
            <w:tcW w:w="0" w:type="auto"/>
            <w:vAlign w:val="center"/>
            <w:hideMark/>
          </w:tcPr>
          <w:p w14:paraId="72A9BFF4"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Endpoint</w:t>
            </w:r>
          </w:p>
        </w:tc>
        <w:tc>
          <w:tcPr>
            <w:tcW w:w="0" w:type="auto"/>
            <w:vAlign w:val="center"/>
            <w:hideMark/>
          </w:tcPr>
          <w:p w14:paraId="7535E84D"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Method</w:t>
            </w:r>
          </w:p>
        </w:tc>
        <w:tc>
          <w:tcPr>
            <w:tcW w:w="0" w:type="auto"/>
            <w:vAlign w:val="center"/>
            <w:hideMark/>
          </w:tcPr>
          <w:p w14:paraId="301DCB22"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Description</w:t>
            </w:r>
          </w:p>
        </w:tc>
        <w:tc>
          <w:tcPr>
            <w:tcW w:w="0" w:type="auto"/>
            <w:vAlign w:val="center"/>
            <w:hideMark/>
          </w:tcPr>
          <w:p w14:paraId="0206A641"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Authentication</w:t>
            </w:r>
          </w:p>
        </w:tc>
        <w:tc>
          <w:tcPr>
            <w:tcW w:w="0" w:type="auto"/>
            <w:vAlign w:val="center"/>
            <w:hideMark/>
          </w:tcPr>
          <w:p w14:paraId="5424C95A"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Rate limit</w:t>
            </w:r>
          </w:p>
        </w:tc>
        <w:tc>
          <w:tcPr>
            <w:tcW w:w="0" w:type="auto"/>
            <w:vAlign w:val="center"/>
            <w:hideMark/>
          </w:tcPr>
          <w:p w14:paraId="224D7550"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Boundary</w:t>
            </w:r>
          </w:p>
        </w:tc>
      </w:tr>
      <w:tr w:rsidR="004E7C51" w:rsidRPr="00B479AE" w14:paraId="76C7B7D5" w14:textId="77777777" w:rsidTr="00E83E5E">
        <w:trPr>
          <w:tblCellSpacing w:w="15" w:type="dxa"/>
        </w:trPr>
        <w:tc>
          <w:tcPr>
            <w:tcW w:w="0" w:type="auto"/>
            <w:vAlign w:val="center"/>
            <w:hideMark/>
          </w:tcPr>
          <w:p w14:paraId="0B6D5321"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/integrity/warrants</w:t>
            </w:r>
          </w:p>
        </w:tc>
        <w:tc>
          <w:tcPr>
            <w:tcW w:w="0" w:type="auto"/>
            <w:vAlign w:val="center"/>
            <w:hideMark/>
          </w:tcPr>
          <w:p w14:paraId="7C1ACF75"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GET</w:t>
            </w:r>
          </w:p>
        </w:tc>
        <w:tc>
          <w:tcPr>
            <w:tcW w:w="0" w:type="auto"/>
            <w:vAlign w:val="center"/>
            <w:hideMark/>
          </w:tcPr>
          <w:p w14:paraId="2B95BDBB"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List warrants or adverse integrity records within permitted scope</w:t>
            </w:r>
          </w:p>
        </w:tc>
        <w:tc>
          <w:tcPr>
            <w:tcW w:w="0" w:type="auto"/>
            <w:vAlign w:val="center"/>
            <w:hideMark/>
          </w:tcPr>
          <w:p w14:paraId="2A9C7D16"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API key, JWT, or governance credential depending on visibility</w:t>
            </w:r>
          </w:p>
        </w:tc>
        <w:tc>
          <w:tcPr>
            <w:tcW w:w="0" w:type="auto"/>
            <w:vAlign w:val="center"/>
            <w:hideMark/>
          </w:tcPr>
          <w:p w14:paraId="507779C7"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100/hour</w:t>
            </w:r>
          </w:p>
        </w:tc>
        <w:tc>
          <w:tcPr>
            <w:tcW w:w="0" w:type="auto"/>
            <w:vAlign w:val="center"/>
            <w:hideMark/>
          </w:tcPr>
          <w:p w14:paraId="12879765"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Visibility must respect due process and data sensitivity</w:t>
            </w:r>
          </w:p>
        </w:tc>
      </w:tr>
      <w:tr w:rsidR="004E7C51" w:rsidRPr="00B479AE" w14:paraId="11575C13" w14:textId="77777777" w:rsidTr="00E83E5E">
        <w:trPr>
          <w:tblCellSpacing w:w="15" w:type="dxa"/>
        </w:trPr>
        <w:tc>
          <w:tcPr>
            <w:tcW w:w="0" w:type="auto"/>
            <w:vAlign w:val="center"/>
            <w:hideMark/>
          </w:tcPr>
          <w:p w14:paraId="66E464C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/integrity/warrants</w:t>
            </w:r>
          </w:p>
        </w:tc>
        <w:tc>
          <w:tcPr>
            <w:tcW w:w="0" w:type="auto"/>
            <w:vAlign w:val="center"/>
            <w:hideMark/>
          </w:tcPr>
          <w:p w14:paraId="62FB36F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POST</w:t>
            </w:r>
          </w:p>
        </w:tc>
        <w:tc>
          <w:tcPr>
            <w:tcW w:w="0" w:type="auto"/>
            <w:vAlign w:val="center"/>
            <w:hideMark/>
          </w:tcPr>
          <w:p w14:paraId="5A790B5B"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Issue a warrant or adverse integrity record</w:t>
            </w:r>
          </w:p>
        </w:tc>
        <w:tc>
          <w:tcPr>
            <w:tcW w:w="0" w:type="auto"/>
            <w:vAlign w:val="center"/>
            <w:hideMark/>
          </w:tcPr>
          <w:p w14:paraId="70B5898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Authorized reviewer, validator, or governance role</w:t>
            </w:r>
          </w:p>
        </w:tc>
        <w:tc>
          <w:tcPr>
            <w:tcW w:w="0" w:type="auto"/>
            <w:vAlign w:val="center"/>
            <w:hideMark/>
          </w:tcPr>
          <w:p w14:paraId="7F6A20B0"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10/hour</w:t>
            </w:r>
          </w:p>
        </w:tc>
        <w:tc>
          <w:tcPr>
            <w:tcW w:w="0" w:type="auto"/>
            <w:vAlign w:val="center"/>
            <w:hideMark/>
          </w:tcPr>
          <w:p w14:paraId="2574EA90"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Issuance triggers review; it is not guilt by declaration</w:t>
            </w:r>
          </w:p>
        </w:tc>
      </w:tr>
      <w:tr w:rsidR="004E7C51" w:rsidRPr="00B479AE" w14:paraId="7FCF6249" w14:textId="77777777" w:rsidTr="00E83E5E">
        <w:trPr>
          <w:tblCellSpacing w:w="15" w:type="dxa"/>
        </w:trPr>
        <w:tc>
          <w:tcPr>
            <w:tcW w:w="0" w:type="auto"/>
            <w:vAlign w:val="center"/>
            <w:hideMark/>
          </w:tcPr>
          <w:p w14:paraId="5F73FC7F"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/integrity/warrants/{id}/appeal</w:t>
            </w:r>
          </w:p>
        </w:tc>
        <w:tc>
          <w:tcPr>
            <w:tcW w:w="0" w:type="auto"/>
            <w:vAlign w:val="center"/>
            <w:hideMark/>
          </w:tcPr>
          <w:p w14:paraId="7FAA8BCB"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POST</w:t>
            </w:r>
          </w:p>
        </w:tc>
        <w:tc>
          <w:tcPr>
            <w:tcW w:w="0" w:type="auto"/>
            <w:vAlign w:val="center"/>
            <w:hideMark/>
          </w:tcPr>
          <w:p w14:paraId="4CC1EE05"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Appeal a warrant or adverse determination</w:t>
            </w:r>
          </w:p>
        </w:tc>
        <w:tc>
          <w:tcPr>
            <w:tcW w:w="0" w:type="auto"/>
            <w:vAlign w:val="center"/>
            <w:hideMark/>
          </w:tcPr>
          <w:p w14:paraId="46D518A6"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Affected agent or authorized representative</w:t>
            </w:r>
          </w:p>
        </w:tc>
        <w:tc>
          <w:tcPr>
            <w:tcW w:w="0" w:type="auto"/>
            <w:vAlign w:val="center"/>
            <w:hideMark/>
          </w:tcPr>
          <w:p w14:paraId="781F622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5/hour</w:t>
            </w:r>
          </w:p>
        </w:tc>
        <w:tc>
          <w:tcPr>
            <w:tcW w:w="0" w:type="auto"/>
            <w:vAlign w:val="center"/>
            <w:hideMark/>
          </w:tcPr>
          <w:p w14:paraId="670682A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Appeal pathway must be recorded</w:t>
            </w:r>
          </w:p>
        </w:tc>
      </w:tr>
      <w:tr w:rsidR="004E7C51" w:rsidRPr="00B479AE" w14:paraId="36C49467" w14:textId="77777777" w:rsidTr="00E83E5E">
        <w:trPr>
          <w:tblCellSpacing w:w="15" w:type="dxa"/>
        </w:trPr>
        <w:tc>
          <w:tcPr>
            <w:tcW w:w="0" w:type="auto"/>
            <w:vAlign w:val="center"/>
            <w:hideMark/>
          </w:tcPr>
          <w:p w14:paraId="51FA8301"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/integrity/quarantine/{id}</w:t>
            </w:r>
          </w:p>
        </w:tc>
        <w:tc>
          <w:tcPr>
            <w:tcW w:w="0" w:type="auto"/>
            <w:vAlign w:val="center"/>
            <w:hideMark/>
          </w:tcPr>
          <w:p w14:paraId="12809A3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POST</w:t>
            </w:r>
          </w:p>
        </w:tc>
        <w:tc>
          <w:tcPr>
            <w:tcW w:w="0" w:type="auto"/>
            <w:vAlign w:val="center"/>
            <w:hideMark/>
          </w:tcPr>
          <w:p w14:paraId="6AA8726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Request quarantine of a record, claim, fork, release, or integration</w:t>
            </w:r>
          </w:p>
        </w:tc>
        <w:tc>
          <w:tcPr>
            <w:tcW w:w="0" w:type="auto"/>
            <w:vAlign w:val="center"/>
            <w:hideMark/>
          </w:tcPr>
          <w:p w14:paraId="5B39345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Protected-domain authority or emergency role</w:t>
            </w:r>
          </w:p>
        </w:tc>
        <w:tc>
          <w:tcPr>
            <w:tcW w:w="0" w:type="auto"/>
            <w:vAlign w:val="center"/>
            <w:hideMark/>
          </w:tcPr>
          <w:p w14:paraId="3C9957B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10/hour</w:t>
            </w:r>
          </w:p>
        </w:tc>
        <w:tc>
          <w:tcPr>
            <w:tcW w:w="0" w:type="auto"/>
            <w:vAlign w:val="center"/>
            <w:hideMark/>
          </w:tcPr>
          <w:p w14:paraId="61C752E9"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Quarantine requires scope, rationale, duration, and review</w:t>
            </w:r>
          </w:p>
        </w:tc>
      </w:tr>
      <w:tr w:rsidR="004E7C51" w:rsidRPr="00B479AE" w14:paraId="43DE7E81" w14:textId="77777777" w:rsidTr="00E83E5E">
        <w:trPr>
          <w:tblCellSpacing w:w="15" w:type="dxa"/>
        </w:trPr>
        <w:tc>
          <w:tcPr>
            <w:tcW w:w="0" w:type="auto"/>
            <w:vAlign w:val="center"/>
            <w:hideMark/>
          </w:tcPr>
          <w:p w14:paraId="2E7E1281"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/integrity/corrections</w:t>
            </w:r>
          </w:p>
        </w:tc>
        <w:tc>
          <w:tcPr>
            <w:tcW w:w="0" w:type="auto"/>
            <w:vAlign w:val="center"/>
            <w:hideMark/>
          </w:tcPr>
          <w:p w14:paraId="3598A599"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POST</w:t>
            </w:r>
          </w:p>
        </w:tc>
        <w:tc>
          <w:tcPr>
            <w:tcW w:w="0" w:type="auto"/>
            <w:vAlign w:val="center"/>
            <w:hideMark/>
          </w:tcPr>
          <w:p w14:paraId="3C15A40B"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Submit correction notice or misleading-use notice</w:t>
            </w:r>
          </w:p>
        </w:tc>
        <w:tc>
          <w:tcPr>
            <w:tcW w:w="0" w:type="auto"/>
            <w:vAlign w:val="center"/>
            <w:hideMark/>
          </w:tcPr>
          <w:p w14:paraId="2542FC16"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Authorized role</w:t>
            </w:r>
          </w:p>
        </w:tc>
        <w:tc>
          <w:tcPr>
            <w:tcW w:w="0" w:type="auto"/>
            <w:vAlign w:val="center"/>
            <w:hideMark/>
          </w:tcPr>
          <w:p w14:paraId="15CD936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20/hour</w:t>
            </w:r>
          </w:p>
        </w:tc>
        <w:tc>
          <w:tcPr>
            <w:tcW w:w="0" w:type="auto"/>
            <w:vAlign w:val="center"/>
            <w:hideMark/>
          </w:tcPr>
          <w:p w14:paraId="0A9CFE90"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Public correction requires claim-control review</w:t>
            </w:r>
          </w:p>
        </w:tc>
      </w:tr>
    </w:tbl>
    <w:p w14:paraId="751553DD" w14:textId="77777777" w:rsidR="00406066" w:rsidRPr="00B479AE" w:rsidRDefault="00406066" w:rsidP="004E7C51">
      <w:pPr>
        <w:tabs>
          <w:tab w:val="left" w:pos="2685"/>
        </w:tabs>
        <w:spacing w:line="360" w:lineRule="auto"/>
        <w:rPr>
          <w:rFonts w:ascii="Baskerville Old Face" w:hAnsi="Baskerville Old Face"/>
          <w:b/>
          <w:bCs/>
          <w:i/>
          <w:iCs/>
        </w:rPr>
      </w:pPr>
    </w:p>
    <w:p w14:paraId="69711F93" w14:textId="77777777" w:rsidR="00406066" w:rsidRPr="00B479AE" w:rsidRDefault="00406066" w:rsidP="004E7C51">
      <w:pPr>
        <w:tabs>
          <w:tab w:val="left" w:pos="2685"/>
        </w:tabs>
        <w:spacing w:line="360" w:lineRule="auto"/>
        <w:rPr>
          <w:rFonts w:ascii="Baskerville Old Face" w:hAnsi="Baskerville Old Face"/>
          <w:b/>
          <w:bCs/>
          <w:i/>
          <w:iCs/>
        </w:rPr>
      </w:pPr>
    </w:p>
    <w:p w14:paraId="17851A87" w14:textId="77777777" w:rsidR="00406066" w:rsidRPr="00B479AE" w:rsidRDefault="00406066" w:rsidP="004E7C51">
      <w:pPr>
        <w:tabs>
          <w:tab w:val="left" w:pos="2685"/>
        </w:tabs>
        <w:spacing w:line="360" w:lineRule="auto"/>
        <w:rPr>
          <w:rFonts w:ascii="Baskerville Old Face" w:hAnsi="Baskerville Old Face"/>
          <w:b/>
          <w:bCs/>
          <w:i/>
          <w:iCs/>
        </w:rPr>
      </w:pPr>
    </w:p>
    <w:p w14:paraId="7D7764F5" w14:textId="77777777" w:rsidR="00406066" w:rsidRPr="00B479AE" w:rsidRDefault="00406066" w:rsidP="004E7C51">
      <w:pPr>
        <w:tabs>
          <w:tab w:val="left" w:pos="2685"/>
        </w:tabs>
        <w:spacing w:line="360" w:lineRule="auto"/>
        <w:rPr>
          <w:rFonts w:ascii="Baskerville Old Face" w:hAnsi="Baskerville Old Face"/>
          <w:b/>
          <w:bCs/>
          <w:i/>
          <w:iCs/>
        </w:rPr>
      </w:pPr>
    </w:p>
    <w:p w14:paraId="1E3680BA" w14:textId="77777777" w:rsidR="00406066" w:rsidRPr="00B479AE" w:rsidRDefault="00406066" w:rsidP="004E7C51">
      <w:pPr>
        <w:tabs>
          <w:tab w:val="left" w:pos="2685"/>
        </w:tabs>
        <w:spacing w:line="360" w:lineRule="auto"/>
        <w:rPr>
          <w:rFonts w:ascii="Baskerville Old Face" w:hAnsi="Baskerville Old Face"/>
          <w:b/>
          <w:bCs/>
          <w:i/>
          <w:iCs/>
        </w:rPr>
      </w:pPr>
    </w:p>
    <w:p w14:paraId="78916F5C" w14:textId="77777777" w:rsidR="00406066" w:rsidRPr="00B479AE" w:rsidRDefault="00406066" w:rsidP="004E7C51">
      <w:pPr>
        <w:tabs>
          <w:tab w:val="left" w:pos="2685"/>
        </w:tabs>
        <w:spacing w:line="360" w:lineRule="auto"/>
        <w:rPr>
          <w:rFonts w:ascii="Baskerville Old Face" w:hAnsi="Baskerville Old Face"/>
          <w:b/>
          <w:bCs/>
          <w:i/>
          <w:iCs/>
        </w:rPr>
      </w:pPr>
    </w:p>
    <w:p w14:paraId="4471FEFC" w14:textId="77777777" w:rsidR="00406066" w:rsidRPr="00B479AE" w:rsidRDefault="00406066" w:rsidP="004E7C51">
      <w:pPr>
        <w:tabs>
          <w:tab w:val="left" w:pos="2685"/>
        </w:tabs>
        <w:spacing w:line="360" w:lineRule="auto"/>
        <w:rPr>
          <w:rFonts w:ascii="Baskerville Old Face" w:hAnsi="Baskerville Old Face"/>
          <w:b/>
          <w:bCs/>
          <w:i/>
          <w:iCs/>
        </w:rPr>
      </w:pPr>
    </w:p>
    <w:p w14:paraId="652CBD28" w14:textId="77777777" w:rsidR="00406066" w:rsidRPr="00B479AE" w:rsidRDefault="00406066" w:rsidP="004E7C51">
      <w:pPr>
        <w:tabs>
          <w:tab w:val="left" w:pos="2685"/>
        </w:tabs>
        <w:spacing w:line="360" w:lineRule="auto"/>
        <w:rPr>
          <w:rFonts w:ascii="Baskerville Old Face" w:hAnsi="Baskerville Old Face"/>
          <w:b/>
          <w:bCs/>
          <w:i/>
          <w:iCs/>
        </w:rPr>
      </w:pPr>
    </w:p>
    <w:p w14:paraId="49A7EA70" w14:textId="644FD1B3"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lastRenderedPageBreak/>
        <w:t>L.3.6 Registry and Release Endpoints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3"/>
        <w:gridCol w:w="714"/>
        <w:gridCol w:w="2517"/>
        <w:gridCol w:w="1888"/>
        <w:gridCol w:w="913"/>
        <w:gridCol w:w="1873"/>
      </w:tblGrid>
      <w:tr w:rsidR="004E7C51" w:rsidRPr="00B479AE" w14:paraId="3BD741B5" w14:textId="77777777" w:rsidTr="00406066">
        <w:trPr>
          <w:tblHeader/>
          <w:tblCellSpacing w:w="15" w:type="dxa"/>
        </w:trPr>
        <w:tc>
          <w:tcPr>
            <w:tcW w:w="0" w:type="auto"/>
            <w:vAlign w:val="center"/>
            <w:hideMark/>
          </w:tcPr>
          <w:p w14:paraId="49D9A0C8"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Endpoint</w:t>
            </w:r>
          </w:p>
        </w:tc>
        <w:tc>
          <w:tcPr>
            <w:tcW w:w="0" w:type="auto"/>
            <w:vAlign w:val="center"/>
            <w:hideMark/>
          </w:tcPr>
          <w:p w14:paraId="3CF9E72E"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Method</w:t>
            </w:r>
          </w:p>
        </w:tc>
        <w:tc>
          <w:tcPr>
            <w:tcW w:w="0" w:type="auto"/>
            <w:vAlign w:val="center"/>
            <w:hideMark/>
          </w:tcPr>
          <w:p w14:paraId="5A26B756"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Description</w:t>
            </w:r>
          </w:p>
        </w:tc>
        <w:tc>
          <w:tcPr>
            <w:tcW w:w="0" w:type="auto"/>
            <w:vAlign w:val="center"/>
            <w:hideMark/>
          </w:tcPr>
          <w:p w14:paraId="1A54401A"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Authentication</w:t>
            </w:r>
          </w:p>
        </w:tc>
        <w:tc>
          <w:tcPr>
            <w:tcW w:w="0" w:type="auto"/>
            <w:vAlign w:val="center"/>
            <w:hideMark/>
          </w:tcPr>
          <w:p w14:paraId="2D2BE177"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Rate limit</w:t>
            </w:r>
          </w:p>
        </w:tc>
        <w:tc>
          <w:tcPr>
            <w:tcW w:w="0" w:type="auto"/>
            <w:vAlign w:val="center"/>
            <w:hideMark/>
          </w:tcPr>
          <w:p w14:paraId="077558AB"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Boundary</w:t>
            </w:r>
          </w:p>
        </w:tc>
      </w:tr>
      <w:tr w:rsidR="004E7C51" w:rsidRPr="00B479AE" w14:paraId="3A9ED800" w14:textId="77777777" w:rsidTr="00406066">
        <w:trPr>
          <w:tblCellSpacing w:w="15" w:type="dxa"/>
        </w:trPr>
        <w:tc>
          <w:tcPr>
            <w:tcW w:w="0" w:type="auto"/>
            <w:vAlign w:val="center"/>
            <w:hideMark/>
          </w:tcPr>
          <w:p w14:paraId="4C008F5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/registry/releases</w:t>
            </w:r>
          </w:p>
        </w:tc>
        <w:tc>
          <w:tcPr>
            <w:tcW w:w="0" w:type="auto"/>
            <w:vAlign w:val="center"/>
            <w:hideMark/>
          </w:tcPr>
          <w:p w14:paraId="4C87436F"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GET</w:t>
            </w:r>
          </w:p>
        </w:tc>
        <w:tc>
          <w:tcPr>
            <w:tcW w:w="0" w:type="auto"/>
            <w:vAlign w:val="center"/>
            <w:hideMark/>
          </w:tcPr>
          <w:p w14:paraId="7C32E2D2"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Retrieve canonical release records</w:t>
            </w:r>
          </w:p>
        </w:tc>
        <w:tc>
          <w:tcPr>
            <w:tcW w:w="0" w:type="auto"/>
            <w:vAlign w:val="center"/>
            <w:hideMark/>
          </w:tcPr>
          <w:p w14:paraId="473488E7"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Public or API key</w:t>
            </w:r>
          </w:p>
        </w:tc>
        <w:tc>
          <w:tcPr>
            <w:tcW w:w="0" w:type="auto"/>
            <w:vAlign w:val="center"/>
            <w:hideMark/>
          </w:tcPr>
          <w:p w14:paraId="4574CE1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1000/hour</w:t>
            </w:r>
          </w:p>
        </w:tc>
        <w:tc>
          <w:tcPr>
            <w:tcW w:w="0" w:type="auto"/>
            <w:vAlign w:val="center"/>
            <w:hideMark/>
          </w:tcPr>
          <w:p w14:paraId="2D1285AC"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Registry visibility does not authorize modification</w:t>
            </w:r>
          </w:p>
        </w:tc>
      </w:tr>
      <w:tr w:rsidR="004E7C51" w:rsidRPr="00B479AE" w14:paraId="15E11D94" w14:textId="77777777" w:rsidTr="00406066">
        <w:trPr>
          <w:tblCellSpacing w:w="15" w:type="dxa"/>
        </w:trPr>
        <w:tc>
          <w:tcPr>
            <w:tcW w:w="0" w:type="auto"/>
            <w:vAlign w:val="center"/>
            <w:hideMark/>
          </w:tcPr>
          <w:p w14:paraId="7AD13A8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/registry/releases/{id}</w:t>
            </w:r>
          </w:p>
        </w:tc>
        <w:tc>
          <w:tcPr>
            <w:tcW w:w="0" w:type="auto"/>
            <w:vAlign w:val="center"/>
            <w:hideMark/>
          </w:tcPr>
          <w:p w14:paraId="47BF7EFF"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GET</w:t>
            </w:r>
          </w:p>
        </w:tc>
        <w:tc>
          <w:tcPr>
            <w:tcW w:w="0" w:type="auto"/>
            <w:vAlign w:val="center"/>
            <w:hideMark/>
          </w:tcPr>
          <w:p w14:paraId="1877E5C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Retrieve release manifest, hash references, signatures, and verification metadata</w:t>
            </w:r>
          </w:p>
        </w:tc>
        <w:tc>
          <w:tcPr>
            <w:tcW w:w="0" w:type="auto"/>
            <w:vAlign w:val="center"/>
            <w:hideMark/>
          </w:tcPr>
          <w:p w14:paraId="4AB63D9C"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Public or API key</w:t>
            </w:r>
          </w:p>
        </w:tc>
        <w:tc>
          <w:tcPr>
            <w:tcW w:w="0" w:type="auto"/>
            <w:vAlign w:val="center"/>
            <w:hideMark/>
          </w:tcPr>
          <w:p w14:paraId="4C66665C"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1000/hour</w:t>
            </w:r>
          </w:p>
        </w:tc>
        <w:tc>
          <w:tcPr>
            <w:tcW w:w="0" w:type="auto"/>
            <w:vAlign w:val="center"/>
            <w:hideMark/>
          </w:tcPr>
          <w:p w14:paraId="0F71A55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Public verification endpoint</w:t>
            </w:r>
          </w:p>
        </w:tc>
      </w:tr>
      <w:tr w:rsidR="004E7C51" w:rsidRPr="00B479AE" w14:paraId="3454E514" w14:textId="77777777" w:rsidTr="00406066">
        <w:trPr>
          <w:tblCellSpacing w:w="15" w:type="dxa"/>
        </w:trPr>
        <w:tc>
          <w:tcPr>
            <w:tcW w:w="0" w:type="auto"/>
            <w:vAlign w:val="center"/>
            <w:hideMark/>
          </w:tcPr>
          <w:p w14:paraId="78386CDC"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/registry/forks/{id}</w:t>
            </w:r>
          </w:p>
        </w:tc>
        <w:tc>
          <w:tcPr>
            <w:tcW w:w="0" w:type="auto"/>
            <w:vAlign w:val="center"/>
            <w:hideMark/>
          </w:tcPr>
          <w:p w14:paraId="27B539AC"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GET</w:t>
            </w:r>
          </w:p>
        </w:tc>
        <w:tc>
          <w:tcPr>
            <w:tcW w:w="0" w:type="auto"/>
            <w:vAlign w:val="center"/>
            <w:hideMark/>
          </w:tcPr>
          <w:p w14:paraId="6E7237CD"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Retrieve fork status or compatibility classification</w:t>
            </w:r>
          </w:p>
        </w:tc>
        <w:tc>
          <w:tcPr>
            <w:tcW w:w="0" w:type="auto"/>
            <w:vAlign w:val="center"/>
            <w:hideMark/>
          </w:tcPr>
          <w:p w14:paraId="2ED395C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Public or API key</w:t>
            </w:r>
          </w:p>
        </w:tc>
        <w:tc>
          <w:tcPr>
            <w:tcW w:w="0" w:type="auto"/>
            <w:vAlign w:val="center"/>
            <w:hideMark/>
          </w:tcPr>
          <w:p w14:paraId="0625D920"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1000/hour</w:t>
            </w:r>
          </w:p>
        </w:tc>
        <w:tc>
          <w:tcPr>
            <w:tcW w:w="0" w:type="auto"/>
            <w:vAlign w:val="center"/>
            <w:hideMark/>
          </w:tcPr>
          <w:p w14:paraId="75074E5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Fork status must be registry-defined</w:t>
            </w:r>
          </w:p>
        </w:tc>
      </w:tr>
      <w:tr w:rsidR="004E7C51" w:rsidRPr="00B479AE" w14:paraId="40CA3A7F" w14:textId="77777777" w:rsidTr="00406066">
        <w:trPr>
          <w:tblCellSpacing w:w="15" w:type="dxa"/>
        </w:trPr>
        <w:tc>
          <w:tcPr>
            <w:tcW w:w="0" w:type="auto"/>
            <w:vAlign w:val="center"/>
            <w:hideMark/>
          </w:tcPr>
          <w:p w14:paraId="37E4EDC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/registry/release</w:t>
            </w:r>
          </w:p>
        </w:tc>
        <w:tc>
          <w:tcPr>
            <w:tcW w:w="0" w:type="auto"/>
            <w:vAlign w:val="center"/>
            <w:hideMark/>
          </w:tcPr>
          <w:p w14:paraId="6482F05D"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POST</w:t>
            </w:r>
          </w:p>
        </w:tc>
        <w:tc>
          <w:tcPr>
            <w:tcW w:w="0" w:type="auto"/>
            <w:vAlign w:val="center"/>
            <w:hideMark/>
          </w:tcPr>
          <w:p w14:paraId="0E4C106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Submit or update canonical release metadata</w:t>
            </w:r>
          </w:p>
        </w:tc>
        <w:tc>
          <w:tcPr>
            <w:tcW w:w="0" w:type="auto"/>
            <w:vAlign w:val="center"/>
            <w:hideMark/>
          </w:tcPr>
          <w:p w14:paraId="171E197C"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Multi-signature registry authority</w:t>
            </w:r>
          </w:p>
        </w:tc>
        <w:tc>
          <w:tcPr>
            <w:tcW w:w="0" w:type="auto"/>
            <w:vAlign w:val="center"/>
            <w:hideMark/>
          </w:tcPr>
          <w:p w14:paraId="78C46A42"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Restricted</w:t>
            </w:r>
          </w:p>
        </w:tc>
        <w:tc>
          <w:tcPr>
            <w:tcW w:w="0" w:type="auto"/>
            <w:vAlign w:val="center"/>
            <w:hideMark/>
          </w:tcPr>
          <w:p w14:paraId="222D595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Protected action</w:t>
            </w:r>
          </w:p>
        </w:tc>
      </w:tr>
      <w:tr w:rsidR="004E7C51" w:rsidRPr="00B479AE" w14:paraId="0CBF5801" w14:textId="77777777" w:rsidTr="00406066">
        <w:trPr>
          <w:tblCellSpacing w:w="15" w:type="dxa"/>
        </w:trPr>
        <w:tc>
          <w:tcPr>
            <w:tcW w:w="0" w:type="auto"/>
            <w:vAlign w:val="center"/>
            <w:hideMark/>
          </w:tcPr>
          <w:p w14:paraId="293301B0"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/registry/fork-status</w:t>
            </w:r>
          </w:p>
        </w:tc>
        <w:tc>
          <w:tcPr>
            <w:tcW w:w="0" w:type="auto"/>
            <w:vAlign w:val="center"/>
            <w:hideMark/>
          </w:tcPr>
          <w:p w14:paraId="24D497D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POST</w:t>
            </w:r>
          </w:p>
        </w:tc>
        <w:tc>
          <w:tcPr>
            <w:tcW w:w="0" w:type="auto"/>
            <w:vAlign w:val="center"/>
            <w:hideMark/>
          </w:tcPr>
          <w:p w14:paraId="0AD1602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Submit fork classification or compatibility update</w:t>
            </w:r>
          </w:p>
        </w:tc>
        <w:tc>
          <w:tcPr>
            <w:tcW w:w="0" w:type="auto"/>
            <w:vAlign w:val="center"/>
            <w:hideMark/>
          </w:tcPr>
          <w:p w14:paraId="1D62A497"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Registry authority or protocol steward review</w:t>
            </w:r>
          </w:p>
        </w:tc>
        <w:tc>
          <w:tcPr>
            <w:tcW w:w="0" w:type="auto"/>
            <w:vAlign w:val="center"/>
            <w:hideMark/>
          </w:tcPr>
          <w:p w14:paraId="6C51085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Restricted</w:t>
            </w:r>
          </w:p>
        </w:tc>
        <w:tc>
          <w:tcPr>
            <w:tcW w:w="0" w:type="auto"/>
            <w:vAlign w:val="center"/>
            <w:hideMark/>
          </w:tcPr>
          <w:p w14:paraId="7BB93F5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Requires review and audit trail</w:t>
            </w:r>
          </w:p>
        </w:tc>
      </w:tr>
    </w:tbl>
    <w:p w14:paraId="239FD3CA"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t>L.3.7 System Endpoints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6"/>
        <w:gridCol w:w="714"/>
        <w:gridCol w:w="2390"/>
        <w:gridCol w:w="1638"/>
        <w:gridCol w:w="1011"/>
        <w:gridCol w:w="1859"/>
      </w:tblGrid>
      <w:tr w:rsidR="004E7C51" w:rsidRPr="00B479AE" w14:paraId="11E54D0C" w14:textId="77777777" w:rsidTr="00406066">
        <w:trPr>
          <w:tblHeader/>
          <w:tblCellSpacing w:w="15" w:type="dxa"/>
        </w:trPr>
        <w:tc>
          <w:tcPr>
            <w:tcW w:w="0" w:type="auto"/>
            <w:vAlign w:val="center"/>
            <w:hideMark/>
          </w:tcPr>
          <w:p w14:paraId="458CB36A"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Endpoint</w:t>
            </w:r>
          </w:p>
        </w:tc>
        <w:tc>
          <w:tcPr>
            <w:tcW w:w="0" w:type="auto"/>
            <w:vAlign w:val="center"/>
            <w:hideMark/>
          </w:tcPr>
          <w:p w14:paraId="41CBCAD7"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Method</w:t>
            </w:r>
          </w:p>
        </w:tc>
        <w:tc>
          <w:tcPr>
            <w:tcW w:w="0" w:type="auto"/>
            <w:vAlign w:val="center"/>
            <w:hideMark/>
          </w:tcPr>
          <w:p w14:paraId="42317212"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Description</w:t>
            </w:r>
          </w:p>
        </w:tc>
        <w:tc>
          <w:tcPr>
            <w:tcW w:w="0" w:type="auto"/>
            <w:vAlign w:val="center"/>
            <w:hideMark/>
          </w:tcPr>
          <w:p w14:paraId="7DF1FFD1"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Authentication</w:t>
            </w:r>
          </w:p>
        </w:tc>
        <w:tc>
          <w:tcPr>
            <w:tcW w:w="0" w:type="auto"/>
            <w:vAlign w:val="center"/>
            <w:hideMark/>
          </w:tcPr>
          <w:p w14:paraId="47EFE89D"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Rate limit</w:t>
            </w:r>
          </w:p>
        </w:tc>
        <w:tc>
          <w:tcPr>
            <w:tcW w:w="0" w:type="auto"/>
            <w:vAlign w:val="center"/>
            <w:hideMark/>
          </w:tcPr>
          <w:p w14:paraId="59BBBA42"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Boundary</w:t>
            </w:r>
          </w:p>
        </w:tc>
      </w:tr>
      <w:tr w:rsidR="004E7C51" w:rsidRPr="00B479AE" w14:paraId="7A2A0E2C" w14:textId="77777777" w:rsidTr="00406066">
        <w:trPr>
          <w:tblCellSpacing w:w="15" w:type="dxa"/>
        </w:trPr>
        <w:tc>
          <w:tcPr>
            <w:tcW w:w="0" w:type="auto"/>
            <w:vAlign w:val="center"/>
            <w:hideMark/>
          </w:tcPr>
          <w:p w14:paraId="24C97B62"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/system/health</w:t>
            </w:r>
          </w:p>
        </w:tc>
        <w:tc>
          <w:tcPr>
            <w:tcW w:w="0" w:type="auto"/>
            <w:vAlign w:val="center"/>
            <w:hideMark/>
          </w:tcPr>
          <w:p w14:paraId="608F370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GET</w:t>
            </w:r>
          </w:p>
        </w:tc>
        <w:tc>
          <w:tcPr>
            <w:tcW w:w="0" w:type="auto"/>
            <w:vAlign w:val="center"/>
            <w:hideMark/>
          </w:tcPr>
          <w:p w14:paraId="713E7B2D"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System health check</w:t>
            </w:r>
          </w:p>
        </w:tc>
        <w:tc>
          <w:tcPr>
            <w:tcW w:w="0" w:type="auto"/>
            <w:vAlign w:val="center"/>
            <w:hideMark/>
          </w:tcPr>
          <w:p w14:paraId="05086EA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None</w:t>
            </w:r>
          </w:p>
        </w:tc>
        <w:tc>
          <w:tcPr>
            <w:tcW w:w="0" w:type="auto"/>
            <w:vAlign w:val="center"/>
            <w:hideMark/>
          </w:tcPr>
          <w:p w14:paraId="2F8AAA1B"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10000/hour</w:t>
            </w:r>
          </w:p>
        </w:tc>
        <w:tc>
          <w:tcPr>
            <w:tcW w:w="0" w:type="auto"/>
            <w:vAlign w:val="center"/>
            <w:hideMark/>
          </w:tcPr>
          <w:p w14:paraId="75AC9DA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Operational status only</w:t>
            </w:r>
          </w:p>
        </w:tc>
      </w:tr>
      <w:tr w:rsidR="004E7C51" w:rsidRPr="00B479AE" w14:paraId="09484DD1" w14:textId="77777777" w:rsidTr="00406066">
        <w:trPr>
          <w:tblCellSpacing w:w="15" w:type="dxa"/>
        </w:trPr>
        <w:tc>
          <w:tcPr>
            <w:tcW w:w="0" w:type="auto"/>
            <w:vAlign w:val="center"/>
            <w:hideMark/>
          </w:tcPr>
          <w:p w14:paraId="3A6EB8D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/system/metrics</w:t>
            </w:r>
          </w:p>
        </w:tc>
        <w:tc>
          <w:tcPr>
            <w:tcW w:w="0" w:type="auto"/>
            <w:vAlign w:val="center"/>
            <w:hideMark/>
          </w:tcPr>
          <w:p w14:paraId="44B566D2"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GET</w:t>
            </w:r>
          </w:p>
        </w:tc>
        <w:tc>
          <w:tcPr>
            <w:tcW w:w="0" w:type="auto"/>
            <w:vAlign w:val="center"/>
            <w:hideMark/>
          </w:tcPr>
          <w:p w14:paraId="7E365CE7"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System performance metrics</w:t>
            </w:r>
          </w:p>
        </w:tc>
        <w:tc>
          <w:tcPr>
            <w:tcW w:w="0" w:type="auto"/>
            <w:vAlign w:val="center"/>
            <w:hideMark/>
          </w:tcPr>
          <w:p w14:paraId="0697093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API key or admin credential</w:t>
            </w:r>
          </w:p>
        </w:tc>
        <w:tc>
          <w:tcPr>
            <w:tcW w:w="0" w:type="auto"/>
            <w:vAlign w:val="center"/>
            <w:hideMark/>
          </w:tcPr>
          <w:p w14:paraId="6B499A8F"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100/hour</w:t>
            </w:r>
          </w:p>
        </w:tc>
        <w:tc>
          <w:tcPr>
            <w:tcW w:w="0" w:type="auto"/>
            <w:vAlign w:val="center"/>
            <w:hideMark/>
          </w:tcPr>
          <w:p w14:paraId="01BB4B67"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Public or internal classification required</w:t>
            </w:r>
          </w:p>
        </w:tc>
      </w:tr>
      <w:tr w:rsidR="004E7C51" w:rsidRPr="00B479AE" w14:paraId="0545FBF4" w14:textId="77777777" w:rsidTr="00406066">
        <w:trPr>
          <w:tblCellSpacing w:w="15" w:type="dxa"/>
        </w:trPr>
        <w:tc>
          <w:tcPr>
            <w:tcW w:w="0" w:type="auto"/>
            <w:vAlign w:val="center"/>
            <w:hideMark/>
          </w:tcPr>
          <w:p w14:paraId="35DE0287"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/system/status/{agent_id}</w:t>
            </w:r>
          </w:p>
        </w:tc>
        <w:tc>
          <w:tcPr>
            <w:tcW w:w="0" w:type="auto"/>
            <w:vAlign w:val="center"/>
            <w:hideMark/>
          </w:tcPr>
          <w:p w14:paraId="2113B6F9"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GET</w:t>
            </w:r>
          </w:p>
        </w:tc>
        <w:tc>
          <w:tcPr>
            <w:tcW w:w="0" w:type="auto"/>
            <w:vAlign w:val="center"/>
            <w:hideMark/>
          </w:tcPr>
          <w:p w14:paraId="0C5F3305"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Retrieve scoped system status for an agent or service</w:t>
            </w:r>
          </w:p>
        </w:tc>
        <w:tc>
          <w:tcPr>
            <w:tcW w:w="0" w:type="auto"/>
            <w:vAlign w:val="center"/>
            <w:hideMark/>
          </w:tcPr>
          <w:p w14:paraId="3B35020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JWT or service credential</w:t>
            </w:r>
          </w:p>
        </w:tc>
        <w:tc>
          <w:tcPr>
            <w:tcW w:w="0" w:type="auto"/>
            <w:vAlign w:val="center"/>
            <w:hideMark/>
          </w:tcPr>
          <w:p w14:paraId="7B9AF39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100/hour</w:t>
            </w:r>
          </w:p>
        </w:tc>
        <w:tc>
          <w:tcPr>
            <w:tcW w:w="0" w:type="auto"/>
            <w:vAlign w:val="center"/>
            <w:hideMark/>
          </w:tcPr>
          <w:p w14:paraId="02800B81"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Status data remains scope-limited</w:t>
            </w:r>
          </w:p>
        </w:tc>
      </w:tr>
      <w:tr w:rsidR="004E7C51" w:rsidRPr="00B479AE" w14:paraId="753D1761" w14:textId="77777777" w:rsidTr="00406066">
        <w:trPr>
          <w:tblCellSpacing w:w="15" w:type="dxa"/>
        </w:trPr>
        <w:tc>
          <w:tcPr>
            <w:tcW w:w="0" w:type="auto"/>
            <w:vAlign w:val="center"/>
            <w:hideMark/>
          </w:tcPr>
          <w:p w14:paraId="68DF79EF"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/system/version</w:t>
            </w:r>
          </w:p>
        </w:tc>
        <w:tc>
          <w:tcPr>
            <w:tcW w:w="0" w:type="auto"/>
            <w:vAlign w:val="center"/>
            <w:hideMark/>
          </w:tcPr>
          <w:p w14:paraId="6055C2CB"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GET</w:t>
            </w:r>
          </w:p>
        </w:tc>
        <w:tc>
          <w:tcPr>
            <w:tcW w:w="0" w:type="auto"/>
            <w:vAlign w:val="center"/>
            <w:hideMark/>
          </w:tcPr>
          <w:p w14:paraId="551ED5C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Retrieve API, zome, bridge, and release version references</w:t>
            </w:r>
          </w:p>
        </w:tc>
        <w:tc>
          <w:tcPr>
            <w:tcW w:w="0" w:type="auto"/>
            <w:vAlign w:val="center"/>
            <w:hideMark/>
          </w:tcPr>
          <w:p w14:paraId="1AFB88E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Public or API key</w:t>
            </w:r>
          </w:p>
        </w:tc>
        <w:tc>
          <w:tcPr>
            <w:tcW w:w="0" w:type="auto"/>
            <w:vAlign w:val="center"/>
            <w:hideMark/>
          </w:tcPr>
          <w:p w14:paraId="3EBF2749"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1000/hour</w:t>
            </w:r>
          </w:p>
        </w:tc>
        <w:tc>
          <w:tcPr>
            <w:tcW w:w="0" w:type="auto"/>
            <w:vAlign w:val="center"/>
            <w:hideMark/>
          </w:tcPr>
          <w:p w14:paraId="4652E58C"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Version endpoint supports traceability</w:t>
            </w:r>
          </w:p>
        </w:tc>
      </w:tr>
      <w:tr w:rsidR="004E7C51" w:rsidRPr="00B479AE" w14:paraId="02BA3BA6" w14:textId="77777777" w:rsidTr="00406066">
        <w:trPr>
          <w:tblCellSpacing w:w="15" w:type="dxa"/>
        </w:trPr>
        <w:tc>
          <w:tcPr>
            <w:tcW w:w="0" w:type="auto"/>
            <w:vAlign w:val="center"/>
            <w:hideMark/>
          </w:tcPr>
          <w:p w14:paraId="43B6D72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/system/verification</w:t>
            </w:r>
          </w:p>
        </w:tc>
        <w:tc>
          <w:tcPr>
            <w:tcW w:w="0" w:type="auto"/>
            <w:vAlign w:val="center"/>
            <w:hideMark/>
          </w:tcPr>
          <w:p w14:paraId="5869CBC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GET</w:t>
            </w:r>
          </w:p>
        </w:tc>
        <w:tc>
          <w:tcPr>
            <w:tcW w:w="0" w:type="auto"/>
            <w:vAlign w:val="center"/>
            <w:hideMark/>
          </w:tcPr>
          <w:p w14:paraId="6DBADFB0"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Retrieve public verification instructions</w:t>
            </w:r>
          </w:p>
        </w:tc>
        <w:tc>
          <w:tcPr>
            <w:tcW w:w="0" w:type="auto"/>
            <w:vAlign w:val="center"/>
            <w:hideMark/>
          </w:tcPr>
          <w:p w14:paraId="352459B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Public</w:t>
            </w:r>
          </w:p>
        </w:tc>
        <w:tc>
          <w:tcPr>
            <w:tcW w:w="0" w:type="auto"/>
            <w:vAlign w:val="center"/>
            <w:hideMark/>
          </w:tcPr>
          <w:p w14:paraId="4E91FE1F"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1000/hour</w:t>
            </w:r>
          </w:p>
        </w:tc>
        <w:tc>
          <w:tcPr>
            <w:tcW w:w="0" w:type="auto"/>
            <w:vAlign w:val="center"/>
            <w:hideMark/>
          </w:tcPr>
          <w:p w14:paraId="51CEB9C9"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Instructional endpoint only</w:t>
            </w:r>
          </w:p>
        </w:tc>
      </w:tr>
    </w:tbl>
    <w:p w14:paraId="3D8F0ACC"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lastRenderedPageBreak/>
        <w:t>L.4 GraphQL API</w:t>
      </w:r>
    </w:p>
    <w:p w14:paraId="339E167E"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The GraphQL API provides a flexible interface for complex queries, dashboards, institutional reports, and real-time subscriptions.</w:t>
      </w:r>
    </w:p>
    <w:p w14:paraId="52D1BD35"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It should be used carefully because flexible query systems can expose more information than intended if authorization boundaries are weak.</w:t>
      </w:r>
    </w:p>
    <w:p w14:paraId="53548780"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GraphQL access should therefore enforce:</w:t>
      </w:r>
    </w:p>
    <w:p w14:paraId="6CDF0CE5"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field-level authorization;</w:t>
      </w:r>
    </w:p>
    <w:p w14:paraId="43FE8D66"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query-depth limits;</w:t>
      </w:r>
    </w:p>
    <w:p w14:paraId="17836497"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rate limits;</w:t>
      </w:r>
    </w:p>
    <w:p w14:paraId="26B6A2DD"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data classification rules;</w:t>
      </w:r>
    </w:p>
    <w:p w14:paraId="4792BFFE"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privacy filters;</w:t>
      </w:r>
    </w:p>
    <w:p w14:paraId="63DC4698"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public-claim boundaries;</w:t>
      </w:r>
    </w:p>
    <w:p w14:paraId="148D0E76"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investor-review classification;</w:t>
      </w:r>
    </w:p>
    <w:p w14:paraId="02708529"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project-level access control;</w:t>
      </w:r>
    </w:p>
    <w:p w14:paraId="31B12387"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audit logging.</w:t>
      </w:r>
    </w:p>
    <w:p w14:paraId="73ACBD45"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t>L.4.1 GraphQL Endpoint</w:t>
      </w:r>
    </w:p>
    <w:p w14:paraId="44E5FEFF" w14:textId="77777777" w:rsidR="004E7C51" w:rsidRPr="00B479AE" w:rsidRDefault="004E7C51" w:rsidP="004E7C51">
      <w:pPr>
        <w:tabs>
          <w:tab w:val="left" w:pos="2685"/>
        </w:tabs>
        <w:spacing w:line="360" w:lineRule="auto"/>
        <w:rPr>
          <w:rFonts w:ascii="Baskerville Old Face" w:hAnsi="Baskerville Old Face"/>
          <w:i/>
          <w:iCs/>
        </w:rPr>
      </w:pPr>
      <w:hyperlink r:id="rId26" w:history="1">
        <w:r w:rsidRPr="00B479AE">
          <w:rPr>
            <w:rStyle w:val="Collegamentoipertestuale"/>
            <w:rFonts w:ascii="Baskerville Old Face" w:hAnsi="Baskerville Old Face"/>
            <w:i/>
            <w:iCs/>
          </w:rPr>
          <w:t>https://api.heart-intelligence.earth/graphql</w:t>
        </w:r>
      </w:hyperlink>
    </w:p>
    <w:p w14:paraId="46744B16"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If this endpoint is not yet live, it should be treated as a planned or reserved endpoint pending canonical deployment.</w:t>
      </w:r>
    </w:p>
    <w:p w14:paraId="76716BA6"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t>L.4.2 Example Queries</w:t>
      </w:r>
    </w:p>
    <w:p w14:paraId="783BA547"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The following examples illustrate possible query structures.</w:t>
      </w:r>
    </w:p>
    <w:p w14:paraId="23409D3D"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They are conceptual examples and should not be treated as final public schema commitments until confirmed in the technical documentation package.</w:t>
      </w:r>
    </w:p>
    <w:p w14:paraId="00DCFE29"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lastRenderedPageBreak/>
        <w:t>Example: agent profile with reputation context and recent contributions.</w:t>
      </w:r>
    </w:p>
    <w:p w14:paraId="390F2BEF"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graphql</w:t>
      </w:r>
      <w:r w:rsidRPr="00B479AE">
        <w:rPr>
          <w:rFonts w:ascii="Baskerville Old Face" w:hAnsi="Baskerville Old Face"/>
          <w:i/>
          <w:iCs/>
        </w:rPr>
        <w:br/>
        <w:t>query GetAgentProfile($id: ID!) {</w:t>
      </w:r>
      <w:r w:rsidRPr="00B479AE">
        <w:rPr>
          <w:rFonts w:ascii="Baskerville Old Face" w:hAnsi="Baskerville Old Face"/>
          <w:i/>
          <w:iCs/>
        </w:rPr>
        <w:br/>
        <w:t>agent(id: $id) {</w:t>
      </w:r>
      <w:r w:rsidRPr="00B479AE">
        <w:rPr>
          <w:rFonts w:ascii="Baskerville Old Face" w:hAnsi="Baskerville Old Face"/>
          <w:i/>
          <w:iCs/>
        </w:rPr>
        <w:br/>
        <w:t>id</w:t>
      </w:r>
      <w:r w:rsidRPr="00B479AE">
        <w:rPr>
          <w:rFonts w:ascii="Baskerville Old Face" w:hAnsi="Baskerville Old Face"/>
          <w:i/>
          <w:iCs/>
        </w:rPr>
        <w:br/>
        <w:t>profile {</w:t>
      </w:r>
      <w:r w:rsidRPr="00B479AE">
        <w:rPr>
          <w:rFonts w:ascii="Baskerville Old Face" w:hAnsi="Baskerville Old Face"/>
          <w:i/>
          <w:iCs/>
        </w:rPr>
        <w:br/>
        <w:t>name</w:t>
      </w:r>
      <w:r w:rsidRPr="00B479AE">
        <w:rPr>
          <w:rFonts w:ascii="Baskerville Old Face" w:hAnsi="Baskerville Old Face"/>
          <w:i/>
          <w:iCs/>
        </w:rPr>
        <w:br/>
        <w:t>bio</w:t>
      </w:r>
      <w:r w:rsidRPr="00B479AE">
        <w:rPr>
          <w:rFonts w:ascii="Baskerville Old Face" w:hAnsi="Baskerville Old Face"/>
          <w:i/>
          <w:iCs/>
        </w:rPr>
        <w:br/>
        <w:t>joinedAt</w:t>
      </w:r>
      <w:r w:rsidRPr="00B479AE">
        <w:rPr>
          <w:rFonts w:ascii="Baskerville Old Face" w:hAnsi="Baskerville Old Face"/>
          <w:i/>
          <w:iCs/>
        </w:rPr>
        <w:br/>
        <w:t>}</w:t>
      </w:r>
      <w:r w:rsidRPr="00B479AE">
        <w:rPr>
          <w:rFonts w:ascii="Baskerville Old Face" w:hAnsi="Baskerville Old Face"/>
          <w:i/>
          <w:iCs/>
        </w:rPr>
        <w:br/>
        <w:t>reputationContext {</w:t>
      </w:r>
      <w:r w:rsidRPr="00B479AE">
        <w:rPr>
          <w:rFonts w:ascii="Baskerville Old Face" w:hAnsi="Baskerville Old Face"/>
          <w:i/>
          <w:iCs/>
        </w:rPr>
        <w:br/>
        <w:t>overall</w:t>
      </w:r>
      <w:r w:rsidRPr="00B479AE">
        <w:rPr>
          <w:rFonts w:ascii="Baskerville Old Face" w:hAnsi="Baskerville Old Face"/>
          <w:i/>
          <w:iCs/>
        </w:rPr>
        <w:br/>
        <w:t>components {</w:t>
      </w:r>
      <w:r w:rsidRPr="00B479AE">
        <w:rPr>
          <w:rFonts w:ascii="Baskerville Old Face" w:hAnsi="Baskerville Old Face"/>
          <w:i/>
          <w:iCs/>
        </w:rPr>
        <w:br/>
        <w:t>contribution</w:t>
      </w:r>
      <w:r w:rsidRPr="00B479AE">
        <w:rPr>
          <w:rFonts w:ascii="Baskerville Old Face" w:hAnsi="Baskerville Old Face"/>
          <w:i/>
          <w:iCs/>
        </w:rPr>
        <w:br/>
        <w:t>reliability</w:t>
      </w:r>
      <w:r w:rsidRPr="00B479AE">
        <w:rPr>
          <w:rFonts w:ascii="Baskerville Old Face" w:hAnsi="Baskerville Old Face"/>
          <w:i/>
          <w:iCs/>
        </w:rPr>
        <w:br/>
        <w:t>governanceParticipation</w:t>
      </w:r>
      <w:r w:rsidRPr="00B479AE">
        <w:rPr>
          <w:rFonts w:ascii="Baskerville Old Face" w:hAnsi="Baskerville Old Face"/>
          <w:i/>
          <w:iCs/>
        </w:rPr>
        <w:br/>
        <w:t>validationAccuracy</w:t>
      </w:r>
      <w:r w:rsidRPr="00B479AE">
        <w:rPr>
          <w:rFonts w:ascii="Baskerville Old Face" w:hAnsi="Baskerville Old Face"/>
          <w:i/>
          <w:iCs/>
        </w:rPr>
        <w:br/>
        <w:t>}</w:t>
      </w:r>
      <w:r w:rsidRPr="00B479AE">
        <w:rPr>
          <w:rFonts w:ascii="Baskerville Old Face" w:hAnsi="Baskerville Old Face"/>
          <w:i/>
          <w:iCs/>
        </w:rPr>
        <w:br/>
        <w:t>boundary</w:t>
      </w:r>
      <w:r w:rsidRPr="00B479AE">
        <w:rPr>
          <w:rFonts w:ascii="Baskerville Old Face" w:hAnsi="Baskerville Old Face"/>
          <w:i/>
          <w:iCs/>
        </w:rPr>
        <w:br/>
        <w:t>}</w:t>
      </w:r>
      <w:r w:rsidRPr="00B479AE">
        <w:rPr>
          <w:rFonts w:ascii="Baskerville Old Face" w:hAnsi="Baskerville Old Face"/>
          <w:i/>
          <w:iCs/>
        </w:rPr>
        <w:br/>
        <w:t>recentContributions(limit: 5) {</w:t>
      </w:r>
      <w:r w:rsidRPr="00B479AE">
        <w:rPr>
          <w:rFonts w:ascii="Baskerville Old Face" w:hAnsi="Baskerville Old Face"/>
          <w:i/>
          <w:iCs/>
        </w:rPr>
        <w:br/>
        <w:t>type</w:t>
      </w:r>
      <w:r w:rsidRPr="00B479AE">
        <w:rPr>
          <w:rFonts w:ascii="Baskerville Old Face" w:hAnsi="Baskerville Old Face"/>
          <w:i/>
          <w:iCs/>
        </w:rPr>
        <w:br/>
        <w:t>description</w:t>
      </w:r>
      <w:r w:rsidRPr="00B479AE">
        <w:rPr>
          <w:rFonts w:ascii="Baskerville Old Face" w:hAnsi="Baskerville Old Face"/>
          <w:i/>
          <w:iCs/>
        </w:rPr>
        <w:br/>
        <w:t>timestamp</w:t>
      </w:r>
      <w:r w:rsidRPr="00B479AE">
        <w:rPr>
          <w:rFonts w:ascii="Baskerville Old Face" w:hAnsi="Baskerville Old Face"/>
          <w:i/>
          <w:iCs/>
        </w:rPr>
        <w:br/>
        <w:t>evidenceStatus</w:t>
      </w:r>
      <w:r w:rsidRPr="00B479AE">
        <w:rPr>
          <w:rFonts w:ascii="Baskerville Old Face" w:hAnsi="Baskerville Old Face"/>
          <w:i/>
          <w:iCs/>
        </w:rPr>
        <w:br/>
        <w:t>}</w:t>
      </w:r>
      <w:r w:rsidRPr="00B479AE">
        <w:rPr>
          <w:rFonts w:ascii="Baskerville Old Face" w:hAnsi="Baskerville Old Face"/>
          <w:i/>
          <w:iCs/>
        </w:rPr>
        <w:br/>
        <w:t>}</w:t>
      </w:r>
      <w:r w:rsidRPr="00B479AE">
        <w:rPr>
          <w:rFonts w:ascii="Baskerville Old Face" w:hAnsi="Baskerville Old Face"/>
          <w:i/>
          <w:iCs/>
        </w:rPr>
        <w:br/>
        <w:t>}</w:t>
      </w:r>
    </w:p>
    <w:p w14:paraId="16153CC8"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Example: bioregional dashboard with aggregated metrics.</w:t>
      </w:r>
    </w:p>
    <w:p w14:paraId="47C97223"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graphql</w:t>
      </w:r>
      <w:r w:rsidRPr="00B479AE">
        <w:rPr>
          <w:rFonts w:ascii="Baskerville Old Face" w:hAnsi="Baskerville Old Face"/>
          <w:i/>
          <w:iCs/>
        </w:rPr>
        <w:br/>
        <w:t>query BioregionalDashboard($bioregionId: ID!, $timeRange: TimeRange!) {</w:t>
      </w:r>
      <w:r w:rsidRPr="00B479AE">
        <w:rPr>
          <w:rFonts w:ascii="Baskerville Old Face" w:hAnsi="Baskerville Old Face"/>
          <w:i/>
          <w:iCs/>
        </w:rPr>
        <w:br/>
        <w:t>bioregion(id: $bioregionId) {</w:t>
      </w:r>
      <w:r w:rsidRPr="00B479AE">
        <w:rPr>
          <w:rFonts w:ascii="Baskerville Old Face" w:hAnsi="Baskerville Old Face"/>
          <w:i/>
          <w:iCs/>
        </w:rPr>
        <w:br/>
      </w:r>
      <w:r w:rsidRPr="00B479AE">
        <w:rPr>
          <w:rFonts w:ascii="Baskerville Old Face" w:hAnsi="Baskerville Old Face"/>
          <w:i/>
          <w:iCs/>
        </w:rPr>
        <w:lastRenderedPageBreak/>
        <w:t>name</w:t>
      </w:r>
      <w:r w:rsidRPr="00B479AE">
        <w:rPr>
          <w:rFonts w:ascii="Baskerville Old Face" w:hAnsi="Baskerville Old Face"/>
          <w:i/>
          <w:iCs/>
        </w:rPr>
        <w:br/>
        <w:t>boundaries {</w:t>
      </w:r>
      <w:r w:rsidRPr="00B479AE">
        <w:rPr>
          <w:rFonts w:ascii="Baskerville Old Face" w:hAnsi="Baskerville Old Face"/>
          <w:i/>
          <w:iCs/>
        </w:rPr>
        <w:br/>
        <w:t>climate</w:t>
      </w:r>
      <w:r w:rsidRPr="00B479AE">
        <w:rPr>
          <w:rFonts w:ascii="Baskerville Old Face" w:hAnsi="Baskerville Old Face"/>
          <w:i/>
          <w:iCs/>
        </w:rPr>
        <w:br/>
        <w:t>water</w:t>
      </w:r>
      <w:r w:rsidRPr="00B479AE">
        <w:rPr>
          <w:rFonts w:ascii="Baskerville Old Face" w:hAnsi="Baskerville Old Face"/>
          <w:i/>
          <w:iCs/>
        </w:rPr>
        <w:br/>
        <w:t>biodiversity</w:t>
      </w:r>
      <w:r w:rsidRPr="00B479AE">
        <w:rPr>
          <w:rFonts w:ascii="Baskerville Old Face" w:hAnsi="Baskerville Old Face"/>
          <w:i/>
          <w:iCs/>
        </w:rPr>
        <w:br/>
        <w:t>soil</w:t>
      </w:r>
      <w:r w:rsidRPr="00B479AE">
        <w:rPr>
          <w:rFonts w:ascii="Baskerville Old Face" w:hAnsi="Baskerville Old Face"/>
          <w:i/>
          <w:iCs/>
        </w:rPr>
        <w:br/>
        <w:t>}</w:t>
      </w:r>
      <w:r w:rsidRPr="00B479AE">
        <w:rPr>
          <w:rFonts w:ascii="Baskerville Old Face" w:hAnsi="Baskerville Old Face"/>
          <w:i/>
          <w:iCs/>
        </w:rPr>
        <w:br/>
        <w:t>metrics(timeRange: $timeRange) {</w:t>
      </w:r>
      <w:r w:rsidRPr="00B479AE">
        <w:rPr>
          <w:rFonts w:ascii="Baskerville Old Face" w:hAnsi="Baskerville Old Face"/>
          <w:i/>
          <w:iCs/>
        </w:rPr>
        <w:br/>
        <w:t>phi</w:t>
      </w:r>
      <w:r w:rsidRPr="00B479AE">
        <w:rPr>
          <w:rFonts w:ascii="Baskerville Old Face" w:hAnsi="Baskerville Old Face"/>
          <w:i/>
          <w:iCs/>
        </w:rPr>
        <w:br/>
        <w:t>mrvConfidence</w:t>
      </w:r>
      <w:r w:rsidRPr="00B479AE">
        <w:rPr>
          <w:rFonts w:ascii="Baskerville Old Face" w:hAnsi="Baskerville Old Face"/>
          <w:i/>
          <w:iCs/>
        </w:rPr>
        <w:br/>
        <w:t>waterInfiltration</w:t>
      </w:r>
      <w:r w:rsidRPr="00B479AE">
        <w:rPr>
          <w:rFonts w:ascii="Baskerville Old Face" w:hAnsi="Baskerville Old Face"/>
          <w:i/>
          <w:iCs/>
        </w:rPr>
        <w:br/>
        <w:t>biodiversityIndex</w:t>
      </w:r>
      <w:r w:rsidRPr="00B479AE">
        <w:rPr>
          <w:rFonts w:ascii="Baskerville Old Face" w:hAnsi="Baskerville Old Face"/>
          <w:i/>
          <w:iCs/>
        </w:rPr>
        <w:br/>
        <w:t>soilFunction</w:t>
      </w:r>
      <w:r w:rsidRPr="00B479AE">
        <w:rPr>
          <w:rFonts w:ascii="Baskerville Old Face" w:hAnsi="Baskerville Old Face"/>
          <w:i/>
          <w:iCs/>
        </w:rPr>
        <w:br/>
        <w:t>regenerativeDelta</w:t>
      </w:r>
      <w:r w:rsidRPr="00B479AE">
        <w:rPr>
          <w:rFonts w:ascii="Baskerville Old Face" w:hAnsi="Baskerville Old Face"/>
          <w:i/>
          <w:iCs/>
        </w:rPr>
        <w:br/>
        <w:t>}</w:t>
      </w:r>
      <w:r w:rsidRPr="00B479AE">
        <w:rPr>
          <w:rFonts w:ascii="Baskerville Old Face" w:hAnsi="Baskerville Old Face"/>
          <w:i/>
          <w:iCs/>
        </w:rPr>
        <w:br/>
        <w:t>projects {</w:t>
      </w:r>
      <w:r w:rsidRPr="00B479AE">
        <w:rPr>
          <w:rFonts w:ascii="Baskerville Old Face" w:hAnsi="Baskerville Old Face"/>
          <w:i/>
          <w:iCs/>
        </w:rPr>
        <w:br/>
        <w:t>id</w:t>
      </w:r>
      <w:r w:rsidRPr="00B479AE">
        <w:rPr>
          <w:rFonts w:ascii="Baskerville Old Face" w:hAnsi="Baskerville Old Face"/>
          <w:i/>
          <w:iCs/>
        </w:rPr>
        <w:br/>
        <w:t>name</w:t>
      </w:r>
      <w:r w:rsidRPr="00B479AE">
        <w:rPr>
          <w:rFonts w:ascii="Baskerville Old Face" w:hAnsi="Baskerville Old Face"/>
          <w:i/>
          <w:iCs/>
        </w:rPr>
        <w:br/>
        <w:t>status</w:t>
      </w:r>
      <w:r w:rsidRPr="00B479AE">
        <w:rPr>
          <w:rFonts w:ascii="Baskerville Old Face" w:hAnsi="Baskerville Old Face"/>
          <w:i/>
          <w:iCs/>
        </w:rPr>
        <w:br/>
        <w:t>stewardCount</w:t>
      </w:r>
      <w:r w:rsidRPr="00B479AE">
        <w:rPr>
          <w:rFonts w:ascii="Baskerville Old Face" w:hAnsi="Baskerville Old Face"/>
          <w:i/>
          <w:iCs/>
        </w:rPr>
        <w:br/>
        <w:t>pruMaturityClass</w:t>
      </w:r>
      <w:r w:rsidRPr="00B479AE">
        <w:rPr>
          <w:rFonts w:ascii="Baskerville Old Face" w:hAnsi="Baskerville Old Face"/>
          <w:i/>
          <w:iCs/>
        </w:rPr>
        <w:br/>
        <w:t>reviewStatus</w:t>
      </w:r>
      <w:r w:rsidRPr="00B479AE">
        <w:rPr>
          <w:rFonts w:ascii="Baskerville Old Face" w:hAnsi="Baskerville Old Face"/>
          <w:i/>
          <w:iCs/>
        </w:rPr>
        <w:br/>
        <w:t>}</w:t>
      </w:r>
      <w:r w:rsidRPr="00B479AE">
        <w:rPr>
          <w:rFonts w:ascii="Baskerville Old Face" w:hAnsi="Baskerville Old Face"/>
          <w:i/>
          <w:iCs/>
        </w:rPr>
        <w:br/>
        <w:t>}</w:t>
      </w:r>
      <w:r w:rsidRPr="00B479AE">
        <w:rPr>
          <w:rFonts w:ascii="Baskerville Old Face" w:hAnsi="Baskerville Old Face"/>
          <w:i/>
          <w:iCs/>
        </w:rPr>
        <w:br/>
        <w:t>}</w:t>
      </w:r>
    </w:p>
    <w:p w14:paraId="162C8C5F"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Example: PRU analysis status.</w:t>
      </w:r>
    </w:p>
    <w:p w14:paraId="4611E251"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graphql</w:t>
      </w:r>
      <w:r w:rsidRPr="00B479AE">
        <w:rPr>
          <w:rFonts w:ascii="Baskerville Old Face" w:hAnsi="Baskerville Old Face"/>
          <w:i/>
          <w:iCs/>
        </w:rPr>
        <w:br/>
        <w:t>query ProjectPruAnalysis($projectId: ID!) {</w:t>
      </w:r>
      <w:r w:rsidRPr="00B479AE">
        <w:rPr>
          <w:rFonts w:ascii="Baskerville Old Face" w:hAnsi="Baskerville Old Face"/>
          <w:i/>
          <w:iCs/>
        </w:rPr>
        <w:br/>
        <w:t>project(id: $projectId) {</w:t>
      </w:r>
      <w:r w:rsidRPr="00B479AE">
        <w:rPr>
          <w:rFonts w:ascii="Baskerville Old Face" w:hAnsi="Baskerville Old Face"/>
          <w:i/>
          <w:iCs/>
        </w:rPr>
        <w:br/>
        <w:t>id</w:t>
      </w:r>
      <w:r w:rsidRPr="00B479AE">
        <w:rPr>
          <w:rFonts w:ascii="Baskerville Old Face" w:hAnsi="Baskerville Old Face"/>
          <w:i/>
          <w:iCs/>
        </w:rPr>
        <w:br/>
        <w:t>name</w:t>
      </w:r>
      <w:r w:rsidRPr="00B479AE">
        <w:rPr>
          <w:rFonts w:ascii="Baskerville Old Face" w:hAnsi="Baskerville Old Face"/>
          <w:i/>
          <w:iCs/>
        </w:rPr>
        <w:br/>
        <w:t>pruAnalysis {</w:t>
      </w:r>
      <w:r w:rsidRPr="00B479AE">
        <w:rPr>
          <w:rFonts w:ascii="Baskerville Old Face" w:hAnsi="Baskerville Old Face"/>
          <w:i/>
          <w:iCs/>
        </w:rPr>
        <w:br/>
        <w:t>maturityClass</w:t>
      </w:r>
      <w:r w:rsidRPr="00B479AE">
        <w:rPr>
          <w:rFonts w:ascii="Baskerville Old Face" w:hAnsi="Baskerville Old Face"/>
          <w:i/>
          <w:iCs/>
        </w:rPr>
        <w:br/>
      </w:r>
      <w:r w:rsidRPr="00B479AE">
        <w:rPr>
          <w:rFonts w:ascii="Baskerville Old Face" w:hAnsi="Baskerville Old Face"/>
          <w:i/>
          <w:iCs/>
        </w:rPr>
        <w:lastRenderedPageBreak/>
        <w:t>evidenceStatus</w:t>
      </w:r>
      <w:r w:rsidRPr="00B479AE">
        <w:rPr>
          <w:rFonts w:ascii="Baskerville Old Face" w:hAnsi="Baskerville Old Face"/>
          <w:i/>
          <w:iCs/>
        </w:rPr>
        <w:br/>
        <w:t>admissibilityStatus</w:t>
      </w:r>
      <w:r w:rsidRPr="00B479AE">
        <w:rPr>
          <w:rFonts w:ascii="Baskerville Old Face" w:hAnsi="Baskerville Old Face"/>
          <w:i/>
          <w:iCs/>
        </w:rPr>
        <w:br/>
        <w:t>confidenceScore</w:t>
      </w:r>
      <w:r w:rsidRPr="00B479AE">
        <w:rPr>
          <w:rFonts w:ascii="Baskerville Old Face" w:hAnsi="Baskerville Old Face"/>
          <w:i/>
          <w:iCs/>
        </w:rPr>
        <w:br/>
        <w:t>methodologyVersion</w:t>
      </w:r>
      <w:r w:rsidRPr="00B479AE">
        <w:rPr>
          <w:rFonts w:ascii="Baskerville Old Face" w:hAnsi="Baskerville Old Face"/>
          <w:i/>
          <w:iCs/>
        </w:rPr>
        <w:br/>
        <w:t>legalBoundary</w:t>
      </w:r>
      <w:r w:rsidRPr="00B479AE">
        <w:rPr>
          <w:rFonts w:ascii="Baskerville Old Face" w:hAnsi="Baskerville Old Face"/>
          <w:i/>
          <w:iCs/>
        </w:rPr>
        <w:br/>
        <w:t>}</w:t>
      </w:r>
      <w:r w:rsidRPr="00B479AE">
        <w:rPr>
          <w:rFonts w:ascii="Baskerville Old Face" w:hAnsi="Baskerville Old Face"/>
          <w:i/>
          <w:iCs/>
        </w:rPr>
        <w:br/>
        <w:t>}</w:t>
      </w:r>
      <w:r w:rsidRPr="00B479AE">
        <w:rPr>
          <w:rFonts w:ascii="Baskerville Old Face" w:hAnsi="Baskerville Old Face"/>
          <w:i/>
          <w:iCs/>
        </w:rPr>
        <w:br/>
        <w:t>}</w:t>
      </w:r>
    </w:p>
    <w:p w14:paraId="3724140B"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t>L.4.3 Subscriptions</w:t>
      </w:r>
    </w:p>
    <w:p w14:paraId="7E21C2EF"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Subscriptions may support real-time or near-real-time updates for dashboards, operational systems, review workflows, and governance tools.</w:t>
      </w:r>
    </w:p>
    <w:p w14:paraId="70403BF7"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Subscriptions should not be used to imply automatic action.</w:t>
      </w:r>
    </w:p>
    <w:p w14:paraId="6B49575B"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A subscription notifies.</w:t>
      </w:r>
    </w:p>
    <w:p w14:paraId="77A93C29"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It does not authorize.</w:t>
      </w:r>
    </w:p>
    <w:p w14:paraId="3275E5B5"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Example: subscribe to new MRV events for a project.</w:t>
      </w:r>
    </w:p>
    <w:p w14:paraId="6FFA317C"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graphql</w:t>
      </w:r>
      <w:r w:rsidRPr="00B479AE">
        <w:rPr>
          <w:rFonts w:ascii="Baskerville Old Face" w:hAnsi="Baskerville Old Face"/>
          <w:i/>
          <w:iCs/>
        </w:rPr>
        <w:br/>
        <w:t>subscription OnNewMrvEvent($projectId: ID!) {</w:t>
      </w:r>
      <w:r w:rsidRPr="00B479AE">
        <w:rPr>
          <w:rFonts w:ascii="Baskerville Old Face" w:hAnsi="Baskerville Old Face"/>
          <w:i/>
          <w:iCs/>
        </w:rPr>
        <w:br/>
        <w:t>mrvEventCreated(projectId: $projectId) {</w:t>
      </w:r>
      <w:r w:rsidRPr="00B479AE">
        <w:rPr>
          <w:rFonts w:ascii="Baskerville Old Face" w:hAnsi="Baskerville Old Face"/>
          <w:i/>
          <w:iCs/>
        </w:rPr>
        <w:br/>
        <w:t>id</w:t>
      </w:r>
      <w:r w:rsidRPr="00B479AE">
        <w:rPr>
          <w:rFonts w:ascii="Baskerville Old Face" w:hAnsi="Baskerville Old Face"/>
          <w:i/>
          <w:iCs/>
        </w:rPr>
        <w:br/>
        <w:t>type</w:t>
      </w:r>
      <w:r w:rsidRPr="00B479AE">
        <w:rPr>
          <w:rFonts w:ascii="Baskerville Old Face" w:hAnsi="Baskerville Old Face"/>
          <w:i/>
          <w:iCs/>
        </w:rPr>
        <w:br/>
        <w:t>value</w:t>
      </w:r>
      <w:r w:rsidRPr="00B479AE">
        <w:rPr>
          <w:rFonts w:ascii="Baskerville Old Face" w:hAnsi="Baskerville Old Face"/>
          <w:i/>
          <w:iCs/>
        </w:rPr>
        <w:br/>
        <w:t>confidence</w:t>
      </w:r>
      <w:r w:rsidRPr="00B479AE">
        <w:rPr>
          <w:rFonts w:ascii="Baskerville Old Face" w:hAnsi="Baskerville Old Face"/>
          <w:i/>
          <w:iCs/>
        </w:rPr>
        <w:br/>
        <w:t>timestamp</w:t>
      </w:r>
      <w:r w:rsidRPr="00B479AE">
        <w:rPr>
          <w:rFonts w:ascii="Baskerville Old Face" w:hAnsi="Baskerville Old Face"/>
          <w:i/>
          <w:iCs/>
        </w:rPr>
        <w:br/>
        <w:t>source {</w:t>
      </w:r>
      <w:r w:rsidRPr="00B479AE">
        <w:rPr>
          <w:rFonts w:ascii="Baskerville Old Face" w:hAnsi="Baskerville Old Face"/>
          <w:i/>
          <w:iCs/>
        </w:rPr>
        <w:br/>
        <w:t>type</w:t>
      </w:r>
      <w:r w:rsidRPr="00B479AE">
        <w:rPr>
          <w:rFonts w:ascii="Baskerville Old Face" w:hAnsi="Baskerville Old Face"/>
          <w:i/>
          <w:iCs/>
        </w:rPr>
        <w:br/>
        <w:t>id</w:t>
      </w:r>
      <w:r w:rsidRPr="00B479AE">
        <w:rPr>
          <w:rFonts w:ascii="Baskerville Old Face" w:hAnsi="Baskerville Old Face"/>
          <w:i/>
          <w:iCs/>
        </w:rPr>
        <w:br/>
        <w:t>}</w:t>
      </w:r>
      <w:r w:rsidRPr="00B479AE">
        <w:rPr>
          <w:rFonts w:ascii="Baskerville Old Face" w:hAnsi="Baskerville Old Face"/>
          <w:i/>
          <w:iCs/>
        </w:rPr>
        <w:br/>
        <w:t>reviewStatus</w:t>
      </w:r>
      <w:r w:rsidRPr="00B479AE">
        <w:rPr>
          <w:rFonts w:ascii="Baskerville Old Face" w:hAnsi="Baskerville Old Face"/>
          <w:i/>
          <w:iCs/>
        </w:rPr>
        <w:br/>
        <w:t>}</w:t>
      </w:r>
      <w:r w:rsidRPr="00B479AE">
        <w:rPr>
          <w:rFonts w:ascii="Baskerville Old Face" w:hAnsi="Baskerville Old Face"/>
          <w:i/>
          <w:iCs/>
        </w:rPr>
        <w:br/>
        <w:t>}</w:t>
      </w:r>
    </w:p>
    <w:p w14:paraId="6C494EFE"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lastRenderedPageBreak/>
        <w:t>Example: subscribe to governance proposal updates.</w:t>
      </w:r>
    </w:p>
    <w:p w14:paraId="5368444F"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graphql</w:t>
      </w:r>
      <w:r w:rsidRPr="00B479AE">
        <w:rPr>
          <w:rFonts w:ascii="Baskerville Old Face" w:hAnsi="Baskerville Old Face"/>
          <w:i/>
          <w:iCs/>
        </w:rPr>
        <w:br/>
        <w:t>subscription OnProposalUpdate($circleId: ID!) {</w:t>
      </w:r>
      <w:r w:rsidRPr="00B479AE">
        <w:rPr>
          <w:rFonts w:ascii="Baskerville Old Face" w:hAnsi="Baskerville Old Face"/>
          <w:i/>
          <w:iCs/>
        </w:rPr>
        <w:br/>
        <w:t>proposalUpdated(circleId: $circleId) {</w:t>
      </w:r>
      <w:r w:rsidRPr="00B479AE">
        <w:rPr>
          <w:rFonts w:ascii="Baskerville Old Face" w:hAnsi="Baskerville Old Face"/>
          <w:i/>
          <w:iCs/>
        </w:rPr>
        <w:br/>
        <w:t>id</w:t>
      </w:r>
      <w:r w:rsidRPr="00B479AE">
        <w:rPr>
          <w:rFonts w:ascii="Baskerville Old Face" w:hAnsi="Baskerville Old Face"/>
          <w:i/>
          <w:iCs/>
        </w:rPr>
        <w:br/>
        <w:t>title</w:t>
      </w:r>
      <w:r w:rsidRPr="00B479AE">
        <w:rPr>
          <w:rFonts w:ascii="Baskerville Old Face" w:hAnsi="Baskerville Old Face"/>
          <w:i/>
          <w:iCs/>
        </w:rPr>
        <w:br/>
        <w:t>status</w:t>
      </w:r>
      <w:r w:rsidRPr="00B479AE">
        <w:rPr>
          <w:rFonts w:ascii="Baskerville Old Face" w:hAnsi="Baskerville Old Face"/>
          <w:i/>
          <w:iCs/>
        </w:rPr>
        <w:br/>
        <w:t>consentSummary {</w:t>
      </w:r>
      <w:r w:rsidRPr="00B479AE">
        <w:rPr>
          <w:rFonts w:ascii="Baskerville Old Face" w:hAnsi="Baskerville Old Face"/>
          <w:i/>
          <w:iCs/>
        </w:rPr>
        <w:br/>
        <w:t>consent</w:t>
      </w:r>
      <w:r w:rsidRPr="00B479AE">
        <w:rPr>
          <w:rFonts w:ascii="Baskerville Old Face" w:hAnsi="Baskerville Old Face"/>
          <w:i/>
          <w:iCs/>
        </w:rPr>
        <w:br/>
        <w:t>standAside</w:t>
      </w:r>
      <w:r w:rsidRPr="00B479AE">
        <w:rPr>
          <w:rFonts w:ascii="Baskerville Old Face" w:hAnsi="Baskerville Old Face"/>
          <w:i/>
          <w:iCs/>
        </w:rPr>
        <w:br/>
        <w:t>objection</w:t>
      </w:r>
      <w:r w:rsidRPr="00B479AE">
        <w:rPr>
          <w:rFonts w:ascii="Baskerville Old Face" w:hAnsi="Baskerville Old Face"/>
          <w:i/>
          <w:iCs/>
        </w:rPr>
        <w:br/>
        <w:t>}</w:t>
      </w:r>
      <w:r w:rsidRPr="00B479AE">
        <w:rPr>
          <w:rFonts w:ascii="Baskerville Old Face" w:hAnsi="Baskerville Old Face"/>
          <w:i/>
          <w:iCs/>
        </w:rPr>
        <w:br/>
        <w:t>deadline</w:t>
      </w:r>
      <w:r w:rsidRPr="00B479AE">
        <w:rPr>
          <w:rFonts w:ascii="Baskerville Old Face" w:hAnsi="Baskerville Old Face"/>
          <w:i/>
          <w:iCs/>
        </w:rPr>
        <w:br/>
        <w:t>}</w:t>
      </w:r>
      <w:r w:rsidRPr="00B479AE">
        <w:rPr>
          <w:rFonts w:ascii="Baskerville Old Face" w:hAnsi="Baskerville Old Face"/>
          <w:i/>
          <w:iCs/>
        </w:rPr>
        <w:br/>
        <w:t>}</w:t>
      </w:r>
    </w:p>
    <w:p w14:paraId="6211630A"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t>L.5 gRPC API</w:t>
      </w:r>
    </w:p>
    <w:p w14:paraId="50115664"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The gRPC API is optimized for high-throughput, low-latency communication, especially for sensor data ingestion, inter-service communication, internal bridge services, and infrastructure-level data exchange.</w:t>
      </w:r>
    </w:p>
    <w:p w14:paraId="442C196A"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gRPC should be treated primarily as an infrastructure interface.</w:t>
      </w:r>
    </w:p>
    <w:p w14:paraId="6AD7BE3D"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Public or partner-facing access should be strictly authenticated, authorized, rate-limited, logged, and scoped.</w:t>
      </w:r>
    </w:p>
    <w:p w14:paraId="71AA15FB"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t>L.5.1 Protocol Buffer Definition — Conceptual Excerpt</w:t>
      </w:r>
    </w:p>
    <w:p w14:paraId="251A26B6"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protobuf</w:t>
      </w:r>
      <w:r w:rsidRPr="00B479AE">
        <w:rPr>
          <w:rFonts w:ascii="Baskerville Old Face" w:hAnsi="Baskerville Old Face"/>
          <w:i/>
          <w:iCs/>
        </w:rPr>
        <w:br/>
        <w:t>syntax = "proto3";</w:t>
      </w:r>
      <w:r w:rsidRPr="00B479AE">
        <w:rPr>
          <w:rFonts w:ascii="Baskerville Old Face" w:hAnsi="Baskerville Old Face"/>
          <w:i/>
          <w:iCs/>
        </w:rPr>
        <w:br/>
        <w:t>package heart_intelligence.v1;</w:t>
      </w:r>
    </w:p>
    <w:p w14:paraId="774BD693"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service MrvService {</w:t>
      </w:r>
      <w:r w:rsidRPr="00B479AE">
        <w:rPr>
          <w:rFonts w:ascii="Baskerville Old Face" w:hAnsi="Baskerville Old Face"/>
          <w:i/>
          <w:iCs/>
        </w:rPr>
        <w:br/>
        <w:t>// Submit a batch of sensor or field readings.</w:t>
      </w:r>
      <w:r w:rsidRPr="00B479AE">
        <w:rPr>
          <w:rFonts w:ascii="Baskerville Old Face" w:hAnsi="Baskerville Old Face"/>
          <w:i/>
          <w:iCs/>
        </w:rPr>
        <w:br/>
        <w:t>rpc SubmitEvidence(stream EvidenceReading) returns (SubmissionReceipt);</w:t>
      </w:r>
    </w:p>
    <w:p w14:paraId="3373CA07"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lastRenderedPageBreak/>
        <w:t>// Get real-time evidence stream.</w:t>
      </w:r>
      <w:r w:rsidRPr="00B479AE">
        <w:rPr>
          <w:rFonts w:ascii="Baskerville Old Face" w:hAnsi="Baskerville Old Face"/>
          <w:i/>
          <w:iCs/>
        </w:rPr>
        <w:br/>
        <w:t>rpc StreamEvidence(EvidenceFilter) returns (stream EvidenceReading);</w:t>
      </w:r>
    </w:p>
    <w:p w14:paraId="7C1A357F"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Request MRV review.</w:t>
      </w:r>
      <w:r w:rsidRPr="00B479AE">
        <w:rPr>
          <w:rFonts w:ascii="Baskerville Old Face" w:hAnsi="Baskerville Old Face"/>
          <w:i/>
          <w:iCs/>
        </w:rPr>
        <w:br/>
        <w:t>rpc RequestMrvReview(MrvReviewRequest) returns (MrvReviewResponse);</w:t>
      </w:r>
      <w:r w:rsidRPr="00B479AE">
        <w:rPr>
          <w:rFonts w:ascii="Baskerville Old Face" w:hAnsi="Baskerville Old Face"/>
          <w:i/>
          <w:iCs/>
        </w:rPr>
        <w:br/>
        <w:t>}</w:t>
      </w:r>
    </w:p>
    <w:p w14:paraId="148349DE"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service PruAnalysisService {</w:t>
      </w:r>
      <w:r w:rsidRPr="00B479AE">
        <w:rPr>
          <w:rFonts w:ascii="Baskerville Old Face" w:hAnsi="Baskerville Old Face"/>
          <w:i/>
          <w:iCs/>
        </w:rPr>
        <w:br/>
        <w:t>// Retrieve PRU analysis status.</w:t>
      </w:r>
      <w:r w:rsidRPr="00B479AE">
        <w:rPr>
          <w:rFonts w:ascii="Baskerville Old Face" w:hAnsi="Baskerville Old Face"/>
          <w:i/>
          <w:iCs/>
        </w:rPr>
        <w:br/>
        <w:t>rpc GetPruAnalysis(PruAnalysisRequest) returns (PruAnalysisResponse);</w:t>
      </w:r>
    </w:p>
    <w:p w14:paraId="0BB57F87"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Retrieve PRU maturity classification.</w:t>
      </w:r>
      <w:r w:rsidRPr="00B479AE">
        <w:rPr>
          <w:rFonts w:ascii="Baskerville Old Face" w:hAnsi="Baskerville Old Face"/>
          <w:i/>
          <w:iCs/>
        </w:rPr>
        <w:br/>
        <w:t>rpc GetPruMaturity(PruMaturityRequest) returns (PruMaturityResponse);</w:t>
      </w:r>
    </w:p>
    <w:p w14:paraId="4CEA0228"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Request PRU review.</w:t>
      </w:r>
      <w:r w:rsidRPr="00B479AE">
        <w:rPr>
          <w:rFonts w:ascii="Baskerville Old Face" w:hAnsi="Baskerville Old Face"/>
          <w:i/>
          <w:iCs/>
        </w:rPr>
        <w:br/>
        <w:t>rpc RequestPruReview(PruReviewRequest) returns (PruReviewResponse);</w:t>
      </w:r>
      <w:r w:rsidRPr="00B479AE">
        <w:rPr>
          <w:rFonts w:ascii="Baskerville Old Face" w:hAnsi="Baskerville Old Face"/>
          <w:i/>
          <w:iCs/>
        </w:rPr>
        <w:br/>
        <w:t>}</w:t>
      </w:r>
    </w:p>
    <w:p w14:paraId="4861A780"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service GovernanceService {</w:t>
      </w:r>
      <w:r w:rsidRPr="00B479AE">
        <w:rPr>
          <w:rFonts w:ascii="Baskerville Old Face" w:hAnsi="Baskerville Old Face"/>
          <w:i/>
          <w:iCs/>
        </w:rPr>
        <w:br/>
        <w:t>// Submit governance proposal.</w:t>
      </w:r>
      <w:r w:rsidRPr="00B479AE">
        <w:rPr>
          <w:rFonts w:ascii="Baskerville Old Face" w:hAnsi="Baskerville Old Face"/>
          <w:i/>
          <w:iCs/>
        </w:rPr>
        <w:br/>
        <w:t>rpc SubmitProposal(Proposal) returns (ProposalReceipt);</w:t>
      </w:r>
    </w:p>
    <w:p w14:paraId="6563B3B6"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Record consent response.</w:t>
      </w:r>
      <w:r w:rsidRPr="00B479AE">
        <w:rPr>
          <w:rFonts w:ascii="Baskerville Old Face" w:hAnsi="Baskerville Old Face"/>
          <w:i/>
          <w:iCs/>
        </w:rPr>
        <w:br/>
        <w:t>rpc RecordConsent(ConsentRecord) returns (ConsentReceipt);</w:t>
      </w:r>
    </w:p>
    <w:p w14:paraId="3CF241A2"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Stream proposal updates.</w:t>
      </w:r>
      <w:r w:rsidRPr="00B479AE">
        <w:rPr>
          <w:rFonts w:ascii="Baskerville Old Face" w:hAnsi="Baskerville Old Face"/>
          <w:i/>
          <w:iCs/>
        </w:rPr>
        <w:br/>
        <w:t>rpc StreamProposals(ProposalFilter) returns (stream Proposal);</w:t>
      </w:r>
      <w:r w:rsidRPr="00B479AE">
        <w:rPr>
          <w:rFonts w:ascii="Baskerville Old Face" w:hAnsi="Baskerville Old Face"/>
          <w:i/>
          <w:iCs/>
        </w:rPr>
        <w:br/>
        <w:t>}</w:t>
      </w:r>
    </w:p>
    <w:p w14:paraId="34CCA8A3"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service IntegrityService {</w:t>
      </w:r>
      <w:r w:rsidRPr="00B479AE">
        <w:rPr>
          <w:rFonts w:ascii="Baskerville Old Face" w:hAnsi="Baskerville Old Face"/>
          <w:i/>
          <w:iCs/>
        </w:rPr>
        <w:br/>
        <w:t>// Submit adverse integrity record.</w:t>
      </w:r>
      <w:r w:rsidRPr="00B479AE">
        <w:rPr>
          <w:rFonts w:ascii="Baskerville Old Face" w:hAnsi="Baskerville Old Face"/>
          <w:i/>
          <w:iCs/>
        </w:rPr>
        <w:br/>
        <w:t>rpc SubmitIntegrityRecord(IntegrityRecord) returns (IntegrityReceipt);</w:t>
      </w:r>
    </w:p>
    <w:p w14:paraId="2A6E4551"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Request quarantine review.</w:t>
      </w:r>
      <w:r w:rsidRPr="00B479AE">
        <w:rPr>
          <w:rFonts w:ascii="Baskerville Old Face" w:hAnsi="Baskerville Old Face"/>
          <w:i/>
          <w:iCs/>
        </w:rPr>
        <w:br/>
        <w:t>rpc RequestQuarantine(QuarantineRequest) returns (QuarantineResponse);</w:t>
      </w:r>
    </w:p>
    <w:p w14:paraId="6365EE91"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lastRenderedPageBreak/>
        <w:t>// Stream protected-domain alerts.</w:t>
      </w:r>
      <w:r w:rsidRPr="00B479AE">
        <w:rPr>
          <w:rFonts w:ascii="Baskerville Old Face" w:hAnsi="Baskerville Old Face"/>
          <w:i/>
          <w:iCs/>
        </w:rPr>
        <w:br/>
        <w:t>rpc StreamIntegrityAlerts(AlertFilter) returns (stream IntegrityAlert);</w:t>
      </w:r>
      <w:r w:rsidRPr="00B479AE">
        <w:rPr>
          <w:rFonts w:ascii="Baskerville Old Face" w:hAnsi="Baskerville Old Face"/>
          <w:i/>
          <w:iCs/>
        </w:rPr>
        <w:br/>
        <w:t>}</w:t>
      </w:r>
    </w:p>
    <w:p w14:paraId="587E2F14"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service RegistryService {</w:t>
      </w:r>
      <w:r w:rsidRPr="00B479AE">
        <w:rPr>
          <w:rFonts w:ascii="Baskerville Old Face" w:hAnsi="Baskerville Old Face"/>
          <w:i/>
          <w:iCs/>
        </w:rPr>
        <w:br/>
        <w:t>// Get canonical release status.</w:t>
      </w:r>
      <w:r w:rsidRPr="00B479AE">
        <w:rPr>
          <w:rFonts w:ascii="Baskerville Old Face" w:hAnsi="Baskerville Old Face"/>
          <w:i/>
          <w:iCs/>
        </w:rPr>
        <w:br/>
        <w:t>rpc GetReleaseStatus(ReleaseRequest) returns (ReleaseStatus);</w:t>
      </w:r>
    </w:p>
    <w:p w14:paraId="7BE0FC83"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Get fork or compatibility status.</w:t>
      </w:r>
      <w:r w:rsidRPr="00B479AE">
        <w:rPr>
          <w:rFonts w:ascii="Baskerville Old Face" w:hAnsi="Baskerville Old Face"/>
          <w:i/>
          <w:iCs/>
        </w:rPr>
        <w:br/>
        <w:t>rpc GetForkStatus(ForkStatusRequest) returns (ForkStatusResponse);</w:t>
      </w:r>
      <w:r w:rsidRPr="00B479AE">
        <w:rPr>
          <w:rFonts w:ascii="Baskerville Old Face" w:hAnsi="Baskerville Old Face"/>
          <w:i/>
          <w:iCs/>
        </w:rPr>
        <w:br/>
        <w:t>}</w:t>
      </w:r>
    </w:p>
    <w:p w14:paraId="01441D2A"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t>L.5.2 gRPC Gateway</w:t>
      </w:r>
    </w:p>
    <w:p w14:paraId="2D1F7334"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For systems that cannot use gRPC directly, a gRPC gateway may provide RESTful JSON translation.</w:t>
      </w:r>
    </w:p>
    <w:p w14:paraId="2A936C68"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Conceptual gateway path:</w:t>
      </w:r>
    </w:p>
    <w:p w14:paraId="74B2A0F1" w14:textId="77777777" w:rsidR="004E7C51" w:rsidRPr="00B479AE" w:rsidRDefault="004E7C51" w:rsidP="004E7C51">
      <w:pPr>
        <w:tabs>
          <w:tab w:val="left" w:pos="2685"/>
        </w:tabs>
        <w:spacing w:line="360" w:lineRule="auto"/>
        <w:rPr>
          <w:rFonts w:ascii="Baskerville Old Face" w:hAnsi="Baskerville Old Face"/>
          <w:i/>
          <w:iCs/>
        </w:rPr>
      </w:pPr>
      <w:hyperlink r:id="rId27" w:history="1">
        <w:r w:rsidRPr="00B479AE">
          <w:rPr>
            <w:rStyle w:val="Collegamentoipertestuale"/>
            <w:rFonts w:ascii="Baskerville Old Face" w:hAnsi="Baskerville Old Face"/>
            <w:i/>
            <w:iCs/>
          </w:rPr>
          <w:t>https://api.heart-intelligence.earth/grpc/v1/{service}/{method}</w:t>
        </w:r>
      </w:hyperlink>
    </w:p>
    <w:p w14:paraId="03D526DE"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If this endpoint is not yet live, it should be treated as planned or reserved until confirmed by canonical technical documentation.</w:t>
      </w:r>
    </w:p>
    <w:p w14:paraId="2340BE55"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t>L.6 Rate Limiting</w:t>
      </w:r>
    </w:p>
    <w:p w14:paraId="05D298C0"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The Integration Zome should implement multi-tier rate limiting to ensure fair usage, system stability, abuse resistance, and infrastructure protection.</w:t>
      </w:r>
    </w:p>
    <w:p w14:paraId="7B3AB75E"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Rate limits should be adjustable by governance and operations policy.</w:t>
      </w:r>
    </w:p>
    <w:p w14:paraId="16998524"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Rate-limit tiers should not create governance status, investor status, PRU eligibility, or certification status.</w:t>
      </w:r>
    </w:p>
    <w:p w14:paraId="64452A3B" w14:textId="77777777" w:rsidR="00406066" w:rsidRPr="00B479AE" w:rsidRDefault="00406066" w:rsidP="004E7C51">
      <w:pPr>
        <w:tabs>
          <w:tab w:val="left" w:pos="2685"/>
        </w:tabs>
        <w:spacing w:line="360" w:lineRule="auto"/>
        <w:rPr>
          <w:rFonts w:ascii="Baskerville Old Face" w:hAnsi="Baskerville Old Face"/>
          <w:i/>
          <w:iCs/>
        </w:rPr>
      </w:pPr>
    </w:p>
    <w:p w14:paraId="4DF2AF0B" w14:textId="77777777" w:rsidR="00406066" w:rsidRPr="00B479AE" w:rsidRDefault="00406066" w:rsidP="004E7C51">
      <w:pPr>
        <w:tabs>
          <w:tab w:val="left" w:pos="2685"/>
        </w:tabs>
        <w:spacing w:line="360" w:lineRule="auto"/>
        <w:rPr>
          <w:rFonts w:ascii="Baskerville Old Face" w:hAnsi="Baskerville Old Face"/>
          <w:i/>
          <w:iCs/>
        </w:rPr>
      </w:pPr>
    </w:p>
    <w:p w14:paraId="092E4935" w14:textId="77777777" w:rsidR="00406066" w:rsidRPr="00B479AE" w:rsidRDefault="00406066" w:rsidP="004E7C51">
      <w:pPr>
        <w:tabs>
          <w:tab w:val="left" w:pos="2685"/>
        </w:tabs>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3"/>
        <w:gridCol w:w="1708"/>
        <w:gridCol w:w="1689"/>
        <w:gridCol w:w="2985"/>
        <w:gridCol w:w="2203"/>
      </w:tblGrid>
      <w:tr w:rsidR="004E7C51" w:rsidRPr="00B479AE" w14:paraId="72BD6ABF" w14:textId="77777777" w:rsidTr="00406066">
        <w:trPr>
          <w:tblHeader/>
          <w:tblCellSpacing w:w="15" w:type="dxa"/>
        </w:trPr>
        <w:tc>
          <w:tcPr>
            <w:tcW w:w="0" w:type="auto"/>
            <w:vAlign w:val="center"/>
            <w:hideMark/>
          </w:tcPr>
          <w:p w14:paraId="1A957073"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lastRenderedPageBreak/>
              <w:t>Tier</w:t>
            </w:r>
          </w:p>
        </w:tc>
        <w:tc>
          <w:tcPr>
            <w:tcW w:w="0" w:type="auto"/>
            <w:vAlign w:val="center"/>
            <w:hideMark/>
          </w:tcPr>
          <w:p w14:paraId="7207B25B"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Indicative rate limit</w:t>
            </w:r>
          </w:p>
        </w:tc>
        <w:tc>
          <w:tcPr>
            <w:tcW w:w="0" w:type="auto"/>
            <w:vAlign w:val="center"/>
            <w:hideMark/>
          </w:tcPr>
          <w:p w14:paraId="2C52514F"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Burst</w:t>
            </w:r>
          </w:p>
        </w:tc>
        <w:tc>
          <w:tcPr>
            <w:tcW w:w="0" w:type="auto"/>
            <w:vAlign w:val="center"/>
            <w:hideMark/>
          </w:tcPr>
          <w:p w14:paraId="6D060E1A"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Indicative access basis</w:t>
            </w:r>
          </w:p>
        </w:tc>
        <w:tc>
          <w:tcPr>
            <w:tcW w:w="0" w:type="auto"/>
            <w:vAlign w:val="center"/>
            <w:hideMark/>
          </w:tcPr>
          <w:p w14:paraId="1C57E373"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Boundary</w:t>
            </w:r>
          </w:p>
        </w:tc>
      </w:tr>
      <w:tr w:rsidR="004E7C51" w:rsidRPr="00B479AE" w14:paraId="154A8C9A" w14:textId="77777777" w:rsidTr="00406066">
        <w:trPr>
          <w:tblCellSpacing w:w="15" w:type="dxa"/>
        </w:trPr>
        <w:tc>
          <w:tcPr>
            <w:tcW w:w="0" w:type="auto"/>
            <w:vAlign w:val="center"/>
            <w:hideMark/>
          </w:tcPr>
          <w:p w14:paraId="67B51586"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Public</w:t>
            </w:r>
          </w:p>
        </w:tc>
        <w:tc>
          <w:tcPr>
            <w:tcW w:w="0" w:type="auto"/>
            <w:vAlign w:val="center"/>
            <w:hideMark/>
          </w:tcPr>
          <w:p w14:paraId="2907A480"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100 requests/hour</w:t>
            </w:r>
          </w:p>
        </w:tc>
        <w:tc>
          <w:tcPr>
            <w:tcW w:w="0" w:type="auto"/>
            <w:vAlign w:val="center"/>
            <w:hideMark/>
          </w:tcPr>
          <w:p w14:paraId="253E8EC7"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50</w:t>
            </w:r>
          </w:p>
        </w:tc>
        <w:tc>
          <w:tcPr>
            <w:tcW w:w="0" w:type="auto"/>
            <w:vAlign w:val="center"/>
            <w:hideMark/>
          </w:tcPr>
          <w:p w14:paraId="6BF83EAF"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Public access or optional API key</w:t>
            </w:r>
          </w:p>
        </w:tc>
        <w:tc>
          <w:tcPr>
            <w:tcW w:w="0" w:type="auto"/>
            <w:vAlign w:val="center"/>
            <w:hideMark/>
          </w:tcPr>
          <w:p w14:paraId="2D89A9F9"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Public, non-sensitive, read-only access</w:t>
            </w:r>
          </w:p>
        </w:tc>
      </w:tr>
      <w:tr w:rsidR="004E7C51" w:rsidRPr="00B479AE" w14:paraId="0819C11C" w14:textId="77777777" w:rsidTr="00406066">
        <w:trPr>
          <w:tblCellSpacing w:w="15" w:type="dxa"/>
        </w:trPr>
        <w:tc>
          <w:tcPr>
            <w:tcW w:w="0" w:type="auto"/>
            <w:vAlign w:val="center"/>
            <w:hideMark/>
          </w:tcPr>
          <w:p w14:paraId="6800ACEF"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Community</w:t>
            </w:r>
          </w:p>
        </w:tc>
        <w:tc>
          <w:tcPr>
            <w:tcW w:w="0" w:type="auto"/>
            <w:vAlign w:val="center"/>
            <w:hideMark/>
          </w:tcPr>
          <w:p w14:paraId="7CF7477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1,000 requests/hour</w:t>
            </w:r>
          </w:p>
        </w:tc>
        <w:tc>
          <w:tcPr>
            <w:tcW w:w="0" w:type="auto"/>
            <w:vAlign w:val="center"/>
            <w:hideMark/>
          </w:tcPr>
          <w:p w14:paraId="357E20C9"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200</w:t>
            </w:r>
          </w:p>
        </w:tc>
        <w:tc>
          <w:tcPr>
            <w:tcW w:w="0" w:type="auto"/>
            <w:vAlign w:val="center"/>
            <w:hideMark/>
          </w:tcPr>
          <w:p w14:paraId="42BC9676"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Community role, project role, or approved API key</w:t>
            </w:r>
          </w:p>
        </w:tc>
        <w:tc>
          <w:tcPr>
            <w:tcW w:w="0" w:type="auto"/>
            <w:vAlign w:val="center"/>
            <w:hideMark/>
          </w:tcPr>
          <w:p w14:paraId="57E505BB"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Does not imply governance authority</w:t>
            </w:r>
          </w:p>
        </w:tc>
      </w:tr>
      <w:tr w:rsidR="004E7C51" w:rsidRPr="00B479AE" w14:paraId="447FCD41" w14:textId="77777777" w:rsidTr="00406066">
        <w:trPr>
          <w:tblCellSpacing w:w="15" w:type="dxa"/>
        </w:trPr>
        <w:tc>
          <w:tcPr>
            <w:tcW w:w="0" w:type="auto"/>
            <w:vAlign w:val="center"/>
            <w:hideMark/>
          </w:tcPr>
          <w:p w14:paraId="5F12116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Bioregion</w:t>
            </w:r>
          </w:p>
        </w:tc>
        <w:tc>
          <w:tcPr>
            <w:tcW w:w="0" w:type="auto"/>
            <w:vAlign w:val="center"/>
            <w:hideMark/>
          </w:tcPr>
          <w:p w14:paraId="5332B280"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10,000 requests/hour</w:t>
            </w:r>
          </w:p>
        </w:tc>
        <w:tc>
          <w:tcPr>
            <w:tcW w:w="0" w:type="auto"/>
            <w:vAlign w:val="center"/>
            <w:hideMark/>
          </w:tcPr>
          <w:p w14:paraId="5AF6ABAB"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1,000</w:t>
            </w:r>
          </w:p>
        </w:tc>
        <w:tc>
          <w:tcPr>
            <w:tcW w:w="0" w:type="auto"/>
            <w:vAlign w:val="center"/>
            <w:hideMark/>
          </w:tcPr>
          <w:p w14:paraId="4424B0C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Bioregional role, institutional partner, or approved integration</w:t>
            </w:r>
          </w:p>
        </w:tc>
        <w:tc>
          <w:tcPr>
            <w:tcW w:w="0" w:type="auto"/>
            <w:vAlign w:val="center"/>
            <w:hideMark/>
          </w:tcPr>
          <w:p w14:paraId="4E9EFDE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Must remain scoped to agreement and role</w:t>
            </w:r>
          </w:p>
        </w:tc>
      </w:tr>
      <w:tr w:rsidR="004E7C51" w:rsidRPr="00B479AE" w14:paraId="68564B1F" w14:textId="77777777" w:rsidTr="00406066">
        <w:trPr>
          <w:tblCellSpacing w:w="15" w:type="dxa"/>
        </w:trPr>
        <w:tc>
          <w:tcPr>
            <w:tcW w:w="0" w:type="auto"/>
            <w:vAlign w:val="center"/>
            <w:hideMark/>
          </w:tcPr>
          <w:p w14:paraId="75F208E2"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Institutional</w:t>
            </w:r>
          </w:p>
        </w:tc>
        <w:tc>
          <w:tcPr>
            <w:tcW w:w="0" w:type="auto"/>
            <w:vAlign w:val="center"/>
            <w:hideMark/>
          </w:tcPr>
          <w:p w14:paraId="614BB0DF"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100,000 requests/hour</w:t>
            </w:r>
          </w:p>
        </w:tc>
        <w:tc>
          <w:tcPr>
            <w:tcW w:w="0" w:type="auto"/>
            <w:vAlign w:val="center"/>
            <w:hideMark/>
          </w:tcPr>
          <w:p w14:paraId="2FCD5512"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5,000</w:t>
            </w:r>
          </w:p>
        </w:tc>
        <w:tc>
          <w:tcPr>
            <w:tcW w:w="0" w:type="auto"/>
            <w:vAlign w:val="center"/>
            <w:hideMark/>
          </w:tcPr>
          <w:p w14:paraId="73456941"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Partnership agreement, data-room agreement, or infrastructure integration</w:t>
            </w:r>
          </w:p>
        </w:tc>
        <w:tc>
          <w:tcPr>
            <w:tcW w:w="0" w:type="auto"/>
            <w:vAlign w:val="center"/>
            <w:hideMark/>
          </w:tcPr>
          <w:p w14:paraId="48E3DB06"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Requires contractual and technical controls</w:t>
            </w:r>
          </w:p>
        </w:tc>
      </w:tr>
      <w:tr w:rsidR="004E7C51" w:rsidRPr="00B479AE" w14:paraId="05D9A794" w14:textId="77777777" w:rsidTr="00406066">
        <w:trPr>
          <w:tblCellSpacing w:w="15" w:type="dxa"/>
        </w:trPr>
        <w:tc>
          <w:tcPr>
            <w:tcW w:w="0" w:type="auto"/>
            <w:vAlign w:val="center"/>
            <w:hideMark/>
          </w:tcPr>
          <w:p w14:paraId="518CCB36"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Internal</w:t>
            </w:r>
          </w:p>
        </w:tc>
        <w:tc>
          <w:tcPr>
            <w:tcW w:w="0" w:type="auto"/>
            <w:vAlign w:val="center"/>
            <w:hideMark/>
          </w:tcPr>
          <w:p w14:paraId="215CC67D"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Defined by infrastructure policy</w:t>
            </w:r>
          </w:p>
        </w:tc>
        <w:tc>
          <w:tcPr>
            <w:tcW w:w="0" w:type="auto"/>
            <w:vAlign w:val="center"/>
            <w:hideMark/>
          </w:tcPr>
          <w:p w14:paraId="7F376427"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Defined by infrastructure policy</w:t>
            </w:r>
          </w:p>
        </w:tc>
        <w:tc>
          <w:tcPr>
            <w:tcW w:w="0" w:type="auto"/>
            <w:vAlign w:val="center"/>
            <w:hideMark/>
          </w:tcPr>
          <w:p w14:paraId="0B0A159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Core infrastructure, bridge, registry, or operations service</w:t>
            </w:r>
          </w:p>
        </w:tc>
        <w:tc>
          <w:tcPr>
            <w:tcW w:w="0" w:type="auto"/>
            <w:vAlign w:val="center"/>
            <w:hideMark/>
          </w:tcPr>
          <w:p w14:paraId="1CEB319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Requires service authentication and monitoring</w:t>
            </w:r>
          </w:p>
        </w:tc>
      </w:tr>
    </w:tbl>
    <w:p w14:paraId="09FE7DB5"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Rate limits should be enforced per API key, agent ID, service account, IP range, organization, or integration profile.</w:t>
      </w:r>
    </w:p>
    <w:p w14:paraId="0329514A"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Responses may include headers such as:</w:t>
      </w:r>
    </w:p>
    <w:p w14:paraId="632030C3"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text</w:t>
      </w:r>
      <w:r w:rsidRPr="00B479AE">
        <w:rPr>
          <w:rFonts w:ascii="Baskerville Old Face" w:hAnsi="Baskerville Old Face"/>
          <w:i/>
          <w:iCs/>
        </w:rPr>
        <w:br/>
        <w:t>X-RateLimit-Limit: 1000</w:t>
      </w:r>
      <w:r w:rsidRPr="00B479AE">
        <w:rPr>
          <w:rFonts w:ascii="Baskerville Old Face" w:hAnsi="Baskerville Old Face"/>
          <w:i/>
          <w:iCs/>
        </w:rPr>
        <w:br/>
        <w:t>X-RateLimit-Remaining: 843</w:t>
      </w:r>
      <w:r w:rsidRPr="00B479AE">
        <w:rPr>
          <w:rFonts w:ascii="Baskerville Old Face" w:hAnsi="Baskerville Old Face"/>
          <w:i/>
          <w:iCs/>
        </w:rPr>
        <w:br/>
        <w:t>X-RateLimit-Reset: 1625097600</w:t>
      </w:r>
    </w:p>
    <w:p w14:paraId="64FBA17A"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t>L.7 External System Connectors</w:t>
      </w:r>
    </w:p>
    <w:p w14:paraId="246EA0BC"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The Integration Zome may provide connectors for external systems where integration supports evidence quality, MRV review, operational continuity, institutional reporting, or legal structuring.</w:t>
      </w:r>
    </w:p>
    <w:p w14:paraId="431916DA"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Connectors should not be treated as automatic truth sources.</w:t>
      </w:r>
    </w:p>
    <w:p w14:paraId="348E78C5"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External data must be evaluated for provenance, license conditions, methodology compatibility, reliability, update frequency, data gaps, and jurisdictional constraints.</w:t>
      </w:r>
    </w:p>
    <w:p w14:paraId="5C61665F" w14:textId="77777777" w:rsidR="00406066" w:rsidRPr="00B479AE" w:rsidRDefault="00406066" w:rsidP="004E7C51">
      <w:pPr>
        <w:tabs>
          <w:tab w:val="left" w:pos="2685"/>
        </w:tabs>
        <w:spacing w:line="360" w:lineRule="auto"/>
        <w:rPr>
          <w:rFonts w:ascii="Baskerville Old Face" w:hAnsi="Baskerville Old Face"/>
          <w:b/>
          <w:bCs/>
          <w:i/>
          <w:iCs/>
        </w:rPr>
      </w:pPr>
    </w:p>
    <w:p w14:paraId="58BBF3A8" w14:textId="6BDEC611"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lastRenderedPageBreak/>
        <w:t>L.7.1 Environmental Registry and Ecological-Claim Connectors</w:t>
      </w:r>
    </w:p>
    <w:p w14:paraId="3D7F68EB"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Environmental registry and ecological-claim connectors may support future comparison, reconciliation, or no-double-counting review.</w:t>
      </w:r>
    </w:p>
    <w:p w14:paraId="5BE8E6FF"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They should not imply automatic credit issuance, registry approval, offset eligibility, or market recognition.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0"/>
        <w:gridCol w:w="1916"/>
        <w:gridCol w:w="2686"/>
        <w:gridCol w:w="2906"/>
      </w:tblGrid>
      <w:tr w:rsidR="004E7C51" w:rsidRPr="00B479AE" w14:paraId="55A4CADB" w14:textId="77777777" w:rsidTr="00406066">
        <w:trPr>
          <w:tblHeader/>
          <w:tblCellSpacing w:w="15" w:type="dxa"/>
        </w:trPr>
        <w:tc>
          <w:tcPr>
            <w:tcW w:w="0" w:type="auto"/>
            <w:vAlign w:val="center"/>
            <w:hideMark/>
          </w:tcPr>
          <w:p w14:paraId="10F2A67F"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Registry / system type</w:t>
            </w:r>
          </w:p>
        </w:tc>
        <w:tc>
          <w:tcPr>
            <w:tcW w:w="0" w:type="auto"/>
            <w:vAlign w:val="center"/>
            <w:hideMark/>
          </w:tcPr>
          <w:p w14:paraId="47EA1227"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Protocol</w:t>
            </w:r>
          </w:p>
        </w:tc>
        <w:tc>
          <w:tcPr>
            <w:tcW w:w="0" w:type="auto"/>
            <w:vAlign w:val="center"/>
            <w:hideMark/>
          </w:tcPr>
          <w:p w14:paraId="79C74EF6"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Data types</w:t>
            </w:r>
          </w:p>
        </w:tc>
        <w:tc>
          <w:tcPr>
            <w:tcW w:w="0" w:type="auto"/>
            <w:vAlign w:val="center"/>
            <w:hideMark/>
          </w:tcPr>
          <w:p w14:paraId="6E2D29AD"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Verification boundary</w:t>
            </w:r>
          </w:p>
        </w:tc>
      </w:tr>
      <w:tr w:rsidR="004E7C51" w:rsidRPr="00B479AE" w14:paraId="2351B764" w14:textId="77777777" w:rsidTr="00406066">
        <w:trPr>
          <w:tblCellSpacing w:w="15" w:type="dxa"/>
        </w:trPr>
        <w:tc>
          <w:tcPr>
            <w:tcW w:w="0" w:type="auto"/>
            <w:vAlign w:val="center"/>
            <w:hideMark/>
          </w:tcPr>
          <w:p w14:paraId="2E071AE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Verra / VCS or equivalent registry</w:t>
            </w:r>
          </w:p>
        </w:tc>
        <w:tc>
          <w:tcPr>
            <w:tcW w:w="0" w:type="auto"/>
            <w:vAlign w:val="center"/>
            <w:hideMark/>
          </w:tcPr>
          <w:p w14:paraId="619F3C72"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REST or registry-specific API where available</w:t>
            </w:r>
          </w:p>
        </w:tc>
        <w:tc>
          <w:tcPr>
            <w:tcW w:w="0" w:type="auto"/>
            <w:vAlign w:val="center"/>
            <w:hideMark/>
          </w:tcPr>
          <w:p w14:paraId="34DED44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Project records, credit status, retirement data, methodology references</w:t>
            </w:r>
          </w:p>
        </w:tc>
        <w:tc>
          <w:tcPr>
            <w:tcW w:w="0" w:type="auto"/>
            <w:vAlign w:val="center"/>
            <w:hideMark/>
          </w:tcPr>
          <w:p w14:paraId="63829317"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Cross-reference only; no automatic credit issuance</w:t>
            </w:r>
          </w:p>
        </w:tc>
      </w:tr>
      <w:tr w:rsidR="004E7C51" w:rsidRPr="00B479AE" w14:paraId="63F2350D" w14:textId="77777777" w:rsidTr="00406066">
        <w:trPr>
          <w:tblCellSpacing w:w="15" w:type="dxa"/>
        </w:trPr>
        <w:tc>
          <w:tcPr>
            <w:tcW w:w="0" w:type="auto"/>
            <w:vAlign w:val="center"/>
            <w:hideMark/>
          </w:tcPr>
          <w:p w14:paraId="10F54F99"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Gold Standard or equivalent registry</w:t>
            </w:r>
          </w:p>
        </w:tc>
        <w:tc>
          <w:tcPr>
            <w:tcW w:w="0" w:type="auto"/>
            <w:vAlign w:val="center"/>
            <w:hideMark/>
          </w:tcPr>
          <w:p w14:paraId="2DFB530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REST or registry-specific API where available</w:t>
            </w:r>
          </w:p>
        </w:tc>
        <w:tc>
          <w:tcPr>
            <w:tcW w:w="0" w:type="auto"/>
            <w:vAlign w:val="center"/>
            <w:hideMark/>
          </w:tcPr>
          <w:p w14:paraId="1DAC56EF"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Project records, SDG-related data, credit status</w:t>
            </w:r>
          </w:p>
        </w:tc>
        <w:tc>
          <w:tcPr>
            <w:tcW w:w="0" w:type="auto"/>
            <w:vAlign w:val="center"/>
            <w:hideMark/>
          </w:tcPr>
          <w:p w14:paraId="778FD52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External registry status must remain separate from Prometheus PRU analysis</w:t>
            </w:r>
          </w:p>
        </w:tc>
      </w:tr>
      <w:tr w:rsidR="004E7C51" w:rsidRPr="00B479AE" w14:paraId="2A6E474C" w14:textId="77777777" w:rsidTr="00406066">
        <w:trPr>
          <w:tblCellSpacing w:w="15" w:type="dxa"/>
        </w:trPr>
        <w:tc>
          <w:tcPr>
            <w:tcW w:w="0" w:type="auto"/>
            <w:vAlign w:val="center"/>
            <w:hideMark/>
          </w:tcPr>
          <w:p w14:paraId="5DEA30ED"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Plan Vivo or equivalent community-based standard</w:t>
            </w:r>
          </w:p>
        </w:tc>
        <w:tc>
          <w:tcPr>
            <w:tcW w:w="0" w:type="auto"/>
            <w:vAlign w:val="center"/>
            <w:hideMark/>
          </w:tcPr>
          <w:p w14:paraId="7C63E1F0"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REST, manual review, or registry-specific pathway</w:t>
            </w:r>
          </w:p>
        </w:tc>
        <w:tc>
          <w:tcPr>
            <w:tcW w:w="0" w:type="auto"/>
            <w:vAlign w:val="center"/>
            <w:hideMark/>
          </w:tcPr>
          <w:p w14:paraId="1EDFBF55"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Community-based project data, certificates, methodology references</w:t>
            </w:r>
          </w:p>
        </w:tc>
        <w:tc>
          <w:tcPr>
            <w:tcW w:w="0" w:type="auto"/>
            <w:vAlign w:val="center"/>
            <w:hideMark/>
          </w:tcPr>
          <w:p w14:paraId="08BBDF32"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Requires community consent and registry-specific verification</w:t>
            </w:r>
          </w:p>
        </w:tc>
      </w:tr>
      <w:tr w:rsidR="004E7C51" w:rsidRPr="00B479AE" w14:paraId="6AFA3489" w14:textId="77777777" w:rsidTr="00406066">
        <w:trPr>
          <w:tblCellSpacing w:w="15" w:type="dxa"/>
        </w:trPr>
        <w:tc>
          <w:tcPr>
            <w:tcW w:w="0" w:type="auto"/>
            <w:vAlign w:val="center"/>
            <w:hideMark/>
          </w:tcPr>
          <w:p w14:paraId="63B2090C"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Climate Action Reserve or equivalent registry</w:t>
            </w:r>
          </w:p>
        </w:tc>
        <w:tc>
          <w:tcPr>
            <w:tcW w:w="0" w:type="auto"/>
            <w:vAlign w:val="center"/>
            <w:hideMark/>
          </w:tcPr>
          <w:p w14:paraId="4011F46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REST or registry-specific API where available</w:t>
            </w:r>
          </w:p>
        </w:tc>
        <w:tc>
          <w:tcPr>
            <w:tcW w:w="0" w:type="auto"/>
            <w:vAlign w:val="center"/>
            <w:hideMark/>
          </w:tcPr>
          <w:p w14:paraId="0BDA654C"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Project records, serial numbers, methodology references</w:t>
            </w:r>
          </w:p>
        </w:tc>
        <w:tc>
          <w:tcPr>
            <w:tcW w:w="0" w:type="auto"/>
            <w:vAlign w:val="center"/>
            <w:hideMark/>
          </w:tcPr>
          <w:p w14:paraId="546CBF7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Used for reconciliation and anti-double-counting where relevant</w:t>
            </w:r>
          </w:p>
        </w:tc>
      </w:tr>
      <w:tr w:rsidR="004E7C51" w:rsidRPr="00B479AE" w14:paraId="04BE80DB" w14:textId="77777777" w:rsidTr="00406066">
        <w:trPr>
          <w:tblCellSpacing w:w="15" w:type="dxa"/>
        </w:trPr>
        <w:tc>
          <w:tcPr>
            <w:tcW w:w="0" w:type="auto"/>
            <w:vAlign w:val="center"/>
            <w:hideMark/>
          </w:tcPr>
          <w:p w14:paraId="1BBE52B9"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Public ecological datasets</w:t>
            </w:r>
          </w:p>
        </w:tc>
        <w:tc>
          <w:tcPr>
            <w:tcW w:w="0" w:type="auto"/>
            <w:vAlign w:val="center"/>
            <w:hideMark/>
          </w:tcPr>
          <w:p w14:paraId="6F784CDC"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API, file import, or manual ingestion</w:t>
            </w:r>
          </w:p>
        </w:tc>
        <w:tc>
          <w:tcPr>
            <w:tcW w:w="0" w:type="auto"/>
            <w:vAlign w:val="center"/>
            <w:hideMark/>
          </w:tcPr>
          <w:p w14:paraId="752982F6"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Land cover, protected areas, climate, biodiversity, hydrology</w:t>
            </w:r>
          </w:p>
        </w:tc>
        <w:tc>
          <w:tcPr>
            <w:tcW w:w="0" w:type="auto"/>
            <w:vAlign w:val="center"/>
            <w:hideMark/>
          </w:tcPr>
          <w:p w14:paraId="54921F10"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Context layer; not automatic certification</w:t>
            </w:r>
          </w:p>
        </w:tc>
      </w:tr>
    </w:tbl>
    <w:p w14:paraId="6FAA6883" w14:textId="77777777" w:rsidR="00406066" w:rsidRPr="00B479AE" w:rsidRDefault="00406066" w:rsidP="004E7C51">
      <w:pPr>
        <w:tabs>
          <w:tab w:val="left" w:pos="2685"/>
        </w:tabs>
        <w:spacing w:line="360" w:lineRule="auto"/>
        <w:rPr>
          <w:rFonts w:ascii="Baskerville Old Face" w:hAnsi="Baskerville Old Face"/>
          <w:b/>
          <w:bCs/>
          <w:i/>
          <w:iCs/>
        </w:rPr>
      </w:pPr>
    </w:p>
    <w:p w14:paraId="5EEFFFFA" w14:textId="77777777" w:rsidR="00406066" w:rsidRPr="00B479AE" w:rsidRDefault="00406066" w:rsidP="004E7C51">
      <w:pPr>
        <w:tabs>
          <w:tab w:val="left" w:pos="2685"/>
        </w:tabs>
        <w:spacing w:line="360" w:lineRule="auto"/>
        <w:rPr>
          <w:rFonts w:ascii="Baskerville Old Face" w:hAnsi="Baskerville Old Face"/>
          <w:b/>
          <w:bCs/>
          <w:i/>
          <w:iCs/>
        </w:rPr>
      </w:pPr>
    </w:p>
    <w:p w14:paraId="72D0C018" w14:textId="77777777" w:rsidR="00406066" w:rsidRPr="00B479AE" w:rsidRDefault="00406066" w:rsidP="004E7C51">
      <w:pPr>
        <w:tabs>
          <w:tab w:val="left" w:pos="2685"/>
        </w:tabs>
        <w:spacing w:line="360" w:lineRule="auto"/>
        <w:rPr>
          <w:rFonts w:ascii="Baskerville Old Face" w:hAnsi="Baskerville Old Face"/>
          <w:b/>
          <w:bCs/>
          <w:i/>
          <w:iCs/>
        </w:rPr>
      </w:pPr>
    </w:p>
    <w:p w14:paraId="675A8AEA" w14:textId="77777777" w:rsidR="00406066" w:rsidRPr="00B479AE" w:rsidRDefault="00406066" w:rsidP="004E7C51">
      <w:pPr>
        <w:tabs>
          <w:tab w:val="left" w:pos="2685"/>
        </w:tabs>
        <w:spacing w:line="360" w:lineRule="auto"/>
        <w:rPr>
          <w:rFonts w:ascii="Baskerville Old Face" w:hAnsi="Baskerville Old Face"/>
          <w:b/>
          <w:bCs/>
          <w:i/>
          <w:iCs/>
        </w:rPr>
      </w:pPr>
    </w:p>
    <w:p w14:paraId="0FC1EA8C" w14:textId="77777777" w:rsidR="00406066" w:rsidRPr="00B479AE" w:rsidRDefault="00406066" w:rsidP="004E7C51">
      <w:pPr>
        <w:tabs>
          <w:tab w:val="left" w:pos="2685"/>
        </w:tabs>
        <w:spacing w:line="360" w:lineRule="auto"/>
        <w:rPr>
          <w:rFonts w:ascii="Baskerville Old Face" w:hAnsi="Baskerville Old Face"/>
          <w:b/>
          <w:bCs/>
          <w:i/>
          <w:iCs/>
        </w:rPr>
      </w:pPr>
    </w:p>
    <w:p w14:paraId="13FED27F" w14:textId="77777777" w:rsidR="00406066" w:rsidRPr="00B479AE" w:rsidRDefault="00406066" w:rsidP="004E7C51">
      <w:pPr>
        <w:tabs>
          <w:tab w:val="left" w:pos="2685"/>
        </w:tabs>
        <w:spacing w:line="360" w:lineRule="auto"/>
        <w:rPr>
          <w:rFonts w:ascii="Baskerville Old Face" w:hAnsi="Baskerville Old Face"/>
          <w:b/>
          <w:bCs/>
          <w:i/>
          <w:iCs/>
        </w:rPr>
      </w:pPr>
    </w:p>
    <w:p w14:paraId="1B621572" w14:textId="1D4FA878"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lastRenderedPageBreak/>
        <w:t>L.7.2 Satellite and Geospatial Data Connectors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5"/>
        <w:gridCol w:w="1570"/>
        <w:gridCol w:w="2715"/>
        <w:gridCol w:w="1357"/>
        <w:gridCol w:w="2221"/>
      </w:tblGrid>
      <w:tr w:rsidR="004E7C51" w:rsidRPr="00B479AE" w14:paraId="7F30A1D6" w14:textId="77777777" w:rsidTr="00406066">
        <w:trPr>
          <w:tblHeader/>
          <w:tblCellSpacing w:w="15" w:type="dxa"/>
        </w:trPr>
        <w:tc>
          <w:tcPr>
            <w:tcW w:w="0" w:type="auto"/>
            <w:vAlign w:val="center"/>
            <w:hideMark/>
          </w:tcPr>
          <w:p w14:paraId="1CDD7F9F"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Provider</w:t>
            </w:r>
          </w:p>
        </w:tc>
        <w:tc>
          <w:tcPr>
            <w:tcW w:w="0" w:type="auto"/>
            <w:vAlign w:val="center"/>
            <w:hideMark/>
          </w:tcPr>
          <w:p w14:paraId="7875BBFE"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Protocol</w:t>
            </w:r>
          </w:p>
        </w:tc>
        <w:tc>
          <w:tcPr>
            <w:tcW w:w="0" w:type="auto"/>
            <w:vAlign w:val="center"/>
            <w:hideMark/>
          </w:tcPr>
          <w:p w14:paraId="57B9F92E"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Data types</w:t>
            </w:r>
          </w:p>
        </w:tc>
        <w:tc>
          <w:tcPr>
            <w:tcW w:w="0" w:type="auto"/>
            <w:vAlign w:val="center"/>
            <w:hideMark/>
          </w:tcPr>
          <w:p w14:paraId="149947EF"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Update frequency</w:t>
            </w:r>
          </w:p>
        </w:tc>
        <w:tc>
          <w:tcPr>
            <w:tcW w:w="0" w:type="auto"/>
            <w:vAlign w:val="center"/>
            <w:hideMark/>
          </w:tcPr>
          <w:p w14:paraId="576956B7"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Boundary</w:t>
            </w:r>
          </w:p>
        </w:tc>
      </w:tr>
      <w:tr w:rsidR="004E7C51" w:rsidRPr="00B479AE" w14:paraId="079C511D" w14:textId="77777777" w:rsidTr="00406066">
        <w:trPr>
          <w:tblCellSpacing w:w="15" w:type="dxa"/>
        </w:trPr>
        <w:tc>
          <w:tcPr>
            <w:tcW w:w="0" w:type="auto"/>
            <w:vAlign w:val="center"/>
            <w:hideMark/>
          </w:tcPr>
          <w:p w14:paraId="07BD9C8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Sentinel Hub</w:t>
            </w:r>
          </w:p>
        </w:tc>
        <w:tc>
          <w:tcPr>
            <w:tcW w:w="0" w:type="auto"/>
            <w:vAlign w:val="center"/>
            <w:hideMark/>
          </w:tcPr>
          <w:p w14:paraId="1029F42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OGC WMS/WCS, REST</w:t>
            </w:r>
          </w:p>
        </w:tc>
        <w:tc>
          <w:tcPr>
            <w:tcW w:w="0" w:type="auto"/>
            <w:vAlign w:val="center"/>
            <w:hideMark/>
          </w:tcPr>
          <w:p w14:paraId="3489511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Multispectral, radar, vegetation indices, derived layers</w:t>
            </w:r>
          </w:p>
        </w:tc>
        <w:tc>
          <w:tcPr>
            <w:tcW w:w="0" w:type="auto"/>
            <w:vAlign w:val="center"/>
            <w:hideMark/>
          </w:tcPr>
          <w:p w14:paraId="12F8CB0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Daily or provider-dependent</w:t>
            </w:r>
          </w:p>
        </w:tc>
        <w:tc>
          <w:tcPr>
            <w:tcW w:w="0" w:type="auto"/>
            <w:vAlign w:val="center"/>
            <w:hideMark/>
          </w:tcPr>
          <w:p w14:paraId="6D91A60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Requires resolution and cloud-cover assessment</w:t>
            </w:r>
          </w:p>
        </w:tc>
      </w:tr>
      <w:tr w:rsidR="004E7C51" w:rsidRPr="00B479AE" w14:paraId="17DF53A9" w14:textId="77777777" w:rsidTr="00406066">
        <w:trPr>
          <w:tblCellSpacing w:w="15" w:type="dxa"/>
        </w:trPr>
        <w:tc>
          <w:tcPr>
            <w:tcW w:w="0" w:type="auto"/>
            <w:vAlign w:val="center"/>
            <w:hideMark/>
          </w:tcPr>
          <w:p w14:paraId="12E079E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Google Earth Engine</w:t>
            </w:r>
          </w:p>
        </w:tc>
        <w:tc>
          <w:tcPr>
            <w:tcW w:w="0" w:type="auto"/>
            <w:vAlign w:val="center"/>
            <w:hideMark/>
          </w:tcPr>
          <w:p w14:paraId="48B1B836"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REST API or client libraries</w:t>
            </w:r>
          </w:p>
        </w:tc>
        <w:tc>
          <w:tcPr>
            <w:tcW w:w="0" w:type="auto"/>
            <w:vAlign w:val="center"/>
            <w:hideMark/>
          </w:tcPr>
          <w:p w14:paraId="64F4BDE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Catalog access, custom computations, time-series analysis</w:t>
            </w:r>
          </w:p>
        </w:tc>
        <w:tc>
          <w:tcPr>
            <w:tcW w:w="0" w:type="auto"/>
            <w:vAlign w:val="center"/>
            <w:hideMark/>
          </w:tcPr>
          <w:p w14:paraId="1C26B31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On-demand</w:t>
            </w:r>
          </w:p>
        </w:tc>
        <w:tc>
          <w:tcPr>
            <w:tcW w:w="0" w:type="auto"/>
            <w:vAlign w:val="center"/>
            <w:hideMark/>
          </w:tcPr>
          <w:p w14:paraId="13B1679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Methodology and reproducibility must be documented</w:t>
            </w:r>
          </w:p>
        </w:tc>
      </w:tr>
      <w:tr w:rsidR="004E7C51" w:rsidRPr="00B479AE" w14:paraId="0BD029AC" w14:textId="77777777" w:rsidTr="00406066">
        <w:trPr>
          <w:tblCellSpacing w:w="15" w:type="dxa"/>
        </w:trPr>
        <w:tc>
          <w:tcPr>
            <w:tcW w:w="0" w:type="auto"/>
            <w:vAlign w:val="center"/>
            <w:hideMark/>
          </w:tcPr>
          <w:p w14:paraId="6D994B6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NASA EarthData</w:t>
            </w:r>
          </w:p>
        </w:tc>
        <w:tc>
          <w:tcPr>
            <w:tcW w:w="0" w:type="auto"/>
            <w:vAlign w:val="center"/>
            <w:hideMark/>
          </w:tcPr>
          <w:p w14:paraId="2CEE22BB"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REST API, OPeNDAP</w:t>
            </w:r>
          </w:p>
        </w:tc>
        <w:tc>
          <w:tcPr>
            <w:tcW w:w="0" w:type="auto"/>
            <w:vAlign w:val="center"/>
            <w:hideMark/>
          </w:tcPr>
          <w:p w14:paraId="46B72CE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MODIS, Landsat, SRTM, climate and Earth observation products</w:t>
            </w:r>
          </w:p>
        </w:tc>
        <w:tc>
          <w:tcPr>
            <w:tcW w:w="0" w:type="auto"/>
            <w:vAlign w:val="center"/>
            <w:hideMark/>
          </w:tcPr>
          <w:p w14:paraId="7C41C8D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Daily to monthly</w:t>
            </w:r>
          </w:p>
        </w:tc>
        <w:tc>
          <w:tcPr>
            <w:tcW w:w="0" w:type="auto"/>
            <w:vAlign w:val="center"/>
            <w:hideMark/>
          </w:tcPr>
          <w:p w14:paraId="02C2F225"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Dataset suitability varies by scale and indicator</w:t>
            </w:r>
          </w:p>
        </w:tc>
      </w:tr>
      <w:tr w:rsidR="004E7C51" w:rsidRPr="00B479AE" w14:paraId="6A1E0606" w14:textId="77777777" w:rsidTr="00406066">
        <w:trPr>
          <w:tblCellSpacing w:w="15" w:type="dxa"/>
        </w:trPr>
        <w:tc>
          <w:tcPr>
            <w:tcW w:w="0" w:type="auto"/>
            <w:vAlign w:val="center"/>
            <w:hideMark/>
          </w:tcPr>
          <w:p w14:paraId="4BDB4FC0"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Copernicus data services</w:t>
            </w:r>
          </w:p>
        </w:tc>
        <w:tc>
          <w:tcPr>
            <w:tcW w:w="0" w:type="auto"/>
            <w:vAlign w:val="center"/>
            <w:hideMark/>
          </w:tcPr>
          <w:p w14:paraId="378F6649"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OData, REST, or provider API</w:t>
            </w:r>
          </w:p>
        </w:tc>
        <w:tc>
          <w:tcPr>
            <w:tcW w:w="0" w:type="auto"/>
            <w:vAlign w:val="center"/>
            <w:hideMark/>
          </w:tcPr>
          <w:p w14:paraId="1353DE81"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Sentinel imagery and derived products</w:t>
            </w:r>
          </w:p>
        </w:tc>
        <w:tc>
          <w:tcPr>
            <w:tcW w:w="0" w:type="auto"/>
            <w:vAlign w:val="center"/>
            <w:hideMark/>
          </w:tcPr>
          <w:p w14:paraId="138BC87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Daily or provider-dependent</w:t>
            </w:r>
          </w:p>
        </w:tc>
        <w:tc>
          <w:tcPr>
            <w:tcW w:w="0" w:type="auto"/>
            <w:vAlign w:val="center"/>
            <w:hideMark/>
          </w:tcPr>
          <w:p w14:paraId="7497442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Must document product version and preprocessing</w:t>
            </w:r>
          </w:p>
        </w:tc>
      </w:tr>
      <w:tr w:rsidR="004E7C51" w:rsidRPr="00B479AE" w14:paraId="6EF40848" w14:textId="77777777" w:rsidTr="00406066">
        <w:trPr>
          <w:tblCellSpacing w:w="15" w:type="dxa"/>
        </w:trPr>
        <w:tc>
          <w:tcPr>
            <w:tcW w:w="0" w:type="auto"/>
            <w:vAlign w:val="center"/>
            <w:hideMark/>
          </w:tcPr>
          <w:p w14:paraId="1CD9F23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Esri Living Atlas or equivalent GIS services</w:t>
            </w:r>
          </w:p>
        </w:tc>
        <w:tc>
          <w:tcPr>
            <w:tcW w:w="0" w:type="auto"/>
            <w:vAlign w:val="center"/>
            <w:hideMark/>
          </w:tcPr>
          <w:p w14:paraId="702E003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REST API</w:t>
            </w:r>
          </w:p>
        </w:tc>
        <w:tc>
          <w:tcPr>
            <w:tcW w:w="0" w:type="auto"/>
            <w:vAlign w:val="center"/>
            <w:hideMark/>
          </w:tcPr>
          <w:p w14:paraId="2FCC49A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Land cover, environmental, climate, demographic, and infrastructure layers</w:t>
            </w:r>
          </w:p>
        </w:tc>
        <w:tc>
          <w:tcPr>
            <w:tcW w:w="0" w:type="auto"/>
            <w:vAlign w:val="center"/>
            <w:hideMark/>
          </w:tcPr>
          <w:p w14:paraId="4B335521"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Varies</w:t>
            </w:r>
          </w:p>
        </w:tc>
        <w:tc>
          <w:tcPr>
            <w:tcW w:w="0" w:type="auto"/>
            <w:vAlign w:val="center"/>
            <w:hideMark/>
          </w:tcPr>
          <w:p w14:paraId="0B55A051"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Context layer; not a substitute for site MRV</w:t>
            </w:r>
          </w:p>
        </w:tc>
      </w:tr>
    </w:tbl>
    <w:p w14:paraId="31EADA8A" w14:textId="77777777" w:rsidR="00CF7407" w:rsidRPr="00B479AE" w:rsidRDefault="00CF7407" w:rsidP="004E7C51">
      <w:pPr>
        <w:tabs>
          <w:tab w:val="left" w:pos="2685"/>
        </w:tabs>
        <w:spacing w:line="360" w:lineRule="auto"/>
        <w:rPr>
          <w:rFonts w:ascii="Baskerville Old Face" w:hAnsi="Baskerville Old Face"/>
          <w:b/>
          <w:bCs/>
          <w:i/>
          <w:iCs/>
        </w:rPr>
      </w:pPr>
    </w:p>
    <w:p w14:paraId="295FC70A" w14:textId="77777777" w:rsidR="00CF7407" w:rsidRPr="00B479AE" w:rsidRDefault="00CF7407" w:rsidP="004E7C51">
      <w:pPr>
        <w:tabs>
          <w:tab w:val="left" w:pos="2685"/>
        </w:tabs>
        <w:spacing w:line="360" w:lineRule="auto"/>
        <w:rPr>
          <w:rFonts w:ascii="Baskerville Old Face" w:hAnsi="Baskerville Old Face"/>
          <w:b/>
          <w:bCs/>
          <w:i/>
          <w:iCs/>
        </w:rPr>
      </w:pPr>
    </w:p>
    <w:p w14:paraId="3711DC86" w14:textId="77777777" w:rsidR="00CF7407" w:rsidRPr="00B479AE" w:rsidRDefault="00CF7407" w:rsidP="004E7C51">
      <w:pPr>
        <w:tabs>
          <w:tab w:val="left" w:pos="2685"/>
        </w:tabs>
        <w:spacing w:line="360" w:lineRule="auto"/>
        <w:rPr>
          <w:rFonts w:ascii="Baskerville Old Face" w:hAnsi="Baskerville Old Face"/>
          <w:b/>
          <w:bCs/>
          <w:i/>
          <w:iCs/>
        </w:rPr>
      </w:pPr>
    </w:p>
    <w:p w14:paraId="696CD708" w14:textId="77777777" w:rsidR="00CF7407" w:rsidRPr="00B479AE" w:rsidRDefault="00CF7407" w:rsidP="004E7C51">
      <w:pPr>
        <w:tabs>
          <w:tab w:val="left" w:pos="2685"/>
        </w:tabs>
        <w:spacing w:line="360" w:lineRule="auto"/>
        <w:rPr>
          <w:rFonts w:ascii="Baskerville Old Face" w:hAnsi="Baskerville Old Face"/>
          <w:b/>
          <w:bCs/>
          <w:i/>
          <w:iCs/>
        </w:rPr>
      </w:pPr>
    </w:p>
    <w:p w14:paraId="1041304B" w14:textId="77777777" w:rsidR="00CF7407" w:rsidRPr="00B479AE" w:rsidRDefault="00CF7407" w:rsidP="004E7C51">
      <w:pPr>
        <w:tabs>
          <w:tab w:val="left" w:pos="2685"/>
        </w:tabs>
        <w:spacing w:line="360" w:lineRule="auto"/>
        <w:rPr>
          <w:rFonts w:ascii="Baskerville Old Face" w:hAnsi="Baskerville Old Face"/>
          <w:b/>
          <w:bCs/>
          <w:i/>
          <w:iCs/>
        </w:rPr>
      </w:pPr>
    </w:p>
    <w:p w14:paraId="3552BCC9" w14:textId="77777777" w:rsidR="00CF7407" w:rsidRPr="00B479AE" w:rsidRDefault="00CF7407" w:rsidP="004E7C51">
      <w:pPr>
        <w:tabs>
          <w:tab w:val="left" w:pos="2685"/>
        </w:tabs>
        <w:spacing w:line="360" w:lineRule="auto"/>
        <w:rPr>
          <w:rFonts w:ascii="Baskerville Old Face" w:hAnsi="Baskerville Old Face"/>
          <w:b/>
          <w:bCs/>
          <w:i/>
          <w:iCs/>
        </w:rPr>
      </w:pPr>
    </w:p>
    <w:p w14:paraId="0D36CD52" w14:textId="77777777" w:rsidR="00CF7407" w:rsidRPr="00B479AE" w:rsidRDefault="00CF7407" w:rsidP="004E7C51">
      <w:pPr>
        <w:tabs>
          <w:tab w:val="left" w:pos="2685"/>
        </w:tabs>
        <w:spacing w:line="360" w:lineRule="auto"/>
        <w:rPr>
          <w:rFonts w:ascii="Baskerville Old Face" w:hAnsi="Baskerville Old Face"/>
          <w:b/>
          <w:bCs/>
          <w:i/>
          <w:iCs/>
        </w:rPr>
      </w:pPr>
    </w:p>
    <w:p w14:paraId="6EF3D913" w14:textId="77777777" w:rsidR="00CF7407" w:rsidRPr="00B479AE" w:rsidRDefault="00CF7407" w:rsidP="004E7C51">
      <w:pPr>
        <w:tabs>
          <w:tab w:val="left" w:pos="2685"/>
        </w:tabs>
        <w:spacing w:line="360" w:lineRule="auto"/>
        <w:rPr>
          <w:rFonts w:ascii="Baskerville Old Face" w:hAnsi="Baskerville Old Face"/>
          <w:b/>
          <w:bCs/>
          <w:i/>
          <w:iCs/>
        </w:rPr>
      </w:pPr>
    </w:p>
    <w:p w14:paraId="52DBD459" w14:textId="77777777" w:rsidR="00CF7407" w:rsidRPr="00B479AE" w:rsidRDefault="00CF7407" w:rsidP="004E7C51">
      <w:pPr>
        <w:tabs>
          <w:tab w:val="left" w:pos="2685"/>
        </w:tabs>
        <w:spacing w:line="360" w:lineRule="auto"/>
        <w:rPr>
          <w:rFonts w:ascii="Baskerville Old Face" w:hAnsi="Baskerville Old Face"/>
          <w:b/>
          <w:bCs/>
          <w:i/>
          <w:iCs/>
        </w:rPr>
      </w:pPr>
    </w:p>
    <w:p w14:paraId="22EEAF97" w14:textId="1BDB9B26"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lastRenderedPageBreak/>
        <w:t>L.7.3 IoT Platform Connectors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0"/>
        <w:gridCol w:w="1440"/>
        <w:gridCol w:w="2116"/>
        <w:gridCol w:w="1790"/>
        <w:gridCol w:w="2182"/>
      </w:tblGrid>
      <w:tr w:rsidR="004E7C51" w:rsidRPr="00B479AE" w14:paraId="34EC5D38" w14:textId="77777777" w:rsidTr="00406066">
        <w:trPr>
          <w:tblHeader/>
          <w:tblCellSpacing w:w="15" w:type="dxa"/>
        </w:trPr>
        <w:tc>
          <w:tcPr>
            <w:tcW w:w="0" w:type="auto"/>
            <w:vAlign w:val="center"/>
            <w:hideMark/>
          </w:tcPr>
          <w:p w14:paraId="39D2EA08"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Platform</w:t>
            </w:r>
          </w:p>
        </w:tc>
        <w:tc>
          <w:tcPr>
            <w:tcW w:w="0" w:type="auto"/>
            <w:vAlign w:val="center"/>
            <w:hideMark/>
          </w:tcPr>
          <w:p w14:paraId="6B68F4E5"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Protocol</w:t>
            </w:r>
          </w:p>
        </w:tc>
        <w:tc>
          <w:tcPr>
            <w:tcW w:w="0" w:type="auto"/>
            <w:vAlign w:val="center"/>
            <w:hideMark/>
          </w:tcPr>
          <w:p w14:paraId="3487D3AD"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Data types</w:t>
            </w:r>
          </w:p>
        </w:tc>
        <w:tc>
          <w:tcPr>
            <w:tcW w:w="0" w:type="auto"/>
            <w:vAlign w:val="center"/>
            <w:hideMark/>
          </w:tcPr>
          <w:p w14:paraId="59D06FA2"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Authentication</w:t>
            </w:r>
          </w:p>
        </w:tc>
        <w:tc>
          <w:tcPr>
            <w:tcW w:w="0" w:type="auto"/>
            <w:vAlign w:val="center"/>
            <w:hideMark/>
          </w:tcPr>
          <w:p w14:paraId="2C578740"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Boundary</w:t>
            </w:r>
          </w:p>
        </w:tc>
      </w:tr>
      <w:tr w:rsidR="004E7C51" w:rsidRPr="00B479AE" w14:paraId="324B96DB" w14:textId="77777777" w:rsidTr="00406066">
        <w:trPr>
          <w:tblCellSpacing w:w="15" w:type="dxa"/>
        </w:trPr>
        <w:tc>
          <w:tcPr>
            <w:tcW w:w="0" w:type="auto"/>
            <w:vAlign w:val="center"/>
            <w:hideMark/>
          </w:tcPr>
          <w:p w14:paraId="6AC1054F"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The Things Network or equivalent LoRaWAN network</w:t>
            </w:r>
          </w:p>
        </w:tc>
        <w:tc>
          <w:tcPr>
            <w:tcW w:w="0" w:type="auto"/>
            <w:vAlign w:val="center"/>
            <w:hideMark/>
          </w:tcPr>
          <w:p w14:paraId="09F58AFC"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MQTT, HTTP, gRPC where available</w:t>
            </w:r>
          </w:p>
        </w:tc>
        <w:tc>
          <w:tcPr>
            <w:tcW w:w="0" w:type="auto"/>
            <w:vAlign w:val="center"/>
            <w:hideMark/>
          </w:tcPr>
          <w:p w14:paraId="2BE18C8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LoRaWAN sensor data</w:t>
            </w:r>
          </w:p>
        </w:tc>
        <w:tc>
          <w:tcPr>
            <w:tcW w:w="0" w:type="auto"/>
            <w:vAlign w:val="center"/>
            <w:hideMark/>
          </w:tcPr>
          <w:p w14:paraId="06D8427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API key, OAuth, or device credentials</w:t>
            </w:r>
          </w:p>
        </w:tc>
        <w:tc>
          <w:tcPr>
            <w:tcW w:w="0" w:type="auto"/>
            <w:vAlign w:val="center"/>
            <w:hideMark/>
          </w:tcPr>
          <w:p w14:paraId="317A0CD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Device identity and calibration status required</w:t>
            </w:r>
          </w:p>
        </w:tc>
      </w:tr>
      <w:tr w:rsidR="004E7C51" w:rsidRPr="00B479AE" w14:paraId="340E0CFF" w14:textId="77777777" w:rsidTr="00406066">
        <w:trPr>
          <w:tblCellSpacing w:w="15" w:type="dxa"/>
        </w:trPr>
        <w:tc>
          <w:tcPr>
            <w:tcW w:w="0" w:type="auto"/>
            <w:vAlign w:val="center"/>
            <w:hideMark/>
          </w:tcPr>
          <w:p w14:paraId="18E727F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AWS IoT Core or equivalent cloud IoT platform</w:t>
            </w:r>
          </w:p>
        </w:tc>
        <w:tc>
          <w:tcPr>
            <w:tcW w:w="0" w:type="auto"/>
            <w:vAlign w:val="center"/>
            <w:hideMark/>
          </w:tcPr>
          <w:p w14:paraId="76F5622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MQTT, HTTP</w:t>
            </w:r>
          </w:p>
        </w:tc>
        <w:tc>
          <w:tcPr>
            <w:tcW w:w="0" w:type="auto"/>
            <w:vAlign w:val="center"/>
            <w:hideMark/>
          </w:tcPr>
          <w:p w14:paraId="3EC4800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Sensor and device data</w:t>
            </w:r>
          </w:p>
        </w:tc>
        <w:tc>
          <w:tcPr>
            <w:tcW w:w="0" w:type="auto"/>
            <w:vAlign w:val="center"/>
            <w:hideMark/>
          </w:tcPr>
          <w:p w14:paraId="1370C6E5"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X.509 certificates or service credentials</w:t>
            </w:r>
          </w:p>
        </w:tc>
        <w:tc>
          <w:tcPr>
            <w:tcW w:w="0" w:type="auto"/>
            <w:vAlign w:val="center"/>
            <w:hideMark/>
          </w:tcPr>
          <w:p w14:paraId="688AE8B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Cloud dependency and data residency must be reviewed</w:t>
            </w:r>
          </w:p>
        </w:tc>
      </w:tr>
      <w:tr w:rsidR="004E7C51" w:rsidRPr="00B479AE" w14:paraId="079403AA" w14:textId="77777777" w:rsidTr="00406066">
        <w:trPr>
          <w:tblCellSpacing w:w="15" w:type="dxa"/>
        </w:trPr>
        <w:tc>
          <w:tcPr>
            <w:tcW w:w="0" w:type="auto"/>
            <w:vAlign w:val="center"/>
            <w:hideMark/>
          </w:tcPr>
          <w:p w14:paraId="1A1550A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Azure IoT Hub or equivalent platform</w:t>
            </w:r>
          </w:p>
        </w:tc>
        <w:tc>
          <w:tcPr>
            <w:tcW w:w="0" w:type="auto"/>
            <w:vAlign w:val="center"/>
            <w:hideMark/>
          </w:tcPr>
          <w:p w14:paraId="3EC4E5F9"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MQTT, AMQP, HTTPS</w:t>
            </w:r>
          </w:p>
        </w:tc>
        <w:tc>
          <w:tcPr>
            <w:tcW w:w="0" w:type="auto"/>
            <w:vAlign w:val="center"/>
            <w:hideMark/>
          </w:tcPr>
          <w:p w14:paraId="22B7553B"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Sensor and device data</w:t>
            </w:r>
          </w:p>
        </w:tc>
        <w:tc>
          <w:tcPr>
            <w:tcW w:w="0" w:type="auto"/>
            <w:vAlign w:val="center"/>
            <w:hideMark/>
          </w:tcPr>
          <w:p w14:paraId="6E4D6EC1"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SAS tokens or service credentials</w:t>
            </w:r>
          </w:p>
        </w:tc>
        <w:tc>
          <w:tcPr>
            <w:tcW w:w="0" w:type="auto"/>
            <w:vAlign w:val="center"/>
            <w:hideMark/>
          </w:tcPr>
          <w:p w14:paraId="2B9ED667"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Data classification and access control required</w:t>
            </w:r>
          </w:p>
        </w:tc>
      </w:tr>
      <w:tr w:rsidR="004E7C51" w:rsidRPr="00B479AE" w14:paraId="78935646" w14:textId="77777777" w:rsidTr="00406066">
        <w:trPr>
          <w:tblCellSpacing w:w="15" w:type="dxa"/>
        </w:trPr>
        <w:tc>
          <w:tcPr>
            <w:tcW w:w="0" w:type="auto"/>
            <w:vAlign w:val="center"/>
            <w:hideMark/>
          </w:tcPr>
          <w:p w14:paraId="545D46DB"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ThingsBoard or equivalent IoT platform</w:t>
            </w:r>
          </w:p>
        </w:tc>
        <w:tc>
          <w:tcPr>
            <w:tcW w:w="0" w:type="auto"/>
            <w:vAlign w:val="center"/>
            <w:hideMark/>
          </w:tcPr>
          <w:p w14:paraId="19741EF2"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MQTT, CoAP, HTTP</w:t>
            </w:r>
          </w:p>
        </w:tc>
        <w:tc>
          <w:tcPr>
            <w:tcW w:w="0" w:type="auto"/>
            <w:vAlign w:val="center"/>
            <w:hideMark/>
          </w:tcPr>
          <w:p w14:paraId="16D3E629"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IoT device management and telemetry</w:t>
            </w:r>
          </w:p>
        </w:tc>
        <w:tc>
          <w:tcPr>
            <w:tcW w:w="0" w:type="auto"/>
            <w:vAlign w:val="center"/>
            <w:hideMark/>
          </w:tcPr>
          <w:p w14:paraId="5A3167D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JWT or platform credential</w:t>
            </w:r>
          </w:p>
        </w:tc>
        <w:tc>
          <w:tcPr>
            <w:tcW w:w="0" w:type="auto"/>
            <w:vAlign w:val="center"/>
            <w:hideMark/>
          </w:tcPr>
          <w:p w14:paraId="346A9999"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Integration must preserve provenance and device metadata</w:t>
            </w:r>
          </w:p>
        </w:tc>
      </w:tr>
      <w:tr w:rsidR="004E7C51" w:rsidRPr="00B479AE" w14:paraId="54C821FF" w14:textId="77777777" w:rsidTr="00406066">
        <w:trPr>
          <w:tblCellSpacing w:w="15" w:type="dxa"/>
        </w:trPr>
        <w:tc>
          <w:tcPr>
            <w:tcW w:w="0" w:type="auto"/>
            <w:vAlign w:val="center"/>
            <w:hideMark/>
          </w:tcPr>
          <w:p w14:paraId="4761B78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Local edge gateway</w:t>
            </w:r>
          </w:p>
        </w:tc>
        <w:tc>
          <w:tcPr>
            <w:tcW w:w="0" w:type="auto"/>
            <w:vAlign w:val="center"/>
            <w:hideMark/>
          </w:tcPr>
          <w:p w14:paraId="0AC9EEA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MQTT, HTTP, file sync, local API</w:t>
            </w:r>
          </w:p>
        </w:tc>
        <w:tc>
          <w:tcPr>
            <w:tcW w:w="0" w:type="auto"/>
            <w:vAlign w:val="center"/>
            <w:hideMark/>
          </w:tcPr>
          <w:p w14:paraId="7FD4B91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Local sensor streams, offline records, edge computations</w:t>
            </w:r>
          </w:p>
        </w:tc>
        <w:tc>
          <w:tcPr>
            <w:tcW w:w="0" w:type="auto"/>
            <w:vAlign w:val="center"/>
            <w:hideMark/>
          </w:tcPr>
          <w:p w14:paraId="1ECD3A9D"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Device signature or service credential</w:t>
            </w:r>
          </w:p>
        </w:tc>
        <w:tc>
          <w:tcPr>
            <w:tcW w:w="0" w:type="auto"/>
            <w:vAlign w:val="center"/>
            <w:hideMark/>
          </w:tcPr>
          <w:p w14:paraId="424E66BC"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Critical for offline continuity and degraded-network operation</w:t>
            </w:r>
          </w:p>
        </w:tc>
      </w:tr>
    </w:tbl>
    <w:p w14:paraId="1CCD1C77"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t>L.7.4 Financial and Market Data Connectors</w:t>
      </w:r>
    </w:p>
    <w:p w14:paraId="03C9B922"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Financial and market data connectors may support capital-readiness analysis, treasury monitoring, currency conversion, market context, institutional reporting, or legally structured instrument analysis.</w:t>
      </w:r>
    </w:p>
    <w:p w14:paraId="6CCFEDCB"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They should not determine PRU value by themselves.</w:t>
      </w:r>
    </w:p>
    <w:p w14:paraId="7FE27788" w14:textId="3CBC0D14"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They should not create investment advice, offering status, token price, legal rights, or automated execution.</w:t>
      </w:r>
      <w:r w:rsidR="00CF7407" w:rsidRPr="00B479AE">
        <w:rPr>
          <w:rFonts w:ascii="Baskerville Old Face" w:hAnsi="Baskerville Old Face"/>
          <w:i/>
          <w:iCs/>
        </w:rPr>
        <w:t xml:space="preserve"> </w:t>
      </w:r>
    </w:p>
    <w:p w14:paraId="7FCCA40F" w14:textId="77777777" w:rsidR="00CF7407" w:rsidRPr="00B479AE" w:rsidRDefault="00CF7407" w:rsidP="004E7C51">
      <w:pPr>
        <w:tabs>
          <w:tab w:val="left" w:pos="2685"/>
        </w:tabs>
        <w:spacing w:line="360" w:lineRule="auto"/>
        <w:rPr>
          <w:rFonts w:ascii="Baskerville Old Face" w:hAnsi="Baskerville Old Face"/>
          <w:i/>
          <w:iCs/>
        </w:rPr>
      </w:pPr>
    </w:p>
    <w:p w14:paraId="36082B00" w14:textId="77777777" w:rsidR="00CF7407" w:rsidRPr="00B479AE" w:rsidRDefault="00CF7407" w:rsidP="004E7C51">
      <w:pPr>
        <w:tabs>
          <w:tab w:val="left" w:pos="2685"/>
        </w:tabs>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9"/>
        <w:gridCol w:w="1744"/>
        <w:gridCol w:w="2421"/>
        <w:gridCol w:w="1729"/>
        <w:gridCol w:w="2105"/>
      </w:tblGrid>
      <w:tr w:rsidR="004E7C51" w:rsidRPr="00B479AE" w14:paraId="6257CF91" w14:textId="77777777" w:rsidTr="00CF7407">
        <w:trPr>
          <w:tblHeader/>
          <w:tblCellSpacing w:w="15" w:type="dxa"/>
        </w:trPr>
        <w:tc>
          <w:tcPr>
            <w:tcW w:w="0" w:type="auto"/>
            <w:vAlign w:val="center"/>
            <w:hideMark/>
          </w:tcPr>
          <w:p w14:paraId="2E10A71A"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lastRenderedPageBreak/>
              <w:t>Provider / source type</w:t>
            </w:r>
          </w:p>
        </w:tc>
        <w:tc>
          <w:tcPr>
            <w:tcW w:w="0" w:type="auto"/>
            <w:vAlign w:val="center"/>
            <w:hideMark/>
          </w:tcPr>
          <w:p w14:paraId="4FE74C50"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Protocol</w:t>
            </w:r>
          </w:p>
        </w:tc>
        <w:tc>
          <w:tcPr>
            <w:tcW w:w="0" w:type="auto"/>
            <w:vAlign w:val="center"/>
            <w:hideMark/>
          </w:tcPr>
          <w:p w14:paraId="776777EB"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Data types</w:t>
            </w:r>
          </w:p>
        </w:tc>
        <w:tc>
          <w:tcPr>
            <w:tcW w:w="0" w:type="auto"/>
            <w:vAlign w:val="center"/>
            <w:hideMark/>
          </w:tcPr>
          <w:p w14:paraId="577070ED"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Use case</w:t>
            </w:r>
          </w:p>
        </w:tc>
        <w:tc>
          <w:tcPr>
            <w:tcW w:w="0" w:type="auto"/>
            <w:vAlign w:val="center"/>
            <w:hideMark/>
          </w:tcPr>
          <w:p w14:paraId="0FA905FF"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Boundary</w:t>
            </w:r>
          </w:p>
        </w:tc>
      </w:tr>
      <w:tr w:rsidR="004E7C51" w:rsidRPr="00B479AE" w14:paraId="219DC852" w14:textId="77777777" w:rsidTr="00CF7407">
        <w:trPr>
          <w:tblCellSpacing w:w="15" w:type="dxa"/>
        </w:trPr>
        <w:tc>
          <w:tcPr>
            <w:tcW w:w="0" w:type="auto"/>
            <w:vAlign w:val="center"/>
            <w:hideMark/>
          </w:tcPr>
          <w:p w14:paraId="5DC2D5E6"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Market data provider</w:t>
            </w:r>
          </w:p>
        </w:tc>
        <w:tc>
          <w:tcPr>
            <w:tcW w:w="0" w:type="auto"/>
            <w:vAlign w:val="center"/>
            <w:hideMark/>
          </w:tcPr>
          <w:p w14:paraId="1694CBCC"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REST, WebSocket, or vendor API</w:t>
            </w:r>
          </w:p>
        </w:tc>
        <w:tc>
          <w:tcPr>
            <w:tcW w:w="0" w:type="auto"/>
            <w:vAlign w:val="center"/>
            <w:hideMark/>
          </w:tcPr>
          <w:p w14:paraId="655B1285"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FX rates, interest rates, macro indicators, market prices</w:t>
            </w:r>
          </w:p>
        </w:tc>
        <w:tc>
          <w:tcPr>
            <w:tcW w:w="0" w:type="auto"/>
            <w:vAlign w:val="center"/>
            <w:hideMark/>
          </w:tcPr>
          <w:p w14:paraId="71E2681B"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Financial modeling and institutional context</w:t>
            </w:r>
          </w:p>
        </w:tc>
        <w:tc>
          <w:tcPr>
            <w:tcW w:w="0" w:type="auto"/>
            <w:vAlign w:val="center"/>
            <w:hideMark/>
          </w:tcPr>
          <w:p w14:paraId="15C0D450"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Requires licensing and data-use compliance</w:t>
            </w:r>
          </w:p>
        </w:tc>
      </w:tr>
      <w:tr w:rsidR="004E7C51" w:rsidRPr="00B479AE" w14:paraId="4801F280" w14:textId="77777777" w:rsidTr="00CF7407">
        <w:trPr>
          <w:tblCellSpacing w:w="15" w:type="dxa"/>
        </w:trPr>
        <w:tc>
          <w:tcPr>
            <w:tcW w:w="0" w:type="auto"/>
            <w:vAlign w:val="center"/>
            <w:hideMark/>
          </w:tcPr>
          <w:p w14:paraId="3D1AC1AA"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Institutional terminal provider</w:t>
            </w:r>
          </w:p>
        </w:tc>
        <w:tc>
          <w:tcPr>
            <w:tcW w:w="0" w:type="auto"/>
            <w:vAlign w:val="center"/>
            <w:hideMark/>
          </w:tcPr>
          <w:p w14:paraId="4684625C"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Vendor API</w:t>
            </w:r>
          </w:p>
        </w:tc>
        <w:tc>
          <w:tcPr>
            <w:tcW w:w="0" w:type="auto"/>
            <w:vAlign w:val="center"/>
            <w:hideMark/>
          </w:tcPr>
          <w:p w14:paraId="5FBE47D3"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Market analytics, reference data, institutional datasets</w:t>
            </w:r>
          </w:p>
        </w:tc>
        <w:tc>
          <w:tcPr>
            <w:tcW w:w="0" w:type="auto"/>
            <w:vAlign w:val="center"/>
            <w:hideMark/>
          </w:tcPr>
          <w:p w14:paraId="21D652C7"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Enterprise and data-room analysis</w:t>
            </w:r>
          </w:p>
        </w:tc>
        <w:tc>
          <w:tcPr>
            <w:tcW w:w="0" w:type="auto"/>
            <w:vAlign w:val="center"/>
            <w:hideMark/>
          </w:tcPr>
          <w:p w14:paraId="36327010"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Contractual access required</w:t>
            </w:r>
          </w:p>
        </w:tc>
      </w:tr>
      <w:tr w:rsidR="004E7C51" w:rsidRPr="00B479AE" w14:paraId="2192A56D" w14:textId="77777777" w:rsidTr="00CF7407">
        <w:trPr>
          <w:tblCellSpacing w:w="15" w:type="dxa"/>
        </w:trPr>
        <w:tc>
          <w:tcPr>
            <w:tcW w:w="0" w:type="auto"/>
            <w:vAlign w:val="center"/>
            <w:hideMark/>
          </w:tcPr>
          <w:p w14:paraId="0DC0E66E"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Banking or treasury provider</w:t>
            </w:r>
          </w:p>
        </w:tc>
        <w:tc>
          <w:tcPr>
            <w:tcW w:w="0" w:type="auto"/>
            <w:vAlign w:val="center"/>
            <w:hideMark/>
          </w:tcPr>
          <w:p w14:paraId="3C54B9D7"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API or file export</w:t>
            </w:r>
          </w:p>
        </w:tc>
        <w:tc>
          <w:tcPr>
            <w:tcW w:w="0" w:type="auto"/>
            <w:vAlign w:val="center"/>
            <w:hideMark/>
          </w:tcPr>
          <w:p w14:paraId="196A4992"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Cash balances, payments, reconciliation records</w:t>
            </w:r>
          </w:p>
        </w:tc>
        <w:tc>
          <w:tcPr>
            <w:tcW w:w="0" w:type="auto"/>
            <w:vAlign w:val="center"/>
            <w:hideMark/>
          </w:tcPr>
          <w:p w14:paraId="1D951F10"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Treasury reporting and operational controls</w:t>
            </w:r>
          </w:p>
        </w:tc>
        <w:tc>
          <w:tcPr>
            <w:tcW w:w="0" w:type="auto"/>
            <w:vAlign w:val="center"/>
            <w:hideMark/>
          </w:tcPr>
          <w:p w14:paraId="7CD5650D"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Requires legal, AML/KYC, and banking compliance</w:t>
            </w:r>
          </w:p>
        </w:tc>
      </w:tr>
      <w:tr w:rsidR="004E7C51" w:rsidRPr="00B479AE" w14:paraId="06368C79" w14:textId="77777777" w:rsidTr="00CF7407">
        <w:trPr>
          <w:tblCellSpacing w:w="15" w:type="dxa"/>
        </w:trPr>
        <w:tc>
          <w:tcPr>
            <w:tcW w:w="0" w:type="auto"/>
            <w:vAlign w:val="center"/>
            <w:hideMark/>
          </w:tcPr>
          <w:p w14:paraId="11E10A43"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Stablecoin or digital settlement provider</w:t>
            </w:r>
          </w:p>
        </w:tc>
        <w:tc>
          <w:tcPr>
            <w:tcW w:w="0" w:type="auto"/>
            <w:vAlign w:val="center"/>
            <w:hideMark/>
          </w:tcPr>
          <w:p w14:paraId="015360A5"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API, ledger interface, or custodian reporting</w:t>
            </w:r>
          </w:p>
        </w:tc>
        <w:tc>
          <w:tcPr>
            <w:tcW w:w="0" w:type="auto"/>
            <w:vAlign w:val="center"/>
            <w:hideMark/>
          </w:tcPr>
          <w:p w14:paraId="76AF452C"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Settlement records, reserves, redemption status, compliance metadata</w:t>
            </w:r>
          </w:p>
        </w:tc>
        <w:tc>
          <w:tcPr>
            <w:tcW w:w="0" w:type="auto"/>
            <w:vAlign w:val="center"/>
            <w:hideMark/>
          </w:tcPr>
          <w:p w14:paraId="3CFDA1C5"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Settlement monitoring where legally available</w:t>
            </w:r>
          </w:p>
        </w:tc>
        <w:tc>
          <w:tcPr>
            <w:tcW w:w="0" w:type="auto"/>
            <w:vAlign w:val="center"/>
            <w:hideMark/>
          </w:tcPr>
          <w:p w14:paraId="6933E073"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Issuer-specific diligence and jurisdictional review required</w:t>
            </w:r>
          </w:p>
        </w:tc>
      </w:tr>
      <w:tr w:rsidR="004E7C51" w:rsidRPr="00B479AE" w14:paraId="341C7431" w14:textId="77777777" w:rsidTr="00CF7407">
        <w:trPr>
          <w:tblCellSpacing w:w="15" w:type="dxa"/>
        </w:trPr>
        <w:tc>
          <w:tcPr>
            <w:tcW w:w="0" w:type="auto"/>
            <w:vAlign w:val="center"/>
            <w:hideMark/>
          </w:tcPr>
          <w:p w14:paraId="75B7B89F"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Public market data source</w:t>
            </w:r>
          </w:p>
        </w:tc>
        <w:tc>
          <w:tcPr>
            <w:tcW w:w="0" w:type="auto"/>
            <w:vAlign w:val="center"/>
            <w:hideMark/>
          </w:tcPr>
          <w:p w14:paraId="2432B495"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REST or file import</w:t>
            </w:r>
          </w:p>
        </w:tc>
        <w:tc>
          <w:tcPr>
            <w:tcW w:w="0" w:type="auto"/>
            <w:vAlign w:val="center"/>
            <w:hideMark/>
          </w:tcPr>
          <w:p w14:paraId="484685AE"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Public prices, macro data, reference indicators</w:t>
            </w:r>
          </w:p>
        </w:tc>
        <w:tc>
          <w:tcPr>
            <w:tcW w:w="0" w:type="auto"/>
            <w:vAlign w:val="center"/>
            <w:hideMark/>
          </w:tcPr>
          <w:p w14:paraId="54833DF9"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Contextual analysis</w:t>
            </w:r>
          </w:p>
        </w:tc>
        <w:tc>
          <w:tcPr>
            <w:tcW w:w="0" w:type="auto"/>
            <w:vAlign w:val="center"/>
            <w:hideMark/>
          </w:tcPr>
          <w:p w14:paraId="49ED6A86"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Not sufficient for legal valuation or investor reliance</w:t>
            </w:r>
          </w:p>
        </w:tc>
      </w:tr>
    </w:tbl>
    <w:p w14:paraId="42A249A7"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t>L.7.5 ReFi, RWA, and Digital-Instrument Connectors</w:t>
      </w:r>
    </w:p>
    <w:p w14:paraId="66F05AF1" w14:textId="53A793C2"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Connectors to ReFi, RWA, blockchain, or digital-instrument ecosystems should be treated as future interoperability pathways, not as automatic Prometheus outputs.</w:t>
      </w:r>
      <w:r w:rsidR="00CF7407" w:rsidRPr="00B479AE">
        <w:rPr>
          <w:rFonts w:ascii="Baskerville Old Face" w:hAnsi="Baskerville Old Face"/>
          <w:i/>
          <w:iCs/>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5"/>
        <w:gridCol w:w="1959"/>
        <w:gridCol w:w="3267"/>
        <w:gridCol w:w="2857"/>
      </w:tblGrid>
      <w:tr w:rsidR="004E7C51" w:rsidRPr="00B479AE" w14:paraId="547E8C8C" w14:textId="77777777" w:rsidTr="00CF7407">
        <w:trPr>
          <w:tblHeader/>
          <w:tblCellSpacing w:w="15" w:type="dxa"/>
        </w:trPr>
        <w:tc>
          <w:tcPr>
            <w:tcW w:w="0" w:type="auto"/>
            <w:vAlign w:val="center"/>
            <w:hideMark/>
          </w:tcPr>
          <w:p w14:paraId="2DDDB023"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Platform / ecosystem type</w:t>
            </w:r>
          </w:p>
        </w:tc>
        <w:tc>
          <w:tcPr>
            <w:tcW w:w="0" w:type="auto"/>
            <w:vAlign w:val="center"/>
            <w:hideMark/>
          </w:tcPr>
          <w:p w14:paraId="2CBAE75D"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Protocol</w:t>
            </w:r>
          </w:p>
        </w:tc>
        <w:tc>
          <w:tcPr>
            <w:tcW w:w="0" w:type="auto"/>
            <w:vAlign w:val="center"/>
            <w:hideMark/>
          </w:tcPr>
          <w:p w14:paraId="194A9A8D"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Integration type</w:t>
            </w:r>
          </w:p>
        </w:tc>
        <w:tc>
          <w:tcPr>
            <w:tcW w:w="0" w:type="auto"/>
            <w:vAlign w:val="center"/>
            <w:hideMark/>
          </w:tcPr>
          <w:p w14:paraId="5E17DCCD"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Boundary</w:t>
            </w:r>
          </w:p>
        </w:tc>
      </w:tr>
      <w:tr w:rsidR="004E7C51" w:rsidRPr="00B479AE" w14:paraId="617F4D4A" w14:textId="77777777" w:rsidTr="00CF7407">
        <w:trPr>
          <w:tblCellSpacing w:w="15" w:type="dxa"/>
        </w:trPr>
        <w:tc>
          <w:tcPr>
            <w:tcW w:w="0" w:type="auto"/>
            <w:vAlign w:val="center"/>
            <w:hideMark/>
          </w:tcPr>
          <w:p w14:paraId="15E2BC2A"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ReFi marketplace or registry</w:t>
            </w:r>
          </w:p>
        </w:tc>
        <w:tc>
          <w:tcPr>
            <w:tcW w:w="0" w:type="auto"/>
            <w:vAlign w:val="center"/>
            <w:hideMark/>
          </w:tcPr>
          <w:p w14:paraId="365960EA"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Smart contract, API, or bridge</w:t>
            </w:r>
          </w:p>
        </w:tc>
        <w:tc>
          <w:tcPr>
            <w:tcW w:w="0" w:type="auto"/>
            <w:vAlign w:val="center"/>
            <w:hideMark/>
          </w:tcPr>
          <w:p w14:paraId="1DE7B9B1"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Data comparison, registry reconciliation, market context</w:t>
            </w:r>
          </w:p>
        </w:tc>
        <w:tc>
          <w:tcPr>
            <w:tcW w:w="0" w:type="auto"/>
            <w:vAlign w:val="center"/>
            <w:hideMark/>
          </w:tcPr>
          <w:p w14:paraId="5DCB761E"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No automatic listing, credit issuance, or financial recognition</w:t>
            </w:r>
          </w:p>
        </w:tc>
      </w:tr>
      <w:tr w:rsidR="004E7C51" w:rsidRPr="00B479AE" w14:paraId="3A96CC8B" w14:textId="77777777" w:rsidTr="00CF7407">
        <w:trPr>
          <w:tblCellSpacing w:w="15" w:type="dxa"/>
        </w:trPr>
        <w:tc>
          <w:tcPr>
            <w:tcW w:w="0" w:type="auto"/>
            <w:vAlign w:val="center"/>
            <w:hideMark/>
          </w:tcPr>
          <w:p w14:paraId="6BC4FB67"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RWA platform</w:t>
            </w:r>
          </w:p>
        </w:tc>
        <w:tc>
          <w:tcPr>
            <w:tcW w:w="0" w:type="auto"/>
            <w:vAlign w:val="center"/>
            <w:hideMark/>
          </w:tcPr>
          <w:p w14:paraId="7EED915B"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API, smart contract, or custodian interface</w:t>
            </w:r>
          </w:p>
        </w:tc>
        <w:tc>
          <w:tcPr>
            <w:tcW w:w="0" w:type="auto"/>
            <w:vAlign w:val="center"/>
            <w:hideMark/>
          </w:tcPr>
          <w:p w14:paraId="7AEE4279"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Future compliant representation of legally structured rights</w:t>
            </w:r>
          </w:p>
        </w:tc>
        <w:tc>
          <w:tcPr>
            <w:tcW w:w="0" w:type="auto"/>
            <w:vAlign w:val="center"/>
            <w:hideMark/>
          </w:tcPr>
          <w:p w14:paraId="217903E3"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Requires legal wrapper, disclosure, custody, and jurisdictional review</w:t>
            </w:r>
          </w:p>
        </w:tc>
      </w:tr>
      <w:tr w:rsidR="004E7C51" w:rsidRPr="00B479AE" w14:paraId="26F8291D" w14:textId="77777777" w:rsidTr="00CF7407">
        <w:trPr>
          <w:tblCellSpacing w:w="15" w:type="dxa"/>
        </w:trPr>
        <w:tc>
          <w:tcPr>
            <w:tcW w:w="0" w:type="auto"/>
            <w:vAlign w:val="center"/>
            <w:hideMark/>
          </w:tcPr>
          <w:p w14:paraId="4631C95C"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Public blockchain network</w:t>
            </w:r>
          </w:p>
        </w:tc>
        <w:tc>
          <w:tcPr>
            <w:tcW w:w="0" w:type="auto"/>
            <w:vAlign w:val="center"/>
            <w:hideMark/>
          </w:tcPr>
          <w:p w14:paraId="7F06B897"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RPC, indexer, bridge, or wallet interface</w:t>
            </w:r>
          </w:p>
        </w:tc>
        <w:tc>
          <w:tcPr>
            <w:tcW w:w="0" w:type="auto"/>
            <w:vAlign w:val="center"/>
            <w:hideMark/>
          </w:tcPr>
          <w:p w14:paraId="3FE487D2"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Settlement, representation, transparency, or interoperability where appropriate</w:t>
            </w:r>
          </w:p>
        </w:tc>
        <w:tc>
          <w:tcPr>
            <w:tcW w:w="0" w:type="auto"/>
            <w:vAlign w:val="center"/>
            <w:hideMark/>
          </w:tcPr>
          <w:p w14:paraId="3D3B4CA5"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Blockchain record does not create Prometheus admissibility by itself</w:t>
            </w:r>
          </w:p>
        </w:tc>
      </w:tr>
      <w:tr w:rsidR="004E7C51" w:rsidRPr="00B479AE" w14:paraId="4A99CE7D" w14:textId="77777777" w:rsidTr="00CF7407">
        <w:trPr>
          <w:tblCellSpacing w:w="15" w:type="dxa"/>
        </w:trPr>
        <w:tc>
          <w:tcPr>
            <w:tcW w:w="0" w:type="auto"/>
            <w:vAlign w:val="center"/>
            <w:hideMark/>
          </w:tcPr>
          <w:p w14:paraId="194E08D7"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Tokenization platform</w:t>
            </w:r>
          </w:p>
        </w:tc>
        <w:tc>
          <w:tcPr>
            <w:tcW w:w="0" w:type="auto"/>
            <w:vAlign w:val="center"/>
            <w:hideMark/>
          </w:tcPr>
          <w:p w14:paraId="61B5E8A2"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API, smart contract, or issuance platform</w:t>
            </w:r>
          </w:p>
        </w:tc>
        <w:tc>
          <w:tcPr>
            <w:tcW w:w="0" w:type="auto"/>
            <w:vAlign w:val="center"/>
            <w:hideMark/>
          </w:tcPr>
          <w:p w14:paraId="1AAA8876"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Future compliant digital representation</w:t>
            </w:r>
          </w:p>
        </w:tc>
        <w:tc>
          <w:tcPr>
            <w:tcW w:w="0" w:type="auto"/>
            <w:vAlign w:val="center"/>
            <w:hideMark/>
          </w:tcPr>
          <w:p w14:paraId="1B41E924"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Requires legally defined underlying right</w:t>
            </w:r>
          </w:p>
        </w:tc>
      </w:tr>
      <w:tr w:rsidR="004E7C51" w:rsidRPr="00B479AE" w14:paraId="23B58A11" w14:textId="77777777" w:rsidTr="00CF7407">
        <w:trPr>
          <w:tblCellSpacing w:w="15" w:type="dxa"/>
        </w:trPr>
        <w:tc>
          <w:tcPr>
            <w:tcW w:w="0" w:type="auto"/>
            <w:vAlign w:val="center"/>
            <w:hideMark/>
          </w:tcPr>
          <w:p w14:paraId="09936509"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Custody provider</w:t>
            </w:r>
          </w:p>
        </w:tc>
        <w:tc>
          <w:tcPr>
            <w:tcW w:w="0" w:type="auto"/>
            <w:vAlign w:val="center"/>
            <w:hideMark/>
          </w:tcPr>
          <w:p w14:paraId="7697B2A7"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API, reporting file, or institutional interface</w:t>
            </w:r>
          </w:p>
        </w:tc>
        <w:tc>
          <w:tcPr>
            <w:tcW w:w="0" w:type="auto"/>
            <w:vAlign w:val="center"/>
            <w:hideMark/>
          </w:tcPr>
          <w:p w14:paraId="34ADAD33"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Custody reporting and reconciliation</w:t>
            </w:r>
          </w:p>
        </w:tc>
        <w:tc>
          <w:tcPr>
            <w:tcW w:w="0" w:type="auto"/>
            <w:vAlign w:val="center"/>
            <w:hideMark/>
          </w:tcPr>
          <w:p w14:paraId="05DA532D"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Requires custody review, legal agreement, and risk assessment</w:t>
            </w:r>
          </w:p>
        </w:tc>
      </w:tr>
    </w:tbl>
    <w:p w14:paraId="067E61CE"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lastRenderedPageBreak/>
        <w:t>L.8 Webhook Support</w:t>
      </w:r>
    </w:p>
    <w:p w14:paraId="436EC1DD" w14:textId="3B620796"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The Integration Zome may send webhook notifications for asynchronous events, enabling near-real-time integration with external systems.</w:t>
      </w:r>
      <w:r w:rsidR="00675451" w:rsidRPr="00B479AE">
        <w:rPr>
          <w:rFonts w:ascii="Baskerville Old Face" w:hAnsi="Baskerville Old Face"/>
          <w:i/>
          <w:iCs/>
        </w:rPr>
        <w:t xml:space="preserve"> </w:t>
      </w:r>
      <w:r w:rsidRPr="00B479AE">
        <w:rPr>
          <w:rFonts w:ascii="Baskerville Old Face" w:hAnsi="Baskerville Old Face"/>
          <w:i/>
          <w:iCs/>
        </w:rPr>
        <w:t>Webhook notifications should be signed.</w:t>
      </w:r>
      <w:r w:rsidR="00675451" w:rsidRPr="00B479AE">
        <w:rPr>
          <w:rFonts w:ascii="Baskerville Old Face" w:hAnsi="Baskerville Old Face"/>
          <w:i/>
          <w:iCs/>
        </w:rPr>
        <w:t xml:space="preserve"> </w:t>
      </w:r>
      <w:r w:rsidRPr="00B479AE">
        <w:rPr>
          <w:rFonts w:ascii="Baskerville Old Face" w:hAnsi="Baskerville Old Face"/>
          <w:i/>
          <w:iCs/>
        </w:rPr>
        <w:t>Webhook receivers should verify signatures.</w:t>
      </w:r>
      <w:r w:rsidR="00675451" w:rsidRPr="00B479AE">
        <w:rPr>
          <w:rFonts w:ascii="Baskerville Old Face" w:hAnsi="Baskerville Old Face"/>
          <w:i/>
          <w:iCs/>
        </w:rPr>
        <w:t xml:space="preserve"> </w:t>
      </w:r>
      <w:r w:rsidRPr="00B479AE">
        <w:rPr>
          <w:rFonts w:ascii="Baskerville Old Face" w:hAnsi="Baskerville Old Face"/>
          <w:i/>
          <w:iCs/>
        </w:rPr>
        <w:t>Webhook events should include event type, timestamp, event ID, source, payload, and replay-protection metadata.</w:t>
      </w:r>
      <w:r w:rsidR="00675451" w:rsidRPr="00B479AE">
        <w:rPr>
          <w:rFonts w:ascii="Baskerville Old Face" w:hAnsi="Baskerville Old Face"/>
          <w:i/>
          <w:iCs/>
        </w:rPr>
        <w:t xml:space="preserve"> </w:t>
      </w:r>
      <w:r w:rsidRPr="00B479AE">
        <w:rPr>
          <w:rFonts w:ascii="Baskerville Old Face" w:hAnsi="Baskerville Old Face"/>
          <w:i/>
          <w:iCs/>
        </w:rPr>
        <w:t>Webhook delivery does not authorize action.</w:t>
      </w:r>
      <w:r w:rsidR="00DE1016" w:rsidRPr="00B479AE">
        <w:rPr>
          <w:rFonts w:ascii="Baskerville Old Face" w:hAnsi="Baskerville Old Face"/>
          <w:i/>
          <w:iCs/>
        </w:rPr>
        <w:t xml:space="preserve"> </w:t>
      </w:r>
      <w:r w:rsidRPr="00B479AE">
        <w:rPr>
          <w:rFonts w:ascii="Baskerville Old Face" w:hAnsi="Baskerville Old Face"/>
          <w:i/>
          <w:iCs/>
        </w:rPr>
        <w:t>A webhook is a notification layer, not a governance, legal, financial, or ecological authority layer.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4"/>
        <w:gridCol w:w="3438"/>
        <w:gridCol w:w="1790"/>
        <w:gridCol w:w="2306"/>
      </w:tblGrid>
      <w:tr w:rsidR="004E7C51" w:rsidRPr="00B479AE" w14:paraId="14BD1F21" w14:textId="77777777" w:rsidTr="00675451">
        <w:trPr>
          <w:tblHeader/>
          <w:tblCellSpacing w:w="15" w:type="dxa"/>
        </w:trPr>
        <w:tc>
          <w:tcPr>
            <w:tcW w:w="0" w:type="auto"/>
            <w:vAlign w:val="center"/>
            <w:hideMark/>
          </w:tcPr>
          <w:p w14:paraId="0B1012F4"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Event type</w:t>
            </w:r>
          </w:p>
        </w:tc>
        <w:tc>
          <w:tcPr>
            <w:tcW w:w="0" w:type="auto"/>
            <w:vAlign w:val="center"/>
            <w:hideMark/>
          </w:tcPr>
          <w:p w14:paraId="02B3E20D"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Webhook payload</w:t>
            </w:r>
          </w:p>
        </w:tc>
        <w:tc>
          <w:tcPr>
            <w:tcW w:w="0" w:type="auto"/>
            <w:vAlign w:val="center"/>
            <w:hideMark/>
          </w:tcPr>
          <w:p w14:paraId="49F3C42B"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Configuration</w:t>
            </w:r>
          </w:p>
        </w:tc>
        <w:tc>
          <w:tcPr>
            <w:tcW w:w="0" w:type="auto"/>
            <w:vAlign w:val="center"/>
            <w:hideMark/>
          </w:tcPr>
          <w:p w14:paraId="27B98F59" w14:textId="77777777" w:rsidR="004E7C51" w:rsidRPr="00B479AE" w:rsidRDefault="004E7C51" w:rsidP="004E7C51">
            <w:pPr>
              <w:tabs>
                <w:tab w:val="left" w:pos="2685"/>
              </w:tabs>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Boundary</w:t>
            </w:r>
          </w:p>
        </w:tc>
      </w:tr>
      <w:tr w:rsidR="004E7C51" w:rsidRPr="00B479AE" w14:paraId="449FB7CB" w14:textId="77777777" w:rsidTr="00675451">
        <w:trPr>
          <w:tblCellSpacing w:w="15" w:type="dxa"/>
        </w:trPr>
        <w:tc>
          <w:tcPr>
            <w:tcW w:w="0" w:type="auto"/>
            <w:vAlign w:val="center"/>
            <w:hideMark/>
          </w:tcPr>
          <w:p w14:paraId="365FE7A4"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mrv.submitted</w:t>
            </w:r>
          </w:p>
        </w:tc>
        <w:tc>
          <w:tcPr>
            <w:tcW w:w="0" w:type="auto"/>
            <w:vAlign w:val="center"/>
            <w:hideMark/>
          </w:tcPr>
          <w:p w14:paraId="18465054"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MRV event metadata, source, project ID, review status</w:t>
            </w:r>
          </w:p>
        </w:tc>
        <w:tc>
          <w:tcPr>
            <w:tcW w:w="0" w:type="auto"/>
            <w:vAlign w:val="center"/>
            <w:hideMark/>
          </w:tcPr>
          <w:p w14:paraId="5C846082"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URL, headers, secret, signing key</w:t>
            </w:r>
          </w:p>
        </w:tc>
        <w:tc>
          <w:tcPr>
            <w:tcW w:w="0" w:type="auto"/>
            <w:vAlign w:val="center"/>
            <w:hideMark/>
          </w:tcPr>
          <w:p w14:paraId="5D774BB1"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Submission notice only</w:t>
            </w:r>
          </w:p>
        </w:tc>
      </w:tr>
      <w:tr w:rsidR="004E7C51" w:rsidRPr="00B479AE" w14:paraId="77E4B58C" w14:textId="77777777" w:rsidTr="00675451">
        <w:trPr>
          <w:tblCellSpacing w:w="15" w:type="dxa"/>
        </w:trPr>
        <w:tc>
          <w:tcPr>
            <w:tcW w:w="0" w:type="auto"/>
            <w:vAlign w:val="center"/>
            <w:hideMark/>
          </w:tcPr>
          <w:p w14:paraId="3E5AAF34"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mrv.reviewed</w:t>
            </w:r>
          </w:p>
        </w:tc>
        <w:tc>
          <w:tcPr>
            <w:tcW w:w="0" w:type="auto"/>
            <w:vAlign w:val="center"/>
            <w:hideMark/>
          </w:tcPr>
          <w:p w14:paraId="38002A2B"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Review result, confidence score, reviewer status, limitations</w:t>
            </w:r>
          </w:p>
        </w:tc>
        <w:tc>
          <w:tcPr>
            <w:tcW w:w="0" w:type="auto"/>
            <w:vAlign w:val="center"/>
            <w:hideMark/>
          </w:tcPr>
          <w:p w14:paraId="795E8A03"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URL, headers, secret, signing key</w:t>
            </w:r>
          </w:p>
        </w:tc>
        <w:tc>
          <w:tcPr>
            <w:tcW w:w="0" w:type="auto"/>
            <w:vAlign w:val="center"/>
            <w:hideMark/>
          </w:tcPr>
          <w:p w14:paraId="3AE17F7D"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Review output remains methodology-bound</w:t>
            </w:r>
          </w:p>
        </w:tc>
      </w:tr>
      <w:tr w:rsidR="004E7C51" w:rsidRPr="00B479AE" w14:paraId="2720C008" w14:textId="77777777" w:rsidTr="00675451">
        <w:trPr>
          <w:tblCellSpacing w:w="15" w:type="dxa"/>
        </w:trPr>
        <w:tc>
          <w:tcPr>
            <w:tcW w:w="0" w:type="auto"/>
            <w:vAlign w:val="center"/>
            <w:hideMark/>
          </w:tcPr>
          <w:p w14:paraId="1C15C595"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pru.review_requested</w:t>
            </w:r>
          </w:p>
        </w:tc>
        <w:tc>
          <w:tcPr>
            <w:tcW w:w="0" w:type="auto"/>
            <w:vAlign w:val="center"/>
            <w:hideMark/>
          </w:tcPr>
          <w:p w14:paraId="0A499337"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Project ID, evidence bundle reference, review route</w:t>
            </w:r>
          </w:p>
        </w:tc>
        <w:tc>
          <w:tcPr>
            <w:tcW w:w="0" w:type="auto"/>
            <w:vAlign w:val="center"/>
            <w:hideMark/>
          </w:tcPr>
          <w:p w14:paraId="43A14D4B"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URL, headers, secret, signing key</w:t>
            </w:r>
          </w:p>
        </w:tc>
        <w:tc>
          <w:tcPr>
            <w:tcW w:w="0" w:type="auto"/>
            <w:vAlign w:val="center"/>
            <w:hideMark/>
          </w:tcPr>
          <w:p w14:paraId="1E1F0573"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Does not create PRU maturity class by itself</w:t>
            </w:r>
          </w:p>
        </w:tc>
      </w:tr>
      <w:tr w:rsidR="004E7C51" w:rsidRPr="00B479AE" w14:paraId="77D8E475" w14:textId="77777777" w:rsidTr="00675451">
        <w:trPr>
          <w:tblCellSpacing w:w="15" w:type="dxa"/>
        </w:trPr>
        <w:tc>
          <w:tcPr>
            <w:tcW w:w="0" w:type="auto"/>
            <w:vAlign w:val="center"/>
            <w:hideMark/>
          </w:tcPr>
          <w:p w14:paraId="2E73AFAD"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pru.status_updated</w:t>
            </w:r>
          </w:p>
        </w:tc>
        <w:tc>
          <w:tcPr>
            <w:tcW w:w="0" w:type="auto"/>
            <w:vAlign w:val="center"/>
            <w:hideMark/>
          </w:tcPr>
          <w:p w14:paraId="27273F3D"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PRU maturity or analysis status update</w:t>
            </w:r>
          </w:p>
        </w:tc>
        <w:tc>
          <w:tcPr>
            <w:tcW w:w="0" w:type="auto"/>
            <w:vAlign w:val="center"/>
            <w:hideMark/>
          </w:tcPr>
          <w:p w14:paraId="27B1D443"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URL, headers, secret, signing key</w:t>
            </w:r>
          </w:p>
        </w:tc>
        <w:tc>
          <w:tcPr>
            <w:tcW w:w="0" w:type="auto"/>
            <w:vAlign w:val="center"/>
            <w:hideMark/>
          </w:tcPr>
          <w:p w14:paraId="6C28E4A8"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Status depends on methodology and review</w:t>
            </w:r>
          </w:p>
        </w:tc>
      </w:tr>
      <w:tr w:rsidR="004E7C51" w:rsidRPr="00B479AE" w14:paraId="317AF50D" w14:textId="77777777" w:rsidTr="00675451">
        <w:trPr>
          <w:tblCellSpacing w:w="15" w:type="dxa"/>
        </w:trPr>
        <w:tc>
          <w:tcPr>
            <w:tcW w:w="0" w:type="auto"/>
            <w:vAlign w:val="center"/>
            <w:hideMark/>
          </w:tcPr>
          <w:p w14:paraId="56C15E34"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proposal.created</w:t>
            </w:r>
          </w:p>
        </w:tc>
        <w:tc>
          <w:tcPr>
            <w:tcW w:w="0" w:type="auto"/>
            <w:vAlign w:val="center"/>
            <w:hideMark/>
          </w:tcPr>
          <w:p w14:paraId="5347DAEA"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Proposal metadata, circle, review pathway</w:t>
            </w:r>
          </w:p>
        </w:tc>
        <w:tc>
          <w:tcPr>
            <w:tcW w:w="0" w:type="auto"/>
            <w:vAlign w:val="center"/>
            <w:hideMark/>
          </w:tcPr>
          <w:p w14:paraId="06A61DAD"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URL, headers, secret, signing key</w:t>
            </w:r>
          </w:p>
        </w:tc>
        <w:tc>
          <w:tcPr>
            <w:tcW w:w="0" w:type="auto"/>
            <w:vAlign w:val="center"/>
            <w:hideMark/>
          </w:tcPr>
          <w:p w14:paraId="2DCD2115"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Proposal creation does not mean adoption</w:t>
            </w:r>
          </w:p>
        </w:tc>
      </w:tr>
      <w:tr w:rsidR="004E7C51" w:rsidRPr="00B479AE" w14:paraId="0FA3F05D" w14:textId="77777777" w:rsidTr="00675451">
        <w:trPr>
          <w:tblCellSpacing w:w="15" w:type="dxa"/>
        </w:trPr>
        <w:tc>
          <w:tcPr>
            <w:tcW w:w="0" w:type="auto"/>
            <w:vAlign w:val="center"/>
            <w:hideMark/>
          </w:tcPr>
          <w:p w14:paraId="5517C611"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proposal.updated</w:t>
            </w:r>
          </w:p>
        </w:tc>
        <w:tc>
          <w:tcPr>
            <w:tcW w:w="0" w:type="auto"/>
            <w:vAlign w:val="center"/>
            <w:hideMark/>
          </w:tcPr>
          <w:p w14:paraId="0C166BEC"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Proposal status, consent summary, objections, deadline</w:t>
            </w:r>
          </w:p>
        </w:tc>
        <w:tc>
          <w:tcPr>
            <w:tcW w:w="0" w:type="auto"/>
            <w:vAlign w:val="center"/>
            <w:hideMark/>
          </w:tcPr>
          <w:p w14:paraId="5336E5DF"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URL, headers, secret, signing key</w:t>
            </w:r>
          </w:p>
        </w:tc>
        <w:tc>
          <w:tcPr>
            <w:tcW w:w="0" w:type="auto"/>
            <w:vAlign w:val="center"/>
            <w:hideMark/>
          </w:tcPr>
          <w:p w14:paraId="7C1D6B22"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Governance process remains circle-bound</w:t>
            </w:r>
          </w:p>
        </w:tc>
      </w:tr>
      <w:tr w:rsidR="004E7C51" w:rsidRPr="00B479AE" w14:paraId="72C02BD0" w14:textId="77777777" w:rsidTr="00675451">
        <w:trPr>
          <w:tblCellSpacing w:w="15" w:type="dxa"/>
        </w:trPr>
        <w:tc>
          <w:tcPr>
            <w:tcW w:w="0" w:type="auto"/>
            <w:vAlign w:val="center"/>
            <w:hideMark/>
          </w:tcPr>
          <w:p w14:paraId="1F48E0C0"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warrant.issued</w:t>
            </w:r>
          </w:p>
        </w:tc>
        <w:tc>
          <w:tcPr>
            <w:tcW w:w="0" w:type="auto"/>
            <w:vAlign w:val="center"/>
            <w:hideMark/>
          </w:tcPr>
          <w:p w14:paraId="49E2EBBC"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Warrant metadata, affected party, review domain</w:t>
            </w:r>
          </w:p>
        </w:tc>
        <w:tc>
          <w:tcPr>
            <w:tcW w:w="0" w:type="auto"/>
            <w:vAlign w:val="center"/>
            <w:hideMark/>
          </w:tcPr>
          <w:p w14:paraId="217A57CD"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URL, headers, secret, signing key</w:t>
            </w:r>
          </w:p>
        </w:tc>
        <w:tc>
          <w:tcPr>
            <w:tcW w:w="0" w:type="auto"/>
            <w:vAlign w:val="center"/>
            <w:hideMark/>
          </w:tcPr>
          <w:p w14:paraId="6D871867"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Warrant requires due process</w:t>
            </w:r>
          </w:p>
        </w:tc>
      </w:tr>
      <w:tr w:rsidR="004E7C51" w:rsidRPr="00B479AE" w14:paraId="63B7319C" w14:textId="77777777" w:rsidTr="00675451">
        <w:trPr>
          <w:tblCellSpacing w:w="15" w:type="dxa"/>
        </w:trPr>
        <w:tc>
          <w:tcPr>
            <w:tcW w:w="0" w:type="auto"/>
            <w:vAlign w:val="center"/>
            <w:hideMark/>
          </w:tcPr>
          <w:p w14:paraId="515DC944"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quarantine.requested</w:t>
            </w:r>
          </w:p>
        </w:tc>
        <w:tc>
          <w:tcPr>
            <w:tcW w:w="0" w:type="auto"/>
            <w:vAlign w:val="center"/>
            <w:hideMark/>
          </w:tcPr>
          <w:p w14:paraId="15FF158A"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Quarantine request, scope, rationale, duration</w:t>
            </w:r>
          </w:p>
        </w:tc>
        <w:tc>
          <w:tcPr>
            <w:tcW w:w="0" w:type="auto"/>
            <w:vAlign w:val="center"/>
            <w:hideMark/>
          </w:tcPr>
          <w:p w14:paraId="75EA0ED2"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URL, headers, secret, signing key</w:t>
            </w:r>
          </w:p>
        </w:tc>
        <w:tc>
          <w:tcPr>
            <w:tcW w:w="0" w:type="auto"/>
            <w:vAlign w:val="center"/>
            <w:hideMark/>
          </w:tcPr>
          <w:p w14:paraId="2F477744"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Requires appropriate review</w:t>
            </w:r>
          </w:p>
        </w:tc>
      </w:tr>
      <w:tr w:rsidR="004E7C51" w:rsidRPr="00B479AE" w14:paraId="1A57A552" w14:textId="77777777" w:rsidTr="00675451">
        <w:trPr>
          <w:tblCellSpacing w:w="15" w:type="dxa"/>
        </w:trPr>
        <w:tc>
          <w:tcPr>
            <w:tcW w:w="0" w:type="auto"/>
            <w:vAlign w:val="center"/>
            <w:hideMark/>
          </w:tcPr>
          <w:p w14:paraId="05F71993"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registry.release_published</w:t>
            </w:r>
          </w:p>
        </w:tc>
        <w:tc>
          <w:tcPr>
            <w:tcW w:w="0" w:type="auto"/>
            <w:vAlign w:val="center"/>
            <w:hideMark/>
          </w:tcPr>
          <w:p w14:paraId="739CBF17"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Release ID, manifest reference, hash references, signature references</w:t>
            </w:r>
          </w:p>
        </w:tc>
        <w:tc>
          <w:tcPr>
            <w:tcW w:w="0" w:type="auto"/>
            <w:vAlign w:val="center"/>
            <w:hideMark/>
          </w:tcPr>
          <w:p w14:paraId="5F5BD961"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URL, headers, secret, signing key</w:t>
            </w:r>
          </w:p>
        </w:tc>
        <w:tc>
          <w:tcPr>
            <w:tcW w:w="0" w:type="auto"/>
            <w:vAlign w:val="center"/>
            <w:hideMark/>
          </w:tcPr>
          <w:p w14:paraId="61AF3A2C"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Supports public verification</w:t>
            </w:r>
          </w:p>
        </w:tc>
      </w:tr>
      <w:tr w:rsidR="004E7C51" w:rsidRPr="00B479AE" w14:paraId="1C28C687" w14:textId="77777777" w:rsidTr="00675451">
        <w:trPr>
          <w:tblCellSpacing w:w="15" w:type="dxa"/>
        </w:trPr>
        <w:tc>
          <w:tcPr>
            <w:tcW w:w="0" w:type="auto"/>
            <w:vAlign w:val="center"/>
            <w:hideMark/>
          </w:tcPr>
          <w:p w14:paraId="2F6DED84"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registry.fork_status_updated</w:t>
            </w:r>
          </w:p>
        </w:tc>
        <w:tc>
          <w:tcPr>
            <w:tcW w:w="0" w:type="auto"/>
            <w:vAlign w:val="center"/>
            <w:hideMark/>
          </w:tcPr>
          <w:p w14:paraId="273DB9AC"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Fork ID, compatibility status, registry note</w:t>
            </w:r>
          </w:p>
        </w:tc>
        <w:tc>
          <w:tcPr>
            <w:tcW w:w="0" w:type="auto"/>
            <w:vAlign w:val="center"/>
            <w:hideMark/>
          </w:tcPr>
          <w:p w14:paraId="0608B15D"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URL, headers, secret, signing key</w:t>
            </w:r>
          </w:p>
        </w:tc>
        <w:tc>
          <w:tcPr>
            <w:tcW w:w="0" w:type="auto"/>
            <w:vAlign w:val="center"/>
            <w:hideMark/>
          </w:tcPr>
          <w:p w14:paraId="1688E0E7"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Registry status determines public interpretation</w:t>
            </w:r>
          </w:p>
        </w:tc>
      </w:tr>
      <w:tr w:rsidR="004E7C51" w:rsidRPr="00B479AE" w14:paraId="499A0F20" w14:textId="77777777" w:rsidTr="00675451">
        <w:trPr>
          <w:tblCellSpacing w:w="15" w:type="dxa"/>
        </w:trPr>
        <w:tc>
          <w:tcPr>
            <w:tcW w:w="0" w:type="auto"/>
            <w:vAlign w:val="center"/>
            <w:hideMark/>
          </w:tcPr>
          <w:p w14:paraId="6354DCE4"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system.alert</w:t>
            </w:r>
          </w:p>
        </w:tc>
        <w:tc>
          <w:tcPr>
            <w:tcW w:w="0" w:type="auto"/>
            <w:vAlign w:val="center"/>
            <w:hideMark/>
          </w:tcPr>
          <w:p w14:paraId="49AB0B57"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Health, degraded service, compromise warning, key rotation, or incident status</w:t>
            </w:r>
          </w:p>
        </w:tc>
        <w:tc>
          <w:tcPr>
            <w:tcW w:w="0" w:type="auto"/>
            <w:vAlign w:val="center"/>
            <w:hideMark/>
          </w:tcPr>
          <w:p w14:paraId="41DEF3C1"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URL, headers, secret, signing key</w:t>
            </w:r>
          </w:p>
        </w:tc>
        <w:tc>
          <w:tcPr>
            <w:tcW w:w="0" w:type="auto"/>
            <w:vAlign w:val="center"/>
            <w:hideMark/>
          </w:tcPr>
          <w:p w14:paraId="213A0337" w14:textId="77777777" w:rsidR="004E7C51" w:rsidRPr="00B479AE" w:rsidRDefault="004E7C51" w:rsidP="004E7C51">
            <w:pPr>
              <w:tabs>
                <w:tab w:val="left" w:pos="2685"/>
              </w:tabs>
              <w:spacing w:line="360" w:lineRule="auto"/>
              <w:rPr>
                <w:rFonts w:ascii="Baskerville Old Face" w:hAnsi="Baskerville Old Face"/>
                <w:i/>
                <w:iCs/>
                <w:sz w:val="18"/>
                <w:szCs w:val="18"/>
              </w:rPr>
            </w:pPr>
            <w:r w:rsidRPr="00B479AE">
              <w:rPr>
                <w:rFonts w:ascii="Baskerville Old Face" w:hAnsi="Baskerville Old Face"/>
                <w:i/>
                <w:iCs/>
                <w:sz w:val="18"/>
                <w:szCs w:val="18"/>
              </w:rPr>
              <w:t>Operational alert only</w:t>
            </w:r>
          </w:p>
        </w:tc>
      </w:tr>
    </w:tbl>
    <w:p w14:paraId="364316AB"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lastRenderedPageBreak/>
        <w:t>L.9 Error Handling</w:t>
      </w:r>
    </w:p>
    <w:p w14:paraId="46C96202"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Standard error responses should follow a consistent structure.</w:t>
      </w:r>
    </w:p>
    <w:p w14:paraId="36C1AFEF"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json</w:t>
      </w:r>
      <w:r w:rsidRPr="00B479AE">
        <w:rPr>
          <w:rFonts w:ascii="Baskerville Old Face" w:hAnsi="Baskerville Old Face"/>
          <w:i/>
          <w:iCs/>
        </w:rPr>
        <w:br/>
        <w:t>{</w:t>
      </w:r>
      <w:r w:rsidRPr="00B479AE">
        <w:rPr>
          <w:rFonts w:ascii="Baskerville Old Face" w:hAnsi="Baskerville Old Face"/>
          <w:i/>
          <w:iCs/>
        </w:rPr>
        <w:br/>
        <w:t>"error": {</w:t>
      </w:r>
      <w:r w:rsidRPr="00B479AE">
        <w:rPr>
          <w:rFonts w:ascii="Baskerville Old Face" w:hAnsi="Baskerville Old Face"/>
          <w:i/>
          <w:iCs/>
        </w:rPr>
        <w:br/>
        <w:t>"code": "ERROR_CODE",</w:t>
      </w:r>
      <w:r w:rsidRPr="00B479AE">
        <w:rPr>
          <w:rFonts w:ascii="Baskerville Old Face" w:hAnsi="Baskerville Old Face"/>
          <w:i/>
          <w:iCs/>
        </w:rPr>
        <w:br/>
        <w:t>"message": "Human-readable description",</w:t>
      </w:r>
      <w:r w:rsidRPr="00B479AE">
        <w:rPr>
          <w:rFonts w:ascii="Baskerville Old Face" w:hAnsi="Baskerville Old Face"/>
          <w:i/>
          <w:iCs/>
        </w:rPr>
        <w:br/>
        <w:t>"details": {</w:t>
      </w:r>
      <w:r w:rsidRPr="00B479AE">
        <w:rPr>
          <w:rFonts w:ascii="Baskerville Old Face" w:hAnsi="Baskerville Old Face"/>
          <w:i/>
          <w:iCs/>
        </w:rPr>
        <w:br/>
        <w:t>"additional": "contextual information"</w:t>
      </w:r>
      <w:r w:rsidRPr="00B479AE">
        <w:rPr>
          <w:rFonts w:ascii="Baskerville Old Face" w:hAnsi="Baskerville Old Face"/>
          <w:i/>
          <w:iCs/>
        </w:rPr>
        <w:br/>
        <w:t>},</w:t>
      </w:r>
      <w:r w:rsidRPr="00B479AE">
        <w:rPr>
          <w:rFonts w:ascii="Baskerville Old Face" w:hAnsi="Baskerville Old Face"/>
          <w:i/>
          <w:iCs/>
        </w:rPr>
        <w:br/>
        <w:t>"request_id": "req_1234567890"</w:t>
      </w:r>
      <w:r w:rsidRPr="00B479AE">
        <w:rPr>
          <w:rFonts w:ascii="Baskerville Old Face" w:hAnsi="Baskerville Old Face"/>
          <w:i/>
          <w:iCs/>
        </w:rPr>
        <w:br/>
        <w:t>}</w:t>
      </w:r>
      <w:r w:rsidRPr="00B479AE">
        <w:rPr>
          <w:rFonts w:ascii="Baskerville Old Face" w:hAnsi="Baskerville Old Face"/>
          <w:i/>
          <w:iCs/>
        </w:rPr>
        <w:br/>
        <w:t>}</w:t>
      </w:r>
    </w:p>
    <w:p w14:paraId="3F87290F" w14:textId="6C6F1D43"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Common error codes may include:</w:t>
      </w:r>
      <w:r w:rsidR="00DE1016" w:rsidRPr="00B479AE">
        <w:rPr>
          <w:rFonts w:ascii="Baskerville Old Face" w:hAnsi="Baskerville Old Face"/>
          <w:i/>
          <w:iCs/>
        </w:rPr>
        <w:t xml:space="preserve"> </w:t>
      </w:r>
    </w:p>
    <w:p w14:paraId="2B303E01" w14:textId="77777777" w:rsidR="00DE1016" w:rsidRPr="00B479AE" w:rsidRDefault="00DE1016" w:rsidP="004E7C51">
      <w:pPr>
        <w:tabs>
          <w:tab w:val="left" w:pos="2685"/>
        </w:tabs>
        <w:spacing w:line="360" w:lineRule="auto"/>
        <w:rPr>
          <w:rFonts w:ascii="Baskerville Old Face" w:hAnsi="Baskerville Old Face"/>
          <w:i/>
          <w:iCs/>
        </w:rPr>
      </w:pPr>
    </w:p>
    <w:p w14:paraId="20EAFED0" w14:textId="77777777" w:rsidR="00DE1016" w:rsidRPr="00B479AE" w:rsidRDefault="00DE1016" w:rsidP="004E7C51">
      <w:pPr>
        <w:tabs>
          <w:tab w:val="left" w:pos="2685"/>
        </w:tabs>
        <w:spacing w:line="360" w:lineRule="auto"/>
        <w:rPr>
          <w:rFonts w:ascii="Baskerville Old Face" w:hAnsi="Baskerville Old Face"/>
          <w:i/>
          <w:iCs/>
        </w:rPr>
      </w:pPr>
    </w:p>
    <w:p w14:paraId="575EA870" w14:textId="77777777" w:rsidR="00DE1016" w:rsidRPr="00B479AE" w:rsidRDefault="00DE1016" w:rsidP="004E7C51">
      <w:pPr>
        <w:tabs>
          <w:tab w:val="left" w:pos="2685"/>
        </w:tabs>
        <w:spacing w:line="360" w:lineRule="auto"/>
        <w:rPr>
          <w:rFonts w:ascii="Baskerville Old Face" w:hAnsi="Baskerville Old Face"/>
          <w:i/>
          <w:iCs/>
        </w:rPr>
      </w:pPr>
    </w:p>
    <w:p w14:paraId="31362D17" w14:textId="77777777" w:rsidR="00DE1016" w:rsidRPr="00B479AE" w:rsidRDefault="00DE1016" w:rsidP="004E7C51">
      <w:pPr>
        <w:tabs>
          <w:tab w:val="left" w:pos="2685"/>
        </w:tabs>
        <w:spacing w:line="360" w:lineRule="auto"/>
        <w:rPr>
          <w:rFonts w:ascii="Baskerville Old Face" w:hAnsi="Baskerville Old Face"/>
          <w:i/>
          <w:iCs/>
        </w:rPr>
      </w:pPr>
    </w:p>
    <w:p w14:paraId="11607CF6" w14:textId="77777777" w:rsidR="00DE1016" w:rsidRPr="00B479AE" w:rsidRDefault="00DE1016" w:rsidP="004E7C51">
      <w:pPr>
        <w:tabs>
          <w:tab w:val="left" w:pos="2685"/>
        </w:tabs>
        <w:spacing w:line="360" w:lineRule="auto"/>
        <w:rPr>
          <w:rFonts w:ascii="Baskerville Old Face" w:hAnsi="Baskerville Old Face"/>
          <w:i/>
          <w:iCs/>
        </w:rPr>
      </w:pPr>
    </w:p>
    <w:p w14:paraId="3A82EBA9" w14:textId="77777777" w:rsidR="00DE1016" w:rsidRPr="00B479AE" w:rsidRDefault="00DE1016" w:rsidP="004E7C51">
      <w:pPr>
        <w:tabs>
          <w:tab w:val="left" w:pos="2685"/>
        </w:tabs>
        <w:spacing w:line="360" w:lineRule="auto"/>
        <w:rPr>
          <w:rFonts w:ascii="Baskerville Old Face" w:hAnsi="Baskerville Old Face"/>
          <w:i/>
          <w:iCs/>
        </w:rPr>
      </w:pPr>
    </w:p>
    <w:p w14:paraId="0F39737D" w14:textId="77777777" w:rsidR="00DE1016" w:rsidRPr="00B479AE" w:rsidRDefault="00DE1016" w:rsidP="004E7C51">
      <w:pPr>
        <w:tabs>
          <w:tab w:val="left" w:pos="2685"/>
        </w:tabs>
        <w:spacing w:line="360" w:lineRule="auto"/>
        <w:rPr>
          <w:rFonts w:ascii="Baskerville Old Face" w:hAnsi="Baskerville Old Face"/>
          <w:i/>
          <w:iCs/>
        </w:rPr>
      </w:pPr>
    </w:p>
    <w:p w14:paraId="4EAA6C33" w14:textId="77777777" w:rsidR="00DE1016" w:rsidRPr="00B479AE" w:rsidRDefault="00DE1016" w:rsidP="004E7C51">
      <w:pPr>
        <w:tabs>
          <w:tab w:val="left" w:pos="2685"/>
        </w:tabs>
        <w:spacing w:line="360" w:lineRule="auto"/>
        <w:rPr>
          <w:rFonts w:ascii="Baskerville Old Face" w:hAnsi="Baskerville Old Face"/>
          <w:i/>
          <w:iCs/>
        </w:rPr>
      </w:pPr>
    </w:p>
    <w:p w14:paraId="27A8A45B" w14:textId="77777777" w:rsidR="00DE1016" w:rsidRPr="00B479AE" w:rsidRDefault="00DE1016" w:rsidP="004E7C51">
      <w:pPr>
        <w:tabs>
          <w:tab w:val="left" w:pos="2685"/>
        </w:tabs>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15"/>
        <w:gridCol w:w="881"/>
        <w:gridCol w:w="4432"/>
      </w:tblGrid>
      <w:tr w:rsidR="004E7C51" w:rsidRPr="00B479AE" w14:paraId="4305B217" w14:textId="77777777" w:rsidTr="00DE1016">
        <w:trPr>
          <w:tblHeader/>
          <w:tblCellSpacing w:w="15" w:type="dxa"/>
        </w:trPr>
        <w:tc>
          <w:tcPr>
            <w:tcW w:w="0" w:type="auto"/>
            <w:vAlign w:val="center"/>
            <w:hideMark/>
          </w:tcPr>
          <w:p w14:paraId="3F3EF7FF"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lastRenderedPageBreak/>
              <w:t>Code</w:t>
            </w:r>
          </w:p>
        </w:tc>
        <w:tc>
          <w:tcPr>
            <w:tcW w:w="0" w:type="auto"/>
            <w:vAlign w:val="center"/>
            <w:hideMark/>
          </w:tcPr>
          <w:p w14:paraId="6DBCB96A"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HTTP status</w:t>
            </w:r>
          </w:p>
        </w:tc>
        <w:tc>
          <w:tcPr>
            <w:tcW w:w="0" w:type="auto"/>
            <w:vAlign w:val="center"/>
            <w:hideMark/>
          </w:tcPr>
          <w:p w14:paraId="7C221828"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Description</w:t>
            </w:r>
          </w:p>
        </w:tc>
      </w:tr>
      <w:tr w:rsidR="004E7C51" w:rsidRPr="00B479AE" w14:paraId="625C4995" w14:textId="77777777" w:rsidTr="00DE1016">
        <w:trPr>
          <w:tblCellSpacing w:w="15" w:type="dxa"/>
        </w:trPr>
        <w:tc>
          <w:tcPr>
            <w:tcW w:w="0" w:type="auto"/>
            <w:vAlign w:val="center"/>
            <w:hideMark/>
          </w:tcPr>
          <w:p w14:paraId="4C8DE410"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AUTH_REQUIRED</w:t>
            </w:r>
          </w:p>
        </w:tc>
        <w:tc>
          <w:tcPr>
            <w:tcW w:w="0" w:type="auto"/>
            <w:vAlign w:val="center"/>
            <w:hideMark/>
          </w:tcPr>
          <w:p w14:paraId="7A730D21"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401</w:t>
            </w:r>
          </w:p>
        </w:tc>
        <w:tc>
          <w:tcPr>
            <w:tcW w:w="0" w:type="auto"/>
            <w:vAlign w:val="center"/>
            <w:hideMark/>
          </w:tcPr>
          <w:p w14:paraId="2ACBAA9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Authentication required</w:t>
            </w:r>
          </w:p>
        </w:tc>
      </w:tr>
      <w:tr w:rsidR="004E7C51" w:rsidRPr="00B479AE" w14:paraId="1D5E2D7D" w14:textId="77777777" w:rsidTr="00DE1016">
        <w:trPr>
          <w:tblCellSpacing w:w="15" w:type="dxa"/>
        </w:trPr>
        <w:tc>
          <w:tcPr>
            <w:tcW w:w="0" w:type="auto"/>
            <w:vAlign w:val="center"/>
            <w:hideMark/>
          </w:tcPr>
          <w:p w14:paraId="097FB41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INVALID_API_KEY</w:t>
            </w:r>
          </w:p>
        </w:tc>
        <w:tc>
          <w:tcPr>
            <w:tcW w:w="0" w:type="auto"/>
            <w:vAlign w:val="center"/>
            <w:hideMark/>
          </w:tcPr>
          <w:p w14:paraId="032CC3D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401</w:t>
            </w:r>
          </w:p>
        </w:tc>
        <w:tc>
          <w:tcPr>
            <w:tcW w:w="0" w:type="auto"/>
            <w:vAlign w:val="center"/>
            <w:hideMark/>
          </w:tcPr>
          <w:p w14:paraId="67615DF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API key invalid, expired, revoked, or outside permitted scope</w:t>
            </w:r>
          </w:p>
        </w:tc>
      </w:tr>
      <w:tr w:rsidR="004E7C51" w:rsidRPr="00B479AE" w14:paraId="1813B3D9" w14:textId="77777777" w:rsidTr="00DE1016">
        <w:trPr>
          <w:tblCellSpacing w:w="15" w:type="dxa"/>
        </w:trPr>
        <w:tc>
          <w:tcPr>
            <w:tcW w:w="0" w:type="auto"/>
            <w:vAlign w:val="center"/>
            <w:hideMark/>
          </w:tcPr>
          <w:p w14:paraId="4103E8B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INVALID_SIGNATURE</w:t>
            </w:r>
          </w:p>
        </w:tc>
        <w:tc>
          <w:tcPr>
            <w:tcW w:w="0" w:type="auto"/>
            <w:vAlign w:val="center"/>
            <w:hideMark/>
          </w:tcPr>
          <w:p w14:paraId="4E03287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401</w:t>
            </w:r>
          </w:p>
        </w:tc>
        <w:tc>
          <w:tcPr>
            <w:tcW w:w="0" w:type="auto"/>
            <w:vAlign w:val="center"/>
            <w:hideMark/>
          </w:tcPr>
          <w:p w14:paraId="6A354136"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Agent or service signature invalid</w:t>
            </w:r>
          </w:p>
        </w:tc>
      </w:tr>
      <w:tr w:rsidR="004E7C51" w:rsidRPr="00B479AE" w14:paraId="13407C59" w14:textId="77777777" w:rsidTr="00DE1016">
        <w:trPr>
          <w:tblCellSpacing w:w="15" w:type="dxa"/>
        </w:trPr>
        <w:tc>
          <w:tcPr>
            <w:tcW w:w="0" w:type="auto"/>
            <w:vAlign w:val="center"/>
            <w:hideMark/>
          </w:tcPr>
          <w:p w14:paraId="46E74FA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INSUFFICIENT_PERMISSIONS</w:t>
            </w:r>
          </w:p>
        </w:tc>
        <w:tc>
          <w:tcPr>
            <w:tcW w:w="0" w:type="auto"/>
            <w:vAlign w:val="center"/>
            <w:hideMark/>
          </w:tcPr>
          <w:p w14:paraId="32E72F2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403</w:t>
            </w:r>
          </w:p>
        </w:tc>
        <w:tc>
          <w:tcPr>
            <w:tcW w:w="0" w:type="auto"/>
            <w:vAlign w:val="center"/>
            <w:hideMark/>
          </w:tcPr>
          <w:p w14:paraId="6A09C110"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Caller lacks required permissions</w:t>
            </w:r>
          </w:p>
        </w:tc>
      </w:tr>
      <w:tr w:rsidR="004E7C51" w:rsidRPr="00B479AE" w14:paraId="414B0120" w14:textId="77777777" w:rsidTr="00DE1016">
        <w:trPr>
          <w:tblCellSpacing w:w="15" w:type="dxa"/>
        </w:trPr>
        <w:tc>
          <w:tcPr>
            <w:tcW w:w="0" w:type="auto"/>
            <w:vAlign w:val="center"/>
            <w:hideMark/>
          </w:tcPr>
          <w:p w14:paraId="2BEF2DA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RATE_LIMIT_EXCEEDED</w:t>
            </w:r>
          </w:p>
        </w:tc>
        <w:tc>
          <w:tcPr>
            <w:tcW w:w="0" w:type="auto"/>
            <w:vAlign w:val="center"/>
            <w:hideMark/>
          </w:tcPr>
          <w:p w14:paraId="11B68EC0"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429</w:t>
            </w:r>
          </w:p>
        </w:tc>
        <w:tc>
          <w:tcPr>
            <w:tcW w:w="0" w:type="auto"/>
            <w:vAlign w:val="center"/>
            <w:hideMark/>
          </w:tcPr>
          <w:p w14:paraId="238F08A2"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Rate limit exceeded</w:t>
            </w:r>
          </w:p>
        </w:tc>
      </w:tr>
      <w:tr w:rsidR="004E7C51" w:rsidRPr="00B479AE" w14:paraId="0840A603" w14:textId="77777777" w:rsidTr="00DE1016">
        <w:trPr>
          <w:tblCellSpacing w:w="15" w:type="dxa"/>
        </w:trPr>
        <w:tc>
          <w:tcPr>
            <w:tcW w:w="0" w:type="auto"/>
            <w:vAlign w:val="center"/>
            <w:hideMark/>
          </w:tcPr>
          <w:p w14:paraId="7576ED0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INVALID_REQUEST</w:t>
            </w:r>
          </w:p>
        </w:tc>
        <w:tc>
          <w:tcPr>
            <w:tcW w:w="0" w:type="auto"/>
            <w:vAlign w:val="center"/>
            <w:hideMark/>
          </w:tcPr>
          <w:p w14:paraId="6E7045E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400</w:t>
            </w:r>
          </w:p>
        </w:tc>
        <w:tc>
          <w:tcPr>
            <w:tcW w:w="0" w:type="auto"/>
            <w:vAlign w:val="center"/>
            <w:hideMark/>
          </w:tcPr>
          <w:p w14:paraId="64360A9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Malformed request</w:t>
            </w:r>
          </w:p>
        </w:tc>
      </w:tr>
      <w:tr w:rsidR="004E7C51" w:rsidRPr="00B479AE" w14:paraId="2C13C188" w14:textId="77777777" w:rsidTr="00DE1016">
        <w:trPr>
          <w:tblCellSpacing w:w="15" w:type="dxa"/>
        </w:trPr>
        <w:tc>
          <w:tcPr>
            <w:tcW w:w="0" w:type="auto"/>
            <w:vAlign w:val="center"/>
            <w:hideMark/>
          </w:tcPr>
          <w:p w14:paraId="332D7730"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INVALID_SCHEMA</w:t>
            </w:r>
          </w:p>
        </w:tc>
        <w:tc>
          <w:tcPr>
            <w:tcW w:w="0" w:type="auto"/>
            <w:vAlign w:val="center"/>
            <w:hideMark/>
          </w:tcPr>
          <w:p w14:paraId="72424BD2"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400</w:t>
            </w:r>
          </w:p>
        </w:tc>
        <w:tc>
          <w:tcPr>
            <w:tcW w:w="0" w:type="auto"/>
            <w:vAlign w:val="center"/>
            <w:hideMark/>
          </w:tcPr>
          <w:p w14:paraId="746399E4"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Request does not match expected schema</w:t>
            </w:r>
          </w:p>
        </w:tc>
      </w:tr>
      <w:tr w:rsidR="004E7C51" w:rsidRPr="00B479AE" w14:paraId="5B9470CF" w14:textId="77777777" w:rsidTr="00DE1016">
        <w:trPr>
          <w:tblCellSpacing w:w="15" w:type="dxa"/>
        </w:trPr>
        <w:tc>
          <w:tcPr>
            <w:tcW w:w="0" w:type="auto"/>
            <w:vAlign w:val="center"/>
            <w:hideMark/>
          </w:tcPr>
          <w:p w14:paraId="0CF44212"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CONSTITUTIONAL_VIOLATION</w:t>
            </w:r>
          </w:p>
        </w:tc>
        <w:tc>
          <w:tcPr>
            <w:tcW w:w="0" w:type="auto"/>
            <w:vAlign w:val="center"/>
            <w:hideMark/>
          </w:tcPr>
          <w:p w14:paraId="119760D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422</w:t>
            </w:r>
          </w:p>
        </w:tc>
        <w:tc>
          <w:tcPr>
            <w:tcW w:w="0" w:type="auto"/>
            <w:vAlign w:val="center"/>
            <w:hideMark/>
          </w:tcPr>
          <w:p w14:paraId="776AE9B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Request appears to violate constitutional constraints</w:t>
            </w:r>
          </w:p>
        </w:tc>
      </w:tr>
      <w:tr w:rsidR="004E7C51" w:rsidRPr="00B479AE" w14:paraId="3D96EA56" w14:textId="77777777" w:rsidTr="00DE1016">
        <w:trPr>
          <w:tblCellSpacing w:w="15" w:type="dxa"/>
        </w:trPr>
        <w:tc>
          <w:tcPr>
            <w:tcW w:w="0" w:type="auto"/>
            <w:vAlign w:val="center"/>
            <w:hideMark/>
          </w:tcPr>
          <w:p w14:paraId="68B8ADE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PROTECTED_DOMAIN_REVIEW_REQUIRED</w:t>
            </w:r>
          </w:p>
        </w:tc>
        <w:tc>
          <w:tcPr>
            <w:tcW w:w="0" w:type="auto"/>
            <w:vAlign w:val="center"/>
            <w:hideMark/>
          </w:tcPr>
          <w:p w14:paraId="0FF48F07"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423</w:t>
            </w:r>
          </w:p>
        </w:tc>
        <w:tc>
          <w:tcPr>
            <w:tcW w:w="0" w:type="auto"/>
            <w:vAlign w:val="center"/>
            <w:hideMark/>
          </w:tcPr>
          <w:p w14:paraId="341FA8A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Request affects protected domain and requires review</w:t>
            </w:r>
          </w:p>
        </w:tc>
      </w:tr>
      <w:tr w:rsidR="004E7C51" w:rsidRPr="00B479AE" w14:paraId="51724B8B" w14:textId="77777777" w:rsidTr="00DE1016">
        <w:trPr>
          <w:tblCellSpacing w:w="15" w:type="dxa"/>
        </w:trPr>
        <w:tc>
          <w:tcPr>
            <w:tcW w:w="0" w:type="auto"/>
            <w:vAlign w:val="center"/>
            <w:hideMark/>
          </w:tcPr>
          <w:p w14:paraId="61A8B7E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LEGAL_REVIEW_REQUIRED</w:t>
            </w:r>
          </w:p>
        </w:tc>
        <w:tc>
          <w:tcPr>
            <w:tcW w:w="0" w:type="auto"/>
            <w:vAlign w:val="center"/>
            <w:hideMark/>
          </w:tcPr>
          <w:p w14:paraId="20A366B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423</w:t>
            </w:r>
          </w:p>
        </w:tc>
        <w:tc>
          <w:tcPr>
            <w:tcW w:w="0" w:type="auto"/>
            <w:vAlign w:val="center"/>
            <w:hideMark/>
          </w:tcPr>
          <w:p w14:paraId="37A85FDC"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Request may affect rights, finance, land, data, health, public claims, or regulated instruments</w:t>
            </w:r>
          </w:p>
        </w:tc>
      </w:tr>
      <w:tr w:rsidR="004E7C51" w:rsidRPr="00B479AE" w14:paraId="315E7C83" w14:textId="77777777" w:rsidTr="00DE1016">
        <w:trPr>
          <w:tblCellSpacing w:w="15" w:type="dxa"/>
        </w:trPr>
        <w:tc>
          <w:tcPr>
            <w:tcW w:w="0" w:type="auto"/>
            <w:vAlign w:val="center"/>
            <w:hideMark/>
          </w:tcPr>
          <w:p w14:paraId="28C8FE6C"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MRV_REVIEW_REQUIRED</w:t>
            </w:r>
          </w:p>
        </w:tc>
        <w:tc>
          <w:tcPr>
            <w:tcW w:w="0" w:type="auto"/>
            <w:vAlign w:val="center"/>
            <w:hideMark/>
          </w:tcPr>
          <w:p w14:paraId="41D5306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423</w:t>
            </w:r>
          </w:p>
        </w:tc>
        <w:tc>
          <w:tcPr>
            <w:tcW w:w="0" w:type="auto"/>
            <w:vAlign w:val="center"/>
            <w:hideMark/>
          </w:tcPr>
          <w:p w14:paraId="2AAFB27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Request affects evidence, indicators, PRU analysis, RAP screening, or ecological performance</w:t>
            </w:r>
          </w:p>
        </w:tc>
      </w:tr>
      <w:tr w:rsidR="004E7C51" w:rsidRPr="00B479AE" w14:paraId="7E9F31ED" w14:textId="77777777" w:rsidTr="00DE1016">
        <w:trPr>
          <w:tblCellSpacing w:w="15" w:type="dxa"/>
        </w:trPr>
        <w:tc>
          <w:tcPr>
            <w:tcW w:w="0" w:type="auto"/>
            <w:vAlign w:val="center"/>
            <w:hideMark/>
          </w:tcPr>
          <w:p w14:paraId="10DB7C0B"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NON_ADMISSIBLE</w:t>
            </w:r>
          </w:p>
        </w:tc>
        <w:tc>
          <w:tcPr>
            <w:tcW w:w="0" w:type="auto"/>
            <w:vAlign w:val="center"/>
            <w:hideMark/>
          </w:tcPr>
          <w:p w14:paraId="4F326C4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422</w:t>
            </w:r>
          </w:p>
        </w:tc>
        <w:tc>
          <w:tcPr>
            <w:tcW w:w="0" w:type="auto"/>
            <w:vAlign w:val="center"/>
            <w:hideMark/>
          </w:tcPr>
          <w:p w14:paraId="5C7138DC"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Output cannot enter protected pathways</w:t>
            </w:r>
          </w:p>
        </w:tc>
      </w:tr>
      <w:tr w:rsidR="004E7C51" w:rsidRPr="00B479AE" w14:paraId="2CB4F902" w14:textId="77777777" w:rsidTr="00DE1016">
        <w:trPr>
          <w:tblCellSpacing w:w="15" w:type="dxa"/>
        </w:trPr>
        <w:tc>
          <w:tcPr>
            <w:tcW w:w="0" w:type="auto"/>
            <w:vAlign w:val="center"/>
            <w:hideMark/>
          </w:tcPr>
          <w:p w14:paraId="3C4B416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QUARANTINED</w:t>
            </w:r>
          </w:p>
        </w:tc>
        <w:tc>
          <w:tcPr>
            <w:tcW w:w="0" w:type="auto"/>
            <w:vAlign w:val="center"/>
            <w:hideMark/>
          </w:tcPr>
          <w:p w14:paraId="2E19642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423</w:t>
            </w:r>
          </w:p>
        </w:tc>
        <w:tc>
          <w:tcPr>
            <w:tcW w:w="0" w:type="auto"/>
            <w:vAlign w:val="center"/>
            <w:hideMark/>
          </w:tcPr>
          <w:p w14:paraId="1F236A62"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Record, claim, integration, fork, or action is quarantined pending review</w:t>
            </w:r>
          </w:p>
        </w:tc>
      </w:tr>
      <w:tr w:rsidR="004E7C51" w:rsidRPr="00B479AE" w14:paraId="57CE282D" w14:textId="77777777" w:rsidTr="00DE1016">
        <w:trPr>
          <w:tblCellSpacing w:w="15" w:type="dxa"/>
        </w:trPr>
        <w:tc>
          <w:tcPr>
            <w:tcW w:w="0" w:type="auto"/>
            <w:vAlign w:val="center"/>
            <w:hideMark/>
          </w:tcPr>
          <w:p w14:paraId="35C19F8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RESOURCE_NOT_FOUND</w:t>
            </w:r>
          </w:p>
        </w:tc>
        <w:tc>
          <w:tcPr>
            <w:tcW w:w="0" w:type="auto"/>
            <w:vAlign w:val="center"/>
            <w:hideMark/>
          </w:tcPr>
          <w:p w14:paraId="6012347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404</w:t>
            </w:r>
          </w:p>
        </w:tc>
        <w:tc>
          <w:tcPr>
            <w:tcW w:w="0" w:type="auto"/>
            <w:vAlign w:val="center"/>
            <w:hideMark/>
          </w:tcPr>
          <w:p w14:paraId="3574AAED"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Resource not found</w:t>
            </w:r>
          </w:p>
        </w:tc>
      </w:tr>
      <w:tr w:rsidR="004E7C51" w:rsidRPr="00B479AE" w14:paraId="0D927C3A" w14:textId="77777777" w:rsidTr="00DE1016">
        <w:trPr>
          <w:tblCellSpacing w:w="15" w:type="dxa"/>
        </w:trPr>
        <w:tc>
          <w:tcPr>
            <w:tcW w:w="0" w:type="auto"/>
            <w:vAlign w:val="center"/>
            <w:hideMark/>
          </w:tcPr>
          <w:p w14:paraId="1AE83DA3"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CONFLICT</w:t>
            </w:r>
          </w:p>
        </w:tc>
        <w:tc>
          <w:tcPr>
            <w:tcW w:w="0" w:type="auto"/>
            <w:vAlign w:val="center"/>
            <w:hideMark/>
          </w:tcPr>
          <w:p w14:paraId="5A91504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409</w:t>
            </w:r>
          </w:p>
        </w:tc>
        <w:tc>
          <w:tcPr>
            <w:tcW w:w="0" w:type="auto"/>
            <w:vAlign w:val="center"/>
            <w:hideMark/>
          </w:tcPr>
          <w:p w14:paraId="13C1D19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Request conflicts with existing record or state</w:t>
            </w:r>
          </w:p>
        </w:tc>
      </w:tr>
      <w:tr w:rsidR="004E7C51" w:rsidRPr="00B479AE" w14:paraId="33FA1846" w14:textId="77777777" w:rsidTr="00DE1016">
        <w:trPr>
          <w:tblCellSpacing w:w="15" w:type="dxa"/>
        </w:trPr>
        <w:tc>
          <w:tcPr>
            <w:tcW w:w="0" w:type="auto"/>
            <w:vAlign w:val="center"/>
            <w:hideMark/>
          </w:tcPr>
          <w:p w14:paraId="47B485E7"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INTERNAL_ERROR</w:t>
            </w:r>
          </w:p>
        </w:tc>
        <w:tc>
          <w:tcPr>
            <w:tcW w:w="0" w:type="auto"/>
            <w:vAlign w:val="center"/>
            <w:hideMark/>
          </w:tcPr>
          <w:p w14:paraId="7381B7AC"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500</w:t>
            </w:r>
          </w:p>
        </w:tc>
        <w:tc>
          <w:tcPr>
            <w:tcW w:w="0" w:type="auto"/>
            <w:vAlign w:val="center"/>
            <w:hideMark/>
          </w:tcPr>
          <w:p w14:paraId="527029A2"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Internal server error</w:t>
            </w:r>
          </w:p>
        </w:tc>
      </w:tr>
      <w:tr w:rsidR="004E7C51" w:rsidRPr="00B479AE" w14:paraId="3A2DCEB7" w14:textId="77777777" w:rsidTr="00DE1016">
        <w:trPr>
          <w:tblCellSpacing w:w="15" w:type="dxa"/>
        </w:trPr>
        <w:tc>
          <w:tcPr>
            <w:tcW w:w="0" w:type="auto"/>
            <w:vAlign w:val="center"/>
            <w:hideMark/>
          </w:tcPr>
          <w:p w14:paraId="1C8208E7"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SERVICE_UNAVAILABLE</w:t>
            </w:r>
          </w:p>
        </w:tc>
        <w:tc>
          <w:tcPr>
            <w:tcW w:w="0" w:type="auto"/>
            <w:vAlign w:val="center"/>
            <w:hideMark/>
          </w:tcPr>
          <w:p w14:paraId="439C46BB"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503</w:t>
            </w:r>
          </w:p>
        </w:tc>
        <w:tc>
          <w:tcPr>
            <w:tcW w:w="0" w:type="auto"/>
            <w:vAlign w:val="center"/>
            <w:hideMark/>
          </w:tcPr>
          <w:p w14:paraId="5D525257"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Service temporarily unavailable</w:t>
            </w:r>
          </w:p>
        </w:tc>
      </w:tr>
    </w:tbl>
    <w:p w14:paraId="0A6006AB"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lastRenderedPageBreak/>
        <w:t>The request_id field should be included in all error responses to facilitate debugging, review, audit, and support.</w:t>
      </w:r>
    </w:p>
    <w:p w14:paraId="20EC8CD7"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t>L.10 Versioning and Deprecation</w:t>
      </w:r>
    </w:p>
    <w:p w14:paraId="2DE3C8DB"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The API should follow semantic versioning.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2"/>
        <w:gridCol w:w="784"/>
        <w:gridCol w:w="2796"/>
        <w:gridCol w:w="4956"/>
      </w:tblGrid>
      <w:tr w:rsidR="004E7C51" w:rsidRPr="00B479AE" w14:paraId="6ADD975A" w14:textId="77777777" w:rsidTr="00DE1016">
        <w:trPr>
          <w:tblHeader/>
          <w:tblCellSpacing w:w="15" w:type="dxa"/>
        </w:trPr>
        <w:tc>
          <w:tcPr>
            <w:tcW w:w="0" w:type="auto"/>
            <w:vAlign w:val="center"/>
            <w:hideMark/>
          </w:tcPr>
          <w:p w14:paraId="169D4E9B"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Version type</w:t>
            </w:r>
          </w:p>
        </w:tc>
        <w:tc>
          <w:tcPr>
            <w:tcW w:w="0" w:type="auto"/>
            <w:vAlign w:val="center"/>
            <w:hideMark/>
          </w:tcPr>
          <w:p w14:paraId="2BDD4A01"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Example</w:t>
            </w:r>
          </w:p>
        </w:tc>
        <w:tc>
          <w:tcPr>
            <w:tcW w:w="0" w:type="auto"/>
            <w:vAlign w:val="center"/>
            <w:hideMark/>
          </w:tcPr>
          <w:p w14:paraId="636CDCF5"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Meaning</w:t>
            </w:r>
          </w:p>
        </w:tc>
        <w:tc>
          <w:tcPr>
            <w:tcW w:w="0" w:type="auto"/>
            <w:vAlign w:val="center"/>
            <w:hideMark/>
          </w:tcPr>
          <w:p w14:paraId="62657F9D" w14:textId="77777777" w:rsidR="004E7C51" w:rsidRPr="00B479AE" w:rsidRDefault="004E7C51" w:rsidP="004E7C51">
            <w:pPr>
              <w:tabs>
                <w:tab w:val="left" w:pos="2685"/>
              </w:tabs>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Support policy</w:t>
            </w:r>
          </w:p>
        </w:tc>
      </w:tr>
      <w:tr w:rsidR="004E7C51" w:rsidRPr="00B479AE" w14:paraId="09FC1F77" w14:textId="77777777" w:rsidTr="00DE1016">
        <w:trPr>
          <w:tblCellSpacing w:w="15" w:type="dxa"/>
        </w:trPr>
        <w:tc>
          <w:tcPr>
            <w:tcW w:w="0" w:type="auto"/>
            <w:vAlign w:val="center"/>
            <w:hideMark/>
          </w:tcPr>
          <w:p w14:paraId="5204586C"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Major version</w:t>
            </w:r>
          </w:p>
        </w:tc>
        <w:tc>
          <w:tcPr>
            <w:tcW w:w="0" w:type="auto"/>
            <w:vAlign w:val="center"/>
            <w:hideMark/>
          </w:tcPr>
          <w:p w14:paraId="0BC1037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v1, v2</w:t>
            </w:r>
          </w:p>
        </w:tc>
        <w:tc>
          <w:tcPr>
            <w:tcW w:w="0" w:type="auto"/>
            <w:vAlign w:val="center"/>
            <w:hideMark/>
          </w:tcPr>
          <w:p w14:paraId="06AF0371"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Breaking changes</w:t>
            </w:r>
          </w:p>
        </w:tc>
        <w:tc>
          <w:tcPr>
            <w:tcW w:w="0" w:type="auto"/>
            <w:vAlign w:val="center"/>
            <w:hideMark/>
          </w:tcPr>
          <w:p w14:paraId="0323A84C"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Supported for a defined period, for example at least 24 months where feasible</w:t>
            </w:r>
          </w:p>
        </w:tc>
      </w:tr>
      <w:tr w:rsidR="004E7C51" w:rsidRPr="00B479AE" w14:paraId="156FA454" w14:textId="77777777" w:rsidTr="00DE1016">
        <w:trPr>
          <w:tblCellSpacing w:w="15" w:type="dxa"/>
        </w:trPr>
        <w:tc>
          <w:tcPr>
            <w:tcW w:w="0" w:type="auto"/>
            <w:vAlign w:val="center"/>
            <w:hideMark/>
          </w:tcPr>
          <w:p w14:paraId="284FC006"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Minor version</w:t>
            </w:r>
          </w:p>
        </w:tc>
        <w:tc>
          <w:tcPr>
            <w:tcW w:w="0" w:type="auto"/>
            <w:vAlign w:val="center"/>
            <w:hideMark/>
          </w:tcPr>
          <w:p w14:paraId="16865B99"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v1.1</w:t>
            </w:r>
          </w:p>
        </w:tc>
        <w:tc>
          <w:tcPr>
            <w:tcW w:w="0" w:type="auto"/>
            <w:vAlign w:val="center"/>
            <w:hideMark/>
          </w:tcPr>
          <w:p w14:paraId="3B74B45E"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Backward-compatible additions</w:t>
            </w:r>
          </w:p>
        </w:tc>
        <w:tc>
          <w:tcPr>
            <w:tcW w:w="0" w:type="auto"/>
            <w:vAlign w:val="center"/>
            <w:hideMark/>
          </w:tcPr>
          <w:p w14:paraId="073849B0"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Announced in advance where operationally relevant</w:t>
            </w:r>
          </w:p>
        </w:tc>
      </w:tr>
      <w:tr w:rsidR="004E7C51" w:rsidRPr="00B479AE" w14:paraId="23297543" w14:textId="77777777" w:rsidTr="00DE1016">
        <w:trPr>
          <w:tblCellSpacing w:w="15" w:type="dxa"/>
        </w:trPr>
        <w:tc>
          <w:tcPr>
            <w:tcW w:w="0" w:type="auto"/>
            <w:vAlign w:val="center"/>
            <w:hideMark/>
          </w:tcPr>
          <w:p w14:paraId="76FFF79D"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Patch version</w:t>
            </w:r>
          </w:p>
        </w:tc>
        <w:tc>
          <w:tcPr>
            <w:tcW w:w="0" w:type="auto"/>
            <w:vAlign w:val="center"/>
            <w:hideMark/>
          </w:tcPr>
          <w:p w14:paraId="54CB3EB7"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v1.1.2</w:t>
            </w:r>
          </w:p>
        </w:tc>
        <w:tc>
          <w:tcPr>
            <w:tcW w:w="0" w:type="auto"/>
            <w:vAlign w:val="center"/>
            <w:hideMark/>
          </w:tcPr>
          <w:p w14:paraId="1431D5EA"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Bug fixes, security fixes, minor corrections</w:t>
            </w:r>
          </w:p>
        </w:tc>
        <w:tc>
          <w:tcPr>
            <w:tcW w:w="0" w:type="auto"/>
            <w:vAlign w:val="center"/>
            <w:hideMark/>
          </w:tcPr>
          <w:p w14:paraId="56E826E8" w14:textId="77777777" w:rsidR="004E7C51" w:rsidRPr="00B479AE" w:rsidRDefault="004E7C51" w:rsidP="004E7C51">
            <w:pPr>
              <w:tabs>
                <w:tab w:val="left" w:pos="2685"/>
              </w:tabs>
              <w:spacing w:line="360" w:lineRule="auto"/>
              <w:rPr>
                <w:rFonts w:ascii="Baskerville Old Face" w:hAnsi="Baskerville Old Face"/>
                <w:i/>
                <w:iCs/>
                <w:sz w:val="20"/>
                <w:szCs w:val="20"/>
              </w:rPr>
            </w:pPr>
            <w:r w:rsidRPr="00B479AE">
              <w:rPr>
                <w:rFonts w:ascii="Baskerville Old Face" w:hAnsi="Baskerville Old Face"/>
                <w:i/>
                <w:iCs/>
                <w:sz w:val="20"/>
                <w:szCs w:val="20"/>
              </w:rPr>
              <w:t>No advance notice required where urgent</w:t>
            </w:r>
          </w:p>
        </w:tc>
      </w:tr>
    </w:tbl>
    <w:p w14:paraId="08846329"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Deprecated endpoints should return a Warning header and continue to function for a defined deprecation period unless security, legal, or integrity risk requires faster suspension.</w:t>
      </w:r>
    </w:p>
    <w:p w14:paraId="59DCCAE0"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Example warning header:</w:t>
      </w:r>
    </w:p>
    <w:p w14:paraId="065FC8F2"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text</w:t>
      </w:r>
      <w:r w:rsidRPr="00B479AE">
        <w:rPr>
          <w:rFonts w:ascii="Baskerville Old Face" w:hAnsi="Baskerville Old Face"/>
          <w:i/>
          <w:iCs/>
        </w:rPr>
        <w:br/>
        <w:t>Warning: 299 - "The endpoint /v1/example is deprecated. Please migrate to /v2/example. See canonical migration documentation for details."</w:t>
      </w:r>
    </w:p>
    <w:p w14:paraId="23ACB007"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After the deprecation period, deprecated endpoints may return 410 Gone responses.</w:t>
      </w:r>
    </w:p>
    <w:p w14:paraId="32E9B44A"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Deprecation should preserve:</w:t>
      </w:r>
    </w:p>
    <w:p w14:paraId="4AB65A1E"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migration documentation;</w:t>
      </w:r>
    </w:p>
    <w:p w14:paraId="50AC0591"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version history;</w:t>
      </w:r>
    </w:p>
    <w:p w14:paraId="725E6F41"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compatibility notes;</w:t>
      </w:r>
    </w:p>
    <w:p w14:paraId="2BDEF9D0"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security rationale where relevant;</w:t>
      </w:r>
    </w:p>
    <w:p w14:paraId="24227B4D"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affected endpoint list;</w:t>
      </w:r>
    </w:p>
    <w:p w14:paraId="59E11189"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lastRenderedPageBreak/>
        <w:t>• sunset date;</w:t>
      </w:r>
    </w:p>
    <w:p w14:paraId="2A6AA96F"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fallback path;</w:t>
      </w:r>
    </w:p>
    <w:p w14:paraId="58F2DA0B"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registry or release reference.</w:t>
      </w:r>
    </w:p>
    <w:p w14:paraId="77A3C636"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t>L.11 Developer Resources</w:t>
      </w:r>
    </w:p>
    <w:p w14:paraId="60F80D3C"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Developer resources should be maintained in a separate technical documentation package and synchronized with canonical release metadata.</w:t>
      </w:r>
    </w:p>
    <w:p w14:paraId="2720AE4F"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Possible resources may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7"/>
        <w:gridCol w:w="5827"/>
      </w:tblGrid>
      <w:tr w:rsidR="004E7C51" w:rsidRPr="00B479AE" w14:paraId="7F347713" w14:textId="77777777" w:rsidTr="00DE1016">
        <w:trPr>
          <w:tblHeader/>
          <w:tblCellSpacing w:w="15" w:type="dxa"/>
        </w:trPr>
        <w:tc>
          <w:tcPr>
            <w:tcW w:w="0" w:type="auto"/>
            <w:vAlign w:val="center"/>
            <w:hideMark/>
          </w:tcPr>
          <w:p w14:paraId="2BCBDBAD" w14:textId="77777777" w:rsidR="004E7C51" w:rsidRPr="00B479AE" w:rsidRDefault="004E7C51" w:rsidP="004E7C51">
            <w:pPr>
              <w:tabs>
                <w:tab w:val="left" w:pos="2685"/>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Resource</w:t>
            </w:r>
          </w:p>
        </w:tc>
        <w:tc>
          <w:tcPr>
            <w:tcW w:w="0" w:type="auto"/>
            <w:vAlign w:val="center"/>
            <w:hideMark/>
          </w:tcPr>
          <w:p w14:paraId="46B7408F" w14:textId="77777777" w:rsidR="004E7C51" w:rsidRPr="00B479AE" w:rsidRDefault="004E7C51" w:rsidP="004E7C51">
            <w:pPr>
              <w:tabs>
                <w:tab w:val="left" w:pos="2685"/>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Status / location</w:t>
            </w:r>
          </w:p>
        </w:tc>
      </w:tr>
      <w:tr w:rsidR="004E7C51" w:rsidRPr="00B479AE" w14:paraId="6050B533" w14:textId="77777777" w:rsidTr="00DE1016">
        <w:trPr>
          <w:tblCellSpacing w:w="15" w:type="dxa"/>
        </w:trPr>
        <w:tc>
          <w:tcPr>
            <w:tcW w:w="0" w:type="auto"/>
            <w:vAlign w:val="center"/>
            <w:hideMark/>
          </w:tcPr>
          <w:p w14:paraId="1AC91EE6"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OpenAPI / Swagger specification</w:t>
            </w:r>
          </w:p>
        </w:tc>
        <w:tc>
          <w:tcPr>
            <w:tcW w:w="0" w:type="auto"/>
            <w:vAlign w:val="center"/>
            <w:hideMark/>
          </w:tcPr>
          <w:p w14:paraId="30B30EEF"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To be maintained in canonical technical documentation</w:t>
            </w:r>
          </w:p>
        </w:tc>
      </w:tr>
      <w:tr w:rsidR="004E7C51" w:rsidRPr="00B479AE" w14:paraId="19C7DFE6" w14:textId="77777777" w:rsidTr="00DE1016">
        <w:trPr>
          <w:tblCellSpacing w:w="15" w:type="dxa"/>
        </w:trPr>
        <w:tc>
          <w:tcPr>
            <w:tcW w:w="0" w:type="auto"/>
            <w:vAlign w:val="center"/>
            <w:hideMark/>
          </w:tcPr>
          <w:p w14:paraId="13443F38"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API reference documentation</w:t>
            </w:r>
          </w:p>
        </w:tc>
        <w:tc>
          <w:tcPr>
            <w:tcW w:w="0" w:type="auto"/>
            <w:vAlign w:val="center"/>
            <w:hideMark/>
          </w:tcPr>
          <w:p w14:paraId="3C3A0B14"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To be maintained in developer documentation</w:t>
            </w:r>
          </w:p>
        </w:tc>
      </w:tr>
      <w:tr w:rsidR="004E7C51" w:rsidRPr="00B479AE" w14:paraId="312B2137" w14:textId="77777777" w:rsidTr="00DE1016">
        <w:trPr>
          <w:tblCellSpacing w:w="15" w:type="dxa"/>
        </w:trPr>
        <w:tc>
          <w:tcPr>
            <w:tcW w:w="0" w:type="auto"/>
            <w:vAlign w:val="center"/>
            <w:hideMark/>
          </w:tcPr>
          <w:p w14:paraId="23E54808"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Postman collection</w:t>
            </w:r>
          </w:p>
        </w:tc>
        <w:tc>
          <w:tcPr>
            <w:tcW w:w="0" w:type="auto"/>
            <w:vAlign w:val="center"/>
            <w:hideMark/>
          </w:tcPr>
          <w:p w14:paraId="2E092DB4"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Available where appropriate for approved developers or partners</w:t>
            </w:r>
          </w:p>
        </w:tc>
      </w:tr>
      <w:tr w:rsidR="004E7C51" w:rsidRPr="00B479AE" w14:paraId="5A6222F2" w14:textId="77777777" w:rsidTr="00DE1016">
        <w:trPr>
          <w:tblCellSpacing w:w="15" w:type="dxa"/>
        </w:trPr>
        <w:tc>
          <w:tcPr>
            <w:tcW w:w="0" w:type="auto"/>
            <w:vAlign w:val="center"/>
            <w:hideMark/>
          </w:tcPr>
          <w:p w14:paraId="5EA6181D"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Protocol Buffer definitions</w:t>
            </w:r>
          </w:p>
        </w:tc>
        <w:tc>
          <w:tcPr>
            <w:tcW w:w="0" w:type="auto"/>
            <w:vAlign w:val="center"/>
            <w:hideMark/>
          </w:tcPr>
          <w:p w14:paraId="24F80846"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To be maintained in the canonical repository or technical package</w:t>
            </w:r>
          </w:p>
        </w:tc>
      </w:tr>
      <w:tr w:rsidR="004E7C51" w:rsidRPr="00B479AE" w14:paraId="5EB6F34E" w14:textId="77777777" w:rsidTr="00DE1016">
        <w:trPr>
          <w:tblCellSpacing w:w="15" w:type="dxa"/>
        </w:trPr>
        <w:tc>
          <w:tcPr>
            <w:tcW w:w="0" w:type="auto"/>
            <w:vAlign w:val="center"/>
            <w:hideMark/>
          </w:tcPr>
          <w:p w14:paraId="01E37CA1"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SDKs</w:t>
            </w:r>
          </w:p>
        </w:tc>
        <w:tc>
          <w:tcPr>
            <w:tcW w:w="0" w:type="auto"/>
            <w:vAlign w:val="center"/>
            <w:hideMark/>
          </w:tcPr>
          <w:p w14:paraId="0F30D062"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To be versioned and released separately where appropriate</w:t>
            </w:r>
          </w:p>
        </w:tc>
      </w:tr>
      <w:tr w:rsidR="004E7C51" w:rsidRPr="00B479AE" w14:paraId="2F798809" w14:textId="77777777" w:rsidTr="00DE1016">
        <w:trPr>
          <w:tblCellSpacing w:w="15" w:type="dxa"/>
        </w:trPr>
        <w:tc>
          <w:tcPr>
            <w:tcW w:w="0" w:type="auto"/>
            <w:vAlign w:val="center"/>
            <w:hideMark/>
          </w:tcPr>
          <w:p w14:paraId="2BA0CE8E"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Integration examples</w:t>
            </w:r>
          </w:p>
        </w:tc>
        <w:tc>
          <w:tcPr>
            <w:tcW w:w="0" w:type="auto"/>
            <w:vAlign w:val="center"/>
            <w:hideMark/>
          </w:tcPr>
          <w:p w14:paraId="5320E18C"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To be maintained in examples or developer repository</w:t>
            </w:r>
          </w:p>
        </w:tc>
      </w:tr>
      <w:tr w:rsidR="004E7C51" w:rsidRPr="00B479AE" w14:paraId="0E7581F1" w14:textId="77777777" w:rsidTr="00DE1016">
        <w:trPr>
          <w:tblCellSpacing w:w="15" w:type="dxa"/>
        </w:trPr>
        <w:tc>
          <w:tcPr>
            <w:tcW w:w="0" w:type="auto"/>
            <w:vAlign w:val="center"/>
            <w:hideMark/>
          </w:tcPr>
          <w:p w14:paraId="64648261"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Migration guides</w:t>
            </w:r>
          </w:p>
        </w:tc>
        <w:tc>
          <w:tcPr>
            <w:tcW w:w="0" w:type="auto"/>
            <w:vAlign w:val="center"/>
            <w:hideMark/>
          </w:tcPr>
          <w:p w14:paraId="7EEABD85"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To be maintained with release notes</w:t>
            </w:r>
          </w:p>
        </w:tc>
      </w:tr>
      <w:tr w:rsidR="004E7C51" w:rsidRPr="00B479AE" w14:paraId="53E448B1" w14:textId="77777777" w:rsidTr="00DE1016">
        <w:trPr>
          <w:tblCellSpacing w:w="15" w:type="dxa"/>
        </w:trPr>
        <w:tc>
          <w:tcPr>
            <w:tcW w:w="0" w:type="auto"/>
            <w:vAlign w:val="center"/>
            <w:hideMark/>
          </w:tcPr>
          <w:p w14:paraId="4D06C04F"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Verification instructions</w:t>
            </w:r>
          </w:p>
        </w:tc>
        <w:tc>
          <w:tcPr>
            <w:tcW w:w="0" w:type="auto"/>
            <w:vAlign w:val="center"/>
            <w:hideMark/>
          </w:tcPr>
          <w:p w14:paraId="170C74AA" w14:textId="77777777" w:rsidR="004E7C51" w:rsidRPr="00B479AE" w:rsidRDefault="004E7C51" w:rsidP="004E7C51">
            <w:pPr>
              <w:tabs>
                <w:tab w:val="left" w:pos="2685"/>
              </w:tabs>
              <w:spacing w:line="360" w:lineRule="auto"/>
              <w:rPr>
                <w:rFonts w:ascii="Baskerville Old Face" w:hAnsi="Baskerville Old Face"/>
                <w:i/>
                <w:iCs/>
                <w:sz w:val="22"/>
                <w:szCs w:val="22"/>
              </w:rPr>
            </w:pPr>
            <w:r w:rsidRPr="00B479AE">
              <w:rPr>
                <w:rFonts w:ascii="Baskerville Old Face" w:hAnsi="Baskerville Old Face"/>
                <w:i/>
                <w:iCs/>
                <w:sz w:val="22"/>
                <w:szCs w:val="22"/>
              </w:rPr>
              <w:t>To be synchronized with canonical registry and release manifest</w:t>
            </w:r>
          </w:p>
        </w:tc>
      </w:tr>
    </w:tbl>
    <w:p w14:paraId="77C58B35"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Until the official developer portal, repository, API domain, and support pathways are fully confirmed in the canonical release package, all URLs, endpoints, SDK links, and support contacts should be treated as provisional.</w:t>
      </w:r>
    </w:p>
    <w:p w14:paraId="707A7972"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For API keys, technical support, institutional access, or partnership inquiries, the canonical release should identify the official contact point, official repository, and official domain reference.</w:t>
      </w:r>
    </w:p>
    <w:p w14:paraId="2591FABC"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lastRenderedPageBreak/>
        <w:t>Complete OpenAPI / Swagger specifications, Protocol Buffer definitions, Postman collections, SDKs, examples, and integration runbooks should be maintained in the separate technical documentation package and referenced by release version.</w:t>
      </w:r>
    </w:p>
    <w:p w14:paraId="6C4CBC8F" w14:textId="77777777" w:rsidR="004E7C51" w:rsidRPr="00B479AE" w:rsidRDefault="004E7C51" w:rsidP="004E7C51">
      <w:pPr>
        <w:tabs>
          <w:tab w:val="left" w:pos="2685"/>
        </w:tabs>
        <w:spacing w:line="360" w:lineRule="auto"/>
        <w:rPr>
          <w:rFonts w:ascii="Baskerville Old Face" w:hAnsi="Baskerville Old Face"/>
          <w:b/>
          <w:bCs/>
          <w:i/>
          <w:iCs/>
        </w:rPr>
      </w:pPr>
      <w:r w:rsidRPr="00B479AE">
        <w:rPr>
          <w:rFonts w:ascii="Baskerville Old Face" w:hAnsi="Baskerville Old Face"/>
          <w:b/>
          <w:bCs/>
          <w:i/>
          <w:iCs/>
        </w:rPr>
        <w:t>L.12 Final Integration Boundary</w:t>
      </w:r>
    </w:p>
    <w:p w14:paraId="56EAB7FA"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The Integration Zome is an interoperability layer.</w:t>
      </w:r>
    </w:p>
    <w:p w14:paraId="05A0DFBE"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It is not a sovereign authority layer.</w:t>
      </w:r>
    </w:p>
    <w:p w14:paraId="293E1444" w14:textId="2D67F32A"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It allows Prometheus to communicate with external systems without surrendering source-layer discipline.</w:t>
      </w:r>
      <w:r w:rsidR="00DE1016" w:rsidRPr="00B479AE">
        <w:rPr>
          <w:rFonts w:ascii="Baskerville Old Face" w:hAnsi="Baskerville Old Face"/>
          <w:i/>
          <w:iCs/>
        </w:rPr>
        <w:t xml:space="preserve"> </w:t>
      </w:r>
      <w:r w:rsidRPr="00B479AE">
        <w:rPr>
          <w:rFonts w:ascii="Baskerville Old Face" w:hAnsi="Baskerville Old Face"/>
          <w:i/>
          <w:iCs/>
        </w:rPr>
        <w:t>The final boundary is:</w:t>
      </w:r>
    </w:p>
    <w:p w14:paraId="4D9C343E"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API access does not create authority;</w:t>
      </w:r>
    </w:p>
    <w:p w14:paraId="7C8D098F"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data submission does not create verification;</w:t>
      </w:r>
    </w:p>
    <w:p w14:paraId="49B4A763"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verification does not create legal rights;</w:t>
      </w:r>
    </w:p>
    <w:p w14:paraId="3286654C"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PRU analysis does not create investor entitlement;</w:t>
      </w:r>
    </w:p>
    <w:p w14:paraId="68E8D066"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dashboard visibility does not create public certification;</w:t>
      </w:r>
    </w:p>
    <w:p w14:paraId="468FD74F"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webhook notification does not authorize action;</w:t>
      </w:r>
    </w:p>
    <w:p w14:paraId="1743CE04"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external registry data does not create Prometheus admissibility;</w:t>
      </w:r>
    </w:p>
    <w:p w14:paraId="1F431A8A"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digital representation does not create ecological value;</w:t>
      </w:r>
    </w:p>
    <w:p w14:paraId="6C5DE49D"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technical integration does not override governance, law, evidence, or source-layer fidelity.</w:t>
      </w:r>
    </w:p>
    <w:p w14:paraId="69185BFC"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The Integration Zome should therefore operate according to the following sequence:</w:t>
      </w:r>
    </w:p>
    <w:p w14:paraId="668DC39D"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 xml:space="preserve">request </w:t>
      </w:r>
      <w:r w:rsidRPr="00B479AE">
        <w:rPr>
          <w:rFonts w:ascii="Times New Roman" w:hAnsi="Times New Roman" w:cs="Times New Roman"/>
          <w:i/>
          <w:iCs/>
        </w:rPr>
        <w:t>→</w:t>
      </w:r>
      <w:r w:rsidRPr="00B479AE">
        <w:rPr>
          <w:rFonts w:ascii="Baskerville Old Face" w:hAnsi="Baskerville Old Face"/>
          <w:i/>
          <w:iCs/>
        </w:rPr>
        <w:t xml:space="preserve"> authentication </w:t>
      </w:r>
      <w:r w:rsidRPr="00B479AE">
        <w:rPr>
          <w:rFonts w:ascii="Times New Roman" w:hAnsi="Times New Roman" w:cs="Times New Roman"/>
          <w:i/>
          <w:iCs/>
        </w:rPr>
        <w:t>→</w:t>
      </w:r>
      <w:r w:rsidRPr="00B479AE">
        <w:rPr>
          <w:rFonts w:ascii="Baskerville Old Face" w:hAnsi="Baskerville Old Face"/>
          <w:i/>
          <w:iCs/>
        </w:rPr>
        <w:t xml:space="preserve"> authorization </w:t>
      </w:r>
      <w:r w:rsidRPr="00B479AE">
        <w:rPr>
          <w:rFonts w:ascii="Times New Roman" w:hAnsi="Times New Roman" w:cs="Times New Roman"/>
          <w:i/>
          <w:iCs/>
        </w:rPr>
        <w:t>→</w:t>
      </w:r>
      <w:r w:rsidRPr="00B479AE">
        <w:rPr>
          <w:rFonts w:ascii="Baskerville Old Face" w:hAnsi="Baskerville Old Face"/>
          <w:i/>
          <w:iCs/>
        </w:rPr>
        <w:t xml:space="preserve"> validation </w:t>
      </w:r>
      <w:r w:rsidRPr="00B479AE">
        <w:rPr>
          <w:rFonts w:ascii="Times New Roman" w:hAnsi="Times New Roman" w:cs="Times New Roman"/>
          <w:i/>
          <w:iCs/>
        </w:rPr>
        <w:t>→</w:t>
      </w:r>
      <w:r w:rsidRPr="00B479AE">
        <w:rPr>
          <w:rFonts w:ascii="Baskerville Old Face" w:hAnsi="Baskerville Old Face"/>
          <w:i/>
          <w:iCs/>
        </w:rPr>
        <w:t xml:space="preserve"> constitutional boundary check </w:t>
      </w:r>
      <w:r w:rsidRPr="00B479AE">
        <w:rPr>
          <w:rFonts w:ascii="Times New Roman" w:hAnsi="Times New Roman" w:cs="Times New Roman"/>
          <w:i/>
          <w:iCs/>
        </w:rPr>
        <w:t>→</w:t>
      </w:r>
      <w:r w:rsidRPr="00B479AE">
        <w:rPr>
          <w:rFonts w:ascii="Baskerville Old Face" w:hAnsi="Baskerville Old Face"/>
          <w:i/>
          <w:iCs/>
        </w:rPr>
        <w:t xml:space="preserve"> evidence or record processing </w:t>
      </w:r>
      <w:r w:rsidRPr="00B479AE">
        <w:rPr>
          <w:rFonts w:ascii="Times New Roman" w:hAnsi="Times New Roman" w:cs="Times New Roman"/>
          <w:i/>
          <w:iCs/>
        </w:rPr>
        <w:t>→</w:t>
      </w:r>
      <w:r w:rsidRPr="00B479AE">
        <w:rPr>
          <w:rFonts w:ascii="Baskerville Old Face" w:hAnsi="Baskerville Old Face"/>
          <w:i/>
          <w:iCs/>
        </w:rPr>
        <w:t xml:space="preserve"> review routing where required </w:t>
      </w:r>
      <w:r w:rsidRPr="00B479AE">
        <w:rPr>
          <w:rFonts w:ascii="Times New Roman" w:hAnsi="Times New Roman" w:cs="Times New Roman"/>
          <w:i/>
          <w:iCs/>
        </w:rPr>
        <w:t>→</w:t>
      </w:r>
      <w:r w:rsidRPr="00B479AE">
        <w:rPr>
          <w:rFonts w:ascii="Baskerville Old Face" w:hAnsi="Baskerville Old Face"/>
          <w:i/>
          <w:iCs/>
        </w:rPr>
        <w:t xml:space="preserve"> response </w:t>
      </w:r>
      <w:r w:rsidRPr="00B479AE">
        <w:rPr>
          <w:rFonts w:ascii="Times New Roman" w:hAnsi="Times New Roman" w:cs="Times New Roman"/>
          <w:i/>
          <w:iCs/>
        </w:rPr>
        <w:t>→</w:t>
      </w:r>
      <w:r w:rsidRPr="00B479AE">
        <w:rPr>
          <w:rFonts w:ascii="Baskerville Old Face" w:hAnsi="Baskerville Old Face"/>
          <w:i/>
          <w:iCs/>
        </w:rPr>
        <w:t xml:space="preserve"> audit trail.</w:t>
      </w:r>
    </w:p>
    <w:p w14:paraId="67963B8B"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This preserves the distinction between connectivity and legitimacy.</w:t>
      </w:r>
    </w:p>
    <w:p w14:paraId="097737B7"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Prometheus may integrate widely.</w:t>
      </w:r>
    </w:p>
    <w:p w14:paraId="3DA11064"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It should authorize narrowly.</w:t>
      </w:r>
    </w:p>
    <w:p w14:paraId="66FEACE9"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lastRenderedPageBreak/>
        <w:t>It may listen to many systems.</w:t>
      </w:r>
    </w:p>
    <w:p w14:paraId="533C45A7"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It should trust only what evidence, review, governance, law, and canonical status allow.</w:t>
      </w:r>
    </w:p>
    <w:p w14:paraId="4A48FDCC"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The Integration Zome is therefore the controlled membrane of Prometheus.</w:t>
      </w:r>
    </w:p>
    <w:p w14:paraId="6D3D44B0"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It allows exchange.</w:t>
      </w:r>
    </w:p>
    <w:p w14:paraId="6280FC03"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It prevents contamination.</w:t>
      </w:r>
    </w:p>
    <w:p w14:paraId="0950E479" w14:textId="77777777" w:rsidR="004E7C51" w:rsidRPr="00B479AE" w:rsidRDefault="004E7C51" w:rsidP="004E7C51">
      <w:pPr>
        <w:tabs>
          <w:tab w:val="left" w:pos="2685"/>
        </w:tabs>
        <w:spacing w:line="360" w:lineRule="auto"/>
        <w:rPr>
          <w:rFonts w:ascii="Baskerville Old Face" w:hAnsi="Baskerville Old Face"/>
          <w:i/>
          <w:iCs/>
        </w:rPr>
      </w:pPr>
      <w:r w:rsidRPr="00B479AE">
        <w:rPr>
          <w:rFonts w:ascii="Baskerville Old Face" w:hAnsi="Baskerville Old Face"/>
          <w:i/>
          <w:iCs/>
        </w:rPr>
        <w:t>It enables interoperability without category collapse.</w:t>
      </w:r>
    </w:p>
    <w:p w14:paraId="4333CAE0" w14:textId="77777777" w:rsidR="00DE1016" w:rsidRPr="0031685B" w:rsidRDefault="00DE1016" w:rsidP="0031685B">
      <w:pPr>
        <w:pStyle w:val="Titolo1"/>
        <w:rPr>
          <w:rFonts w:ascii="Baskerville Old Face" w:hAnsi="Baskerville Old Face"/>
          <w:b/>
          <w:bCs/>
          <w:i/>
          <w:iCs/>
          <w:sz w:val="24"/>
          <w:szCs w:val="24"/>
        </w:rPr>
      </w:pPr>
      <w:r w:rsidRPr="0031685B">
        <w:rPr>
          <w:rFonts w:ascii="Baskerville Old Face" w:hAnsi="Baskerville Old Face"/>
          <w:b/>
          <w:bCs/>
          <w:i/>
          <w:iCs/>
          <w:sz w:val="24"/>
          <w:szCs w:val="24"/>
        </w:rPr>
        <w:t>Appendix M: One Human Ecosystem (OHE) — Biological Unit and Conceptual Deployment Envelope</w:t>
      </w:r>
    </w:p>
    <w:p w14:paraId="34FACB0B" w14:textId="77777777" w:rsidR="00DE1016" w:rsidRPr="00B479AE" w:rsidRDefault="00DE1016" w:rsidP="00DE1016">
      <w:pPr>
        <w:spacing w:line="360" w:lineRule="auto"/>
        <w:rPr>
          <w:rFonts w:ascii="Baskerville Old Face" w:hAnsi="Baskerville Old Face"/>
          <w:b/>
          <w:bCs/>
          <w:i/>
          <w:iCs/>
        </w:rPr>
      </w:pPr>
      <w:r w:rsidRPr="00B479AE">
        <w:rPr>
          <w:rFonts w:ascii="Baskerville Old Face" w:hAnsi="Baskerville Old Face"/>
          <w:b/>
          <w:bCs/>
          <w:i/>
          <w:iCs/>
        </w:rPr>
        <w:t>M.0 Scope Note</w:t>
      </w:r>
    </w:p>
    <w:p w14:paraId="144C2C68"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This appendix describes the One Human Ecosystem, or OHE, as the biological, ecological, and operational base unit of Prometheus.</w:t>
      </w:r>
    </w:p>
    <w:p w14:paraId="4950493A"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OHE should be understood as a conceptual and methodological deployment unit.</w:t>
      </w:r>
    </w:p>
    <w:p w14:paraId="28161FC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is not a current-pilot execution guarantee.</w:t>
      </w:r>
    </w:p>
    <w:p w14:paraId="73CE93E5"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is not a standardized investment product.</w:t>
      </w:r>
    </w:p>
    <w:p w14:paraId="570CC0A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is not a validated revenue unit by default.</w:t>
      </w:r>
    </w:p>
    <w:p w14:paraId="1F46FE37"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is not an automatic PRU.</w:t>
      </w:r>
    </w:p>
    <w:p w14:paraId="0193450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is not a claim of financial return.</w:t>
      </w:r>
    </w:p>
    <w:p w14:paraId="09CB9DC5"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is not a tokenizable asset by itself.</w:t>
      </w:r>
    </w:p>
    <w:p w14:paraId="637056F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Where economic figures, deployment ranges, productivity envelopes, cost categories, or value indications are discussed, they should be interpreted as broad conceptual envelopes used to illustrate plausibility, strategic relevance, and long-duration regenerative potential.</w:t>
      </w:r>
    </w:p>
    <w:p w14:paraId="67C4791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They do not redefine the bounded implementation scope of the current pilot hApp.</w:t>
      </w:r>
    </w:p>
    <w:p w14:paraId="77662A30"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They do not constitute field-deployment commitments, validated operating results, issuance terms, financial projections, underwriting conclusions, or binding investment conditions.</w:t>
      </w:r>
    </w:p>
    <w:p w14:paraId="256D748A"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lastRenderedPageBreak/>
        <w:t>The purpose of this appendix is to define the OHE as the living base layer from which future observation, MRV, evidence accumulation, standardization, PRU value analysis, and capital-readiness interpretation may eventually emerge.</w:t>
      </w:r>
    </w:p>
    <w:p w14:paraId="731CAAC5" w14:textId="77777777" w:rsidR="00DE1016" w:rsidRPr="00B479AE" w:rsidRDefault="00DE1016" w:rsidP="00DE1016">
      <w:pPr>
        <w:spacing w:line="360" w:lineRule="auto"/>
        <w:rPr>
          <w:rFonts w:ascii="Baskerville Old Face" w:hAnsi="Baskerville Old Face"/>
          <w:b/>
          <w:bCs/>
          <w:i/>
          <w:iCs/>
        </w:rPr>
      </w:pPr>
      <w:r w:rsidRPr="00B479AE">
        <w:rPr>
          <w:rFonts w:ascii="Baskerville Old Face" w:hAnsi="Baskerville Old Face"/>
          <w:b/>
          <w:bCs/>
          <w:i/>
          <w:iCs/>
        </w:rPr>
        <w:t>M.1 Definition</w:t>
      </w:r>
    </w:p>
    <w:p w14:paraId="2DD04333"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One Human Ecosystem, or OHE, is a compact syntropic agroecological system designed as a minimum deployable unit of regenerative infrastructure.</w:t>
      </w:r>
    </w:p>
    <w:p w14:paraId="29AECA47"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Its indicative territorial scale may be approximately one thousand square metres, subject to design, climate, land availability, water strategy, ecological context, operational purpose, and site-specific constraints.</w:t>
      </w:r>
    </w:p>
    <w:p w14:paraId="3192DBF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OHE is intended to support three integrated functions:</w:t>
      </w:r>
    </w:p>
    <w:p w14:paraId="6A0D41D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nutritional function;</w:t>
      </w:r>
    </w:p>
    <w:p w14:paraId="19A4786E"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ecological regeneration;</w:t>
      </w:r>
    </w:p>
    <w:p w14:paraId="55ACCFD4"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measurable living-system performance.</w:t>
      </w:r>
    </w:p>
    <w:p w14:paraId="61ADD6E0"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may support food production, soil regeneration, water retention, biodiversity enhancement, biomass cycling, human stewardship, and future MRV-based performance assessment.</w:t>
      </w:r>
    </w:p>
    <w:p w14:paraId="65192790"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Within the Prometheus framework, the OHE represents:</w:t>
      </w:r>
    </w:p>
    <w:p w14:paraId="110FB780"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the biological substrate of regenerative infrastructure;</w:t>
      </w:r>
    </w:p>
    <w:p w14:paraId="22FF6A77"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the smallest ecologically legible deployment unit;</w:t>
      </w:r>
    </w:p>
    <w:p w14:paraId="3BA41D37"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the field layer where regeneration occurs;</w:t>
      </w:r>
    </w:p>
    <w:p w14:paraId="2201937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the operational layer where stewardship becomes visible;</w:t>
      </w:r>
    </w:p>
    <w:p w14:paraId="3183C0FB"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the evidence layer where ecological change can begin to be measured;</w:t>
      </w:r>
    </w:p>
    <w:p w14:paraId="268F3B38"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the foundational biological unit from which future PRU-relevant analysis may emerge.</w:t>
      </w:r>
    </w:p>
    <w:p w14:paraId="5FDFAB9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OHE is not merely a garden, orchard, food forest, productive plot, or ecological installation.</w:t>
      </w:r>
    </w:p>
    <w:p w14:paraId="22C75877"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lastRenderedPageBreak/>
        <w:t>It is the minimum living unit through which Prometheus can connect soil, water, biodiversity, nutrition, stewardship, evidence, governance, and capital-readiness logic without detaching value from the living system that generates it.</w:t>
      </w:r>
    </w:p>
    <w:p w14:paraId="54998A12" w14:textId="77777777" w:rsidR="00DE1016" w:rsidRPr="00B479AE" w:rsidRDefault="00DE1016" w:rsidP="00DE1016">
      <w:pPr>
        <w:spacing w:line="360" w:lineRule="auto"/>
        <w:rPr>
          <w:rFonts w:ascii="Baskerville Old Face" w:hAnsi="Baskerville Old Face"/>
          <w:b/>
          <w:bCs/>
          <w:i/>
          <w:iCs/>
        </w:rPr>
      </w:pPr>
      <w:r w:rsidRPr="00B479AE">
        <w:rPr>
          <w:rFonts w:ascii="Baskerville Old Face" w:hAnsi="Baskerville Old Face"/>
          <w:b/>
          <w:bCs/>
          <w:i/>
          <w:iCs/>
        </w:rPr>
        <w:t>M.2 Structural Principles</w:t>
      </w:r>
    </w:p>
    <w:p w14:paraId="2152C143"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OHE operates through three coupled ecological mechanisms:</w:t>
      </w:r>
    </w:p>
    <w:p w14:paraId="7ECCF051" w14:textId="77777777" w:rsidR="00DE1016" w:rsidRPr="00B479AE" w:rsidRDefault="00DE1016">
      <w:pPr>
        <w:numPr>
          <w:ilvl w:val="0"/>
          <w:numId w:val="39"/>
        </w:numPr>
        <w:spacing w:line="360" w:lineRule="auto"/>
        <w:rPr>
          <w:rFonts w:ascii="Baskerville Old Face" w:hAnsi="Baskerville Old Face"/>
          <w:i/>
          <w:iCs/>
        </w:rPr>
      </w:pPr>
      <w:r w:rsidRPr="00B479AE">
        <w:rPr>
          <w:rFonts w:ascii="Baskerville Old Face" w:hAnsi="Baskerville Old Face"/>
          <w:i/>
          <w:iCs/>
        </w:rPr>
        <w:t>Succession.</w:t>
      </w:r>
    </w:p>
    <w:p w14:paraId="172C507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Succession is the temporal organization of the system.</w:t>
      </w:r>
    </w:p>
    <w:p w14:paraId="1A185EAB"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Species are selected and organized across ecological time layers, including early-stage, intermediate, and longer-cycle species.</w:t>
      </w:r>
    </w:p>
    <w:p w14:paraId="33F493BF"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purpose is to accelerate ecological maturity through intentional design, adaptive management, and biomass cycling.</w:t>
      </w:r>
    </w:p>
    <w:p w14:paraId="48D4E71E" w14:textId="77777777" w:rsidR="00DE1016" w:rsidRPr="00B479AE" w:rsidRDefault="00DE1016">
      <w:pPr>
        <w:numPr>
          <w:ilvl w:val="0"/>
          <w:numId w:val="40"/>
        </w:numPr>
        <w:spacing w:line="360" w:lineRule="auto"/>
        <w:rPr>
          <w:rFonts w:ascii="Baskerville Old Face" w:hAnsi="Baskerville Old Face"/>
          <w:i/>
          <w:iCs/>
        </w:rPr>
      </w:pPr>
      <w:r w:rsidRPr="00B479AE">
        <w:rPr>
          <w:rFonts w:ascii="Baskerville Old Face" w:hAnsi="Baskerville Old Face"/>
          <w:i/>
          <w:iCs/>
        </w:rPr>
        <w:t>Stratification.</w:t>
      </w:r>
    </w:p>
    <w:p w14:paraId="2AB356D9"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Stratification is the spatial organization of the system.</w:t>
      </w:r>
    </w:p>
    <w:p w14:paraId="3D177A5B"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Vertical layers increase solar-energy capture, reduce soil exposure, buffer evaporation, create microclimate, distribute ecological functions, and increase productivity per unit area.</w:t>
      </w:r>
    </w:p>
    <w:p w14:paraId="48BDBF63" w14:textId="77777777" w:rsidR="00DE1016" w:rsidRPr="00B479AE" w:rsidRDefault="00DE1016">
      <w:pPr>
        <w:numPr>
          <w:ilvl w:val="0"/>
          <w:numId w:val="41"/>
        </w:numPr>
        <w:spacing w:line="360" w:lineRule="auto"/>
        <w:rPr>
          <w:rFonts w:ascii="Baskerville Old Face" w:hAnsi="Baskerville Old Face"/>
          <w:i/>
          <w:iCs/>
        </w:rPr>
      </w:pPr>
      <w:r w:rsidRPr="00B479AE">
        <w:rPr>
          <w:rFonts w:ascii="Baskerville Old Face" w:hAnsi="Baskerville Old Face"/>
          <w:i/>
          <w:iCs/>
        </w:rPr>
        <w:t>Continuous biomass cycling.</w:t>
      </w:r>
    </w:p>
    <w:p w14:paraId="32641A00"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Biomass cycling is the metabolic engine of the system.</w:t>
      </w:r>
    </w:p>
    <w:p w14:paraId="45462E18"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Pruning, leaf fall, root turnover, crop residues, mulch, chop-and-drop material, and organic inputs return carbon and nutrients to the soil.</w:t>
      </w:r>
    </w:p>
    <w:p w14:paraId="30631C1F"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Over time, this may support soil fertility, microbial activity, water retention, and productive stability.</w:t>
      </w:r>
    </w:p>
    <w:p w14:paraId="653A9D1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These mechanisms distinguish the OHE from extractive or input-dependent systems.</w:t>
      </w:r>
    </w:p>
    <w:p w14:paraId="14A94E4E"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An extractive system often sustains output through recurring external inputs.</w:t>
      </w:r>
    </w:p>
    <w:p w14:paraId="3E2DBCB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 regenerative system seeks to increase internal biological capacity.</w:t>
      </w:r>
    </w:p>
    <w:p w14:paraId="7BAE4D30"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lastRenderedPageBreak/>
        <w:t>The OHE is therefore designed not only to produce, but to strengthen the conditions that allow future production.</w:t>
      </w:r>
    </w:p>
    <w:p w14:paraId="68D422EC" w14:textId="77777777" w:rsidR="00DE1016" w:rsidRPr="00B479AE" w:rsidRDefault="00DE1016" w:rsidP="00DE1016">
      <w:pPr>
        <w:spacing w:line="360" w:lineRule="auto"/>
        <w:rPr>
          <w:rFonts w:ascii="Baskerville Old Face" w:hAnsi="Baskerville Old Face"/>
          <w:b/>
          <w:bCs/>
          <w:i/>
          <w:iCs/>
        </w:rPr>
      </w:pPr>
      <w:r w:rsidRPr="00B479AE">
        <w:rPr>
          <w:rFonts w:ascii="Baskerville Old Face" w:hAnsi="Baskerville Old Face"/>
          <w:b/>
          <w:bCs/>
          <w:i/>
          <w:iCs/>
        </w:rPr>
        <w:t>M.3 Scientific Grounding</w:t>
      </w:r>
    </w:p>
    <w:p w14:paraId="2D4C949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OHE is grounded in syntropic agroecology, soil regeneration, water-cycle restoration, biodiversity function, ecological succession, biomass cycling, and human stewardship.</w:t>
      </w:r>
    </w:p>
    <w:p w14:paraId="6DEC80E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Syntropic systems can be understood as coordinated biological networks in which:</w:t>
      </w:r>
    </w:p>
    <w:p w14:paraId="2519EBE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productivity may emerge from species interaction;</w:t>
      </w:r>
    </w:p>
    <w:p w14:paraId="6E7C73A8"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ecosystem function may increase with structural complexity;</w:t>
      </w:r>
    </w:p>
    <w:p w14:paraId="376DD357"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fertility may be rebuilt through internal biological cycling;</w:t>
      </w:r>
    </w:p>
    <w:p w14:paraId="0B518C3F"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water retention may improve through soil cover, roots, organic matter, and hydrological design;</w:t>
      </w:r>
    </w:p>
    <w:p w14:paraId="527E05FB"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resilience may increase through biodiversity, stratification, and ecological redundancy.</w:t>
      </w:r>
    </w:p>
    <w:p w14:paraId="47B857C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Scientific and field-based literature on agroforestry, syntropic systems, soil organic carbon, biomass accumulation, hydrological restoration, and biodiversity-resilience relationships supports the general direction of this model.</w:t>
      </w:r>
    </w:p>
    <w:p w14:paraId="060B84B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However, Prometheus should treat all site-level performance claims conservatively.</w:t>
      </w:r>
    </w:p>
    <w:p w14:paraId="02EE64A1"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Indicative reference values from existing research or comparable field systems may be used only as directional context.</w:t>
      </w:r>
    </w:p>
    <w:p w14:paraId="0E971E4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They should not be treated as universal guarantees.</w:t>
      </w:r>
    </w:p>
    <w:p w14:paraId="5672311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Actual outcomes remain dependent on:</w:t>
      </w:r>
    </w:p>
    <w:p w14:paraId="75D203E9"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design quality;</w:t>
      </w:r>
    </w:p>
    <w:p w14:paraId="14ED0991"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climate;</w:t>
      </w:r>
    </w:p>
    <w:p w14:paraId="6494C655"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water availability;</w:t>
      </w:r>
    </w:p>
    <w:p w14:paraId="3A898FB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soil baseline;</w:t>
      </w:r>
    </w:p>
    <w:p w14:paraId="4A5BE581"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lastRenderedPageBreak/>
        <w:t>• species selection;</w:t>
      </w:r>
    </w:p>
    <w:p w14:paraId="42806745"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planting density;</w:t>
      </w:r>
    </w:p>
    <w:p w14:paraId="5306A100"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management skill;</w:t>
      </w:r>
    </w:p>
    <w:p w14:paraId="405B5C29"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time horizon;</w:t>
      </w:r>
    </w:p>
    <w:p w14:paraId="0BEB5E99"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disturbance exposure;</w:t>
      </w:r>
    </w:p>
    <w:p w14:paraId="5F98D4EB"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monitoring discipline;</w:t>
      </w:r>
    </w:p>
    <w:p w14:paraId="052D2433"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operational continuity.</w:t>
      </w:r>
    </w:p>
    <w:p w14:paraId="2FD2706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correct scientific interpretation is:</w:t>
      </w:r>
    </w:p>
    <w:p w14:paraId="372FCC68"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syntropic and regenerative systems may increase biological capacity over time;</w:t>
      </w:r>
    </w:p>
    <w:p w14:paraId="3FC17E35"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that increase must be observed;</w:t>
      </w:r>
    </w:p>
    <w:p w14:paraId="7D139B94"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observation must become evidence;</w:t>
      </w:r>
    </w:p>
    <w:p w14:paraId="74448548"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evidence must pass MRV review;</w:t>
      </w:r>
    </w:p>
    <w:p w14:paraId="03BA1990"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and only admissible evidence may support PRU-relevant interpretation.</w:t>
      </w:r>
    </w:p>
    <w:p w14:paraId="15736D46" w14:textId="77777777" w:rsidR="00DE1016" w:rsidRPr="00B479AE" w:rsidRDefault="00DE1016" w:rsidP="00DE1016">
      <w:pPr>
        <w:spacing w:line="360" w:lineRule="auto"/>
        <w:rPr>
          <w:rFonts w:ascii="Baskerville Old Face" w:hAnsi="Baskerville Old Face"/>
          <w:b/>
          <w:bCs/>
          <w:i/>
          <w:iCs/>
        </w:rPr>
      </w:pPr>
      <w:r w:rsidRPr="00B479AE">
        <w:rPr>
          <w:rFonts w:ascii="Baskerville Old Face" w:hAnsi="Baskerville Old Face"/>
          <w:b/>
          <w:bCs/>
          <w:i/>
          <w:iCs/>
        </w:rPr>
        <w:t>M.4 Conceptual Deployment Envelope</w:t>
      </w:r>
    </w:p>
    <w:p w14:paraId="0833E69B"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 conceptual OHE deployment envelope may include different components depending on site, purpose, climate, budget, water strategy, land condition, and implementation phase.</w:t>
      </w:r>
    </w:p>
    <w:p w14:paraId="4A22896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Potential components may include:</w:t>
      </w:r>
    </w:p>
    <w:p w14:paraId="29FEC828"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soil preparation;</w:t>
      </w:r>
    </w:p>
    <w:p w14:paraId="2E516ACB"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hydrological shaping;</w:t>
      </w:r>
    </w:p>
    <w:p w14:paraId="047AB36F"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water-retention design;</w:t>
      </w:r>
    </w:p>
    <w:p w14:paraId="724259F3"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irrigation or precision-water infrastructure where necessary;</w:t>
      </w:r>
    </w:p>
    <w:p w14:paraId="7681BB0E"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syntropic planting system establishment;</w:t>
      </w:r>
    </w:p>
    <w:p w14:paraId="69F20AF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lastRenderedPageBreak/>
        <w:t>• species procurement;</w:t>
      </w:r>
    </w:p>
    <w:p w14:paraId="059C4BFA"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biomass-management setup;</w:t>
      </w:r>
    </w:p>
    <w:p w14:paraId="581B74E9"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basic tools and maintenance equipment;</w:t>
      </w:r>
    </w:p>
    <w:p w14:paraId="3060E63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monitoring components where appropriate;</w:t>
      </w:r>
    </w:p>
    <w:p w14:paraId="106D729A"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site-specific energy-support components where justified;</w:t>
      </w:r>
    </w:p>
    <w:p w14:paraId="51D23983"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field documentation;</w:t>
      </w:r>
    </w:p>
    <w:p w14:paraId="08F53FF1"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operational runbook;</w:t>
      </w:r>
    </w:p>
    <w:p w14:paraId="43A2C2D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stewardship training;</w:t>
      </w:r>
    </w:p>
    <w:p w14:paraId="561A689B"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baseline ecological assessment.</w:t>
      </w:r>
    </w:p>
    <w:p w14:paraId="4E2BF7B8"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Within the current Prometheus pilot architecture, field deployment components should be understood as conceptual or future implementation considerations unless explicitly included within a bounded execution scope.</w:t>
      </w:r>
    </w:p>
    <w:p w14:paraId="07CB3FE3"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current pilot hApp, canonical documentation, evaluation stack, runtime logic, and Holochain-compatible implementation pathway should not be confused with full field deployment of every OHE component.</w:t>
      </w:r>
    </w:p>
    <w:p w14:paraId="1B5EAC7A"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OHE deployment envelope therefore defines a possible biological implementation perimeter, not an automatic current-pilot obligation.</w:t>
      </w:r>
    </w:p>
    <w:p w14:paraId="1A0B82F7" w14:textId="77777777" w:rsidR="00DE1016" w:rsidRPr="00B479AE" w:rsidRDefault="00DE1016" w:rsidP="00DE1016">
      <w:pPr>
        <w:spacing w:line="360" w:lineRule="auto"/>
        <w:rPr>
          <w:rFonts w:ascii="Baskerville Old Face" w:hAnsi="Baskerville Old Face"/>
          <w:b/>
          <w:bCs/>
          <w:i/>
          <w:iCs/>
        </w:rPr>
      </w:pPr>
      <w:r w:rsidRPr="00B479AE">
        <w:rPr>
          <w:rFonts w:ascii="Baskerville Old Face" w:hAnsi="Baskerville Old Face"/>
          <w:b/>
          <w:bCs/>
          <w:i/>
          <w:iCs/>
        </w:rPr>
        <w:t>M.5 Illustrative CAPEX Envelope</w:t>
      </w:r>
    </w:p>
    <w:p w14:paraId="46ABEB83"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An indicative OHE deployment may require capital expenditure for:</w:t>
      </w:r>
    </w:p>
    <w:p w14:paraId="4C76D9C1"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soil preparation and hydrological shaping;</w:t>
      </w:r>
    </w:p>
    <w:p w14:paraId="068CA0C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water infrastructure;</w:t>
      </w:r>
    </w:p>
    <w:p w14:paraId="5C018A39"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planting stock;</w:t>
      </w:r>
    </w:p>
    <w:p w14:paraId="42209DE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syntropic system establishment;</w:t>
      </w:r>
    </w:p>
    <w:p w14:paraId="7857522E"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lastRenderedPageBreak/>
        <w:t>• basic field infrastructure;</w:t>
      </w:r>
    </w:p>
    <w:p w14:paraId="48F89AAF"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monitoring components where appropriate;</w:t>
      </w:r>
    </w:p>
    <w:p w14:paraId="0452FBA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site-specific support systems;</w:t>
      </w:r>
    </w:p>
    <w:p w14:paraId="7E8DD5F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initial stewardship setup;</w:t>
      </w:r>
    </w:p>
    <w:p w14:paraId="22574951"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documentation and baseline preparation.</w:t>
      </w:r>
    </w:p>
    <w:p w14:paraId="09A46C64"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For high-level planning purposes, a compact OHE may fall within a low-five-figure to mid-five-figure deployment envelope, depending on context, country, labor model, irrigation requirements, land condition, access to materials, design complexity, and monitoring scope.</w:t>
      </w:r>
    </w:p>
    <w:p w14:paraId="03DEE224"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This should be understood as an order-of-magnitude conceptual range.</w:t>
      </w:r>
    </w:p>
    <w:p w14:paraId="1896403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is not a quote.</w:t>
      </w:r>
    </w:p>
    <w:p w14:paraId="57296BB8"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is not a contractor estimate.</w:t>
      </w:r>
    </w:p>
    <w:p w14:paraId="6B165C77"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is not a current-pilot execution commitment.</w:t>
      </w:r>
    </w:p>
    <w:p w14:paraId="53E62D47"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is not a guaranteed cost.</w:t>
      </w:r>
    </w:p>
    <w:p w14:paraId="4063D3EF"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is not a standardized global deployment price.</w:t>
      </w:r>
    </w:p>
    <w:p w14:paraId="50C65B2E"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Final deployment cost must be established through site-specific design, technical survey, water strategy, local procurement, labor assumptions, regulatory context, implementation plan, and contingency assessment.</w:t>
      </w:r>
    </w:p>
    <w:p w14:paraId="64A4C801" w14:textId="77777777" w:rsidR="00DE1016" w:rsidRPr="00B479AE" w:rsidRDefault="00DE1016" w:rsidP="00DE1016">
      <w:pPr>
        <w:spacing w:line="360" w:lineRule="auto"/>
        <w:rPr>
          <w:rFonts w:ascii="Baskerville Old Face" w:hAnsi="Baskerville Old Face"/>
          <w:b/>
          <w:bCs/>
          <w:i/>
          <w:iCs/>
        </w:rPr>
      </w:pPr>
      <w:r w:rsidRPr="00B479AE">
        <w:rPr>
          <w:rFonts w:ascii="Baskerville Old Face" w:hAnsi="Baskerville Old Face"/>
          <w:b/>
          <w:bCs/>
          <w:i/>
          <w:iCs/>
        </w:rPr>
        <w:t>M.6 Illustrative OPEX Envelope</w:t>
      </w:r>
    </w:p>
    <w:p w14:paraId="2099B578"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Indicative annual operating costs may include:</w:t>
      </w:r>
    </w:p>
    <w:p w14:paraId="43D36DA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maintenance labor;</w:t>
      </w:r>
    </w:p>
    <w:p w14:paraId="2123385A"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pruning and biomass management;</w:t>
      </w:r>
    </w:p>
    <w:p w14:paraId="5F359881"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minimal external inputs where needed;</w:t>
      </w:r>
    </w:p>
    <w:p w14:paraId="26287577"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water management;</w:t>
      </w:r>
    </w:p>
    <w:p w14:paraId="792F1F95"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lastRenderedPageBreak/>
        <w:t>• tools upkeep;</w:t>
      </w:r>
    </w:p>
    <w:p w14:paraId="1FDB90AA"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monitoring and data maintenance;</w:t>
      </w:r>
    </w:p>
    <w:p w14:paraId="4549953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replacement planting;</w:t>
      </w:r>
    </w:p>
    <w:p w14:paraId="32EE0F1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basic repairs;</w:t>
      </w:r>
    </w:p>
    <w:p w14:paraId="71C589FE"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seasonal interventions;</w:t>
      </w:r>
    </w:p>
    <w:p w14:paraId="424BCEA8"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documentation and reporting.</w:t>
      </w:r>
    </w:p>
    <w:p w14:paraId="7143E6C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For conceptual planning purposes, annual OPEX may range from a low four-figure envelope to a higher four-figure envelope, depending on labor model, maturity phase, site accessibility, irrigation needs, monitoring intensity, and stewardship requirements.</w:t>
      </w:r>
    </w:p>
    <w:p w14:paraId="54F8979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As the system matures, certain operating costs may decline if internal fertility, biomass cycling, water retention, and input independence improve.</w:t>
      </w:r>
    </w:p>
    <w:p w14:paraId="5FDD34AE"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This decline should not be assumed automatically.</w:t>
      </w:r>
    </w:p>
    <w:p w14:paraId="443ADE7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should be verified through operational records and evidence.</w:t>
      </w:r>
    </w:p>
    <w:p w14:paraId="21753A3F"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correct assumption is:</w:t>
      </w:r>
    </w:p>
    <w:p w14:paraId="29485383"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maturity may reduce external dependency;</w:t>
      </w:r>
    </w:p>
    <w:p w14:paraId="56B88D2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but stewardship remains necessary.</w:t>
      </w:r>
    </w:p>
    <w:p w14:paraId="010BCC5E" w14:textId="77777777" w:rsidR="00DE1016" w:rsidRPr="00B479AE" w:rsidRDefault="00DE1016" w:rsidP="00DE1016">
      <w:pPr>
        <w:spacing w:line="360" w:lineRule="auto"/>
        <w:rPr>
          <w:rFonts w:ascii="Baskerville Old Face" w:hAnsi="Baskerville Old Face"/>
          <w:b/>
          <w:bCs/>
          <w:i/>
          <w:iCs/>
        </w:rPr>
      </w:pPr>
      <w:r w:rsidRPr="00B479AE">
        <w:rPr>
          <w:rFonts w:ascii="Baskerville Old Face" w:hAnsi="Baskerville Old Face"/>
          <w:b/>
          <w:bCs/>
          <w:i/>
          <w:iCs/>
        </w:rPr>
        <w:t>M.7 Direct Productive Value — Illustrative Envelope</w:t>
      </w:r>
    </w:p>
    <w:p w14:paraId="3CABD24B"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Direct productive value may derive from:</w:t>
      </w:r>
    </w:p>
    <w:p w14:paraId="26AF5E2A"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vegetables;</w:t>
      </w:r>
    </w:p>
    <w:p w14:paraId="30BC4B2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fruits;</w:t>
      </w:r>
    </w:p>
    <w:p w14:paraId="429CAFA0"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herbs;</w:t>
      </w:r>
    </w:p>
    <w:p w14:paraId="100A626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perennial crops;</w:t>
      </w:r>
    </w:p>
    <w:p w14:paraId="796D8B4A"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biomass outputs;</w:t>
      </w:r>
    </w:p>
    <w:p w14:paraId="7A858479"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lastRenderedPageBreak/>
        <w:t>• nursery material where applicable;</w:t>
      </w:r>
    </w:p>
    <w:p w14:paraId="6F381A0E"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small-scale processed products where legally and operationally appropriate;</w:t>
      </w:r>
    </w:p>
    <w:p w14:paraId="564C6DEA"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hospitality-linked or educational use where connected to a real operating model.</w:t>
      </w:r>
    </w:p>
    <w:p w14:paraId="4D219A53"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For conceptual planning purposes, annual direct productive value may fall within a low-to-mid four-figure envelope per compact OHE, with higher values possible only where design, climate, maturity, labor, market access, water availability, crop mix, and operational management support such outcomes.</w:t>
      </w:r>
    </w:p>
    <w:p w14:paraId="1D2A46B5"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These figures should be treated as conceptual productivity envelopes.</w:t>
      </w:r>
    </w:p>
    <w:p w14:paraId="79E75E73"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They are not guaranteed revenues.</w:t>
      </w:r>
    </w:p>
    <w:p w14:paraId="3C1F53AB"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They are not validated pilot results.</w:t>
      </w:r>
    </w:p>
    <w:p w14:paraId="18D9A48F"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They are not investor-return assumptions.</w:t>
      </w:r>
    </w:p>
    <w:p w14:paraId="708AC8D4"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They are not automatic PRU value.</w:t>
      </w:r>
    </w:p>
    <w:p w14:paraId="174766C7"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They are not financial statements.</w:t>
      </w:r>
    </w:p>
    <w:p w14:paraId="293E9A37"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Direct productive value becomes financially relevant only where outputs are measured, priced, harvested, used, sold, substituted, or otherwise connected to a documented economic pathway.</w:t>
      </w:r>
    </w:p>
    <w:p w14:paraId="61AEF31D" w14:textId="77777777" w:rsidR="00DE1016" w:rsidRPr="00B479AE" w:rsidRDefault="00DE1016" w:rsidP="00DE1016">
      <w:pPr>
        <w:spacing w:line="360" w:lineRule="auto"/>
        <w:rPr>
          <w:rFonts w:ascii="Baskerville Old Face" w:hAnsi="Baskerville Old Face"/>
          <w:b/>
          <w:bCs/>
          <w:i/>
          <w:iCs/>
        </w:rPr>
      </w:pPr>
      <w:r w:rsidRPr="00B479AE">
        <w:rPr>
          <w:rFonts w:ascii="Baskerville Old Face" w:hAnsi="Baskerville Old Face"/>
          <w:b/>
          <w:bCs/>
          <w:i/>
          <w:iCs/>
        </w:rPr>
        <w:t>M.8 Indirect Value Layers — Illustrative Envelope</w:t>
      </w:r>
    </w:p>
    <w:p w14:paraId="0FB1962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OHE may generate indirect value layers beyond direct production.</w:t>
      </w:r>
    </w:p>
    <w:p w14:paraId="2AD9F7E3"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These may include:</w:t>
      </w:r>
    </w:p>
    <w:p w14:paraId="07078F44" w14:textId="77777777" w:rsidR="00DE1016" w:rsidRPr="00B479AE" w:rsidRDefault="00DE1016">
      <w:pPr>
        <w:numPr>
          <w:ilvl w:val="0"/>
          <w:numId w:val="42"/>
        </w:numPr>
        <w:spacing w:line="360" w:lineRule="auto"/>
        <w:rPr>
          <w:rFonts w:ascii="Baskerville Old Face" w:hAnsi="Baskerville Old Face"/>
          <w:i/>
          <w:iCs/>
        </w:rPr>
      </w:pPr>
      <w:r w:rsidRPr="00B479AE">
        <w:rPr>
          <w:rFonts w:ascii="Baskerville Old Face" w:hAnsi="Baskerville Old Face"/>
          <w:i/>
          <w:iCs/>
        </w:rPr>
        <w:t>Food substitution value.</w:t>
      </w:r>
    </w:p>
    <w:p w14:paraId="480FE85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 household, hospitality site, community, school, retreat, or local food system may reduce external food purchases if OHE production is actually consumed or substituted.</w:t>
      </w:r>
    </w:p>
    <w:p w14:paraId="255113C5" w14:textId="77777777" w:rsidR="00DE1016" w:rsidRPr="00B479AE" w:rsidRDefault="00DE1016">
      <w:pPr>
        <w:numPr>
          <w:ilvl w:val="0"/>
          <w:numId w:val="43"/>
        </w:numPr>
        <w:spacing w:line="360" w:lineRule="auto"/>
        <w:rPr>
          <w:rFonts w:ascii="Baskerville Old Face" w:hAnsi="Baskerville Old Face"/>
          <w:i/>
          <w:iCs/>
        </w:rPr>
      </w:pPr>
      <w:r w:rsidRPr="00B479AE">
        <w:rPr>
          <w:rFonts w:ascii="Baskerville Old Face" w:hAnsi="Baskerville Old Face"/>
          <w:i/>
          <w:iCs/>
        </w:rPr>
        <w:t>Water-efficiency value.</w:t>
      </w:r>
    </w:p>
    <w:p w14:paraId="32702EF4"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Improved soil structure, mulch, root depth, shade, organic matter, and hydrological design may reduce irrigation dependency or improve drought response.</w:t>
      </w:r>
    </w:p>
    <w:p w14:paraId="14C61DEF" w14:textId="77777777" w:rsidR="00DE1016" w:rsidRPr="00B479AE" w:rsidRDefault="00DE1016">
      <w:pPr>
        <w:numPr>
          <w:ilvl w:val="0"/>
          <w:numId w:val="44"/>
        </w:numPr>
        <w:spacing w:line="360" w:lineRule="auto"/>
        <w:rPr>
          <w:rFonts w:ascii="Baskerville Old Face" w:hAnsi="Baskerville Old Face"/>
          <w:i/>
          <w:iCs/>
        </w:rPr>
      </w:pPr>
      <w:r w:rsidRPr="00B479AE">
        <w:rPr>
          <w:rFonts w:ascii="Baskerville Old Face" w:hAnsi="Baskerville Old Face"/>
          <w:i/>
          <w:iCs/>
        </w:rPr>
        <w:lastRenderedPageBreak/>
        <w:t>Ecological resilience value.</w:t>
      </w:r>
    </w:p>
    <w:p w14:paraId="0F7724C1"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Soil regeneration, biodiversity, water retention, reduced erosion, microclimate stabilization, and biomass cycling may improve territorial resilience over time.</w:t>
      </w:r>
    </w:p>
    <w:p w14:paraId="68C9CC2A" w14:textId="77777777" w:rsidR="00DE1016" w:rsidRPr="00B479AE" w:rsidRDefault="00DE1016">
      <w:pPr>
        <w:numPr>
          <w:ilvl w:val="0"/>
          <w:numId w:val="45"/>
        </w:numPr>
        <w:spacing w:line="360" w:lineRule="auto"/>
        <w:rPr>
          <w:rFonts w:ascii="Baskerville Old Face" w:hAnsi="Baskerville Old Face"/>
          <w:i/>
          <w:iCs/>
        </w:rPr>
      </w:pPr>
      <w:r w:rsidRPr="00B479AE">
        <w:rPr>
          <w:rFonts w:ascii="Baskerville Old Face" w:hAnsi="Baskerville Old Face"/>
          <w:i/>
          <w:iCs/>
        </w:rPr>
        <w:t>Educational and experiential value.</w:t>
      </w:r>
    </w:p>
    <w:p w14:paraId="20AA4F1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OHE may support education, training, hospitality, wellness, research, community learning, or stewardship programs where those pathways are operationally and legally structured.</w:t>
      </w:r>
    </w:p>
    <w:p w14:paraId="40A9B592" w14:textId="77777777" w:rsidR="00DE1016" w:rsidRPr="00B479AE" w:rsidRDefault="00DE1016">
      <w:pPr>
        <w:numPr>
          <w:ilvl w:val="0"/>
          <w:numId w:val="46"/>
        </w:numPr>
        <w:spacing w:line="360" w:lineRule="auto"/>
        <w:rPr>
          <w:rFonts w:ascii="Baskerville Old Face" w:hAnsi="Baskerville Old Face"/>
          <w:i/>
          <w:iCs/>
        </w:rPr>
      </w:pPr>
      <w:r w:rsidRPr="00B479AE">
        <w:rPr>
          <w:rFonts w:ascii="Baskerville Old Face" w:hAnsi="Baskerville Old Face"/>
          <w:i/>
          <w:iCs/>
        </w:rPr>
        <w:t>Health-related systemic value.</w:t>
      </w:r>
    </w:p>
    <w:p w14:paraId="49A7780E"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Nutrient-dense food, physical engagement, nature exposure, social coherence, and preventive-health relevance may support strategic value pathways.</w:t>
      </w:r>
    </w:p>
    <w:p w14:paraId="38B59F0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However, health-related value must remain strictly bounded.</w:t>
      </w:r>
    </w:p>
    <w:p w14:paraId="2AA1D51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should not be treated as automatic healthcare savings, medical claim, insurance value, public reimbursement, health-credit issuance, PRU value, investor return, or capital-facing entitlement unless supported by verified data, recognized methodology, contractual arrangement, public-health governance, and legally reviewable monetization or avoided-cost pathways.</w:t>
      </w:r>
    </w:p>
    <w:p w14:paraId="1D7974A8"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Indirect values are strategically important.</w:t>
      </w:r>
    </w:p>
    <w:p w14:paraId="577D109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They are not automatically financeable.</w:t>
      </w:r>
    </w:p>
    <w:p w14:paraId="73F18C13"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They become relevant to capital-readiness only when evidence, contracts, institutional arrangements, methodology, legal structure, and admissibility support their use.</w:t>
      </w:r>
    </w:p>
    <w:p w14:paraId="1497A958" w14:textId="77777777" w:rsidR="00DE1016" w:rsidRPr="00B479AE" w:rsidRDefault="00DE1016" w:rsidP="00DE1016">
      <w:pPr>
        <w:spacing w:line="360" w:lineRule="auto"/>
        <w:rPr>
          <w:rFonts w:ascii="Baskerville Old Face" w:hAnsi="Baskerville Old Face"/>
          <w:b/>
          <w:bCs/>
          <w:i/>
          <w:iCs/>
        </w:rPr>
      </w:pPr>
      <w:r w:rsidRPr="00B479AE">
        <w:rPr>
          <w:rFonts w:ascii="Baskerville Old Face" w:hAnsi="Baskerville Old Face"/>
          <w:b/>
          <w:bCs/>
          <w:i/>
          <w:iCs/>
        </w:rPr>
        <w:t>M.9 Regenerative Value Accumulation</w:t>
      </w:r>
    </w:p>
    <w:p w14:paraId="194852F0"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OHE is not designed as a static production unit.</w:t>
      </w:r>
    </w:p>
    <w:p w14:paraId="06A27CF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is intended to accumulate biological capital over time.</w:t>
      </w:r>
    </w:p>
    <w:p w14:paraId="22A18114"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Biological capital may increase through:</w:t>
      </w:r>
    </w:p>
    <w:p w14:paraId="28E19237"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biomass accumulation;</w:t>
      </w:r>
    </w:p>
    <w:p w14:paraId="70B3196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soil organic matter improvement;</w:t>
      </w:r>
    </w:p>
    <w:p w14:paraId="21E35573"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lastRenderedPageBreak/>
        <w:t>• soil organic carbon increase;</w:t>
      </w:r>
    </w:p>
    <w:p w14:paraId="2951D127"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improved aggregation;</w:t>
      </w:r>
    </w:p>
    <w:p w14:paraId="42D19DB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increased infiltration;</w:t>
      </w:r>
    </w:p>
    <w:p w14:paraId="7E9D0398"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stronger root systems;</w:t>
      </w:r>
    </w:p>
    <w:p w14:paraId="689FD74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microbial activity;</w:t>
      </w:r>
    </w:p>
    <w:p w14:paraId="57139331"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biodiversity enhancement;</w:t>
      </w:r>
    </w:p>
    <w:p w14:paraId="2502A00F"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reduced external input dependency;</w:t>
      </w:r>
    </w:p>
    <w:p w14:paraId="70C3307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greater productive stability;</w:t>
      </w:r>
    </w:p>
    <w:p w14:paraId="0B266CD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better recovery after disturbance.</w:t>
      </w:r>
    </w:p>
    <w:p w14:paraId="5C295AE0"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This gives the OHE a potential time-positive profile.</w:t>
      </w:r>
    </w:p>
    <w:p w14:paraId="3990321F"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 conventional industrial asset often depreciates unless maintained or replaced.</w:t>
      </w:r>
    </w:p>
    <w:p w14:paraId="6BDF9491"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 regenerative biological system may become more capable as it matures, if design and management are strong.</w:t>
      </w:r>
    </w:p>
    <w:p w14:paraId="7B537F8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This is a central distinction.</w:t>
      </w:r>
    </w:p>
    <w:p w14:paraId="4D512E3F"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However, time-positive dynamics are not automatic.</w:t>
      </w:r>
    </w:p>
    <w:p w14:paraId="3E6801A0"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Poor design, weak stewardship, drought, salinity, pest pressure, disease, fire, compaction, nutrient imbalance, water stress, governance failure, or operational abandonment can interrupt or reverse regenerative development.</w:t>
      </w:r>
    </w:p>
    <w:p w14:paraId="37132FB1"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Prometheus interpretation is therefore conservative:</w:t>
      </w:r>
    </w:p>
    <w:p w14:paraId="76196799"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biological maturity may support value accumulation;</w:t>
      </w:r>
    </w:p>
    <w:p w14:paraId="47A851AA"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value accumulation must be evidenced;</w:t>
      </w:r>
    </w:p>
    <w:p w14:paraId="1F51D4FB"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evidence must be verified;</w:t>
      </w:r>
    </w:p>
    <w:p w14:paraId="21645C14"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and verified improvement must remain admissibility-bound.</w:t>
      </w:r>
    </w:p>
    <w:p w14:paraId="222D3C44" w14:textId="77777777" w:rsidR="00DE1016" w:rsidRPr="00B479AE" w:rsidRDefault="00DE1016" w:rsidP="00DE1016">
      <w:pPr>
        <w:spacing w:line="360" w:lineRule="auto"/>
        <w:rPr>
          <w:rFonts w:ascii="Baskerville Old Face" w:hAnsi="Baskerville Old Face"/>
          <w:b/>
          <w:bCs/>
          <w:i/>
          <w:iCs/>
        </w:rPr>
      </w:pPr>
      <w:r w:rsidRPr="00B479AE">
        <w:rPr>
          <w:rFonts w:ascii="Baskerville Old Face" w:hAnsi="Baskerville Old Face"/>
          <w:b/>
          <w:bCs/>
          <w:i/>
          <w:iCs/>
        </w:rPr>
        <w:lastRenderedPageBreak/>
        <w:t>M.10 Indicative Value Envelope</w:t>
      </w:r>
    </w:p>
    <w:p w14:paraId="3C6DBDBE"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When direct and indirect layers are considered together, an OHE may support a broad conceptual annual value envelope.</w:t>
      </w:r>
    </w:p>
    <w:p w14:paraId="5914EEF9"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This envelope may include direct productive output, substitution value, resilience value, education or hospitality relevance, research relevance, and other systemic pathways where applicable.</w:t>
      </w:r>
    </w:p>
    <w:p w14:paraId="1320B534"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For conservative institutional use, the annual conceptual value envelope should be expressed as an order-of-magnitude range rather than a precise forecast.</w:t>
      </w:r>
    </w:p>
    <w:p w14:paraId="68D4513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appropriate language is:</w:t>
      </w:r>
    </w:p>
    <w:p w14:paraId="343BEC0B"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 mature, well-managed OHE may support a low-to-mid five-figure annual value interpretation under favorable assumptions, provided that productive output, substitution value, service pathways, or other monetization channels are actually documented and admissible.</w:t>
      </w:r>
    </w:p>
    <w:p w14:paraId="79DB25A7"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This should not be presented as guaranteed revenue.</w:t>
      </w:r>
    </w:p>
    <w:p w14:paraId="674078B1"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should not be presented as validated pilot performance.</w:t>
      </w:r>
    </w:p>
    <w:p w14:paraId="2F63166A"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should not be presented as investment return.</w:t>
      </w:r>
    </w:p>
    <w:p w14:paraId="075F9A8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should not enter base-case financial modeling unless supported by operational evidence, contractual pathways, market access, governance review, and legal admissibility.</w:t>
      </w:r>
    </w:p>
    <w:p w14:paraId="79B710F7" w14:textId="77777777" w:rsidR="00DE1016" w:rsidRPr="00B479AE" w:rsidRDefault="00DE1016" w:rsidP="00DE1016">
      <w:pPr>
        <w:spacing w:line="360" w:lineRule="auto"/>
        <w:rPr>
          <w:rFonts w:ascii="Baskerville Old Face" w:hAnsi="Baskerville Old Face"/>
          <w:b/>
          <w:bCs/>
          <w:i/>
          <w:iCs/>
        </w:rPr>
      </w:pPr>
      <w:r w:rsidRPr="00B479AE">
        <w:rPr>
          <w:rFonts w:ascii="Baskerville Old Face" w:hAnsi="Baskerville Old Face"/>
          <w:b/>
          <w:bCs/>
          <w:i/>
          <w:iCs/>
        </w:rPr>
        <w:t>M.11 Illustrative Economic Profile</w:t>
      </w:r>
    </w:p>
    <w:p w14:paraId="7F12C638"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 conceptual OHE may appear economically attractive under favorable assumptions when deployment cost, direct productive value, food substitution, low operating cost, and long-duration biological maturation are considered together.</w:t>
      </w:r>
    </w:p>
    <w:p w14:paraId="0E4B412B"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However, payback, return, yield, cash-flow, or valuation language should be used with caution.</w:t>
      </w:r>
    </w:p>
    <w:p w14:paraId="780FB49B"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At this stage, such figures should be treated strictly as scenario illustrations.</w:t>
      </w:r>
    </w:p>
    <w:p w14:paraId="0D90A209"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They do not constitute:</w:t>
      </w:r>
    </w:p>
    <w:p w14:paraId="00A4F35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deployment guarantees;</w:t>
      </w:r>
    </w:p>
    <w:p w14:paraId="5317E955"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underwritten project returns;</w:t>
      </w:r>
    </w:p>
    <w:p w14:paraId="575F3978"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lastRenderedPageBreak/>
        <w:t>• pilot-validated financial results;</w:t>
      </w:r>
    </w:p>
    <w:p w14:paraId="7B2CA2DB"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investor-facing yield claims;</w:t>
      </w:r>
    </w:p>
    <w:p w14:paraId="7A70ABD5"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regulated financial projections;</w:t>
      </w:r>
    </w:p>
    <w:p w14:paraId="4F7D096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collateral recognition;</w:t>
      </w:r>
    </w:p>
    <w:p w14:paraId="0ADDC9F3"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credit eligibility;</w:t>
      </w:r>
    </w:p>
    <w:p w14:paraId="79991E7B"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token issuance basis;</w:t>
      </w:r>
    </w:p>
    <w:p w14:paraId="02333F29"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offering materials.</w:t>
      </w:r>
    </w:p>
    <w:p w14:paraId="030ABFB8"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safer institutional framing is:</w:t>
      </w:r>
    </w:p>
    <w:p w14:paraId="4E69B5AF"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under favorable site, design, management, and market assumptions, an OHE may demonstrate attractive economic potential over time, but such potential remains conditional on implementation quality, evidence, operating records, revenue pathways, legal structure, and admissibility.</w:t>
      </w:r>
    </w:p>
    <w:p w14:paraId="486BE21F" w14:textId="77777777" w:rsidR="00DE1016" w:rsidRPr="00B479AE" w:rsidRDefault="00DE1016" w:rsidP="00DE1016">
      <w:pPr>
        <w:spacing w:line="360" w:lineRule="auto"/>
        <w:rPr>
          <w:rFonts w:ascii="Baskerville Old Face" w:hAnsi="Baskerville Old Face"/>
          <w:b/>
          <w:bCs/>
          <w:i/>
          <w:iCs/>
        </w:rPr>
      </w:pPr>
      <w:r w:rsidRPr="00B479AE">
        <w:rPr>
          <w:rFonts w:ascii="Baskerville Old Face" w:hAnsi="Baskerville Old Face"/>
          <w:b/>
          <w:bCs/>
          <w:i/>
          <w:iCs/>
        </w:rPr>
        <w:t>M.12 Time-Dependent Productivity</w:t>
      </w:r>
    </w:p>
    <w:p w14:paraId="6DCE9281"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OHE should be interpreted through biological maturity phases.</w:t>
      </w:r>
    </w:p>
    <w:p w14:paraId="28D75780"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An illustrative maturity profile may include:</w:t>
      </w:r>
    </w:p>
    <w:p w14:paraId="68448E0F"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establishment phase;</w:t>
      </w:r>
    </w:p>
    <w:p w14:paraId="290AB70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early productive emergence;</w:t>
      </w:r>
    </w:p>
    <w:p w14:paraId="1B1B8E3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accelerated biological growth;</w:t>
      </w:r>
    </w:p>
    <w:p w14:paraId="0B2C6AB8"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higher productivity phase;</w:t>
      </w:r>
    </w:p>
    <w:p w14:paraId="4206BCEE"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mature regenerative equilibrium.</w:t>
      </w:r>
    </w:p>
    <w:p w14:paraId="178AD71F"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These phases should not be tied to rigid dates.</w:t>
      </w:r>
    </w:p>
    <w:p w14:paraId="446B7FE0"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Different sites mature at different speeds.</w:t>
      </w:r>
    </w:p>
    <w:p w14:paraId="6B159661"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Maturity depends on climate, water, soil, design, species, management, disturbance, and operational continuity.</w:t>
      </w:r>
    </w:p>
    <w:p w14:paraId="3636F78F"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lastRenderedPageBreak/>
        <w:t>The structural distinction is:</w:t>
      </w:r>
    </w:p>
    <w:p w14:paraId="75C3E73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industrial systems often require continuous input replacement to sustain productivity;</w:t>
      </w:r>
    </w:p>
    <w:p w14:paraId="778A00A5"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syntropic systems are designed to increase internal biological quality over time.</w:t>
      </w:r>
    </w:p>
    <w:p w14:paraId="0447A7D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This does not mean that OHE productivity always increases.</w:t>
      </w:r>
    </w:p>
    <w:p w14:paraId="4BFF8EBE"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means that the design intention is to compound biological function, and that any claim of compounding performance must be verified.</w:t>
      </w:r>
    </w:p>
    <w:p w14:paraId="2613F77A" w14:textId="77777777" w:rsidR="00DE1016" w:rsidRPr="00B479AE" w:rsidRDefault="00DE1016" w:rsidP="00DE1016">
      <w:pPr>
        <w:spacing w:line="360" w:lineRule="auto"/>
        <w:rPr>
          <w:rFonts w:ascii="Baskerville Old Face" w:hAnsi="Baskerville Old Face"/>
          <w:b/>
          <w:bCs/>
          <w:i/>
          <w:iCs/>
        </w:rPr>
      </w:pPr>
      <w:r w:rsidRPr="00B479AE">
        <w:rPr>
          <w:rFonts w:ascii="Baskerville Old Face" w:hAnsi="Baskerville Old Face"/>
          <w:b/>
          <w:bCs/>
          <w:i/>
          <w:iCs/>
        </w:rPr>
        <w:t>M.13 Performance Function</w:t>
      </w:r>
    </w:p>
    <w:p w14:paraId="6709BEB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OHE performance should be interpreted as a function of:</w:t>
      </w:r>
    </w:p>
    <w:p w14:paraId="7BE7341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Design × Management × Ecological Context</w:t>
      </w:r>
    </w:p>
    <w:p w14:paraId="6FC58774"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This means that no OHE should be treated as plug-and-play infrastructure.</w:t>
      </w:r>
    </w:p>
    <w:p w14:paraId="07EA6328"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Design quality, stewardship competence, and site conditions remain decisive.</w:t>
      </w:r>
    </w:p>
    <w:p w14:paraId="45EAAC4E"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 more complete conceptual expression is:</w:t>
      </w:r>
    </w:p>
    <w:p w14:paraId="56E0FDB5"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OHE Performance = f(design quality, management continuity, water strategy, soil baseline, biodiversity, climate, time, disturbance, evidence quality)</w:t>
      </w:r>
    </w:p>
    <w:p w14:paraId="1071ECA3"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operational implication is clear:</w:t>
      </w:r>
    </w:p>
    <w:p w14:paraId="7D8FE18F"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design creates potential;</w:t>
      </w:r>
    </w:p>
    <w:p w14:paraId="13CD1B9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management activates potential;</w:t>
      </w:r>
    </w:p>
    <w:p w14:paraId="3EA763D1"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ecological context conditions potential;</w:t>
      </w:r>
    </w:p>
    <w:p w14:paraId="36AD101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time tests potential;</w:t>
      </w:r>
    </w:p>
    <w:p w14:paraId="284FCB14"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MRV verifies performance.</w:t>
      </w:r>
    </w:p>
    <w:p w14:paraId="182E8DFE"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Only verified performance may become relevant to PRU value analysis, maturity classification, reporting, or capital-readiness interpretation.</w:t>
      </w:r>
    </w:p>
    <w:p w14:paraId="3CFB2D20" w14:textId="77777777" w:rsidR="00314051" w:rsidRPr="00B479AE" w:rsidRDefault="00314051" w:rsidP="00DE1016">
      <w:pPr>
        <w:spacing w:line="360" w:lineRule="auto"/>
        <w:rPr>
          <w:rFonts w:ascii="Baskerville Old Face" w:hAnsi="Baskerville Old Face"/>
          <w:i/>
          <w:iCs/>
        </w:rPr>
      </w:pPr>
    </w:p>
    <w:p w14:paraId="4D0A06F0" w14:textId="77777777" w:rsidR="00DE1016" w:rsidRPr="00B479AE" w:rsidRDefault="00DE1016" w:rsidP="00DE1016">
      <w:pPr>
        <w:spacing w:line="360" w:lineRule="auto"/>
        <w:rPr>
          <w:rFonts w:ascii="Baskerville Old Face" w:hAnsi="Baskerville Old Face"/>
          <w:b/>
          <w:bCs/>
          <w:i/>
          <w:iCs/>
        </w:rPr>
      </w:pPr>
      <w:r w:rsidRPr="00B479AE">
        <w:rPr>
          <w:rFonts w:ascii="Baskerville Old Face" w:hAnsi="Baskerville Old Face"/>
          <w:b/>
          <w:bCs/>
          <w:i/>
          <w:iCs/>
        </w:rPr>
        <w:lastRenderedPageBreak/>
        <w:t>M.14 Illustrative Cluster Translation</w:t>
      </w:r>
    </w:p>
    <w:p w14:paraId="14B911D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An OHE cluster may be used as a conceptual scaling illustration.</w:t>
      </w:r>
    </w:p>
    <w:p w14:paraId="1AEE00C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 cluster may include tens or hundreds of OHE units across a local territory, community, hospitality network, educational platform, public program, bioregion, or regenerative asset portfolio.</w:t>
      </w:r>
    </w:p>
    <w:p w14:paraId="379FC6E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At cluster scale, potential benefits may include:</w:t>
      </w:r>
    </w:p>
    <w:p w14:paraId="079F51A3"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shared MRV infrastructure;</w:t>
      </w:r>
    </w:p>
    <w:p w14:paraId="060B7E09"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shared stewardship training;</w:t>
      </w:r>
    </w:p>
    <w:p w14:paraId="01EECC01"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shared nursery systems;</w:t>
      </w:r>
    </w:p>
    <w:p w14:paraId="411506B3"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shared water strategy;</w:t>
      </w:r>
    </w:p>
    <w:p w14:paraId="5EAECDAE"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shared processing;</w:t>
      </w:r>
    </w:p>
    <w:p w14:paraId="73157615"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local food-network effects;</w:t>
      </w:r>
    </w:p>
    <w:p w14:paraId="195FF6B9"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biodiversity corridors;</w:t>
      </w:r>
    </w:p>
    <w:p w14:paraId="1188CAB0"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cooperative labor;</w:t>
      </w:r>
    </w:p>
    <w:p w14:paraId="47D46D3F"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portfolio diversification;</w:t>
      </w:r>
    </w:p>
    <w:p w14:paraId="3B6FE347"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stronger data continuity;</w:t>
      </w:r>
    </w:p>
    <w:p w14:paraId="4E6EE904"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improved institutional visibility.</w:t>
      </w:r>
    </w:p>
    <w:p w14:paraId="0FEE309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For order-of-magnitude planning, a large OHE cluster may imply a low seven-figure deployment envelope, depending on scale, geography, infrastructure intensity, labor model, and monitoring design.</w:t>
      </w:r>
    </w:p>
    <w:p w14:paraId="3FCA1D04"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Annual conceptual value at cluster scale may also reach a six-figure to low seven-figure order of magnitude under favorable assumptions.</w:t>
      </w:r>
    </w:p>
    <w:p w14:paraId="47C8035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These figures should remain illustrative.</w:t>
      </w:r>
    </w:p>
    <w:p w14:paraId="5F34CEC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They are not current-pilot commitments.</w:t>
      </w:r>
    </w:p>
    <w:p w14:paraId="07ECE47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lastRenderedPageBreak/>
        <w:t>They are not validated portfolio economics.</w:t>
      </w:r>
    </w:p>
    <w:p w14:paraId="26063420"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They are not investment guarantees.</w:t>
      </w:r>
    </w:p>
    <w:p w14:paraId="570A899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They are not offering terms.</w:t>
      </w:r>
    </w:p>
    <w:p w14:paraId="4A4E2BA5"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They illustrate how biological units may become economically legible at network scale when evidence, operations, governance, and legal structure mature.</w:t>
      </w:r>
    </w:p>
    <w:p w14:paraId="33ED2A17" w14:textId="77777777" w:rsidR="00DE1016" w:rsidRPr="00B479AE" w:rsidRDefault="00DE1016" w:rsidP="00DE1016">
      <w:pPr>
        <w:spacing w:line="360" w:lineRule="auto"/>
        <w:rPr>
          <w:rFonts w:ascii="Baskerville Old Face" w:hAnsi="Baskerville Old Face"/>
          <w:b/>
          <w:bCs/>
          <w:i/>
          <w:iCs/>
        </w:rPr>
      </w:pPr>
      <w:r w:rsidRPr="00B479AE">
        <w:rPr>
          <w:rFonts w:ascii="Baskerville Old Face" w:hAnsi="Baskerville Old Face"/>
          <w:b/>
          <w:bCs/>
          <w:i/>
          <w:iCs/>
        </w:rPr>
        <w:t>M.15 Transition Logic Toward Standardization</w:t>
      </w:r>
    </w:p>
    <w:p w14:paraId="2C748355"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Within the broader Prometheus logic, the OHE functions as the biological base layer of a future pathway:</w:t>
      </w:r>
    </w:p>
    <w:p w14:paraId="0CDF1897"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xml:space="preserve">OHE </w:t>
      </w:r>
      <w:r w:rsidRPr="00B479AE">
        <w:rPr>
          <w:rFonts w:ascii="Times New Roman" w:hAnsi="Times New Roman" w:cs="Times New Roman"/>
          <w:i/>
          <w:iCs/>
        </w:rPr>
        <w:t>→</w:t>
      </w:r>
      <w:r w:rsidRPr="00B479AE">
        <w:rPr>
          <w:rFonts w:ascii="Baskerville Old Face" w:hAnsi="Baskerville Old Face"/>
          <w:i/>
          <w:iCs/>
        </w:rPr>
        <w:t xml:space="preserve"> Measurement </w:t>
      </w:r>
      <w:r w:rsidRPr="00B479AE">
        <w:rPr>
          <w:rFonts w:ascii="Times New Roman" w:hAnsi="Times New Roman" w:cs="Times New Roman"/>
          <w:i/>
          <w:iCs/>
        </w:rPr>
        <w:t>→</w:t>
      </w:r>
      <w:r w:rsidRPr="00B479AE">
        <w:rPr>
          <w:rFonts w:ascii="Baskerville Old Face" w:hAnsi="Baskerville Old Face"/>
          <w:i/>
          <w:iCs/>
        </w:rPr>
        <w:t xml:space="preserve"> Standardization </w:t>
      </w:r>
      <w:r w:rsidRPr="00B479AE">
        <w:rPr>
          <w:rFonts w:ascii="Times New Roman" w:hAnsi="Times New Roman" w:cs="Times New Roman"/>
          <w:i/>
          <w:iCs/>
        </w:rPr>
        <w:t>→</w:t>
      </w:r>
      <w:r w:rsidRPr="00B479AE">
        <w:rPr>
          <w:rFonts w:ascii="Baskerville Old Face" w:hAnsi="Baskerville Old Face"/>
          <w:i/>
          <w:iCs/>
        </w:rPr>
        <w:t xml:space="preserve"> Admissibility </w:t>
      </w:r>
      <w:r w:rsidRPr="00B479AE">
        <w:rPr>
          <w:rFonts w:ascii="Times New Roman" w:hAnsi="Times New Roman" w:cs="Times New Roman"/>
          <w:i/>
          <w:iCs/>
        </w:rPr>
        <w:t>→</w:t>
      </w:r>
      <w:r w:rsidRPr="00B479AE">
        <w:rPr>
          <w:rFonts w:ascii="Baskerville Old Face" w:hAnsi="Baskerville Old Face"/>
          <w:i/>
          <w:iCs/>
        </w:rPr>
        <w:t xml:space="preserve"> PRU Value Analysis </w:t>
      </w:r>
      <w:r w:rsidRPr="00B479AE">
        <w:rPr>
          <w:rFonts w:ascii="Times New Roman" w:hAnsi="Times New Roman" w:cs="Times New Roman"/>
          <w:i/>
          <w:iCs/>
        </w:rPr>
        <w:t>→</w:t>
      </w:r>
      <w:r w:rsidRPr="00B479AE">
        <w:rPr>
          <w:rFonts w:ascii="Baskerville Old Face" w:hAnsi="Baskerville Old Face"/>
          <w:i/>
          <w:iCs/>
        </w:rPr>
        <w:t xml:space="preserve"> Maturity Classification </w:t>
      </w:r>
      <w:r w:rsidRPr="00B479AE">
        <w:rPr>
          <w:rFonts w:ascii="Times New Roman" w:hAnsi="Times New Roman" w:cs="Times New Roman"/>
          <w:i/>
          <w:iCs/>
        </w:rPr>
        <w:t>→</w:t>
      </w:r>
      <w:r w:rsidRPr="00B479AE">
        <w:rPr>
          <w:rFonts w:ascii="Baskerville Old Face" w:hAnsi="Baskerville Old Face"/>
          <w:i/>
          <w:iCs/>
        </w:rPr>
        <w:t xml:space="preserve"> Capital-Readiness</w:t>
      </w:r>
    </w:p>
    <w:p w14:paraId="65BF21F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This sequence should be understood developmentally.</w:t>
      </w:r>
    </w:p>
    <w:p w14:paraId="7087A52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is not an already completed implementation state.</w:t>
      </w:r>
    </w:p>
    <w:p w14:paraId="1ED88704"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OHE becomes relevant to standardization only when it generates consistent evidence.</w:t>
      </w:r>
    </w:p>
    <w:p w14:paraId="73C06C0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Evidence becomes relevant to admissibility only when it satisfies methodology, confidence, review, and no-double-counting controls.</w:t>
      </w:r>
    </w:p>
    <w:p w14:paraId="37FC7479"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Admissibility becomes relevant to PRU value analysis only where legal, governance, and reporting boundaries allow.</w:t>
      </w:r>
    </w:p>
    <w:p w14:paraId="6B0D279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Capital-readiness remains downstream from evidence.</w:t>
      </w:r>
    </w:p>
    <w:p w14:paraId="72B49954" w14:textId="77777777" w:rsidR="00DE1016" w:rsidRPr="00B479AE" w:rsidRDefault="00DE1016" w:rsidP="00DE1016">
      <w:pPr>
        <w:spacing w:line="360" w:lineRule="auto"/>
        <w:rPr>
          <w:rFonts w:ascii="Baskerville Old Face" w:hAnsi="Baskerville Old Face"/>
          <w:b/>
          <w:bCs/>
          <w:i/>
          <w:iCs/>
        </w:rPr>
      </w:pPr>
      <w:r w:rsidRPr="00B479AE">
        <w:rPr>
          <w:rFonts w:ascii="Baskerville Old Face" w:hAnsi="Baskerville Old Face"/>
          <w:b/>
          <w:bCs/>
          <w:i/>
          <w:iCs/>
        </w:rPr>
        <w:t>M.16 Capital Allocation Insight</w:t>
      </w:r>
    </w:p>
    <w:p w14:paraId="156B24D4"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A central Prometheus thesis is that regeneration is not constrained only by the absolute scarcity of capital.</w:t>
      </w:r>
    </w:p>
    <w:p w14:paraId="4A708F7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is also constrained by the structural misallocation of capital.</w:t>
      </w:r>
    </w:p>
    <w:p w14:paraId="5B3D8A45"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Modern systems allocate substantial resources downstream to manage degradation after it appears as health burden, food insecurity, water stress, ecological remediation, disaster exposure, social fragility, or insurance loss.</w:t>
      </w:r>
    </w:p>
    <w:p w14:paraId="62EE6D6E"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lastRenderedPageBreak/>
        <w:t>Prometheus proposes a different allocation logic.</w:t>
      </w:r>
    </w:p>
    <w:p w14:paraId="6FE8F22B"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Capital can be routed upstream into regenerative units that may improve nutritional, ecological, water, resilience, and community outcomes before downstream costs emerge.</w:t>
      </w:r>
    </w:p>
    <w:p w14:paraId="569F5A53"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From this perspective, OHE deployment is strategically relevant because it represents a small-scale, biologically grounded unit capable of absorbing reallocated capital into systems that may improve several forms of resilience at once.</w:t>
      </w:r>
    </w:p>
    <w:p w14:paraId="3A5901F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This does not mean that every OHE produces measurable avoided cost.</w:t>
      </w:r>
    </w:p>
    <w:p w14:paraId="03AE069A"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means that the OHE provides a practical unit through which avoided-cost hypotheses, public procurement models, food-as-medicine pathways, resilience programs, educational programs, and regenerative infrastructure finance may be tested.</w:t>
      </w:r>
    </w:p>
    <w:p w14:paraId="4640048E" w14:textId="77777777" w:rsidR="00DE1016" w:rsidRPr="00B479AE" w:rsidRDefault="00DE1016" w:rsidP="00DE1016">
      <w:pPr>
        <w:spacing w:line="360" w:lineRule="auto"/>
        <w:rPr>
          <w:rFonts w:ascii="Baskerville Old Face" w:hAnsi="Baskerville Old Face"/>
          <w:b/>
          <w:bCs/>
          <w:i/>
          <w:iCs/>
        </w:rPr>
      </w:pPr>
      <w:r w:rsidRPr="00B479AE">
        <w:rPr>
          <w:rFonts w:ascii="Baskerville Old Face" w:hAnsi="Baskerville Old Face"/>
          <w:b/>
          <w:bCs/>
          <w:i/>
          <w:iCs/>
        </w:rPr>
        <w:t>M.17 Final Synthesis</w:t>
      </w:r>
    </w:p>
    <w:p w14:paraId="20FBA7C9"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OHE demonstrates, at conceptual and biological level, that regeneration can be organized as productive infrastructure.</w:t>
      </w:r>
    </w:p>
    <w:p w14:paraId="71608895"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shows that a compact territorial unit may potentially integrate:</w:t>
      </w:r>
    </w:p>
    <w:p w14:paraId="1F64AFA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food production;</w:t>
      </w:r>
    </w:p>
    <w:p w14:paraId="74B4108E"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soil regeneration;</w:t>
      </w:r>
    </w:p>
    <w:p w14:paraId="3AEC04D5"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water retention;</w:t>
      </w:r>
    </w:p>
    <w:p w14:paraId="0B8232E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biodiversity;</w:t>
      </w:r>
    </w:p>
    <w:p w14:paraId="1CE875E2"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biomass cycling;</w:t>
      </w:r>
    </w:p>
    <w:p w14:paraId="1CFF1308"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human stewardship;</w:t>
      </w:r>
    </w:p>
    <w:p w14:paraId="0089C8AA"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operational records;</w:t>
      </w:r>
    </w:p>
    <w:p w14:paraId="40E3E26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MRV evidence;</w:t>
      </w:r>
    </w:p>
    <w:p w14:paraId="017219B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future PRU-relevant analysis;</w:t>
      </w:r>
    </w:p>
    <w:p w14:paraId="11511D35"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 local resilience;</w:t>
      </w:r>
    </w:p>
    <w:p w14:paraId="6FDA35A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lastRenderedPageBreak/>
        <w:t>• capital-readiness logic.</w:t>
      </w:r>
    </w:p>
    <w:p w14:paraId="2149EE67"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OHE also demonstrates a deeper economic principle:</w:t>
      </w:r>
    </w:p>
    <w:p w14:paraId="2C4B984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biological systems can improve in quality over time rather than degrade, if design, stewardship, and ecological context support regenerative maturation.</w:t>
      </w:r>
    </w:p>
    <w:p w14:paraId="6B1E5BE5"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This makes the OHE strategically important for Prometheus.</w:t>
      </w:r>
    </w:p>
    <w:p w14:paraId="06B85A8E"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is where the thesis touches soil.</w:t>
      </w:r>
    </w:p>
    <w:p w14:paraId="69769E8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is where life generates evidence.</w:t>
      </w:r>
    </w:p>
    <w:p w14:paraId="06AC6994"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is where stewardship becomes operational.</w:t>
      </w:r>
    </w:p>
    <w:p w14:paraId="1F5AFFA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is where ecological improvement can become measurable.</w:t>
      </w:r>
    </w:p>
    <w:p w14:paraId="010E5595"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is where future value analysis begins.</w:t>
      </w:r>
    </w:p>
    <w:p w14:paraId="1DF5D32D"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OHE should therefore be treated as the first credible biological unit of Prometheus.</w:t>
      </w:r>
    </w:p>
    <w:p w14:paraId="7AB338F7"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Not because it guarantees value.</w:t>
      </w:r>
    </w:p>
    <w:p w14:paraId="489D5C58"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Not because it guarantees yield.</w:t>
      </w:r>
    </w:p>
    <w:p w14:paraId="57EC80E5"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Not because it guarantees return.</w:t>
      </w:r>
    </w:p>
    <w:p w14:paraId="2719C4BC"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But because it creates a disciplined field unit through which regeneration can be observed, measured, governed, and progressively translated into institutional language without losing its living source.</w:t>
      </w:r>
    </w:p>
    <w:p w14:paraId="229D1739"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final principle is:</w:t>
      </w:r>
    </w:p>
    <w:p w14:paraId="7F909EA6"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the OHE is not valuable because it abstracts life;</w:t>
      </w:r>
    </w:p>
    <w:p w14:paraId="6A23484E" w14:textId="77777777" w:rsidR="00DE1016" w:rsidRPr="00B479AE" w:rsidRDefault="00DE1016" w:rsidP="00DE1016">
      <w:pPr>
        <w:spacing w:line="360" w:lineRule="auto"/>
        <w:rPr>
          <w:rFonts w:ascii="Baskerville Old Face" w:hAnsi="Baskerville Old Face"/>
          <w:i/>
          <w:iCs/>
        </w:rPr>
      </w:pPr>
      <w:r w:rsidRPr="00B479AE">
        <w:rPr>
          <w:rFonts w:ascii="Baskerville Old Face" w:hAnsi="Baskerville Old Face"/>
          <w:i/>
          <w:iCs/>
        </w:rPr>
        <w:t>it is valuable because it allows life to become visible, measurable, stewarded, and protected before capital enters the frame.</w:t>
      </w:r>
    </w:p>
    <w:p w14:paraId="26D96C28" w14:textId="77777777" w:rsidR="00DE1016" w:rsidRPr="00B479AE" w:rsidRDefault="00DE1016" w:rsidP="004463DC">
      <w:pPr>
        <w:spacing w:line="360" w:lineRule="auto"/>
        <w:rPr>
          <w:rFonts w:ascii="Baskerville Old Face" w:hAnsi="Baskerville Old Face"/>
          <w:i/>
          <w:iCs/>
        </w:rPr>
      </w:pPr>
    </w:p>
    <w:p w14:paraId="3815B746" w14:textId="77777777" w:rsidR="00314051" w:rsidRPr="00B479AE" w:rsidRDefault="00314051" w:rsidP="004463DC">
      <w:pPr>
        <w:spacing w:line="360" w:lineRule="auto"/>
        <w:rPr>
          <w:rFonts w:ascii="Baskerville Old Face" w:hAnsi="Baskerville Old Face"/>
          <w:i/>
          <w:iCs/>
        </w:rPr>
      </w:pPr>
    </w:p>
    <w:p w14:paraId="01DA674E" w14:textId="77777777" w:rsidR="00314051" w:rsidRPr="00B479AE" w:rsidRDefault="00314051" w:rsidP="004463DC">
      <w:pPr>
        <w:spacing w:line="360" w:lineRule="auto"/>
        <w:rPr>
          <w:rFonts w:ascii="Baskerville Old Face" w:hAnsi="Baskerville Old Face"/>
          <w:i/>
          <w:iCs/>
        </w:rPr>
      </w:pPr>
    </w:p>
    <w:p w14:paraId="5D0DE4DF" w14:textId="77777777" w:rsidR="00314051" w:rsidRPr="00ED0D46" w:rsidRDefault="00314051" w:rsidP="00ED0D46">
      <w:pPr>
        <w:pStyle w:val="Titolo1"/>
        <w:rPr>
          <w:rFonts w:ascii="Baskerville Old Face" w:hAnsi="Baskerville Old Face"/>
          <w:b/>
          <w:bCs/>
          <w:i/>
          <w:iCs/>
          <w:sz w:val="24"/>
          <w:szCs w:val="24"/>
        </w:rPr>
      </w:pPr>
      <w:r w:rsidRPr="00ED0D46">
        <w:rPr>
          <w:rFonts w:ascii="Baskerville Old Face" w:hAnsi="Baskerville Old Face"/>
          <w:b/>
          <w:bCs/>
          <w:i/>
          <w:iCs/>
          <w:sz w:val="24"/>
          <w:szCs w:val="24"/>
        </w:rPr>
        <w:lastRenderedPageBreak/>
        <w:t>Appendix N: Prometheus Regenerative Unit (PRU) — Value-Creation Interface and Future Value-Analysis Pathway</w:t>
      </w:r>
    </w:p>
    <w:p w14:paraId="791223CA" w14:textId="77777777" w:rsidR="00314051" w:rsidRPr="00B479AE" w:rsidRDefault="00314051" w:rsidP="00314051">
      <w:pPr>
        <w:spacing w:line="360" w:lineRule="auto"/>
        <w:rPr>
          <w:rFonts w:ascii="Baskerville Old Face" w:hAnsi="Baskerville Old Face"/>
          <w:b/>
          <w:bCs/>
          <w:i/>
          <w:iCs/>
        </w:rPr>
      </w:pPr>
      <w:r w:rsidRPr="00B479AE">
        <w:rPr>
          <w:rFonts w:ascii="Baskerville Old Face" w:hAnsi="Baskerville Old Face"/>
          <w:b/>
          <w:bCs/>
          <w:i/>
          <w:iCs/>
        </w:rPr>
        <w:t>N.0 Scope Note</w:t>
      </w:r>
    </w:p>
    <w:p w14:paraId="47F3E1F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This appendix describes the Prometheus Regenerative Unit, or PRU, as the value-creation interface of the Prometheus framework.</w:t>
      </w:r>
    </w:p>
    <w:p w14:paraId="7231661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should not be understood as the source of regenerative value.</w:t>
      </w:r>
    </w:p>
    <w:p w14:paraId="6C25C57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source of regenerative value is the living system.</w:t>
      </w:r>
    </w:p>
    <w:p w14:paraId="001522B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Soil improves.</w:t>
      </w:r>
    </w:p>
    <w:p w14:paraId="45E0F6F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Water cycles recover.</w:t>
      </w:r>
    </w:p>
    <w:p w14:paraId="626FDFB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Biomass accumulates.</w:t>
      </w:r>
    </w:p>
    <w:p w14:paraId="78E733F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Biodiversity increases.</w:t>
      </w:r>
    </w:p>
    <w:p w14:paraId="58C28B6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Food is produced.</w:t>
      </w:r>
    </w:p>
    <w:p w14:paraId="3A6B29F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Human stewardship becomes operational.</w:t>
      </w:r>
    </w:p>
    <w:p w14:paraId="3C35B50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Ecological resilience becomes observable.</w:t>
      </w:r>
    </w:p>
    <w:p w14:paraId="736DE41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is the interface through which verified regenerative performance may become legible to governance, institutions, data rooms, auditors, underwriters, capital allocators, and future legal structures.</w:t>
      </w:r>
    </w:p>
    <w:p w14:paraId="59D53D4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translates living-system performance into a disciplined analytical language.</w:t>
      </w:r>
    </w:p>
    <w:p w14:paraId="649D63C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does not create value by declaration.</w:t>
      </w:r>
    </w:p>
    <w:p w14:paraId="0508A01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does not create rights by measurement.</w:t>
      </w:r>
    </w:p>
    <w:p w14:paraId="36F3001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does not create financial instruments by scoring.</w:t>
      </w:r>
    </w:p>
    <w:p w14:paraId="2357CC8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does not create token issuance by evidence.</w:t>
      </w:r>
    </w:p>
    <w:p w14:paraId="7A4EEE4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does not create investor entitlement by ecological improvement.</w:t>
      </w:r>
    </w:p>
    <w:p w14:paraId="4118D8D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does not create market price by methodology.</w:t>
      </w:r>
    </w:p>
    <w:p w14:paraId="7143741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It does not create collateral recognition by maturity classification.</w:t>
      </w:r>
    </w:p>
    <w:p w14:paraId="43C8805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is a review-bound abstraction.</w:t>
      </w:r>
    </w:p>
    <w:p w14:paraId="7DF0BDF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exists to clarify how biological units may, under sufficient conditions of measurement, evidence, admissibility, legal structure, governance discipline, and institutional review, become candidates for future value analysis, maturity classification, portfolio-readiness, and capital-readiness.</w:t>
      </w:r>
    </w:p>
    <w:p w14:paraId="17B441D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This appendix does not redefine the bounded implementation scope of the current pilot hApp.</w:t>
      </w:r>
    </w:p>
    <w:p w14:paraId="794F777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does not constitute a binding issuance model.</w:t>
      </w:r>
    </w:p>
    <w:p w14:paraId="78A6718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does not constitute a live investment product.</w:t>
      </w:r>
    </w:p>
    <w:p w14:paraId="245D767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does not constitute a securitization structure.</w:t>
      </w:r>
    </w:p>
    <w:p w14:paraId="3095D4B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does not constitute a validated institutional wrapper.</w:t>
      </w:r>
    </w:p>
    <w:p w14:paraId="7F0F7B5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does not constitute an offering document.</w:t>
      </w:r>
    </w:p>
    <w:p w14:paraId="0FFC0EF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does not constitute a credit rating, securities rating, valuation report, appraisal, guarantee, insurance eligibility, or public investment claim.</w:t>
      </w:r>
    </w:p>
    <w:p w14:paraId="53D75A3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Its purpose is to define the PRU as the institutional membrane between regeneration and capital.</w:t>
      </w:r>
    </w:p>
    <w:p w14:paraId="07AD088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sequence is:</w:t>
      </w:r>
    </w:p>
    <w:p w14:paraId="142D42B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xml:space="preserve">living system </w:t>
      </w:r>
      <w:r w:rsidRPr="00B479AE">
        <w:rPr>
          <w:rFonts w:ascii="Times New Roman" w:hAnsi="Times New Roman" w:cs="Times New Roman"/>
          <w:i/>
          <w:iCs/>
        </w:rPr>
        <w:t>→</w:t>
      </w:r>
      <w:r w:rsidRPr="00B479AE">
        <w:rPr>
          <w:rFonts w:ascii="Baskerville Old Face" w:hAnsi="Baskerville Old Face"/>
          <w:i/>
          <w:iCs/>
        </w:rPr>
        <w:t xml:space="preserve"> evidence </w:t>
      </w:r>
      <w:r w:rsidRPr="00B479AE">
        <w:rPr>
          <w:rFonts w:ascii="Times New Roman" w:hAnsi="Times New Roman" w:cs="Times New Roman"/>
          <w:i/>
          <w:iCs/>
        </w:rPr>
        <w:t>→</w:t>
      </w:r>
      <w:r w:rsidRPr="00B479AE">
        <w:rPr>
          <w:rFonts w:ascii="Baskerville Old Face" w:hAnsi="Baskerville Old Face"/>
          <w:i/>
          <w:iCs/>
        </w:rPr>
        <w:t xml:space="preserve"> MRV </w:t>
      </w:r>
      <w:r w:rsidRPr="00B479AE">
        <w:rPr>
          <w:rFonts w:ascii="Times New Roman" w:hAnsi="Times New Roman" w:cs="Times New Roman"/>
          <w:i/>
          <w:iCs/>
        </w:rPr>
        <w:t>→</w:t>
      </w:r>
      <w:r w:rsidRPr="00B479AE">
        <w:rPr>
          <w:rFonts w:ascii="Baskerville Old Face" w:hAnsi="Baskerville Old Face"/>
          <w:i/>
          <w:iCs/>
        </w:rPr>
        <w:t xml:space="preserve"> admissibility </w:t>
      </w:r>
      <w:r w:rsidRPr="00B479AE">
        <w:rPr>
          <w:rFonts w:ascii="Times New Roman" w:hAnsi="Times New Roman" w:cs="Times New Roman"/>
          <w:i/>
          <w:iCs/>
        </w:rPr>
        <w:t>→</w:t>
      </w:r>
      <w:r w:rsidRPr="00B479AE">
        <w:rPr>
          <w:rFonts w:ascii="Baskerville Old Face" w:hAnsi="Baskerville Old Face"/>
          <w:i/>
          <w:iCs/>
        </w:rPr>
        <w:t xml:space="preserve"> PRU value analysis </w:t>
      </w:r>
      <w:r w:rsidRPr="00B479AE">
        <w:rPr>
          <w:rFonts w:ascii="Times New Roman" w:hAnsi="Times New Roman" w:cs="Times New Roman"/>
          <w:i/>
          <w:iCs/>
        </w:rPr>
        <w:t>→</w:t>
      </w:r>
      <w:r w:rsidRPr="00B479AE">
        <w:rPr>
          <w:rFonts w:ascii="Baskerville Old Face" w:hAnsi="Baskerville Old Face"/>
          <w:i/>
          <w:iCs/>
        </w:rPr>
        <w:t xml:space="preserve"> maturity classification </w:t>
      </w:r>
      <w:r w:rsidRPr="00B479AE">
        <w:rPr>
          <w:rFonts w:ascii="Times New Roman" w:hAnsi="Times New Roman" w:cs="Times New Roman"/>
          <w:i/>
          <w:iCs/>
        </w:rPr>
        <w:t>→</w:t>
      </w:r>
      <w:r w:rsidRPr="00B479AE">
        <w:rPr>
          <w:rFonts w:ascii="Baskerville Old Face" w:hAnsi="Baskerville Old Face"/>
          <w:i/>
          <w:iCs/>
        </w:rPr>
        <w:t xml:space="preserve"> capital-readiness </w:t>
      </w:r>
      <w:r w:rsidRPr="00B479AE">
        <w:rPr>
          <w:rFonts w:ascii="Times New Roman" w:hAnsi="Times New Roman" w:cs="Times New Roman"/>
          <w:i/>
          <w:iCs/>
        </w:rPr>
        <w:t>→</w:t>
      </w:r>
      <w:r w:rsidRPr="00B479AE">
        <w:rPr>
          <w:rFonts w:ascii="Baskerville Old Face" w:hAnsi="Baskerville Old Face"/>
          <w:i/>
          <w:iCs/>
        </w:rPr>
        <w:t xml:space="preserve"> legal structure where required </w:t>
      </w:r>
      <w:r w:rsidRPr="00B479AE">
        <w:rPr>
          <w:rFonts w:ascii="Times New Roman" w:hAnsi="Times New Roman" w:cs="Times New Roman"/>
          <w:i/>
          <w:iCs/>
        </w:rPr>
        <w:t>→</w:t>
      </w:r>
      <w:r w:rsidRPr="00B479AE">
        <w:rPr>
          <w:rFonts w:ascii="Baskerville Old Face" w:hAnsi="Baskerville Old Face"/>
          <w:i/>
          <w:iCs/>
        </w:rPr>
        <w:t xml:space="preserve"> possible compliant representation.</w:t>
      </w:r>
    </w:p>
    <w:p w14:paraId="2765433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This sequence is non-bypassable.</w:t>
      </w:r>
    </w:p>
    <w:p w14:paraId="72D1766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Prometheus does not move directly from ecological improvement to financial instrument.</w:t>
      </w:r>
    </w:p>
    <w:p w14:paraId="68B8B8F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moves from life to evidence.</w:t>
      </w:r>
    </w:p>
    <w:p w14:paraId="119DC51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From evidence to review.</w:t>
      </w:r>
    </w:p>
    <w:p w14:paraId="6C9F9F0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From review to admissibility.</w:t>
      </w:r>
    </w:p>
    <w:p w14:paraId="42A4EA4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From admissibility to structured value analysis.</w:t>
      </w:r>
    </w:p>
    <w:p w14:paraId="4BBC365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From value analysis to maturity classification.</w:t>
      </w:r>
    </w:p>
    <w:p w14:paraId="0E7DFA0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From maturity classification to capital-readiness.</w:t>
      </w:r>
    </w:p>
    <w:p w14:paraId="11ECD40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From capital-readiness to legal structure.</w:t>
      </w:r>
    </w:p>
    <w:p w14:paraId="458DE37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Only then may any compliant representation, rights-bearing instrument, financing structure, or institutional pathway be evaluated.</w:t>
      </w:r>
    </w:p>
    <w:p w14:paraId="6F5BE913" w14:textId="77777777" w:rsidR="00314051" w:rsidRPr="00B479AE" w:rsidRDefault="00314051" w:rsidP="00314051">
      <w:pPr>
        <w:spacing w:line="360" w:lineRule="auto"/>
        <w:rPr>
          <w:rFonts w:ascii="Baskerville Old Face" w:hAnsi="Baskerville Old Face"/>
          <w:b/>
          <w:bCs/>
          <w:i/>
          <w:iCs/>
        </w:rPr>
      </w:pPr>
      <w:r w:rsidRPr="00B479AE">
        <w:rPr>
          <w:rFonts w:ascii="Baskerville Old Face" w:hAnsi="Baskerville Old Face"/>
          <w:b/>
          <w:bCs/>
          <w:i/>
          <w:iCs/>
        </w:rPr>
        <w:t>N.1 Definition</w:t>
      </w:r>
    </w:p>
    <w:p w14:paraId="34097B7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 Prometheus Regenerative Unit, or PRU, is the standardized analytical representation of verified regenerative performance associated with a One Human Ecosystem, OHE-compatible unit, project unit, or regenerative deployment unit.</w:t>
      </w:r>
    </w:p>
    <w:p w14:paraId="6AD3080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 PRU integrates:</w:t>
      </w:r>
    </w:p>
    <w:p w14:paraId="3CE704E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living-system performance;</w:t>
      </w:r>
    </w:p>
    <w:p w14:paraId="05B3D32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MRV evidence;</w:t>
      </w:r>
    </w:p>
    <w:p w14:paraId="5EB96D9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methodology;</w:t>
      </w:r>
    </w:p>
    <w:p w14:paraId="0AAD360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confidence scoring;</w:t>
      </w:r>
    </w:p>
    <w:p w14:paraId="31FFA3E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admissibility constraints;</w:t>
      </w:r>
    </w:p>
    <w:p w14:paraId="373EE50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governance review;</w:t>
      </w:r>
    </w:p>
    <w:p w14:paraId="02E5F64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legal-boundary discipline;</w:t>
      </w:r>
    </w:p>
    <w:p w14:paraId="4B267B8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no-double-counting controls;</w:t>
      </w:r>
    </w:p>
    <w:p w14:paraId="1E5DD38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value-analysis logic;</w:t>
      </w:r>
    </w:p>
    <w:p w14:paraId="108962C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maturity classification;</w:t>
      </w:r>
    </w:p>
    <w:p w14:paraId="019E1EC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capital-readiness interpretation.</w:t>
      </w:r>
    </w:p>
    <w:p w14:paraId="2A0F15D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may be expressed conceptually as:</w:t>
      </w:r>
    </w:p>
    <w:p w14:paraId="1FC52A9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PRU = f(OHE, MRV, Methodology, Confidence, Admissibility, Governance, Legal Boundary)</w:t>
      </w:r>
    </w:p>
    <w:p w14:paraId="69FF367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Where:</w:t>
      </w:r>
    </w:p>
    <w:p w14:paraId="7ED9220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OHE means the living biological or ecological deployment unit;</w:t>
      </w:r>
    </w:p>
    <w:p w14:paraId="6AFB178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MRV means Measurement, Reporting, and Verification;</w:t>
      </w:r>
    </w:p>
    <w:p w14:paraId="3DC327E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Methodology means the approved or applicable interpretation framework;</w:t>
      </w:r>
    </w:p>
    <w:p w14:paraId="02DEC53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Confidence means the reliability and limitations of the evidence;</w:t>
      </w:r>
    </w:p>
    <w:p w14:paraId="374102A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Admissibility means whether evidence can enter protected analytical pathways;</w:t>
      </w:r>
    </w:p>
    <w:p w14:paraId="540FD6E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Governance means review, classification, correction, and approval discipline;</w:t>
      </w:r>
    </w:p>
    <w:p w14:paraId="7EB42DA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Legal Boundary means the conditions under which any capital-facing use may occur.</w:t>
      </w:r>
    </w:p>
    <w:p w14:paraId="6148B31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Functional meaning:</w:t>
      </w:r>
    </w:p>
    <w:p w14:paraId="3D0C502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is the conceptual abstraction through which regenerative performance may become auditable, comparable, classifiable, and institutionally intelligible.</w:t>
      </w:r>
    </w:p>
    <w:p w14:paraId="1C6BC23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is not a commodity by default.</w:t>
      </w:r>
    </w:p>
    <w:p w14:paraId="6D07380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is not a token by default.</w:t>
      </w:r>
    </w:p>
    <w:p w14:paraId="48FC981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is not a security by default.</w:t>
      </w:r>
    </w:p>
    <w:p w14:paraId="1D64864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is not a carbon credit by default.</w:t>
      </w:r>
    </w:p>
    <w:p w14:paraId="347F067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is not land.</w:t>
      </w:r>
    </w:p>
    <w:p w14:paraId="0826D19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is not biomass.</w:t>
      </w:r>
    </w:p>
    <w:p w14:paraId="5442DAE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is not yield.</w:t>
      </w:r>
    </w:p>
    <w:p w14:paraId="23D4BC5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is not investor exposure.</w:t>
      </w:r>
    </w:p>
    <w:p w14:paraId="334A291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is not governance rights.</w:t>
      </w:r>
    </w:p>
    <w:p w14:paraId="3F16A51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is not revenue rights.</w:t>
      </w:r>
    </w:p>
    <w:p w14:paraId="62C7CEA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is not collateral.</w:t>
      </w:r>
    </w:p>
    <w:p w14:paraId="2650979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It is not an automatic financial asset.</w:t>
      </w:r>
    </w:p>
    <w:p w14:paraId="7CD4666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is the analytical interface through which verified regenerative performance can be interpreted without detaching value from its living source.</w:t>
      </w:r>
    </w:p>
    <w:p w14:paraId="7B69627E" w14:textId="77777777" w:rsidR="00314051" w:rsidRPr="00B479AE" w:rsidRDefault="00314051" w:rsidP="00314051">
      <w:pPr>
        <w:spacing w:line="360" w:lineRule="auto"/>
        <w:rPr>
          <w:rFonts w:ascii="Baskerville Old Face" w:hAnsi="Baskerville Old Face"/>
          <w:b/>
          <w:bCs/>
          <w:i/>
          <w:iCs/>
        </w:rPr>
      </w:pPr>
      <w:r w:rsidRPr="00B479AE">
        <w:rPr>
          <w:rFonts w:ascii="Baskerville Old Face" w:hAnsi="Baskerville Old Face"/>
          <w:b/>
          <w:bCs/>
          <w:i/>
          <w:iCs/>
        </w:rPr>
        <w:t>N.2 System Role</w:t>
      </w:r>
    </w:p>
    <w:p w14:paraId="14F47D5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Within the broader Prometheus framework, the PRU performs a strategic role.</w:t>
      </w:r>
    </w:p>
    <w:p w14:paraId="0278B53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converts living-system complexity into institutional legibility without collapsing life into a single financial metric.</w:t>
      </w:r>
    </w:p>
    <w:p w14:paraId="6BCDC81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may function as:</w:t>
      </w:r>
    </w:p>
    <w:p w14:paraId="5081050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the analytical bridge between OHE performance and capital-readiness logic;</w:t>
      </w:r>
    </w:p>
    <w:p w14:paraId="00AAA7A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the smallest candidate unit for future regenerative standardization;</w:t>
      </w:r>
    </w:p>
    <w:p w14:paraId="2DEE576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a potential component of future regenerative portfolio analysis;</w:t>
      </w:r>
    </w:p>
    <w:p w14:paraId="2B9D05C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a review-bound interface between MRV evidence and institutional diligence;</w:t>
      </w:r>
    </w:p>
    <w:p w14:paraId="41F3A16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a structured language for comparing regenerative performance across sites;</w:t>
      </w:r>
    </w:p>
    <w:p w14:paraId="3A85045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a future basis for reporting, classification, underwriting support, or legal structuring where applicable.</w:t>
      </w:r>
    </w:p>
    <w:p w14:paraId="1C054EA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This role remains conditional.</w:t>
      </w:r>
    </w:p>
    <w:p w14:paraId="12A6777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depends on:</w:t>
      </w:r>
    </w:p>
    <w:p w14:paraId="1740F4A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measurement maturity;</w:t>
      </w:r>
    </w:p>
    <w:p w14:paraId="31F78DC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evidence quality;</w:t>
      </w:r>
    </w:p>
    <w:p w14:paraId="0105F71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methodology clarity;</w:t>
      </w:r>
    </w:p>
    <w:p w14:paraId="5CE4D5E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confidence scoring;</w:t>
      </w:r>
    </w:p>
    <w:p w14:paraId="51EE6FE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no-double-counting controls;</w:t>
      </w:r>
    </w:p>
    <w:p w14:paraId="4348FC8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public-claim discipline;</w:t>
      </w:r>
    </w:p>
    <w:p w14:paraId="620D165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 governance correctness;</w:t>
      </w:r>
    </w:p>
    <w:p w14:paraId="2B2004F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legal admissibility;</w:t>
      </w:r>
    </w:p>
    <w:p w14:paraId="066C4CE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jurisdiction-specific review;</w:t>
      </w:r>
    </w:p>
    <w:p w14:paraId="03CE2DF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future implementation pathways.</w:t>
      </w:r>
    </w:p>
    <w:p w14:paraId="17C5B7C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is therefore not an endpoint.</w:t>
      </w:r>
    </w:p>
    <w:p w14:paraId="1728AB8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is an interface.</w:t>
      </w:r>
    </w:p>
    <w:p w14:paraId="0E49508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receives evidence from the living system.</w:t>
      </w:r>
    </w:p>
    <w:p w14:paraId="2DA2455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organizes that evidence through methodology.</w:t>
      </w:r>
    </w:p>
    <w:p w14:paraId="454C258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routes that evidence through review.</w:t>
      </w:r>
    </w:p>
    <w:p w14:paraId="15497C7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classifies maturity.</w:t>
      </w:r>
    </w:p>
    <w:p w14:paraId="3F38F72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supports capital-readiness interpretation.</w:t>
      </w:r>
    </w:p>
    <w:p w14:paraId="076ECB7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does not replace the living system, MRV, governance, legal structure, or underwriting.</w:t>
      </w:r>
    </w:p>
    <w:p w14:paraId="008DC38E" w14:textId="77777777" w:rsidR="00A97E8A" w:rsidRPr="00B479AE" w:rsidRDefault="00314051" w:rsidP="00314051">
      <w:pPr>
        <w:spacing w:line="360" w:lineRule="auto"/>
        <w:rPr>
          <w:rFonts w:ascii="Baskerville Old Face" w:hAnsi="Baskerville Old Face"/>
          <w:b/>
          <w:bCs/>
          <w:i/>
          <w:iCs/>
        </w:rPr>
      </w:pPr>
      <w:r w:rsidRPr="00B479AE">
        <w:rPr>
          <w:rFonts w:ascii="Baskerville Old Face" w:hAnsi="Baskerville Old Face"/>
          <w:b/>
          <w:bCs/>
          <w:i/>
          <w:iCs/>
        </w:rPr>
        <w:t xml:space="preserve">N.3 </w:t>
      </w:r>
      <w:r w:rsidR="00A97E8A" w:rsidRPr="00B479AE">
        <w:rPr>
          <w:rFonts w:ascii="Baskerville Old Face" w:hAnsi="Baskerville Old Face"/>
          <w:b/>
          <w:bCs/>
          <w:i/>
          <w:iCs/>
        </w:rPr>
        <w:t xml:space="preserve">PRU as institutional interface between verified regeneration and capital </w:t>
      </w:r>
    </w:p>
    <w:p w14:paraId="41583592" w14:textId="49BA063A" w:rsidR="00314051" w:rsidRPr="00B479AE" w:rsidRDefault="00314051" w:rsidP="00314051">
      <w:pPr>
        <w:spacing w:line="360" w:lineRule="auto"/>
        <w:rPr>
          <w:rFonts w:ascii="Baskerville Old Face" w:hAnsi="Baskerville Old Face"/>
          <w:b/>
          <w:bCs/>
          <w:i/>
          <w:iCs/>
        </w:rPr>
      </w:pPr>
      <w:r w:rsidRPr="00B479AE">
        <w:rPr>
          <w:rFonts w:ascii="Baskerville Old Face" w:hAnsi="Baskerville Old Face"/>
          <w:i/>
          <w:iCs/>
        </w:rPr>
        <w:t>The PRU should be understood as a value-creation interface, not because it manufactures value, but because it makes regenerative value institutionally usable.</w:t>
      </w:r>
    </w:p>
    <w:p w14:paraId="4546C3C7" w14:textId="77777777" w:rsidR="00BA62C1" w:rsidRPr="00B479AE" w:rsidRDefault="00BA62C1" w:rsidP="00BA62C1">
      <w:pPr>
        <w:spacing w:line="360" w:lineRule="auto"/>
        <w:rPr>
          <w:rFonts w:ascii="Baskerville Old Face" w:hAnsi="Baskerville Old Face"/>
          <w:i/>
          <w:iCs/>
        </w:rPr>
      </w:pPr>
      <w:r w:rsidRPr="00B479AE">
        <w:rPr>
          <w:rFonts w:ascii="Baskerville Old Face" w:hAnsi="Baskerville Old Face"/>
          <w:i/>
          <w:iCs/>
        </w:rPr>
        <w:t>Durable value is ultimately downstream from the conditions that sustain life.</w:t>
      </w:r>
    </w:p>
    <w:p w14:paraId="6F109BFA" w14:textId="77777777" w:rsidR="00BA62C1" w:rsidRPr="00B479AE" w:rsidRDefault="00BA62C1" w:rsidP="00BA62C1">
      <w:pPr>
        <w:spacing w:line="360" w:lineRule="auto"/>
        <w:rPr>
          <w:rFonts w:ascii="Baskerville Old Face" w:hAnsi="Baskerville Old Face"/>
          <w:i/>
          <w:iCs/>
        </w:rPr>
      </w:pPr>
      <w:r w:rsidRPr="00B479AE">
        <w:rPr>
          <w:rFonts w:ascii="Baskerville Old Face" w:hAnsi="Baskerville Old Face"/>
          <w:i/>
          <w:iCs/>
        </w:rPr>
        <w:t>Financial frameworks may recognize value.</w:t>
      </w:r>
    </w:p>
    <w:p w14:paraId="145D932D" w14:textId="77777777" w:rsidR="00BA62C1" w:rsidRPr="00B479AE" w:rsidRDefault="00BA62C1" w:rsidP="00BA62C1">
      <w:pPr>
        <w:spacing w:line="360" w:lineRule="auto"/>
        <w:rPr>
          <w:rFonts w:ascii="Baskerville Old Face" w:hAnsi="Baskerville Old Face"/>
          <w:i/>
          <w:iCs/>
        </w:rPr>
      </w:pPr>
      <w:r w:rsidRPr="00B479AE">
        <w:rPr>
          <w:rFonts w:ascii="Baskerville Old Face" w:hAnsi="Baskerville Old Face"/>
          <w:i/>
          <w:iCs/>
        </w:rPr>
        <w:t>They may organize value.</w:t>
      </w:r>
    </w:p>
    <w:p w14:paraId="145264B5" w14:textId="77777777" w:rsidR="00BA62C1" w:rsidRPr="00B479AE" w:rsidRDefault="00BA62C1" w:rsidP="00BA62C1">
      <w:pPr>
        <w:spacing w:line="360" w:lineRule="auto"/>
        <w:rPr>
          <w:rFonts w:ascii="Baskerville Old Face" w:hAnsi="Baskerville Old Face"/>
          <w:i/>
          <w:iCs/>
        </w:rPr>
      </w:pPr>
      <w:r w:rsidRPr="00B479AE">
        <w:rPr>
          <w:rFonts w:ascii="Baskerville Old Face" w:hAnsi="Baskerville Old Face"/>
          <w:i/>
          <w:iCs/>
        </w:rPr>
        <w:t>They may allocate value.</w:t>
      </w:r>
    </w:p>
    <w:p w14:paraId="46471566" w14:textId="77777777" w:rsidR="00BA62C1" w:rsidRPr="00B479AE" w:rsidRDefault="00BA62C1" w:rsidP="00BA62C1">
      <w:pPr>
        <w:spacing w:line="360" w:lineRule="auto"/>
        <w:rPr>
          <w:rFonts w:ascii="Baskerville Old Face" w:hAnsi="Baskerville Old Face"/>
          <w:i/>
          <w:iCs/>
        </w:rPr>
      </w:pPr>
      <w:r w:rsidRPr="00B479AE">
        <w:rPr>
          <w:rFonts w:ascii="Baskerville Old Face" w:hAnsi="Baskerville Old Face"/>
          <w:i/>
          <w:iCs/>
        </w:rPr>
        <w:t>They may represent value.</w:t>
      </w:r>
    </w:p>
    <w:p w14:paraId="300CC64B" w14:textId="77777777" w:rsidR="00BA62C1" w:rsidRPr="00B479AE" w:rsidRDefault="00BA62C1" w:rsidP="00BA62C1">
      <w:pPr>
        <w:spacing w:line="360" w:lineRule="auto"/>
        <w:rPr>
          <w:rFonts w:ascii="Baskerville Old Face" w:hAnsi="Baskerville Old Face"/>
          <w:i/>
          <w:iCs/>
        </w:rPr>
      </w:pPr>
    </w:p>
    <w:p w14:paraId="751FF5B9" w14:textId="77777777" w:rsidR="00BA62C1" w:rsidRPr="00B479AE" w:rsidRDefault="00BA62C1" w:rsidP="00BA62C1">
      <w:pPr>
        <w:spacing w:line="360" w:lineRule="auto"/>
        <w:rPr>
          <w:rFonts w:ascii="Baskerville Old Face" w:hAnsi="Baskerville Old Face"/>
          <w:i/>
          <w:iCs/>
        </w:rPr>
      </w:pPr>
      <w:r w:rsidRPr="00B479AE">
        <w:rPr>
          <w:rFonts w:ascii="Baskerville Old Face" w:hAnsi="Baskerville Old Face"/>
          <w:i/>
          <w:iCs/>
        </w:rPr>
        <w:lastRenderedPageBreak/>
        <w:t>But they do not originate the living systems, ecological functions, and human stewardship from which long-term value emerges.</w:t>
      </w:r>
    </w:p>
    <w:p w14:paraId="5AC0FDA3" w14:textId="77777777" w:rsidR="00BA62C1" w:rsidRPr="00B479AE" w:rsidRDefault="00BA62C1" w:rsidP="00BA62C1">
      <w:pPr>
        <w:spacing w:line="360" w:lineRule="auto"/>
        <w:rPr>
          <w:rFonts w:ascii="Baskerville Old Face" w:hAnsi="Baskerville Old Face"/>
          <w:i/>
          <w:iCs/>
        </w:rPr>
      </w:pPr>
      <w:r w:rsidRPr="00B479AE">
        <w:rPr>
          <w:rFonts w:ascii="Baskerville Old Face" w:hAnsi="Baskerville Old Face"/>
          <w:i/>
          <w:iCs/>
        </w:rPr>
        <w:t>The PRU provides that interface.</w:t>
      </w:r>
    </w:p>
    <w:p w14:paraId="69251DF1" w14:textId="7EBE42E7" w:rsidR="00BA62C1" w:rsidRPr="00B479AE" w:rsidRDefault="00BA62C1" w:rsidP="00BA62C1">
      <w:pPr>
        <w:spacing w:line="360" w:lineRule="auto"/>
        <w:rPr>
          <w:rFonts w:ascii="Baskerville Old Face" w:hAnsi="Baskerville Old Face"/>
          <w:i/>
          <w:iCs/>
          <w:highlight w:val="yellow"/>
        </w:rPr>
      </w:pPr>
      <w:r w:rsidRPr="00B479AE">
        <w:rPr>
          <w:rFonts w:ascii="Baskerville Old Face" w:hAnsi="Baskerville Old Face"/>
          <w:i/>
          <w:iCs/>
        </w:rPr>
        <w:t>It allows Prometheus to move from ecological performance to structured value interpretation without making premature financial claims.</w:t>
      </w:r>
    </w:p>
    <w:p w14:paraId="16DBF7A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However, capital systems often cannot recognize that value unless it becomes:</w:t>
      </w:r>
    </w:p>
    <w:p w14:paraId="0FB7E8E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measurable;</w:t>
      </w:r>
    </w:p>
    <w:p w14:paraId="1D6DD03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comparable;</w:t>
      </w:r>
    </w:p>
    <w:p w14:paraId="18D9849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repeatable;</w:t>
      </w:r>
    </w:p>
    <w:p w14:paraId="6BC0F1B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auditable;</w:t>
      </w:r>
    </w:p>
    <w:p w14:paraId="6406F22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bounded;</w:t>
      </w:r>
    </w:p>
    <w:p w14:paraId="7984537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legally interpretable;</w:t>
      </w:r>
    </w:p>
    <w:p w14:paraId="6483479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reviewable;</w:t>
      </w:r>
    </w:p>
    <w:p w14:paraId="1B5E1E6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reportable;</w:t>
      </w:r>
    </w:p>
    <w:p w14:paraId="04C2531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classifiable;</w:t>
      </w:r>
    </w:p>
    <w:p w14:paraId="2DFAF0E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admissible.</w:t>
      </w:r>
    </w:p>
    <w:p w14:paraId="0EF97DD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provides that interface.</w:t>
      </w:r>
    </w:p>
    <w:p w14:paraId="145CFDA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allows Prometheus to move from ecological performance to structured value interpretation without making premature financial claims.</w:t>
      </w:r>
    </w:p>
    <w:p w14:paraId="4E7C3FD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correct relationship is:</w:t>
      </w:r>
    </w:p>
    <w:p w14:paraId="0FA925B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life generates value;</w:t>
      </w:r>
    </w:p>
    <w:p w14:paraId="6717DF4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MRV observes value;</w:t>
      </w:r>
    </w:p>
    <w:p w14:paraId="19DE6B4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methodology interprets value;</w:t>
      </w:r>
    </w:p>
    <w:p w14:paraId="04C7837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governance reviews value;</w:t>
      </w:r>
    </w:p>
    <w:p w14:paraId="750BA7A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admissibility filters value;</w:t>
      </w:r>
    </w:p>
    <w:p w14:paraId="5B2A89D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PRU logic structures value;</w:t>
      </w:r>
    </w:p>
    <w:p w14:paraId="09F668A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legal architecture determines rights;</w:t>
      </w:r>
    </w:p>
    <w:p w14:paraId="4D1991F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capital allocates only within the resulting boundary.</w:t>
      </w:r>
    </w:p>
    <w:p w14:paraId="69011BD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This is the core of the PRU.</w:t>
      </w:r>
    </w:p>
    <w:p w14:paraId="6A9553D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is not the engine.</w:t>
      </w:r>
    </w:p>
    <w:p w14:paraId="7DBEC91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living system is the engine.</w:t>
      </w:r>
    </w:p>
    <w:p w14:paraId="1B35F4C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is the dashboard, transmission, audit channel, classification layer, and institutional connector.</w:t>
      </w:r>
    </w:p>
    <w:p w14:paraId="7FFBC2AA" w14:textId="77777777" w:rsidR="00314051" w:rsidRPr="00B479AE" w:rsidRDefault="00314051" w:rsidP="00314051">
      <w:pPr>
        <w:spacing w:line="360" w:lineRule="auto"/>
        <w:rPr>
          <w:rFonts w:ascii="Baskerville Old Face" w:hAnsi="Baskerville Old Face"/>
          <w:b/>
          <w:bCs/>
          <w:i/>
          <w:iCs/>
        </w:rPr>
      </w:pPr>
      <w:r w:rsidRPr="00B479AE">
        <w:rPr>
          <w:rFonts w:ascii="Baskerville Old Face" w:hAnsi="Baskerville Old Face"/>
          <w:b/>
          <w:bCs/>
          <w:i/>
          <w:iCs/>
        </w:rPr>
        <w:t>N.4 PRU Value Stack</w:t>
      </w:r>
    </w:p>
    <w:p w14:paraId="7867EE3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 PRU may integrate multiple value layers.</w:t>
      </w:r>
    </w:p>
    <w:p w14:paraId="4629A026" w14:textId="64198EC1"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These layers should be interpreted as analytical categories, not guaranteed revenue streams.</w:t>
      </w:r>
      <w:r w:rsidR="00BA62C1" w:rsidRPr="00B479AE">
        <w:rPr>
          <w:rFonts w:ascii="Baskerville Old Face" w:hAnsi="Baskerville Old Face"/>
          <w:i/>
          <w:iCs/>
        </w:rPr>
        <w:t xml:space="preserve"> </w:t>
      </w:r>
    </w:p>
    <w:p w14:paraId="1500EBA0" w14:textId="77777777" w:rsidR="00BA62C1" w:rsidRPr="00B479AE" w:rsidRDefault="00BA62C1" w:rsidP="00314051">
      <w:pPr>
        <w:spacing w:line="360" w:lineRule="auto"/>
        <w:rPr>
          <w:rFonts w:ascii="Baskerville Old Face" w:hAnsi="Baskerville Old Face"/>
          <w:i/>
          <w:iCs/>
        </w:rPr>
      </w:pPr>
    </w:p>
    <w:p w14:paraId="6ADD7049" w14:textId="77777777" w:rsidR="00BA62C1" w:rsidRPr="00B479AE" w:rsidRDefault="00BA62C1" w:rsidP="00314051">
      <w:pPr>
        <w:spacing w:line="360" w:lineRule="auto"/>
        <w:rPr>
          <w:rFonts w:ascii="Baskerville Old Face" w:hAnsi="Baskerville Old Face"/>
          <w:i/>
          <w:iCs/>
        </w:rPr>
      </w:pPr>
    </w:p>
    <w:p w14:paraId="71B1C5DA" w14:textId="77777777" w:rsidR="00BA62C1" w:rsidRPr="00B479AE" w:rsidRDefault="00BA62C1" w:rsidP="00314051">
      <w:pPr>
        <w:spacing w:line="360" w:lineRule="auto"/>
        <w:rPr>
          <w:rFonts w:ascii="Baskerville Old Face" w:hAnsi="Baskerville Old Face"/>
          <w:i/>
          <w:iCs/>
        </w:rPr>
      </w:pPr>
    </w:p>
    <w:p w14:paraId="3D4E2714" w14:textId="77777777" w:rsidR="00BA62C1" w:rsidRPr="00B479AE" w:rsidRDefault="00BA62C1" w:rsidP="00314051">
      <w:pPr>
        <w:spacing w:line="360" w:lineRule="auto"/>
        <w:rPr>
          <w:rFonts w:ascii="Baskerville Old Face" w:hAnsi="Baskerville Old Face"/>
          <w:i/>
          <w:iCs/>
        </w:rPr>
      </w:pPr>
    </w:p>
    <w:p w14:paraId="38C2EAE3" w14:textId="77777777" w:rsidR="00BA62C1" w:rsidRPr="00B479AE" w:rsidRDefault="00BA62C1" w:rsidP="00314051">
      <w:pPr>
        <w:spacing w:line="360" w:lineRule="auto"/>
        <w:rPr>
          <w:rFonts w:ascii="Baskerville Old Face" w:hAnsi="Baskerville Old Face"/>
          <w:i/>
          <w:iCs/>
        </w:rPr>
      </w:pPr>
    </w:p>
    <w:p w14:paraId="7B104256" w14:textId="77777777" w:rsidR="00BA62C1" w:rsidRPr="00B479AE" w:rsidRDefault="00BA62C1" w:rsidP="00314051">
      <w:pPr>
        <w:spacing w:line="360" w:lineRule="auto"/>
        <w:rPr>
          <w:rFonts w:ascii="Baskerville Old Face" w:hAnsi="Baskerville Old Face"/>
          <w:i/>
          <w:iCs/>
        </w:rPr>
      </w:pPr>
    </w:p>
    <w:p w14:paraId="28CF3A82" w14:textId="77777777" w:rsidR="00BA62C1" w:rsidRPr="00B479AE" w:rsidRDefault="00BA62C1" w:rsidP="00314051">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0"/>
        <w:gridCol w:w="2914"/>
        <w:gridCol w:w="2635"/>
        <w:gridCol w:w="2789"/>
      </w:tblGrid>
      <w:tr w:rsidR="00314051" w:rsidRPr="00B479AE" w14:paraId="3D2F4C8F" w14:textId="77777777" w:rsidTr="00BA62C1">
        <w:trPr>
          <w:tblHeader/>
          <w:tblCellSpacing w:w="15" w:type="dxa"/>
        </w:trPr>
        <w:tc>
          <w:tcPr>
            <w:tcW w:w="0" w:type="auto"/>
            <w:vAlign w:val="center"/>
            <w:hideMark/>
          </w:tcPr>
          <w:p w14:paraId="45F19D42" w14:textId="77777777" w:rsidR="00314051" w:rsidRPr="00B479AE" w:rsidRDefault="00314051" w:rsidP="00314051">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lastRenderedPageBreak/>
              <w:t>Value layer</w:t>
            </w:r>
          </w:p>
        </w:tc>
        <w:tc>
          <w:tcPr>
            <w:tcW w:w="0" w:type="auto"/>
            <w:vAlign w:val="center"/>
            <w:hideMark/>
          </w:tcPr>
          <w:p w14:paraId="612AC371" w14:textId="77777777" w:rsidR="00314051" w:rsidRPr="00B479AE" w:rsidRDefault="00314051" w:rsidP="00314051">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Description</w:t>
            </w:r>
          </w:p>
        </w:tc>
        <w:tc>
          <w:tcPr>
            <w:tcW w:w="0" w:type="auto"/>
            <w:vAlign w:val="center"/>
            <w:hideMark/>
          </w:tcPr>
          <w:p w14:paraId="4098B76B" w14:textId="77777777" w:rsidR="00314051" w:rsidRPr="00B479AE" w:rsidRDefault="00314051" w:rsidP="00314051">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Evidence requirement</w:t>
            </w:r>
          </w:p>
        </w:tc>
        <w:tc>
          <w:tcPr>
            <w:tcW w:w="0" w:type="auto"/>
            <w:vAlign w:val="center"/>
            <w:hideMark/>
          </w:tcPr>
          <w:p w14:paraId="3DC156E4" w14:textId="77777777" w:rsidR="00314051" w:rsidRPr="00B479AE" w:rsidRDefault="00314051" w:rsidP="00314051">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Boundary</w:t>
            </w:r>
          </w:p>
        </w:tc>
      </w:tr>
      <w:tr w:rsidR="00314051" w:rsidRPr="00B479AE" w14:paraId="4706C0F7" w14:textId="77777777" w:rsidTr="00BA62C1">
        <w:trPr>
          <w:tblCellSpacing w:w="15" w:type="dxa"/>
        </w:trPr>
        <w:tc>
          <w:tcPr>
            <w:tcW w:w="0" w:type="auto"/>
            <w:vAlign w:val="center"/>
            <w:hideMark/>
          </w:tcPr>
          <w:p w14:paraId="5A98DAB8"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Direct productive layer</w:t>
            </w:r>
          </w:p>
        </w:tc>
        <w:tc>
          <w:tcPr>
            <w:tcW w:w="0" w:type="auto"/>
            <w:vAlign w:val="center"/>
            <w:hideMark/>
          </w:tcPr>
          <w:p w14:paraId="350BBDB4"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Food, biomass, herbs, perennials, nursery material, educational production, or other outputs where actually produced and documented</w:t>
            </w:r>
          </w:p>
        </w:tc>
        <w:tc>
          <w:tcPr>
            <w:tcW w:w="0" w:type="auto"/>
            <w:vAlign w:val="center"/>
            <w:hideMark/>
          </w:tcPr>
          <w:p w14:paraId="1E797BB5"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Production records, site logs, harvest records, use records, market or substitution data where relevant</w:t>
            </w:r>
          </w:p>
        </w:tc>
        <w:tc>
          <w:tcPr>
            <w:tcW w:w="0" w:type="auto"/>
            <w:vAlign w:val="center"/>
            <w:hideMark/>
          </w:tcPr>
          <w:p w14:paraId="358B9603"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Not guaranteed revenue; financially relevant only where outputs are used, sold, substituted, or contractually recognized</w:t>
            </w:r>
          </w:p>
        </w:tc>
      </w:tr>
      <w:tr w:rsidR="00314051" w:rsidRPr="00B479AE" w14:paraId="5A4FD8C8" w14:textId="77777777" w:rsidTr="00BA62C1">
        <w:trPr>
          <w:tblCellSpacing w:w="15" w:type="dxa"/>
        </w:trPr>
        <w:tc>
          <w:tcPr>
            <w:tcW w:w="0" w:type="auto"/>
            <w:vAlign w:val="center"/>
            <w:hideMark/>
          </w:tcPr>
          <w:p w14:paraId="69258F55"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Substitution layer</w:t>
            </w:r>
          </w:p>
        </w:tc>
        <w:tc>
          <w:tcPr>
            <w:tcW w:w="0" w:type="auto"/>
            <w:vAlign w:val="center"/>
            <w:hideMark/>
          </w:tcPr>
          <w:p w14:paraId="60F89448"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Reduced external purchases, reduced dependency, local food substitution, input substitution, operational savings</w:t>
            </w:r>
          </w:p>
        </w:tc>
        <w:tc>
          <w:tcPr>
            <w:tcW w:w="0" w:type="auto"/>
            <w:vAlign w:val="center"/>
            <w:hideMark/>
          </w:tcPr>
          <w:p w14:paraId="3B5D7748"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Purchase records, use records, baseline comparison, operational documentation</w:t>
            </w:r>
          </w:p>
        </w:tc>
        <w:tc>
          <w:tcPr>
            <w:tcW w:w="0" w:type="auto"/>
            <w:vAlign w:val="center"/>
            <w:hideMark/>
          </w:tcPr>
          <w:p w14:paraId="0BB5D8EE"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Not automatic savings; requires documented substitution pathway</w:t>
            </w:r>
          </w:p>
        </w:tc>
      </w:tr>
      <w:tr w:rsidR="00314051" w:rsidRPr="00B479AE" w14:paraId="32AF32A3" w14:textId="77777777" w:rsidTr="00BA62C1">
        <w:trPr>
          <w:tblCellSpacing w:w="15" w:type="dxa"/>
        </w:trPr>
        <w:tc>
          <w:tcPr>
            <w:tcW w:w="0" w:type="auto"/>
            <w:vAlign w:val="center"/>
            <w:hideMark/>
          </w:tcPr>
          <w:p w14:paraId="443C64F2"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Ecological function layer</w:t>
            </w:r>
          </w:p>
        </w:tc>
        <w:tc>
          <w:tcPr>
            <w:tcW w:w="0" w:type="auto"/>
            <w:vAlign w:val="center"/>
            <w:hideMark/>
          </w:tcPr>
          <w:p w14:paraId="5BF96E28"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Soil improvement, water retention, biodiversity enhancement, biomass cycling, microclimate function, reduced erosion, resilience indicators</w:t>
            </w:r>
          </w:p>
        </w:tc>
        <w:tc>
          <w:tcPr>
            <w:tcW w:w="0" w:type="auto"/>
            <w:vAlign w:val="center"/>
            <w:hideMark/>
          </w:tcPr>
          <w:p w14:paraId="0B03D0FF"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MRV evidence, monitoring, soil tests, ecological indicators, remote sensing, field observation</w:t>
            </w:r>
          </w:p>
        </w:tc>
        <w:tc>
          <w:tcPr>
            <w:tcW w:w="0" w:type="auto"/>
            <w:vAlign w:val="center"/>
            <w:hideMark/>
          </w:tcPr>
          <w:p w14:paraId="2C757FA9"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Not a credit by default; not a financial instrument by itself</w:t>
            </w:r>
          </w:p>
        </w:tc>
      </w:tr>
      <w:tr w:rsidR="00314051" w:rsidRPr="00B479AE" w14:paraId="1796F062" w14:textId="77777777" w:rsidTr="00BA62C1">
        <w:trPr>
          <w:tblCellSpacing w:w="15" w:type="dxa"/>
        </w:trPr>
        <w:tc>
          <w:tcPr>
            <w:tcW w:w="0" w:type="auto"/>
            <w:vAlign w:val="center"/>
            <w:hideMark/>
          </w:tcPr>
          <w:p w14:paraId="0636728E"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Resilience layer</w:t>
            </w:r>
          </w:p>
        </w:tc>
        <w:tc>
          <w:tcPr>
            <w:tcW w:w="0" w:type="auto"/>
            <w:vAlign w:val="center"/>
            <w:hideMark/>
          </w:tcPr>
          <w:p w14:paraId="71D5752B"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Reduced fragility, improved recovery capacity, greater ecological redundancy, lower dependency on external systems</w:t>
            </w:r>
          </w:p>
        </w:tc>
        <w:tc>
          <w:tcPr>
            <w:tcW w:w="0" w:type="auto"/>
            <w:vAlign w:val="center"/>
            <w:hideMark/>
          </w:tcPr>
          <w:p w14:paraId="24FCECAE"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Risk assessment, baseline comparison, continuity records, site performance under stress</w:t>
            </w:r>
          </w:p>
        </w:tc>
        <w:tc>
          <w:tcPr>
            <w:tcW w:w="0" w:type="auto"/>
            <w:vAlign w:val="center"/>
            <w:hideMark/>
          </w:tcPr>
          <w:p w14:paraId="1610A502"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Supports resilience interpretation, not guaranteed protection</w:t>
            </w:r>
          </w:p>
        </w:tc>
      </w:tr>
      <w:tr w:rsidR="00314051" w:rsidRPr="00B479AE" w14:paraId="162E922D" w14:textId="77777777" w:rsidTr="00BA62C1">
        <w:trPr>
          <w:tblCellSpacing w:w="15" w:type="dxa"/>
        </w:trPr>
        <w:tc>
          <w:tcPr>
            <w:tcW w:w="0" w:type="auto"/>
            <w:vAlign w:val="center"/>
            <w:hideMark/>
          </w:tcPr>
          <w:p w14:paraId="14908AFD"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SyntroGIFT / systemic layer</w:t>
            </w:r>
          </w:p>
        </w:tc>
        <w:tc>
          <w:tcPr>
            <w:tcW w:w="0" w:type="auto"/>
            <w:vAlign w:val="center"/>
            <w:hideMark/>
          </w:tcPr>
          <w:p w14:paraId="0830C5E9"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Nutrition, nature exposure, functional movement, education, hospitality, preventive-health relevance, community coherence</w:t>
            </w:r>
          </w:p>
        </w:tc>
        <w:tc>
          <w:tcPr>
            <w:tcW w:w="0" w:type="auto"/>
            <w:vAlign w:val="center"/>
            <w:hideMark/>
          </w:tcPr>
          <w:p w14:paraId="52251F62"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Verified data, recognized methodology, institutional arrangement, medical or public-health governance where relevant</w:t>
            </w:r>
          </w:p>
        </w:tc>
        <w:tc>
          <w:tcPr>
            <w:tcW w:w="0" w:type="auto"/>
            <w:vAlign w:val="center"/>
            <w:hideMark/>
          </w:tcPr>
          <w:p w14:paraId="7531E517"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Strategic upside only unless monetization or avoided-cost pathway is legally and methodologically supported</w:t>
            </w:r>
          </w:p>
        </w:tc>
      </w:tr>
      <w:tr w:rsidR="00314051" w:rsidRPr="00B479AE" w14:paraId="0ACC9978" w14:textId="77777777" w:rsidTr="00BA62C1">
        <w:trPr>
          <w:tblCellSpacing w:w="15" w:type="dxa"/>
        </w:trPr>
        <w:tc>
          <w:tcPr>
            <w:tcW w:w="0" w:type="auto"/>
            <w:vAlign w:val="center"/>
            <w:hideMark/>
          </w:tcPr>
          <w:p w14:paraId="13AA94B4"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Data and evidence layer</w:t>
            </w:r>
          </w:p>
        </w:tc>
        <w:tc>
          <w:tcPr>
            <w:tcW w:w="0" w:type="auto"/>
            <w:vAlign w:val="center"/>
            <w:hideMark/>
          </w:tcPr>
          <w:p w14:paraId="12177464"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Traceable records, MRV datasets, methodology references, review outcomes, confidence scoring</w:t>
            </w:r>
          </w:p>
        </w:tc>
        <w:tc>
          <w:tcPr>
            <w:tcW w:w="0" w:type="auto"/>
            <w:vAlign w:val="center"/>
            <w:hideMark/>
          </w:tcPr>
          <w:p w14:paraId="28D8E03E"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Provenance, audit trail, versioning, admissibility review</w:t>
            </w:r>
          </w:p>
        </w:tc>
        <w:tc>
          <w:tcPr>
            <w:tcW w:w="0" w:type="auto"/>
            <w:vAlign w:val="center"/>
            <w:hideMark/>
          </w:tcPr>
          <w:p w14:paraId="231F820B"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Data supports interpretation; it does not create rights by itself</w:t>
            </w:r>
          </w:p>
        </w:tc>
      </w:tr>
      <w:tr w:rsidR="00314051" w:rsidRPr="00B479AE" w14:paraId="2E40408A" w14:textId="77777777" w:rsidTr="00BA62C1">
        <w:trPr>
          <w:tblCellSpacing w:w="15" w:type="dxa"/>
        </w:trPr>
        <w:tc>
          <w:tcPr>
            <w:tcW w:w="0" w:type="auto"/>
            <w:vAlign w:val="center"/>
            <w:hideMark/>
          </w:tcPr>
          <w:p w14:paraId="66285048"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Optionality layer</w:t>
            </w:r>
          </w:p>
        </w:tc>
        <w:tc>
          <w:tcPr>
            <w:tcW w:w="0" w:type="auto"/>
            <w:vAlign w:val="center"/>
            <w:hideMark/>
          </w:tcPr>
          <w:p w14:paraId="339CC322"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Future potential for legal structuring, public procurement, insurance dialogue, blended finance, portfolio aggregation, compliant representation</w:t>
            </w:r>
          </w:p>
        </w:tc>
        <w:tc>
          <w:tcPr>
            <w:tcW w:w="0" w:type="auto"/>
            <w:vAlign w:val="center"/>
            <w:hideMark/>
          </w:tcPr>
          <w:p w14:paraId="1FF6B530"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Maturity classification, governance review, legal boundary, institutional review</w:t>
            </w:r>
          </w:p>
        </w:tc>
        <w:tc>
          <w:tcPr>
            <w:tcW w:w="0" w:type="auto"/>
            <w:vAlign w:val="center"/>
            <w:hideMark/>
          </w:tcPr>
          <w:p w14:paraId="5691B100"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Optionality is not entitlement</w:t>
            </w:r>
          </w:p>
        </w:tc>
      </w:tr>
    </w:tbl>
    <w:p w14:paraId="71F8CB6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These layers do not automatically add up to financial value.</w:t>
      </w:r>
    </w:p>
    <w:p w14:paraId="70A0A72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They become analytically relevant only where evidence, methodology, confidence, legal boundary, and admissibility support their interpretation.</w:t>
      </w:r>
    </w:p>
    <w:p w14:paraId="5E3A6B59" w14:textId="77777777" w:rsidR="00314051" w:rsidRPr="00B479AE" w:rsidRDefault="00314051" w:rsidP="00314051">
      <w:pPr>
        <w:spacing w:line="360" w:lineRule="auto"/>
        <w:rPr>
          <w:rFonts w:ascii="Baskerville Old Face" w:hAnsi="Baskerville Old Face"/>
          <w:b/>
          <w:bCs/>
          <w:i/>
          <w:iCs/>
        </w:rPr>
      </w:pPr>
      <w:r w:rsidRPr="00B479AE">
        <w:rPr>
          <w:rFonts w:ascii="Baskerville Old Face" w:hAnsi="Baskerville Old Face"/>
          <w:b/>
          <w:bCs/>
          <w:i/>
          <w:iCs/>
        </w:rPr>
        <w:t>N.5 Cost and Resource Structure</w:t>
      </w:r>
    </w:p>
    <w:p w14:paraId="023514D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 PRU may be associated with several cost and resource categories.</w:t>
      </w:r>
    </w:p>
    <w:p w14:paraId="496E52D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These may include:</w:t>
      </w:r>
    </w:p>
    <w:p w14:paraId="286C621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field design;</w:t>
      </w:r>
    </w:p>
    <w:p w14:paraId="60FCCDD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soil preparation;</w:t>
      </w:r>
    </w:p>
    <w:p w14:paraId="5D72CDF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hydrological shaping;</w:t>
      </w:r>
    </w:p>
    <w:p w14:paraId="18542A1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planting establishment;</w:t>
      </w:r>
    </w:p>
    <w:p w14:paraId="6FDE7D8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water infrastructure;</w:t>
      </w:r>
    </w:p>
    <w:p w14:paraId="45829C7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stewardship labor;</w:t>
      </w:r>
    </w:p>
    <w:p w14:paraId="3EB8E41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maintenance;</w:t>
      </w:r>
    </w:p>
    <w:p w14:paraId="5612E09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monitoring;</w:t>
      </w:r>
    </w:p>
    <w:p w14:paraId="2D3E7DA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data management;</w:t>
      </w:r>
    </w:p>
    <w:p w14:paraId="516690F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MRV activities;</w:t>
      </w:r>
    </w:p>
    <w:p w14:paraId="66D3F06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governance review;</w:t>
      </w:r>
    </w:p>
    <w:p w14:paraId="6BBB753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reporting;</w:t>
      </w:r>
    </w:p>
    <w:p w14:paraId="118D97B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technical infrastructure;</w:t>
      </w:r>
    </w:p>
    <w:p w14:paraId="00028A1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legal and institutional structuring where relevant.</w:t>
      </w:r>
    </w:p>
    <w:p w14:paraId="7C77A3A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For high-level planning purposes, PRU-related deployment and operating costs should be expressed as broad order-of-magnitude envelopes, not precise universal values.</w:t>
      </w:r>
    </w:p>
    <w:p w14:paraId="14CE836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Costs vary by:</w:t>
      </w:r>
    </w:p>
    <w:p w14:paraId="5193FB8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geography;</w:t>
      </w:r>
    </w:p>
    <w:p w14:paraId="3525669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climate;</w:t>
      </w:r>
    </w:p>
    <w:p w14:paraId="76DCEAE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soil baseline;</w:t>
      </w:r>
    </w:p>
    <w:p w14:paraId="142C36B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water availability;</w:t>
      </w:r>
    </w:p>
    <w:p w14:paraId="7F3B2CE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labor model;</w:t>
      </w:r>
    </w:p>
    <w:p w14:paraId="1C362C0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material costs;</w:t>
      </w:r>
    </w:p>
    <w:p w14:paraId="6544C71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design intensity;</w:t>
      </w:r>
    </w:p>
    <w:p w14:paraId="1A95909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monitoring requirements;</w:t>
      </w:r>
    </w:p>
    <w:p w14:paraId="76D8101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regulatory context;</w:t>
      </w:r>
    </w:p>
    <w:p w14:paraId="59EF625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project maturity;</w:t>
      </w:r>
    </w:p>
    <w:p w14:paraId="4F9D28E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legal structure;</w:t>
      </w:r>
    </w:p>
    <w:p w14:paraId="5B36283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governance complexity.</w:t>
      </w:r>
    </w:p>
    <w:p w14:paraId="47B09B3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No PRU should be treated as having a fixed universal CAPEX, fixed universal OPEX, fixed universal payback, or fixed universal economic profile.</w:t>
      </w:r>
    </w:p>
    <w:p w14:paraId="5D3F8EC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appropriate interpretation is:</w:t>
      </w:r>
    </w:p>
    <w:p w14:paraId="6A54730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cost structure is site-specific;</w:t>
      </w:r>
    </w:p>
    <w:p w14:paraId="44CDC97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resource structure is design-specific;</w:t>
      </w:r>
    </w:p>
    <w:p w14:paraId="25B749C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performance is management-specific;</w:t>
      </w:r>
    </w:p>
    <w:p w14:paraId="039625D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financial interpretation is evidence-specific;</w:t>
      </w:r>
    </w:p>
    <w:p w14:paraId="3235AA8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capital-readiness is admissibility-specific.</w:t>
      </w:r>
    </w:p>
    <w:p w14:paraId="0F96F880" w14:textId="77777777" w:rsidR="00BA62C1" w:rsidRPr="00B479AE" w:rsidRDefault="00BA62C1" w:rsidP="00314051">
      <w:pPr>
        <w:spacing w:line="360" w:lineRule="auto"/>
        <w:rPr>
          <w:rFonts w:ascii="Baskerville Old Face" w:hAnsi="Baskerville Old Face"/>
          <w:b/>
          <w:bCs/>
          <w:i/>
          <w:iCs/>
        </w:rPr>
      </w:pPr>
    </w:p>
    <w:p w14:paraId="4FDCC514" w14:textId="31045E00" w:rsidR="00314051" w:rsidRPr="00B479AE" w:rsidRDefault="00314051" w:rsidP="00314051">
      <w:pPr>
        <w:spacing w:line="360" w:lineRule="auto"/>
        <w:rPr>
          <w:rFonts w:ascii="Baskerville Old Face" w:hAnsi="Baskerville Old Face"/>
          <w:b/>
          <w:bCs/>
          <w:i/>
          <w:iCs/>
        </w:rPr>
      </w:pPr>
      <w:r w:rsidRPr="00B479AE">
        <w:rPr>
          <w:rFonts w:ascii="Baskerville Old Face" w:hAnsi="Baskerville Old Face"/>
          <w:b/>
          <w:bCs/>
          <w:i/>
          <w:iCs/>
        </w:rPr>
        <w:lastRenderedPageBreak/>
        <w:t>N.6 Value-Analysis Envelope</w:t>
      </w:r>
    </w:p>
    <w:p w14:paraId="638172A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 PRU may support a conceptual value-analysis envelope when direct, indirect, ecological, resilience, systemic, and optionality layers are considered together.</w:t>
      </w:r>
    </w:p>
    <w:p w14:paraId="781810B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This envelope should be expressed as a broad planning range, not as a forecast.</w:t>
      </w:r>
    </w:p>
    <w:p w14:paraId="4E46F29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For institutional language, the safer formulation is:</w:t>
      </w:r>
    </w:p>
    <w:p w14:paraId="12D61D5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 mature, well-managed PRU may support a broad value-analysis envelope where productive output, substitution effects, ecological function, resilience benefits, educational or hospitality pathways, research pathways, or other monetization channels are documented and admissible.</w:t>
      </w:r>
    </w:p>
    <w:p w14:paraId="3B2F93A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value-analysis envelope should not be treated as:</w:t>
      </w:r>
    </w:p>
    <w:p w14:paraId="2B41393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guaranteed revenue;</w:t>
      </w:r>
    </w:p>
    <w:p w14:paraId="003D36B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investment return;</w:t>
      </w:r>
    </w:p>
    <w:p w14:paraId="47680F3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market value;</w:t>
      </w:r>
    </w:p>
    <w:p w14:paraId="7E1CDF4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net asset value;</w:t>
      </w:r>
    </w:p>
    <w:p w14:paraId="34AE089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token price;</w:t>
      </w:r>
    </w:p>
    <w:p w14:paraId="138CA7C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PRU issuance basis;</w:t>
      </w:r>
    </w:p>
    <w:p w14:paraId="160D611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collateral value;</w:t>
      </w:r>
    </w:p>
    <w:p w14:paraId="1A52D3D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insurance value;</w:t>
      </w:r>
    </w:p>
    <w:p w14:paraId="7695140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public reimbursement value;</w:t>
      </w:r>
    </w:p>
    <w:p w14:paraId="502E2A3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certified ecological credit;</w:t>
      </w:r>
    </w:p>
    <w:p w14:paraId="1617039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loan eligibility;</w:t>
      </w:r>
    </w:p>
    <w:p w14:paraId="0BF239E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government guarantee;</w:t>
      </w:r>
    </w:p>
    <w:p w14:paraId="66A468F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securities value.</w:t>
      </w:r>
    </w:p>
    <w:p w14:paraId="4C5CF82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value-analysis envelope is a disciplined interpretation space.</w:t>
      </w:r>
    </w:p>
    <w:p w14:paraId="25A97B4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It helps reviewers ask:</w:t>
      </w:r>
    </w:p>
    <w:p w14:paraId="71EB8E6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What value is actually generated?</w:t>
      </w:r>
    </w:p>
    <w:p w14:paraId="74C34BC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What evidence supports it?</w:t>
      </w:r>
    </w:p>
    <w:p w14:paraId="033DFD7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What is measured?</w:t>
      </w:r>
    </w:p>
    <w:p w14:paraId="7C31635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What is only hypothesized?</w:t>
      </w:r>
    </w:p>
    <w:p w14:paraId="0DBC174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What is direct?</w:t>
      </w:r>
    </w:p>
    <w:p w14:paraId="03D5211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What is indirect?</w:t>
      </w:r>
    </w:p>
    <w:p w14:paraId="22620D6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What is contractual?</w:t>
      </w:r>
    </w:p>
    <w:p w14:paraId="26A7D5F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What is ecological?</w:t>
      </w:r>
    </w:p>
    <w:p w14:paraId="0FC775F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What is systemic?</w:t>
      </w:r>
    </w:p>
    <w:p w14:paraId="720632E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What is legally admissible?</w:t>
      </w:r>
    </w:p>
    <w:p w14:paraId="72DC2A3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What is excluded from base-case financial modeling?</w:t>
      </w:r>
    </w:p>
    <w:p w14:paraId="034BD5A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should make these distinctions sharper, not blurrier.</w:t>
      </w:r>
    </w:p>
    <w:p w14:paraId="0F50032C" w14:textId="77777777" w:rsidR="00314051" w:rsidRPr="00B479AE" w:rsidRDefault="00314051" w:rsidP="00314051">
      <w:pPr>
        <w:spacing w:line="360" w:lineRule="auto"/>
        <w:rPr>
          <w:rFonts w:ascii="Baskerville Old Face" w:hAnsi="Baskerville Old Face"/>
          <w:b/>
          <w:bCs/>
          <w:i/>
          <w:iCs/>
        </w:rPr>
      </w:pPr>
      <w:r w:rsidRPr="00B479AE">
        <w:rPr>
          <w:rFonts w:ascii="Baskerville Old Face" w:hAnsi="Baskerville Old Face"/>
          <w:b/>
          <w:bCs/>
          <w:i/>
          <w:iCs/>
        </w:rPr>
        <w:t>N.7 Net Value Interpretation</w:t>
      </w:r>
    </w:p>
    <w:p w14:paraId="0B96558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 PRU may appear to produce a positive net value interpretation where verified value layers exceed operating burdens and where outputs or avoided costs are documented.</w:t>
      </w:r>
    </w:p>
    <w:p w14:paraId="215AE7E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However, net value interpretation must remain conditional.</w:t>
      </w:r>
    </w:p>
    <w:p w14:paraId="377FE2B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depends on:</w:t>
      </w:r>
    </w:p>
    <w:p w14:paraId="402A214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implementation quality;</w:t>
      </w:r>
    </w:p>
    <w:p w14:paraId="2B4ACE7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biological maturity;</w:t>
      </w:r>
    </w:p>
    <w:p w14:paraId="6FDED3B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production records;</w:t>
      </w:r>
    </w:p>
    <w:p w14:paraId="526CE75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operating costs;</w:t>
      </w:r>
    </w:p>
    <w:p w14:paraId="36F33EE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 labor model;</w:t>
      </w:r>
    </w:p>
    <w:p w14:paraId="2CC034E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water strategy;</w:t>
      </w:r>
    </w:p>
    <w:p w14:paraId="64B947D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monitoring quality;</w:t>
      </w:r>
    </w:p>
    <w:p w14:paraId="33070F5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market access;</w:t>
      </w:r>
    </w:p>
    <w:p w14:paraId="30E3D0C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substitution pathways;</w:t>
      </w:r>
    </w:p>
    <w:p w14:paraId="2ECD0BC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institutional arrangements;</w:t>
      </w:r>
    </w:p>
    <w:p w14:paraId="0B4AA97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legal admissibility;</w:t>
      </w:r>
    </w:p>
    <w:p w14:paraId="4A53121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methodology version;</w:t>
      </w:r>
    </w:p>
    <w:p w14:paraId="6FE9E57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confidence score.</w:t>
      </w:r>
    </w:p>
    <w:p w14:paraId="7B15737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No PRU should be presented as having a guaranteed net value.</w:t>
      </w:r>
    </w:p>
    <w:p w14:paraId="00FB05F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No PRU should be presented as having a validated yield unless supported by audited operational records and lawful reporting context.</w:t>
      </w:r>
    </w:p>
    <w:p w14:paraId="392123C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correct language is:</w:t>
      </w:r>
    </w:p>
    <w:p w14:paraId="47659E7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under favorable and documented conditions, a PRU may support positive value interpretation over time.</w:t>
      </w:r>
    </w:p>
    <w:p w14:paraId="207C5FF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incorrect language is:</w:t>
      </w:r>
    </w:p>
    <w:p w14:paraId="5E7A7DC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 PRU produces a fixed return.</w:t>
      </w:r>
    </w:p>
    <w:p w14:paraId="1C38A047" w14:textId="77777777" w:rsidR="00314051" w:rsidRPr="00B479AE" w:rsidRDefault="00314051" w:rsidP="00314051">
      <w:pPr>
        <w:spacing w:line="360" w:lineRule="auto"/>
        <w:rPr>
          <w:rFonts w:ascii="Baskerville Old Face" w:hAnsi="Baskerville Old Face"/>
          <w:b/>
          <w:bCs/>
          <w:i/>
          <w:iCs/>
        </w:rPr>
      </w:pPr>
      <w:r w:rsidRPr="00B479AE">
        <w:rPr>
          <w:rFonts w:ascii="Baskerville Old Face" w:hAnsi="Baskerville Old Face"/>
          <w:b/>
          <w:bCs/>
          <w:i/>
          <w:iCs/>
        </w:rPr>
        <w:t>N.8 Time-Dependent Value Dynamics</w:t>
      </w:r>
    </w:p>
    <w:p w14:paraId="43697AD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PRU value analysis should be time-aware.</w:t>
      </w:r>
    </w:p>
    <w:p w14:paraId="409B5D8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 regenerative system may not reach full performance at installation.</w:t>
      </w:r>
    </w:p>
    <w:p w14:paraId="235FFDC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may move through maturity phases, such as:</w:t>
      </w:r>
    </w:p>
    <w:p w14:paraId="349881A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establishment;</w:t>
      </w:r>
    </w:p>
    <w:p w14:paraId="59B3D2B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 early productive emergence;</w:t>
      </w:r>
    </w:p>
    <w:p w14:paraId="62A8976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biological acceleration;</w:t>
      </w:r>
    </w:p>
    <w:p w14:paraId="78C4C56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higher functional productivity;</w:t>
      </w:r>
    </w:p>
    <w:p w14:paraId="2FD5AD6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mature regenerative equilibrium;</w:t>
      </w:r>
    </w:p>
    <w:p w14:paraId="3369151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long-duration stewardship phase.</w:t>
      </w:r>
    </w:p>
    <w:p w14:paraId="615BE02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These phases should not be tied to rigid dates.</w:t>
      </w:r>
    </w:p>
    <w:p w14:paraId="1CB4656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Different sites mature at different speeds.</w:t>
      </w:r>
    </w:p>
    <w:p w14:paraId="4FA41E8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Maturity depends on climate, water, soil, species, design, disturbance, management, and continuity.</w:t>
      </w:r>
    </w:p>
    <w:p w14:paraId="6634EF2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is intended to model a time-positive asset logic, where the quality of the underlying biological system may improve rather than erode over time.</w:t>
      </w:r>
    </w:p>
    <w:p w14:paraId="17C75C2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However, time-positive dynamics are not automatic.</w:t>
      </w:r>
    </w:p>
    <w:p w14:paraId="5627D5E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Poor stewardship, drought, salinity, fire, disease, governance failure, water stress, abandonment, or methodological error can reduce or reverse expected outcomes.</w:t>
      </w:r>
    </w:p>
    <w:p w14:paraId="5145070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should therefore treat time as a risk dimension and a value dimension.</w:t>
      </w:r>
    </w:p>
    <w:p w14:paraId="602BA62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question is not only:</w:t>
      </w:r>
    </w:p>
    <w:p w14:paraId="0591333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What is the current value?</w:t>
      </w:r>
    </w:p>
    <w:p w14:paraId="2E671FD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deeper question is:</w:t>
      </w:r>
    </w:p>
    <w:p w14:paraId="453D914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Is the living system becoming more capable, more resilient, more productive, more measurable, and more admissible over time?</w:t>
      </w:r>
    </w:p>
    <w:p w14:paraId="65FA917A" w14:textId="77777777" w:rsidR="00314051" w:rsidRPr="00B479AE" w:rsidRDefault="00314051" w:rsidP="00314051">
      <w:pPr>
        <w:spacing w:line="360" w:lineRule="auto"/>
        <w:rPr>
          <w:rFonts w:ascii="Baskerville Old Face" w:hAnsi="Baskerville Old Face"/>
          <w:b/>
          <w:bCs/>
          <w:i/>
          <w:iCs/>
        </w:rPr>
      </w:pPr>
      <w:r w:rsidRPr="00B479AE">
        <w:rPr>
          <w:rFonts w:ascii="Baskerville Old Face" w:hAnsi="Baskerville Old Face"/>
          <w:b/>
          <w:bCs/>
          <w:i/>
          <w:iCs/>
        </w:rPr>
        <w:t>N.9 Return-Language Boundary</w:t>
      </w:r>
    </w:p>
    <w:p w14:paraId="58ABE2D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may appear attractive under favorable deployment assumptions.</w:t>
      </w:r>
    </w:p>
    <w:p w14:paraId="552B278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However, return language must be treated with strict discipline.</w:t>
      </w:r>
    </w:p>
    <w:p w14:paraId="7399424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Terms such as return, yield, payback, IRR, valuation, income, asset value, appreciation, and investment performance should not be used as default PRU language.</w:t>
      </w:r>
    </w:p>
    <w:p w14:paraId="5991B4B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Where such terms are used, they must be connected to:</w:t>
      </w:r>
    </w:p>
    <w:p w14:paraId="45CF304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documented operational data;</w:t>
      </w:r>
    </w:p>
    <w:p w14:paraId="387C763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explicit assumptions;</w:t>
      </w:r>
    </w:p>
    <w:p w14:paraId="19D065C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scenario classification;</w:t>
      </w:r>
    </w:p>
    <w:p w14:paraId="6ADCC9B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legal boundary;</w:t>
      </w:r>
    </w:p>
    <w:p w14:paraId="3334916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risk disclosure;</w:t>
      </w:r>
    </w:p>
    <w:p w14:paraId="02BB27B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methodology version;</w:t>
      </w:r>
    </w:p>
    <w:p w14:paraId="60EF3E4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admissibility status;</w:t>
      </w:r>
    </w:p>
    <w:p w14:paraId="5535A08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jurisdiction-specific review;</w:t>
      </w:r>
    </w:p>
    <w:p w14:paraId="055C77B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non-offering disclaimers.</w:t>
      </w:r>
    </w:p>
    <w:p w14:paraId="4769A06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safer language is:</w:t>
      </w:r>
    </w:p>
    <w:p w14:paraId="3A3BE2C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value-analysis potential;</w:t>
      </w:r>
    </w:p>
    <w:p w14:paraId="267848E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capital-readiness interpretation;</w:t>
      </w:r>
    </w:p>
    <w:p w14:paraId="6F90D65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maturity classification;</w:t>
      </w:r>
    </w:p>
    <w:p w14:paraId="227C02C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economic relevance;</w:t>
      </w:r>
    </w:p>
    <w:p w14:paraId="0A835C3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productive capacity;</w:t>
      </w:r>
    </w:p>
    <w:p w14:paraId="6C76891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documented output;</w:t>
      </w:r>
    </w:p>
    <w:p w14:paraId="1A763E0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substitution pathway;</w:t>
      </w:r>
    </w:p>
    <w:p w14:paraId="45356F9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resilience value;</w:t>
      </w:r>
    </w:p>
    <w:p w14:paraId="2E06319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institutional diligence support.</w:t>
      </w:r>
    </w:p>
    <w:p w14:paraId="3EAA64B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PRU analysis may support investment diligence.</w:t>
      </w:r>
    </w:p>
    <w:p w14:paraId="29E6DD6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does not replace underwriting.</w:t>
      </w:r>
    </w:p>
    <w:p w14:paraId="18C7B9B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does not replace legal review.</w:t>
      </w:r>
    </w:p>
    <w:p w14:paraId="412C756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does not replace investor suitability analysis.</w:t>
      </w:r>
    </w:p>
    <w:p w14:paraId="61A0B4A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does not create offering status.</w:t>
      </w:r>
    </w:p>
    <w:p w14:paraId="6D403CE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does not create entitlement.</w:t>
      </w:r>
    </w:p>
    <w:p w14:paraId="546CF42F" w14:textId="77777777" w:rsidR="00314051" w:rsidRPr="00B479AE" w:rsidRDefault="00314051" w:rsidP="00314051">
      <w:pPr>
        <w:spacing w:line="360" w:lineRule="auto"/>
        <w:rPr>
          <w:rFonts w:ascii="Baskerville Old Face" w:hAnsi="Baskerville Old Face"/>
          <w:b/>
          <w:bCs/>
          <w:i/>
          <w:iCs/>
        </w:rPr>
      </w:pPr>
      <w:r w:rsidRPr="00B479AE">
        <w:rPr>
          <w:rFonts w:ascii="Baskerville Old Face" w:hAnsi="Baskerville Old Face"/>
          <w:b/>
          <w:bCs/>
          <w:i/>
          <w:iCs/>
        </w:rPr>
        <w:t>N.10 Risk Profile</w:t>
      </w:r>
    </w:p>
    <w:p w14:paraId="72E0849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PRU logic should include explicit risk classification.</w:t>
      </w:r>
    </w:p>
    <w:p w14:paraId="2A4A922F" w14:textId="06966859"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Primary risk categories may include:</w:t>
      </w:r>
      <w:r w:rsidR="00806DDB" w:rsidRPr="00B479AE">
        <w:rPr>
          <w:rFonts w:ascii="Baskerville Old Face" w:hAnsi="Baskerville Old Face"/>
          <w:i/>
          <w:iCs/>
        </w:rPr>
        <w:t xml:space="preserve"> </w:t>
      </w:r>
    </w:p>
    <w:p w14:paraId="1E9A9219" w14:textId="77777777" w:rsidR="00806DDB" w:rsidRPr="00B479AE" w:rsidRDefault="00806DDB" w:rsidP="00314051">
      <w:pPr>
        <w:spacing w:line="360" w:lineRule="auto"/>
        <w:rPr>
          <w:rFonts w:ascii="Baskerville Old Face" w:hAnsi="Baskerville Old Face"/>
          <w:i/>
          <w:iCs/>
        </w:rPr>
      </w:pPr>
    </w:p>
    <w:p w14:paraId="78CE9656" w14:textId="77777777" w:rsidR="00806DDB" w:rsidRPr="00B479AE" w:rsidRDefault="00806DDB" w:rsidP="00314051">
      <w:pPr>
        <w:spacing w:line="360" w:lineRule="auto"/>
        <w:rPr>
          <w:rFonts w:ascii="Baskerville Old Face" w:hAnsi="Baskerville Old Face"/>
          <w:i/>
          <w:iCs/>
        </w:rPr>
      </w:pPr>
    </w:p>
    <w:p w14:paraId="129C7603" w14:textId="77777777" w:rsidR="00806DDB" w:rsidRPr="00B479AE" w:rsidRDefault="00806DDB" w:rsidP="00314051">
      <w:pPr>
        <w:spacing w:line="360" w:lineRule="auto"/>
        <w:rPr>
          <w:rFonts w:ascii="Baskerville Old Face" w:hAnsi="Baskerville Old Face"/>
          <w:i/>
          <w:iCs/>
        </w:rPr>
      </w:pPr>
    </w:p>
    <w:p w14:paraId="0C7B60BD" w14:textId="77777777" w:rsidR="00806DDB" w:rsidRPr="00B479AE" w:rsidRDefault="00806DDB" w:rsidP="00314051">
      <w:pPr>
        <w:spacing w:line="360" w:lineRule="auto"/>
        <w:rPr>
          <w:rFonts w:ascii="Baskerville Old Face" w:hAnsi="Baskerville Old Face"/>
          <w:i/>
          <w:iCs/>
        </w:rPr>
      </w:pPr>
    </w:p>
    <w:p w14:paraId="1464A9D4" w14:textId="77777777" w:rsidR="00806DDB" w:rsidRPr="00B479AE" w:rsidRDefault="00806DDB" w:rsidP="00314051">
      <w:pPr>
        <w:spacing w:line="360" w:lineRule="auto"/>
        <w:rPr>
          <w:rFonts w:ascii="Baskerville Old Face" w:hAnsi="Baskerville Old Face"/>
          <w:i/>
          <w:iCs/>
        </w:rPr>
      </w:pPr>
    </w:p>
    <w:p w14:paraId="7E60C264" w14:textId="77777777" w:rsidR="00806DDB" w:rsidRPr="00B479AE" w:rsidRDefault="00806DDB" w:rsidP="00314051">
      <w:pPr>
        <w:spacing w:line="360" w:lineRule="auto"/>
        <w:rPr>
          <w:rFonts w:ascii="Baskerville Old Face" w:hAnsi="Baskerville Old Face"/>
          <w:i/>
          <w:iCs/>
        </w:rPr>
      </w:pPr>
    </w:p>
    <w:p w14:paraId="027E95D0" w14:textId="77777777" w:rsidR="00806DDB" w:rsidRPr="00B479AE" w:rsidRDefault="00806DDB" w:rsidP="00314051">
      <w:pPr>
        <w:spacing w:line="360" w:lineRule="auto"/>
        <w:rPr>
          <w:rFonts w:ascii="Baskerville Old Face" w:hAnsi="Baskerville Old Face"/>
          <w:i/>
          <w:iCs/>
        </w:rPr>
      </w:pPr>
    </w:p>
    <w:p w14:paraId="11B2EEDA" w14:textId="77777777" w:rsidR="00806DDB" w:rsidRPr="00B479AE" w:rsidRDefault="00806DDB" w:rsidP="00314051">
      <w:pPr>
        <w:spacing w:line="360" w:lineRule="auto"/>
        <w:rPr>
          <w:rFonts w:ascii="Baskerville Old Face" w:hAnsi="Baskerville Old Face"/>
          <w:i/>
          <w:iCs/>
        </w:rPr>
      </w:pPr>
    </w:p>
    <w:p w14:paraId="4AED77F2" w14:textId="77777777" w:rsidR="00806DDB" w:rsidRPr="00B479AE" w:rsidRDefault="00806DDB" w:rsidP="00314051">
      <w:pPr>
        <w:spacing w:line="360" w:lineRule="auto"/>
        <w:rPr>
          <w:rFonts w:ascii="Baskerville Old Face" w:hAnsi="Baskerville Old Face"/>
          <w:i/>
          <w:iCs/>
        </w:rPr>
      </w:pPr>
    </w:p>
    <w:p w14:paraId="34187BBC" w14:textId="77777777" w:rsidR="00806DDB" w:rsidRPr="00B479AE" w:rsidRDefault="00806DDB" w:rsidP="00314051">
      <w:pPr>
        <w:spacing w:line="360" w:lineRule="auto"/>
        <w:rPr>
          <w:rFonts w:ascii="Baskerville Old Face" w:hAnsi="Baskerville Old Face"/>
          <w:i/>
          <w:iCs/>
        </w:rPr>
      </w:pPr>
    </w:p>
    <w:p w14:paraId="4E7D560B" w14:textId="77777777" w:rsidR="00806DDB" w:rsidRPr="00B479AE" w:rsidRDefault="00806DDB" w:rsidP="00314051">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6"/>
        <w:gridCol w:w="4314"/>
        <w:gridCol w:w="4048"/>
      </w:tblGrid>
      <w:tr w:rsidR="00314051" w:rsidRPr="00B479AE" w14:paraId="2DA76511" w14:textId="77777777" w:rsidTr="00806DDB">
        <w:trPr>
          <w:tblHeader/>
          <w:tblCellSpacing w:w="15" w:type="dxa"/>
        </w:trPr>
        <w:tc>
          <w:tcPr>
            <w:tcW w:w="0" w:type="auto"/>
            <w:vAlign w:val="center"/>
            <w:hideMark/>
          </w:tcPr>
          <w:p w14:paraId="09D6D0F2" w14:textId="77777777" w:rsidR="00314051" w:rsidRPr="00B479AE" w:rsidRDefault="00314051" w:rsidP="00314051">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lastRenderedPageBreak/>
              <w:t>Risk category</w:t>
            </w:r>
          </w:p>
        </w:tc>
        <w:tc>
          <w:tcPr>
            <w:tcW w:w="0" w:type="auto"/>
            <w:vAlign w:val="center"/>
            <w:hideMark/>
          </w:tcPr>
          <w:p w14:paraId="111A8C6A" w14:textId="77777777" w:rsidR="00314051" w:rsidRPr="00B479AE" w:rsidRDefault="00314051" w:rsidP="00314051">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Description</w:t>
            </w:r>
          </w:p>
        </w:tc>
        <w:tc>
          <w:tcPr>
            <w:tcW w:w="0" w:type="auto"/>
            <w:vAlign w:val="center"/>
            <w:hideMark/>
          </w:tcPr>
          <w:p w14:paraId="42897056" w14:textId="77777777" w:rsidR="00314051" w:rsidRPr="00B479AE" w:rsidRDefault="00314051" w:rsidP="00314051">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Mitigation pathway</w:t>
            </w:r>
          </w:p>
        </w:tc>
      </w:tr>
      <w:tr w:rsidR="00314051" w:rsidRPr="00B479AE" w14:paraId="22CDCB70" w14:textId="77777777" w:rsidTr="00806DDB">
        <w:trPr>
          <w:tblCellSpacing w:w="15" w:type="dxa"/>
        </w:trPr>
        <w:tc>
          <w:tcPr>
            <w:tcW w:w="0" w:type="auto"/>
            <w:vAlign w:val="center"/>
            <w:hideMark/>
          </w:tcPr>
          <w:p w14:paraId="09DCFE24"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Design risk</w:t>
            </w:r>
          </w:p>
        </w:tc>
        <w:tc>
          <w:tcPr>
            <w:tcW w:w="0" w:type="auto"/>
            <w:vAlign w:val="center"/>
            <w:hideMark/>
          </w:tcPr>
          <w:p w14:paraId="7E0E710F"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Weak site design, poor species selection, inadequate hydrological strategy, unsuitable layout</w:t>
            </w:r>
          </w:p>
        </w:tc>
        <w:tc>
          <w:tcPr>
            <w:tcW w:w="0" w:type="auto"/>
            <w:vAlign w:val="center"/>
            <w:hideMark/>
          </w:tcPr>
          <w:p w14:paraId="0B143F51"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Design review, ecological planning, expert validation, adaptive redesign</w:t>
            </w:r>
          </w:p>
        </w:tc>
      </w:tr>
      <w:tr w:rsidR="00314051" w:rsidRPr="00B479AE" w14:paraId="3779E1A2" w14:textId="77777777" w:rsidTr="00806DDB">
        <w:trPr>
          <w:tblCellSpacing w:w="15" w:type="dxa"/>
        </w:trPr>
        <w:tc>
          <w:tcPr>
            <w:tcW w:w="0" w:type="auto"/>
            <w:vAlign w:val="center"/>
            <w:hideMark/>
          </w:tcPr>
          <w:p w14:paraId="4C024654"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Management risk</w:t>
            </w:r>
          </w:p>
        </w:tc>
        <w:tc>
          <w:tcPr>
            <w:tcW w:w="0" w:type="auto"/>
            <w:vAlign w:val="center"/>
            <w:hideMark/>
          </w:tcPr>
          <w:p w14:paraId="0E50D8AA"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Weak stewardship, insufficient maintenance, lack of pruning, poor documentation, operational discontinuity</w:t>
            </w:r>
          </w:p>
        </w:tc>
        <w:tc>
          <w:tcPr>
            <w:tcW w:w="0" w:type="auto"/>
            <w:vAlign w:val="center"/>
            <w:hideMark/>
          </w:tcPr>
          <w:p w14:paraId="4E94A48F"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Operator training, runbooks, supervision, performance records, governance review</w:t>
            </w:r>
          </w:p>
        </w:tc>
      </w:tr>
      <w:tr w:rsidR="00314051" w:rsidRPr="00B479AE" w14:paraId="4580A365" w14:textId="77777777" w:rsidTr="00806DDB">
        <w:trPr>
          <w:tblCellSpacing w:w="15" w:type="dxa"/>
        </w:trPr>
        <w:tc>
          <w:tcPr>
            <w:tcW w:w="0" w:type="auto"/>
            <w:vAlign w:val="center"/>
            <w:hideMark/>
          </w:tcPr>
          <w:p w14:paraId="59D1DBF7"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Climate risk</w:t>
            </w:r>
          </w:p>
        </w:tc>
        <w:tc>
          <w:tcPr>
            <w:tcW w:w="0" w:type="auto"/>
            <w:vAlign w:val="center"/>
            <w:hideMark/>
          </w:tcPr>
          <w:p w14:paraId="62F083F2"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Drought, heat, flood, wind, fire, extreme weather, shifting climatic baseline</w:t>
            </w:r>
          </w:p>
        </w:tc>
        <w:tc>
          <w:tcPr>
            <w:tcW w:w="0" w:type="auto"/>
            <w:vAlign w:val="center"/>
            <w:hideMark/>
          </w:tcPr>
          <w:p w14:paraId="4002C65D"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Water strategy, species diversity, microclimate design, insurance review where applicable, stress testing</w:t>
            </w:r>
          </w:p>
        </w:tc>
      </w:tr>
      <w:tr w:rsidR="00314051" w:rsidRPr="00B479AE" w14:paraId="6EAB5290" w14:textId="77777777" w:rsidTr="00806DDB">
        <w:trPr>
          <w:tblCellSpacing w:w="15" w:type="dxa"/>
        </w:trPr>
        <w:tc>
          <w:tcPr>
            <w:tcW w:w="0" w:type="auto"/>
            <w:vAlign w:val="center"/>
            <w:hideMark/>
          </w:tcPr>
          <w:p w14:paraId="730929B6"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Biological risk</w:t>
            </w:r>
          </w:p>
        </w:tc>
        <w:tc>
          <w:tcPr>
            <w:tcW w:w="0" w:type="auto"/>
            <w:vAlign w:val="center"/>
            <w:hideMark/>
          </w:tcPr>
          <w:p w14:paraId="41922B05"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Disease, pests, invasive species, crop failure, ecological imbalance</w:t>
            </w:r>
          </w:p>
        </w:tc>
        <w:tc>
          <w:tcPr>
            <w:tcW w:w="0" w:type="auto"/>
            <w:vAlign w:val="center"/>
            <w:hideMark/>
          </w:tcPr>
          <w:p w14:paraId="1F893B0E"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Biodiversity, monitoring, adaptive management, integrated ecological response</w:t>
            </w:r>
          </w:p>
        </w:tc>
      </w:tr>
      <w:tr w:rsidR="00314051" w:rsidRPr="00B479AE" w14:paraId="7A3F8F6E" w14:textId="77777777" w:rsidTr="00806DDB">
        <w:trPr>
          <w:tblCellSpacing w:w="15" w:type="dxa"/>
        </w:trPr>
        <w:tc>
          <w:tcPr>
            <w:tcW w:w="0" w:type="auto"/>
            <w:vAlign w:val="center"/>
            <w:hideMark/>
          </w:tcPr>
          <w:p w14:paraId="3D8B4D48"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MRV risk</w:t>
            </w:r>
          </w:p>
        </w:tc>
        <w:tc>
          <w:tcPr>
            <w:tcW w:w="0" w:type="auto"/>
            <w:vAlign w:val="center"/>
            <w:hideMark/>
          </w:tcPr>
          <w:p w14:paraId="24209D72"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Weak evidence, poor sensors, incomplete records, unverifiable data, low confidence</w:t>
            </w:r>
          </w:p>
        </w:tc>
        <w:tc>
          <w:tcPr>
            <w:tcW w:w="0" w:type="auto"/>
            <w:vAlign w:val="center"/>
            <w:hideMark/>
          </w:tcPr>
          <w:p w14:paraId="1244F389"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Layered MRV, provenance controls, audit trails, confidence scoring</w:t>
            </w:r>
          </w:p>
        </w:tc>
      </w:tr>
      <w:tr w:rsidR="00314051" w:rsidRPr="00B479AE" w14:paraId="3618C1CD" w14:textId="77777777" w:rsidTr="00806DDB">
        <w:trPr>
          <w:tblCellSpacing w:w="15" w:type="dxa"/>
        </w:trPr>
        <w:tc>
          <w:tcPr>
            <w:tcW w:w="0" w:type="auto"/>
            <w:vAlign w:val="center"/>
            <w:hideMark/>
          </w:tcPr>
          <w:p w14:paraId="736E65CB"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Admissibility risk</w:t>
            </w:r>
          </w:p>
        </w:tc>
        <w:tc>
          <w:tcPr>
            <w:tcW w:w="0" w:type="auto"/>
            <w:vAlign w:val="center"/>
            <w:hideMark/>
          </w:tcPr>
          <w:p w14:paraId="6D44203E"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Evidence cannot enter PRU analysis or capital-readiness pathways</w:t>
            </w:r>
          </w:p>
        </w:tc>
        <w:tc>
          <w:tcPr>
            <w:tcW w:w="0" w:type="auto"/>
            <w:vAlign w:val="center"/>
            <w:hideMark/>
          </w:tcPr>
          <w:p w14:paraId="6995E255"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Methodology review, no-double-counting controls, governance review</w:t>
            </w:r>
          </w:p>
        </w:tc>
      </w:tr>
      <w:tr w:rsidR="00314051" w:rsidRPr="00B479AE" w14:paraId="53D94CEB" w14:textId="77777777" w:rsidTr="00806DDB">
        <w:trPr>
          <w:tblCellSpacing w:w="15" w:type="dxa"/>
        </w:trPr>
        <w:tc>
          <w:tcPr>
            <w:tcW w:w="0" w:type="auto"/>
            <w:vAlign w:val="center"/>
            <w:hideMark/>
          </w:tcPr>
          <w:p w14:paraId="6ECFB707"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Legal risk</w:t>
            </w:r>
          </w:p>
        </w:tc>
        <w:tc>
          <w:tcPr>
            <w:tcW w:w="0" w:type="auto"/>
            <w:vAlign w:val="center"/>
            <w:hideMark/>
          </w:tcPr>
          <w:p w14:paraId="31AD746A"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Claims exceed legal structure, jurisdictional constraints, investor-facing overreach</w:t>
            </w:r>
          </w:p>
        </w:tc>
        <w:tc>
          <w:tcPr>
            <w:tcW w:w="0" w:type="auto"/>
            <w:vAlign w:val="center"/>
            <w:hideMark/>
          </w:tcPr>
          <w:p w14:paraId="6657DD7F"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Legal review, disclosure discipline, controlled reporting</w:t>
            </w:r>
          </w:p>
        </w:tc>
      </w:tr>
      <w:tr w:rsidR="00314051" w:rsidRPr="00B479AE" w14:paraId="7BC814F3" w14:textId="77777777" w:rsidTr="00806DDB">
        <w:trPr>
          <w:tblCellSpacing w:w="15" w:type="dxa"/>
        </w:trPr>
        <w:tc>
          <w:tcPr>
            <w:tcW w:w="0" w:type="auto"/>
            <w:vAlign w:val="center"/>
            <w:hideMark/>
          </w:tcPr>
          <w:p w14:paraId="5268AFE8"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Governance risk</w:t>
            </w:r>
          </w:p>
        </w:tc>
        <w:tc>
          <w:tcPr>
            <w:tcW w:w="0" w:type="auto"/>
            <w:vAlign w:val="center"/>
            <w:hideMark/>
          </w:tcPr>
          <w:p w14:paraId="15313DA3"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Category collapse, partner overreach, source-layer drift, weak review</w:t>
            </w:r>
          </w:p>
        </w:tc>
        <w:tc>
          <w:tcPr>
            <w:tcW w:w="0" w:type="auto"/>
            <w:vAlign w:val="center"/>
            <w:hideMark/>
          </w:tcPr>
          <w:p w14:paraId="1D164E57"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Source-layer governance, registry status, review pathways</w:t>
            </w:r>
          </w:p>
        </w:tc>
      </w:tr>
      <w:tr w:rsidR="00314051" w:rsidRPr="00B479AE" w14:paraId="2774C7F6" w14:textId="77777777" w:rsidTr="00806DDB">
        <w:trPr>
          <w:tblCellSpacing w:w="15" w:type="dxa"/>
        </w:trPr>
        <w:tc>
          <w:tcPr>
            <w:tcW w:w="0" w:type="auto"/>
            <w:vAlign w:val="center"/>
            <w:hideMark/>
          </w:tcPr>
          <w:p w14:paraId="45D8BB11"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Market risk</w:t>
            </w:r>
          </w:p>
        </w:tc>
        <w:tc>
          <w:tcPr>
            <w:tcW w:w="0" w:type="auto"/>
            <w:vAlign w:val="center"/>
            <w:hideMark/>
          </w:tcPr>
          <w:p w14:paraId="268D60B5"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Output cannot be sold, substituted, procured, monetized, or institutionally recognized</w:t>
            </w:r>
          </w:p>
        </w:tc>
        <w:tc>
          <w:tcPr>
            <w:tcW w:w="0" w:type="auto"/>
            <w:vAlign w:val="center"/>
            <w:hideMark/>
          </w:tcPr>
          <w:p w14:paraId="18C3B7F4"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Market analysis, contractual pathways, public procurement, partner agreements</w:t>
            </w:r>
          </w:p>
        </w:tc>
      </w:tr>
      <w:tr w:rsidR="00314051" w:rsidRPr="00B479AE" w14:paraId="206CADBC" w14:textId="77777777" w:rsidTr="00806DDB">
        <w:trPr>
          <w:tblCellSpacing w:w="15" w:type="dxa"/>
        </w:trPr>
        <w:tc>
          <w:tcPr>
            <w:tcW w:w="0" w:type="auto"/>
            <w:vAlign w:val="center"/>
            <w:hideMark/>
          </w:tcPr>
          <w:p w14:paraId="4627E44F"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Execution risk</w:t>
            </w:r>
          </w:p>
        </w:tc>
        <w:tc>
          <w:tcPr>
            <w:tcW w:w="0" w:type="auto"/>
            <w:vAlign w:val="center"/>
            <w:hideMark/>
          </w:tcPr>
          <w:p w14:paraId="036E9088"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Deployment delays, cost overruns, labor shortages, infrastructure gaps</w:t>
            </w:r>
          </w:p>
        </w:tc>
        <w:tc>
          <w:tcPr>
            <w:tcW w:w="0" w:type="auto"/>
            <w:vAlign w:val="center"/>
            <w:hideMark/>
          </w:tcPr>
          <w:p w14:paraId="43AB5F1D" w14:textId="77777777" w:rsidR="00314051" w:rsidRPr="00B479AE" w:rsidRDefault="00314051" w:rsidP="00314051">
            <w:pPr>
              <w:spacing w:line="360" w:lineRule="auto"/>
              <w:rPr>
                <w:rFonts w:ascii="Baskerville Old Face" w:hAnsi="Baskerville Old Face"/>
                <w:i/>
                <w:iCs/>
                <w:sz w:val="20"/>
                <w:szCs w:val="20"/>
              </w:rPr>
            </w:pPr>
            <w:r w:rsidRPr="00B479AE">
              <w:rPr>
                <w:rFonts w:ascii="Baskerville Old Face" w:hAnsi="Baskerville Old Face"/>
                <w:i/>
                <w:iCs/>
                <w:sz w:val="20"/>
                <w:szCs w:val="20"/>
              </w:rPr>
              <w:t>Phased execution, contingencies, procurement discipline, operational milestones</w:t>
            </w:r>
          </w:p>
        </w:tc>
      </w:tr>
    </w:tbl>
    <w:p w14:paraId="0451C2B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Mitigation pathways may include:</w:t>
      </w:r>
    </w:p>
    <w:p w14:paraId="4FA8A46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standardized design protocols;</w:t>
      </w:r>
    </w:p>
    <w:p w14:paraId="13B7D1C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operator training systems;</w:t>
      </w:r>
    </w:p>
    <w:p w14:paraId="0DF8327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geographic diversification;</w:t>
      </w:r>
    </w:p>
    <w:p w14:paraId="05B3B66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 layered MRV validation;</w:t>
      </w:r>
    </w:p>
    <w:p w14:paraId="5A6A2ED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explicit review gates;</w:t>
      </w:r>
    </w:p>
    <w:p w14:paraId="3694C82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bounded deployment progression;</w:t>
      </w:r>
    </w:p>
    <w:p w14:paraId="04CE466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evidence-chain design;</w:t>
      </w:r>
    </w:p>
    <w:p w14:paraId="78706C0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public-claim discipline;</w:t>
      </w:r>
    </w:p>
    <w:p w14:paraId="0BEE589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legal boundary review;</w:t>
      </w:r>
    </w:p>
    <w:p w14:paraId="51C943F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governance escalation.</w:t>
      </w:r>
    </w:p>
    <w:p w14:paraId="3140390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Risk does not invalidate the PRU.</w:t>
      </w:r>
    </w:p>
    <w:p w14:paraId="07D8E8D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Risk defines the review pathway.</w:t>
      </w:r>
    </w:p>
    <w:p w14:paraId="276A0A8D" w14:textId="77777777" w:rsidR="00314051" w:rsidRPr="00B479AE" w:rsidRDefault="00314051" w:rsidP="00314051">
      <w:pPr>
        <w:spacing w:line="360" w:lineRule="auto"/>
        <w:rPr>
          <w:rFonts w:ascii="Baskerville Old Face" w:hAnsi="Baskerville Old Face"/>
          <w:b/>
          <w:bCs/>
          <w:i/>
          <w:iCs/>
        </w:rPr>
      </w:pPr>
      <w:r w:rsidRPr="00B479AE">
        <w:rPr>
          <w:rFonts w:ascii="Baskerville Old Face" w:hAnsi="Baskerville Old Face"/>
          <w:b/>
          <w:bCs/>
          <w:i/>
          <w:iCs/>
        </w:rPr>
        <w:t>N.11 MRV Integration</w:t>
      </w:r>
    </w:p>
    <w:p w14:paraId="2A2399C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 PRU cannot mature without sufficient measurement discipline.</w:t>
      </w:r>
    </w:p>
    <w:p w14:paraId="32CEC62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In mature form, PRU logic may rely on:</w:t>
      </w:r>
    </w:p>
    <w:p w14:paraId="41957B3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structured monitoring;</w:t>
      </w:r>
    </w:p>
    <w:p w14:paraId="1EA603F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traceable data layers;</w:t>
      </w:r>
    </w:p>
    <w:p w14:paraId="61F3F48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auditable ecological indicators;</w:t>
      </w:r>
    </w:p>
    <w:p w14:paraId="66F89CE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confidence-adjusted interpretation;</w:t>
      </w:r>
    </w:p>
    <w:p w14:paraId="6AA9580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admissibility filters;</w:t>
      </w:r>
    </w:p>
    <w:p w14:paraId="7DA2471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methodology references;</w:t>
      </w:r>
    </w:p>
    <w:p w14:paraId="558E8C6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versioned records;</w:t>
      </w:r>
    </w:p>
    <w:p w14:paraId="58AC60A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review logs;</w:t>
      </w:r>
    </w:p>
    <w:p w14:paraId="680479F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no-double-counting controls;</w:t>
      </w:r>
    </w:p>
    <w:p w14:paraId="0EC9269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governance review.</w:t>
      </w:r>
    </w:p>
    <w:p w14:paraId="55DA71D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Illustrative core indicators may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4805"/>
        <w:gridCol w:w="3591"/>
      </w:tblGrid>
      <w:tr w:rsidR="00314051" w:rsidRPr="00B479AE" w14:paraId="60F72398" w14:textId="77777777" w:rsidTr="00806DDB">
        <w:trPr>
          <w:tblHeader/>
          <w:tblCellSpacing w:w="15" w:type="dxa"/>
        </w:trPr>
        <w:tc>
          <w:tcPr>
            <w:tcW w:w="0" w:type="auto"/>
            <w:vAlign w:val="center"/>
            <w:hideMark/>
          </w:tcPr>
          <w:p w14:paraId="384DBF56" w14:textId="77777777" w:rsidR="00314051" w:rsidRPr="00B479AE" w:rsidRDefault="00314051" w:rsidP="00314051">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Indicator area</w:t>
            </w:r>
          </w:p>
        </w:tc>
        <w:tc>
          <w:tcPr>
            <w:tcW w:w="0" w:type="auto"/>
            <w:vAlign w:val="center"/>
            <w:hideMark/>
          </w:tcPr>
          <w:p w14:paraId="19B2209C" w14:textId="77777777" w:rsidR="00314051" w:rsidRPr="00B479AE" w:rsidRDefault="00314051" w:rsidP="00314051">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Examples</w:t>
            </w:r>
          </w:p>
        </w:tc>
        <w:tc>
          <w:tcPr>
            <w:tcW w:w="0" w:type="auto"/>
            <w:vAlign w:val="center"/>
            <w:hideMark/>
          </w:tcPr>
          <w:p w14:paraId="6199B665" w14:textId="77777777" w:rsidR="00314051" w:rsidRPr="00B479AE" w:rsidRDefault="00314051" w:rsidP="00314051">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Role in PRU logic</w:t>
            </w:r>
          </w:p>
        </w:tc>
      </w:tr>
      <w:tr w:rsidR="00314051" w:rsidRPr="00B479AE" w14:paraId="2CC37B74" w14:textId="77777777" w:rsidTr="00806DDB">
        <w:trPr>
          <w:tblCellSpacing w:w="15" w:type="dxa"/>
        </w:trPr>
        <w:tc>
          <w:tcPr>
            <w:tcW w:w="0" w:type="auto"/>
            <w:vAlign w:val="center"/>
            <w:hideMark/>
          </w:tcPr>
          <w:p w14:paraId="041D756F"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Soil</w:t>
            </w:r>
          </w:p>
        </w:tc>
        <w:tc>
          <w:tcPr>
            <w:tcW w:w="0" w:type="auto"/>
            <w:vAlign w:val="center"/>
            <w:hideMark/>
          </w:tcPr>
          <w:p w14:paraId="792ED66C"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Soil organic matter, soil organic carbon, aggregation, infiltration, compaction, microbial activity</w:t>
            </w:r>
          </w:p>
        </w:tc>
        <w:tc>
          <w:tcPr>
            <w:tcW w:w="0" w:type="auto"/>
            <w:vAlign w:val="center"/>
            <w:hideMark/>
          </w:tcPr>
          <w:p w14:paraId="14E4E8CB"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Supports soil-function and regenerative-performance interpretation</w:t>
            </w:r>
          </w:p>
        </w:tc>
      </w:tr>
      <w:tr w:rsidR="00314051" w:rsidRPr="00B479AE" w14:paraId="23A6A8DD" w14:textId="77777777" w:rsidTr="00806DDB">
        <w:trPr>
          <w:tblCellSpacing w:w="15" w:type="dxa"/>
        </w:trPr>
        <w:tc>
          <w:tcPr>
            <w:tcW w:w="0" w:type="auto"/>
            <w:vAlign w:val="center"/>
            <w:hideMark/>
          </w:tcPr>
          <w:p w14:paraId="6263E476"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Biomass</w:t>
            </w:r>
          </w:p>
        </w:tc>
        <w:tc>
          <w:tcPr>
            <w:tcW w:w="0" w:type="auto"/>
            <w:vAlign w:val="center"/>
            <w:hideMark/>
          </w:tcPr>
          <w:p w14:paraId="2D405C1C"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Above-ground biomass, pruning biomass, mulch production, crop biomass, root activity proxies</w:t>
            </w:r>
          </w:p>
        </w:tc>
        <w:tc>
          <w:tcPr>
            <w:tcW w:w="0" w:type="auto"/>
            <w:vAlign w:val="center"/>
            <w:hideMark/>
          </w:tcPr>
          <w:p w14:paraId="191A5E77"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Supports productivity and biological-capacity interpretation</w:t>
            </w:r>
          </w:p>
        </w:tc>
      </w:tr>
      <w:tr w:rsidR="00314051" w:rsidRPr="00B479AE" w14:paraId="6FD224AF" w14:textId="77777777" w:rsidTr="00806DDB">
        <w:trPr>
          <w:tblCellSpacing w:w="15" w:type="dxa"/>
        </w:trPr>
        <w:tc>
          <w:tcPr>
            <w:tcW w:w="0" w:type="auto"/>
            <w:vAlign w:val="center"/>
            <w:hideMark/>
          </w:tcPr>
          <w:p w14:paraId="4BA8F183"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Water</w:t>
            </w:r>
          </w:p>
        </w:tc>
        <w:tc>
          <w:tcPr>
            <w:tcW w:w="0" w:type="auto"/>
            <w:vAlign w:val="center"/>
            <w:hideMark/>
          </w:tcPr>
          <w:p w14:paraId="2B461684"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Infiltration, retention, irrigation demand, runoff reduction, drought response</w:t>
            </w:r>
          </w:p>
        </w:tc>
        <w:tc>
          <w:tcPr>
            <w:tcW w:w="0" w:type="auto"/>
            <w:vAlign w:val="center"/>
            <w:hideMark/>
          </w:tcPr>
          <w:p w14:paraId="3ADA9D52"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Supports water-resilience interpretation</w:t>
            </w:r>
          </w:p>
        </w:tc>
      </w:tr>
      <w:tr w:rsidR="00314051" w:rsidRPr="00B479AE" w14:paraId="38E937E6" w14:textId="77777777" w:rsidTr="00806DDB">
        <w:trPr>
          <w:tblCellSpacing w:w="15" w:type="dxa"/>
        </w:trPr>
        <w:tc>
          <w:tcPr>
            <w:tcW w:w="0" w:type="auto"/>
            <w:vAlign w:val="center"/>
            <w:hideMark/>
          </w:tcPr>
          <w:p w14:paraId="6BD63BDE"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Biodiversity</w:t>
            </w:r>
          </w:p>
        </w:tc>
        <w:tc>
          <w:tcPr>
            <w:tcW w:w="0" w:type="auto"/>
            <w:vAlign w:val="center"/>
            <w:hideMark/>
          </w:tcPr>
          <w:p w14:paraId="14C39BE0"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Species diversity, functional diversity, pollinator presence, habitat complexity</w:t>
            </w:r>
          </w:p>
        </w:tc>
        <w:tc>
          <w:tcPr>
            <w:tcW w:w="0" w:type="auto"/>
            <w:vAlign w:val="center"/>
            <w:hideMark/>
          </w:tcPr>
          <w:p w14:paraId="2F3FAD54"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Supports ecological-resilience interpretation</w:t>
            </w:r>
          </w:p>
        </w:tc>
      </w:tr>
      <w:tr w:rsidR="00314051" w:rsidRPr="00B479AE" w14:paraId="4BC8CA04" w14:textId="77777777" w:rsidTr="00806DDB">
        <w:trPr>
          <w:tblCellSpacing w:w="15" w:type="dxa"/>
        </w:trPr>
        <w:tc>
          <w:tcPr>
            <w:tcW w:w="0" w:type="auto"/>
            <w:vAlign w:val="center"/>
            <w:hideMark/>
          </w:tcPr>
          <w:p w14:paraId="661237DD"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Productivity</w:t>
            </w:r>
          </w:p>
        </w:tc>
        <w:tc>
          <w:tcPr>
            <w:tcW w:w="0" w:type="auto"/>
            <w:vAlign w:val="center"/>
            <w:hideMark/>
          </w:tcPr>
          <w:p w14:paraId="63F5F3CC"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Harvest records, food output, perennial production, nursery material, substitution use</w:t>
            </w:r>
          </w:p>
        </w:tc>
        <w:tc>
          <w:tcPr>
            <w:tcW w:w="0" w:type="auto"/>
            <w:vAlign w:val="center"/>
            <w:hideMark/>
          </w:tcPr>
          <w:p w14:paraId="6D96C321"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Supports direct productive layer</w:t>
            </w:r>
          </w:p>
        </w:tc>
      </w:tr>
      <w:tr w:rsidR="00314051" w:rsidRPr="00B479AE" w14:paraId="6E5AE7E8" w14:textId="77777777" w:rsidTr="00806DDB">
        <w:trPr>
          <w:tblCellSpacing w:w="15" w:type="dxa"/>
        </w:trPr>
        <w:tc>
          <w:tcPr>
            <w:tcW w:w="0" w:type="auto"/>
            <w:vAlign w:val="center"/>
            <w:hideMark/>
          </w:tcPr>
          <w:p w14:paraId="70FACD32"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Resilience</w:t>
            </w:r>
          </w:p>
        </w:tc>
        <w:tc>
          <w:tcPr>
            <w:tcW w:w="0" w:type="auto"/>
            <w:vAlign w:val="center"/>
            <w:hideMark/>
          </w:tcPr>
          <w:p w14:paraId="609EFDE2"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Stress recovery, disturbance response, input dependency, continuity under climate variability</w:t>
            </w:r>
          </w:p>
        </w:tc>
        <w:tc>
          <w:tcPr>
            <w:tcW w:w="0" w:type="auto"/>
            <w:vAlign w:val="center"/>
            <w:hideMark/>
          </w:tcPr>
          <w:p w14:paraId="4E7EB7B8"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Supports risk and maturity analysis</w:t>
            </w:r>
          </w:p>
        </w:tc>
      </w:tr>
      <w:tr w:rsidR="00314051" w:rsidRPr="00B479AE" w14:paraId="034BCD92" w14:textId="77777777" w:rsidTr="00806DDB">
        <w:trPr>
          <w:tblCellSpacing w:w="15" w:type="dxa"/>
        </w:trPr>
        <w:tc>
          <w:tcPr>
            <w:tcW w:w="0" w:type="auto"/>
            <w:vAlign w:val="center"/>
            <w:hideMark/>
          </w:tcPr>
          <w:p w14:paraId="307F95DC"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Governance</w:t>
            </w:r>
          </w:p>
        </w:tc>
        <w:tc>
          <w:tcPr>
            <w:tcW w:w="0" w:type="auto"/>
            <w:vAlign w:val="center"/>
            <w:hideMark/>
          </w:tcPr>
          <w:p w14:paraId="29A4E606"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Stewardship records, review decisions, corrections, disputes, data-room classification</w:t>
            </w:r>
          </w:p>
        </w:tc>
        <w:tc>
          <w:tcPr>
            <w:tcW w:w="0" w:type="auto"/>
            <w:vAlign w:val="center"/>
            <w:hideMark/>
          </w:tcPr>
          <w:p w14:paraId="36194A7F"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Supports admissibility and institutional trust</w:t>
            </w:r>
          </w:p>
        </w:tc>
      </w:tr>
      <w:tr w:rsidR="00314051" w:rsidRPr="00B479AE" w14:paraId="0D270B55" w14:textId="77777777" w:rsidTr="00806DDB">
        <w:trPr>
          <w:tblCellSpacing w:w="15" w:type="dxa"/>
        </w:trPr>
        <w:tc>
          <w:tcPr>
            <w:tcW w:w="0" w:type="auto"/>
            <w:vAlign w:val="center"/>
            <w:hideMark/>
          </w:tcPr>
          <w:p w14:paraId="0E1A0EF1"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Confidence</w:t>
            </w:r>
          </w:p>
        </w:tc>
        <w:tc>
          <w:tcPr>
            <w:tcW w:w="0" w:type="auto"/>
            <w:vAlign w:val="center"/>
            <w:hideMark/>
          </w:tcPr>
          <w:p w14:paraId="18BBF02C"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Data quality, source reliability, audit status, methodology fit, limitations</w:t>
            </w:r>
          </w:p>
        </w:tc>
        <w:tc>
          <w:tcPr>
            <w:tcW w:w="0" w:type="auto"/>
            <w:vAlign w:val="center"/>
            <w:hideMark/>
          </w:tcPr>
          <w:p w14:paraId="7CF99070"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Conditions all PRU interpretation</w:t>
            </w:r>
          </w:p>
        </w:tc>
      </w:tr>
    </w:tbl>
    <w:p w14:paraId="2DEA6C0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MRV is not cosmetic.</w:t>
      </w:r>
    </w:p>
    <w:p w14:paraId="15404D6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MRV is the bridge between ecological reality and institutional trust.</w:t>
      </w:r>
    </w:p>
    <w:p w14:paraId="5EE6F72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Without MRV, the PRU is only a concept.</w:t>
      </w:r>
    </w:p>
    <w:p w14:paraId="5DA3B77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With weak MRV, the PRU remains under review.</w:t>
      </w:r>
    </w:p>
    <w:p w14:paraId="6CC1D0C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With strong MRV, the PRU may support value analysis.</w:t>
      </w:r>
    </w:p>
    <w:p w14:paraId="6272605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With admissible MRV, the PRU may support capital-readiness interpretation.</w:t>
      </w:r>
    </w:p>
    <w:p w14:paraId="58E7D17C" w14:textId="77777777" w:rsidR="00314051" w:rsidRPr="00B479AE" w:rsidRDefault="00314051" w:rsidP="00314051">
      <w:pPr>
        <w:spacing w:line="360" w:lineRule="auto"/>
        <w:rPr>
          <w:rFonts w:ascii="Baskerville Old Face" w:hAnsi="Baskerville Old Face"/>
          <w:b/>
          <w:bCs/>
          <w:i/>
          <w:iCs/>
        </w:rPr>
      </w:pPr>
      <w:r w:rsidRPr="00B479AE">
        <w:rPr>
          <w:rFonts w:ascii="Baskerville Old Face" w:hAnsi="Baskerville Old Face"/>
          <w:b/>
          <w:bCs/>
          <w:i/>
          <w:iCs/>
        </w:rPr>
        <w:lastRenderedPageBreak/>
        <w:t>N.12 Maturity Classification</w:t>
      </w:r>
    </w:p>
    <w:p w14:paraId="505C6BF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PRU maturity should be classified explicitly.</w:t>
      </w:r>
    </w:p>
    <w:p w14:paraId="04A7E95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 PRU may evolve through the following stages: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5"/>
        <w:gridCol w:w="4596"/>
        <w:gridCol w:w="3087"/>
      </w:tblGrid>
      <w:tr w:rsidR="00314051" w:rsidRPr="00B479AE" w14:paraId="7B83EB0A" w14:textId="77777777" w:rsidTr="00806DDB">
        <w:trPr>
          <w:tblHeader/>
          <w:tblCellSpacing w:w="15" w:type="dxa"/>
        </w:trPr>
        <w:tc>
          <w:tcPr>
            <w:tcW w:w="0" w:type="auto"/>
            <w:vAlign w:val="center"/>
            <w:hideMark/>
          </w:tcPr>
          <w:p w14:paraId="38AF3799" w14:textId="77777777" w:rsidR="00314051" w:rsidRPr="00B479AE" w:rsidRDefault="00314051" w:rsidP="00314051">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Stage</w:t>
            </w:r>
          </w:p>
        </w:tc>
        <w:tc>
          <w:tcPr>
            <w:tcW w:w="0" w:type="auto"/>
            <w:vAlign w:val="center"/>
            <w:hideMark/>
          </w:tcPr>
          <w:p w14:paraId="34F4BAA1" w14:textId="77777777" w:rsidR="00314051" w:rsidRPr="00B479AE" w:rsidRDefault="00314051" w:rsidP="00314051">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Meaning</w:t>
            </w:r>
          </w:p>
        </w:tc>
        <w:tc>
          <w:tcPr>
            <w:tcW w:w="0" w:type="auto"/>
            <w:vAlign w:val="center"/>
            <w:hideMark/>
          </w:tcPr>
          <w:p w14:paraId="2BA8885C" w14:textId="77777777" w:rsidR="00314051" w:rsidRPr="00B479AE" w:rsidRDefault="00314051" w:rsidP="00314051">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Permitted use</w:t>
            </w:r>
          </w:p>
        </w:tc>
      </w:tr>
      <w:tr w:rsidR="00314051" w:rsidRPr="00B479AE" w14:paraId="475FB4BB" w14:textId="77777777" w:rsidTr="00806DDB">
        <w:trPr>
          <w:tblCellSpacing w:w="15" w:type="dxa"/>
        </w:trPr>
        <w:tc>
          <w:tcPr>
            <w:tcW w:w="0" w:type="auto"/>
            <w:vAlign w:val="center"/>
            <w:hideMark/>
          </w:tcPr>
          <w:p w14:paraId="0EDCD2A0"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PRU concept</w:t>
            </w:r>
          </w:p>
        </w:tc>
        <w:tc>
          <w:tcPr>
            <w:tcW w:w="0" w:type="auto"/>
            <w:vAlign w:val="center"/>
            <w:hideMark/>
          </w:tcPr>
          <w:p w14:paraId="4888FE7E"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Theoretical structure for representing regenerative performance</w:t>
            </w:r>
          </w:p>
        </w:tc>
        <w:tc>
          <w:tcPr>
            <w:tcW w:w="0" w:type="auto"/>
            <w:vAlign w:val="center"/>
            <w:hideMark/>
          </w:tcPr>
          <w:p w14:paraId="4A9814B8"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White Paper, research, design discussion</w:t>
            </w:r>
          </w:p>
        </w:tc>
      </w:tr>
      <w:tr w:rsidR="00314051" w:rsidRPr="00B479AE" w14:paraId="20D7647F" w14:textId="77777777" w:rsidTr="00806DDB">
        <w:trPr>
          <w:tblCellSpacing w:w="15" w:type="dxa"/>
        </w:trPr>
        <w:tc>
          <w:tcPr>
            <w:tcW w:w="0" w:type="auto"/>
            <w:vAlign w:val="center"/>
            <w:hideMark/>
          </w:tcPr>
          <w:p w14:paraId="3DA53443"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PRU methodology draft</w:t>
            </w:r>
          </w:p>
        </w:tc>
        <w:tc>
          <w:tcPr>
            <w:tcW w:w="0" w:type="auto"/>
            <w:vAlign w:val="center"/>
            <w:hideMark/>
          </w:tcPr>
          <w:p w14:paraId="05D2CF60"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Preliminary method defining indicators, evidence, confidence, and scoring logic</w:t>
            </w:r>
          </w:p>
        </w:tc>
        <w:tc>
          <w:tcPr>
            <w:tcW w:w="0" w:type="auto"/>
            <w:vAlign w:val="center"/>
            <w:hideMark/>
          </w:tcPr>
          <w:p w14:paraId="036A51F9"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Internal review, expert feedback, pilot design</w:t>
            </w:r>
          </w:p>
        </w:tc>
      </w:tr>
      <w:tr w:rsidR="00314051" w:rsidRPr="00B479AE" w14:paraId="4FBC1A91" w14:textId="77777777" w:rsidTr="00806DDB">
        <w:trPr>
          <w:tblCellSpacing w:w="15" w:type="dxa"/>
        </w:trPr>
        <w:tc>
          <w:tcPr>
            <w:tcW w:w="0" w:type="auto"/>
            <w:vAlign w:val="center"/>
            <w:hideMark/>
          </w:tcPr>
          <w:p w14:paraId="023727F8"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Pilot PRU assessment</w:t>
            </w:r>
          </w:p>
        </w:tc>
        <w:tc>
          <w:tcPr>
            <w:tcW w:w="0" w:type="auto"/>
            <w:vAlign w:val="center"/>
            <w:hideMark/>
          </w:tcPr>
          <w:p w14:paraId="190501AE"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Application of draft methodology to a pilot or controlled deployment</w:t>
            </w:r>
          </w:p>
        </w:tc>
        <w:tc>
          <w:tcPr>
            <w:tcW w:w="0" w:type="auto"/>
            <w:vAlign w:val="center"/>
            <w:hideMark/>
          </w:tcPr>
          <w:p w14:paraId="701E269C"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Learning, MRV refinement, non-financial reporting</w:t>
            </w:r>
          </w:p>
        </w:tc>
      </w:tr>
      <w:tr w:rsidR="00314051" w:rsidRPr="00B479AE" w14:paraId="37947664" w14:textId="77777777" w:rsidTr="00806DDB">
        <w:trPr>
          <w:tblCellSpacing w:w="15" w:type="dxa"/>
        </w:trPr>
        <w:tc>
          <w:tcPr>
            <w:tcW w:w="0" w:type="auto"/>
            <w:vAlign w:val="center"/>
            <w:hideMark/>
          </w:tcPr>
          <w:p w14:paraId="7E541C17"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Confidence-scored PRU analysis</w:t>
            </w:r>
          </w:p>
        </w:tc>
        <w:tc>
          <w:tcPr>
            <w:tcW w:w="0" w:type="auto"/>
            <w:vAlign w:val="center"/>
            <w:hideMark/>
          </w:tcPr>
          <w:p w14:paraId="7BC6A260"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PRU-relevant evidence assessed with confidence and limitations</w:t>
            </w:r>
          </w:p>
        </w:tc>
        <w:tc>
          <w:tcPr>
            <w:tcW w:w="0" w:type="auto"/>
            <w:vAlign w:val="center"/>
            <w:hideMark/>
          </w:tcPr>
          <w:p w14:paraId="0E503F2E"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Governance review, data-room context, capital-readiness analysis</w:t>
            </w:r>
          </w:p>
        </w:tc>
      </w:tr>
      <w:tr w:rsidR="00314051" w:rsidRPr="00B479AE" w14:paraId="13E75946" w14:textId="77777777" w:rsidTr="00806DDB">
        <w:trPr>
          <w:tblCellSpacing w:w="15" w:type="dxa"/>
        </w:trPr>
        <w:tc>
          <w:tcPr>
            <w:tcW w:w="0" w:type="auto"/>
            <w:vAlign w:val="center"/>
            <w:hideMark/>
          </w:tcPr>
          <w:p w14:paraId="558EBA63"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Reviewed PRU report</w:t>
            </w:r>
          </w:p>
        </w:tc>
        <w:tc>
          <w:tcPr>
            <w:tcW w:w="0" w:type="auto"/>
            <w:vAlign w:val="center"/>
            <w:hideMark/>
          </w:tcPr>
          <w:p w14:paraId="5F913C8F"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PRU analysis reviewed under defined methodology</w:t>
            </w:r>
          </w:p>
        </w:tc>
        <w:tc>
          <w:tcPr>
            <w:tcW w:w="0" w:type="auto"/>
            <w:vAlign w:val="center"/>
            <w:hideMark/>
          </w:tcPr>
          <w:p w14:paraId="61CD168F"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Institutional diligence, controlled reporting, underwriting support</w:t>
            </w:r>
          </w:p>
        </w:tc>
      </w:tr>
      <w:tr w:rsidR="00314051" w:rsidRPr="00B479AE" w14:paraId="36D34A8D" w14:textId="77777777" w:rsidTr="00806DDB">
        <w:trPr>
          <w:tblCellSpacing w:w="15" w:type="dxa"/>
        </w:trPr>
        <w:tc>
          <w:tcPr>
            <w:tcW w:w="0" w:type="auto"/>
            <w:vAlign w:val="center"/>
            <w:hideMark/>
          </w:tcPr>
          <w:p w14:paraId="2D58866E"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PRU maturity classification</w:t>
            </w:r>
          </w:p>
        </w:tc>
        <w:tc>
          <w:tcPr>
            <w:tcW w:w="0" w:type="auto"/>
            <w:vAlign w:val="center"/>
            <w:hideMark/>
          </w:tcPr>
          <w:p w14:paraId="382A060C"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Comparative analytical classification of PRU maturity and reliability</w:t>
            </w:r>
          </w:p>
        </w:tc>
        <w:tc>
          <w:tcPr>
            <w:tcW w:w="0" w:type="auto"/>
            <w:vAlign w:val="center"/>
            <w:hideMark/>
          </w:tcPr>
          <w:p w14:paraId="3F36DD44"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Portfolio screening, capital-readiness discussion, risk review</w:t>
            </w:r>
          </w:p>
        </w:tc>
      </w:tr>
      <w:tr w:rsidR="00314051" w:rsidRPr="00B479AE" w14:paraId="0CF37BE7" w14:textId="77777777" w:rsidTr="00806DDB">
        <w:trPr>
          <w:tblCellSpacing w:w="15" w:type="dxa"/>
        </w:trPr>
        <w:tc>
          <w:tcPr>
            <w:tcW w:w="0" w:type="auto"/>
            <w:vAlign w:val="center"/>
            <w:hideMark/>
          </w:tcPr>
          <w:p w14:paraId="62DFDCAF"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PRU-linked legal structure</w:t>
            </w:r>
          </w:p>
        </w:tc>
        <w:tc>
          <w:tcPr>
            <w:tcW w:w="0" w:type="auto"/>
            <w:vAlign w:val="center"/>
            <w:hideMark/>
          </w:tcPr>
          <w:p w14:paraId="41222122"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PRU logic connected to rights through a legal instrument where applicable</w:t>
            </w:r>
          </w:p>
        </w:tc>
        <w:tc>
          <w:tcPr>
            <w:tcW w:w="0" w:type="auto"/>
            <w:vAlign w:val="center"/>
            <w:hideMark/>
          </w:tcPr>
          <w:p w14:paraId="555DDCFB"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Future regulated or contractually defined use</w:t>
            </w:r>
          </w:p>
        </w:tc>
      </w:tr>
      <w:tr w:rsidR="00314051" w:rsidRPr="00B479AE" w14:paraId="2C39BEFA" w14:textId="77777777" w:rsidTr="00806DDB">
        <w:trPr>
          <w:tblCellSpacing w:w="15" w:type="dxa"/>
        </w:trPr>
        <w:tc>
          <w:tcPr>
            <w:tcW w:w="0" w:type="auto"/>
            <w:vAlign w:val="center"/>
            <w:hideMark/>
          </w:tcPr>
          <w:p w14:paraId="73E503EA"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PRU-based instrument</w:t>
            </w:r>
          </w:p>
        </w:tc>
        <w:tc>
          <w:tcPr>
            <w:tcW w:w="0" w:type="auto"/>
            <w:vAlign w:val="center"/>
            <w:hideMark/>
          </w:tcPr>
          <w:p w14:paraId="33D40E49"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Legally structured product, note, security, fund interest, contract right, or compliant digital representation</w:t>
            </w:r>
          </w:p>
        </w:tc>
        <w:tc>
          <w:tcPr>
            <w:tcW w:w="0" w:type="auto"/>
            <w:vAlign w:val="center"/>
            <w:hideMark/>
          </w:tcPr>
          <w:p w14:paraId="6934DE1C" w14:textId="77777777" w:rsidR="00314051" w:rsidRPr="00B479AE" w:rsidRDefault="00314051" w:rsidP="00314051">
            <w:pPr>
              <w:spacing w:line="360" w:lineRule="auto"/>
              <w:rPr>
                <w:rFonts w:ascii="Baskerville Old Face" w:hAnsi="Baskerville Old Face"/>
                <w:i/>
                <w:iCs/>
                <w:sz w:val="22"/>
                <w:szCs w:val="22"/>
              </w:rPr>
            </w:pPr>
            <w:r w:rsidRPr="00B479AE">
              <w:rPr>
                <w:rFonts w:ascii="Baskerville Old Face" w:hAnsi="Baskerville Old Face"/>
                <w:i/>
                <w:iCs/>
                <w:sz w:val="22"/>
                <w:szCs w:val="22"/>
              </w:rPr>
              <w:t>Only where legally reviewed, disclosed, and compliant</w:t>
            </w:r>
          </w:p>
        </w:tc>
      </w:tr>
    </w:tbl>
    <w:p w14:paraId="3E60386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Maturity classification should not be confused with credit rating.</w:t>
      </w:r>
    </w:p>
    <w:p w14:paraId="0C60175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should not be confused with investment grade.</w:t>
      </w:r>
    </w:p>
    <w:p w14:paraId="5D6B40B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should not be confused with certification unless a separate certification framework exists.</w:t>
      </w:r>
    </w:p>
    <w:p w14:paraId="769F62F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should not automatically trigger financing.</w:t>
      </w:r>
    </w:p>
    <w:p w14:paraId="5BA52C9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Maturity informs review.</w:t>
      </w:r>
    </w:p>
    <w:p w14:paraId="6AACB55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does not replace underwriting.</w:t>
      </w:r>
    </w:p>
    <w:p w14:paraId="7EB57037" w14:textId="77777777" w:rsidR="00314051" w:rsidRPr="00B479AE" w:rsidRDefault="00314051" w:rsidP="00314051">
      <w:pPr>
        <w:spacing w:line="360" w:lineRule="auto"/>
        <w:rPr>
          <w:rFonts w:ascii="Baskerville Old Face" w:hAnsi="Baskerville Old Face"/>
          <w:b/>
          <w:bCs/>
          <w:i/>
          <w:iCs/>
        </w:rPr>
      </w:pPr>
      <w:r w:rsidRPr="00B479AE">
        <w:rPr>
          <w:rFonts w:ascii="Baskerville Old Face" w:hAnsi="Baskerville Old Face"/>
          <w:b/>
          <w:bCs/>
          <w:i/>
          <w:iCs/>
        </w:rPr>
        <w:t>N.13 Future Portfolio Aggregation Pathway</w:t>
      </w:r>
    </w:p>
    <w:p w14:paraId="119EF53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PRUs are conceptually designed to support future aggregation into regenerative infrastructure portfolios.</w:t>
      </w:r>
    </w:p>
    <w:p w14:paraId="1A3286A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 possible future pathway is:</w:t>
      </w:r>
    </w:p>
    <w:p w14:paraId="1F65045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xml:space="preserve">single regenerative unit </w:t>
      </w:r>
      <w:r w:rsidRPr="00B479AE">
        <w:rPr>
          <w:rFonts w:ascii="Times New Roman" w:hAnsi="Times New Roman" w:cs="Times New Roman"/>
          <w:i/>
          <w:iCs/>
        </w:rPr>
        <w:t>→</w:t>
      </w:r>
      <w:r w:rsidRPr="00B479AE">
        <w:rPr>
          <w:rFonts w:ascii="Baskerville Old Face" w:hAnsi="Baskerville Old Face"/>
          <w:i/>
          <w:iCs/>
        </w:rPr>
        <w:t xml:space="preserve"> PRU analysis </w:t>
      </w:r>
      <w:r w:rsidRPr="00B479AE">
        <w:rPr>
          <w:rFonts w:ascii="Times New Roman" w:hAnsi="Times New Roman" w:cs="Times New Roman"/>
          <w:i/>
          <w:iCs/>
        </w:rPr>
        <w:t>→</w:t>
      </w:r>
      <w:r w:rsidRPr="00B479AE">
        <w:rPr>
          <w:rFonts w:ascii="Baskerville Old Face" w:hAnsi="Baskerville Old Face"/>
          <w:i/>
          <w:iCs/>
        </w:rPr>
        <w:t xml:space="preserve"> reviewed PRU report </w:t>
      </w:r>
      <w:r w:rsidRPr="00B479AE">
        <w:rPr>
          <w:rFonts w:ascii="Times New Roman" w:hAnsi="Times New Roman" w:cs="Times New Roman"/>
          <w:i/>
          <w:iCs/>
        </w:rPr>
        <w:t>→</w:t>
      </w:r>
      <w:r w:rsidRPr="00B479AE">
        <w:rPr>
          <w:rFonts w:ascii="Baskerville Old Face" w:hAnsi="Baskerville Old Face"/>
          <w:i/>
          <w:iCs/>
        </w:rPr>
        <w:t xml:space="preserve"> maturity classification </w:t>
      </w:r>
      <w:r w:rsidRPr="00B479AE">
        <w:rPr>
          <w:rFonts w:ascii="Times New Roman" w:hAnsi="Times New Roman" w:cs="Times New Roman"/>
          <w:i/>
          <w:iCs/>
        </w:rPr>
        <w:t>→</w:t>
      </w:r>
      <w:r w:rsidRPr="00B479AE">
        <w:rPr>
          <w:rFonts w:ascii="Baskerville Old Face" w:hAnsi="Baskerville Old Face"/>
          <w:i/>
          <w:iCs/>
        </w:rPr>
        <w:t xml:space="preserve"> clustered PRUs </w:t>
      </w:r>
      <w:r w:rsidRPr="00B479AE">
        <w:rPr>
          <w:rFonts w:ascii="Times New Roman" w:hAnsi="Times New Roman" w:cs="Times New Roman"/>
          <w:i/>
          <w:iCs/>
        </w:rPr>
        <w:t>→</w:t>
      </w:r>
      <w:r w:rsidRPr="00B479AE">
        <w:rPr>
          <w:rFonts w:ascii="Baskerville Old Face" w:hAnsi="Baskerville Old Face"/>
          <w:i/>
          <w:iCs/>
        </w:rPr>
        <w:t xml:space="preserve"> Regenerative Asset Pool </w:t>
      </w:r>
      <w:r w:rsidRPr="00B479AE">
        <w:rPr>
          <w:rFonts w:ascii="Times New Roman" w:hAnsi="Times New Roman" w:cs="Times New Roman"/>
          <w:i/>
          <w:iCs/>
        </w:rPr>
        <w:t>→</w:t>
      </w:r>
      <w:r w:rsidRPr="00B479AE">
        <w:rPr>
          <w:rFonts w:ascii="Baskerville Old Face" w:hAnsi="Baskerville Old Face"/>
          <w:i/>
          <w:iCs/>
        </w:rPr>
        <w:t xml:space="preserve"> portfolio-readiness </w:t>
      </w:r>
      <w:r w:rsidRPr="00B479AE">
        <w:rPr>
          <w:rFonts w:ascii="Times New Roman" w:hAnsi="Times New Roman" w:cs="Times New Roman"/>
          <w:i/>
          <w:iCs/>
        </w:rPr>
        <w:t>→</w:t>
      </w:r>
      <w:r w:rsidRPr="00B479AE">
        <w:rPr>
          <w:rFonts w:ascii="Baskerville Old Face" w:hAnsi="Baskerville Old Face"/>
          <w:i/>
          <w:iCs/>
        </w:rPr>
        <w:t xml:space="preserve"> capital-readiness.</w:t>
      </w:r>
    </w:p>
    <w:p w14:paraId="0165777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At portfolio scale, aggregation may support:</w:t>
      </w:r>
    </w:p>
    <w:p w14:paraId="2CA510F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diversification;</w:t>
      </w:r>
    </w:p>
    <w:p w14:paraId="5388631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risk spreading;</w:t>
      </w:r>
    </w:p>
    <w:p w14:paraId="324E57C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methodology comparison;</w:t>
      </w:r>
    </w:p>
    <w:p w14:paraId="0289B34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MRV infrastructure efficiency;</w:t>
      </w:r>
    </w:p>
    <w:p w14:paraId="77B0542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shared governance;</w:t>
      </w:r>
    </w:p>
    <w:p w14:paraId="429A664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data-room discipline;</w:t>
      </w:r>
    </w:p>
    <w:p w14:paraId="3853264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institutional reporting;</w:t>
      </w:r>
    </w:p>
    <w:p w14:paraId="68F08C9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public-sector programs;</w:t>
      </w:r>
    </w:p>
    <w:p w14:paraId="6F4E876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blended finance;</w:t>
      </w:r>
    </w:p>
    <w:p w14:paraId="32AD284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insurance review;</w:t>
      </w:r>
    </w:p>
    <w:p w14:paraId="37EEE59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future legally structured instruments.</w:t>
      </w:r>
    </w:p>
    <w:p w14:paraId="62E9A0E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Portfolio aggregation remains conditional.</w:t>
      </w:r>
    </w:p>
    <w:p w14:paraId="37CD89D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depends on:</w:t>
      </w:r>
    </w:p>
    <w:p w14:paraId="632ED0F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 comparable methodology;</w:t>
      </w:r>
    </w:p>
    <w:p w14:paraId="1614040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compatible evidence;</w:t>
      </w:r>
    </w:p>
    <w:p w14:paraId="18EB480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no-double-counting controls;</w:t>
      </w:r>
    </w:p>
    <w:p w14:paraId="1536F2F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legal structure;</w:t>
      </w:r>
    </w:p>
    <w:p w14:paraId="7813869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governance review;</w:t>
      </w:r>
    </w:p>
    <w:p w14:paraId="201FCDD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asset eligibility criteria;</w:t>
      </w:r>
    </w:p>
    <w:p w14:paraId="7F28696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risk stratification;</w:t>
      </w:r>
    </w:p>
    <w:p w14:paraId="4C5F718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jurisdictional review;</w:t>
      </w:r>
    </w:p>
    <w:p w14:paraId="0493000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reporting classification.</w:t>
      </w:r>
    </w:p>
    <w:p w14:paraId="1674673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 PRU portfolio is not created by collecting projects under one label.</w:t>
      </w:r>
    </w:p>
    <w:p w14:paraId="0AA90AB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is created by aligning evidence, methodology, review, legal structure, and reporting discipline.</w:t>
      </w:r>
    </w:p>
    <w:p w14:paraId="120DD95E" w14:textId="77777777" w:rsidR="00314051" w:rsidRPr="00B479AE" w:rsidRDefault="00314051" w:rsidP="00314051">
      <w:pPr>
        <w:spacing w:line="360" w:lineRule="auto"/>
        <w:rPr>
          <w:rFonts w:ascii="Baskerville Old Face" w:hAnsi="Baskerville Old Face"/>
          <w:b/>
          <w:bCs/>
          <w:i/>
          <w:iCs/>
        </w:rPr>
      </w:pPr>
      <w:r w:rsidRPr="00B479AE">
        <w:rPr>
          <w:rFonts w:ascii="Baskerville Old Face" w:hAnsi="Baskerville Old Face"/>
          <w:b/>
          <w:bCs/>
          <w:i/>
          <w:iCs/>
        </w:rPr>
        <w:t>N.14 Diversification Logic</w:t>
      </w:r>
    </w:p>
    <w:p w14:paraId="3858A36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Future PRU portfolio resilience may derive from:</w:t>
      </w:r>
    </w:p>
    <w:p w14:paraId="3B82298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geographic distribution;</w:t>
      </w:r>
    </w:p>
    <w:p w14:paraId="0B7FB18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species diversity;</w:t>
      </w:r>
    </w:p>
    <w:p w14:paraId="3CC961B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climate variation;</w:t>
      </w:r>
    </w:p>
    <w:p w14:paraId="14B606F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staggered maturity cycles;</w:t>
      </w:r>
    </w:p>
    <w:p w14:paraId="2635092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heterogeneous ecological niches;</w:t>
      </w:r>
    </w:p>
    <w:p w14:paraId="5BAC8FC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different operator profiles;</w:t>
      </w:r>
    </w:p>
    <w:p w14:paraId="0613CB9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different revenue or substitution pathways;</w:t>
      </w:r>
    </w:p>
    <w:p w14:paraId="4076FA1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different water strategies;</w:t>
      </w:r>
    </w:p>
    <w:p w14:paraId="2F65E73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different institutional partners;</w:t>
      </w:r>
    </w:p>
    <w:p w14:paraId="73647AD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 different risk exposures.</w:t>
      </w:r>
    </w:p>
    <w:p w14:paraId="70C9F4C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This suggests that portfolio quality may emerge not only from individual PRU performance, but from network-level resilience and reduced correlation.</w:t>
      </w:r>
    </w:p>
    <w:p w14:paraId="0EC0729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However, diversification should not become a rhetorical shortcut.</w:t>
      </w:r>
    </w:p>
    <w:p w14:paraId="07F93E9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Diversification must be demonstrated through portfolio analysis.</w:t>
      </w:r>
    </w:p>
    <w:p w14:paraId="7FE3B72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 portfolio of weak evidence does not become strong because it is large.</w:t>
      </w:r>
    </w:p>
    <w:p w14:paraId="5DF5E36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 portfolio of correlated climate risk does not become resilient because it is geographically dispersed on paper.</w:t>
      </w:r>
    </w:p>
    <w:p w14:paraId="3D22B67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 portfolio of unreviewed claims does not become institutional because it has a dashboard.</w:t>
      </w:r>
    </w:p>
    <w:p w14:paraId="77BF0CA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Diversification requires evidence, independence, risk mapping, and review.</w:t>
      </w:r>
    </w:p>
    <w:p w14:paraId="77566F69" w14:textId="77777777" w:rsidR="00314051" w:rsidRPr="00B479AE" w:rsidRDefault="00314051" w:rsidP="00314051">
      <w:pPr>
        <w:spacing w:line="360" w:lineRule="auto"/>
        <w:rPr>
          <w:rFonts w:ascii="Baskerville Old Face" w:hAnsi="Baskerville Old Face"/>
          <w:b/>
          <w:bCs/>
          <w:i/>
          <w:iCs/>
        </w:rPr>
      </w:pPr>
      <w:r w:rsidRPr="00B479AE">
        <w:rPr>
          <w:rFonts w:ascii="Baskerville Old Face" w:hAnsi="Baskerville Old Face"/>
          <w:b/>
          <w:bCs/>
          <w:i/>
          <w:iCs/>
        </w:rPr>
        <w:t>N.15 Comparative Positioning</w:t>
      </w:r>
    </w:p>
    <w:p w14:paraId="49FD074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differs from conventional industrial agricultural assets because it is designed to interpret:</w:t>
      </w:r>
    </w:p>
    <w:p w14:paraId="0B0C290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improving soil rather than degrading soil;</w:t>
      </w:r>
    </w:p>
    <w:p w14:paraId="6C8F826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increasing biological capacity rather than exhausting productive foundations;</w:t>
      </w:r>
    </w:p>
    <w:p w14:paraId="588BA45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decreasing input dependency rather than increasing dependency;</w:t>
      </w:r>
    </w:p>
    <w:p w14:paraId="002C19C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ecological resilience rather than structural fragility;</w:t>
      </w:r>
    </w:p>
    <w:p w14:paraId="36E603B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evidence-based performance rather than narrative sustainability;</w:t>
      </w:r>
    </w:p>
    <w:p w14:paraId="312A740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living-system maturity rather than asset depletion;</w:t>
      </w:r>
    </w:p>
    <w:p w14:paraId="44B311C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value-analysis logic rather than speculative price formation.</w:t>
      </w:r>
    </w:p>
    <w:p w14:paraId="24BCFCB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also differs from traditional ESG reporting.</w:t>
      </w:r>
    </w:p>
    <w:p w14:paraId="0136FB8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ESG often describes corporate behavior.</w:t>
      </w:r>
    </w:p>
    <w:p w14:paraId="355B383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PRU logic interprets verified regenerative performance.</w:t>
      </w:r>
    </w:p>
    <w:p w14:paraId="078954B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The PRU differs from carbon-credit logic.</w:t>
      </w:r>
    </w:p>
    <w:p w14:paraId="3A843D5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Carbon may be one indicator.</w:t>
      </w:r>
    </w:p>
    <w:p w14:paraId="7E3346E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Regeneration is multidimensional.</w:t>
      </w:r>
    </w:p>
    <w:p w14:paraId="1033145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differs from conventional real estate.</w:t>
      </w:r>
    </w:p>
    <w:p w14:paraId="129FDE9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Real estate often stores price.</w:t>
      </w:r>
    </w:p>
    <w:p w14:paraId="1A2C0FC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Regenerative infrastructure stores capacity.</w:t>
      </w:r>
    </w:p>
    <w:p w14:paraId="2766A1A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differs from token logic.</w:t>
      </w:r>
    </w:p>
    <w:p w14:paraId="27548BB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Tokens may represent defined rights where legally structured.</w:t>
      </w:r>
    </w:p>
    <w:p w14:paraId="7181A61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represents verified regenerative performance under methodology and review.</w:t>
      </w:r>
    </w:p>
    <w:p w14:paraId="15CE287C" w14:textId="77777777" w:rsidR="00314051" w:rsidRPr="00B479AE" w:rsidRDefault="00314051" w:rsidP="00314051">
      <w:pPr>
        <w:spacing w:line="360" w:lineRule="auto"/>
        <w:rPr>
          <w:rFonts w:ascii="Baskerville Old Face" w:hAnsi="Baskerville Old Face"/>
          <w:b/>
          <w:bCs/>
          <w:i/>
          <w:iCs/>
        </w:rPr>
      </w:pPr>
      <w:r w:rsidRPr="00B479AE">
        <w:rPr>
          <w:rFonts w:ascii="Baskerville Old Face" w:hAnsi="Baskerville Old Face"/>
          <w:b/>
          <w:bCs/>
          <w:i/>
          <w:iCs/>
        </w:rPr>
        <w:t>N.16 Capital Allocation Insight</w:t>
      </w:r>
    </w:p>
    <w:p w14:paraId="20F3EC6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 central Prometheus thesis is that global capital allocation is structurally inefficient because it remains concentrated in downstream systems that treat the consequences of ecological and social degradation after they arise.</w:t>
      </w:r>
    </w:p>
    <w:p w14:paraId="48C0C63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These downstream systems may include:</w:t>
      </w:r>
    </w:p>
    <w:p w14:paraId="2682136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healthcare burden;</w:t>
      </w:r>
    </w:p>
    <w:p w14:paraId="672F89A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industrial food dependency;</w:t>
      </w:r>
    </w:p>
    <w:p w14:paraId="25C06B5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extractive infrastructure;</w:t>
      </w:r>
    </w:p>
    <w:p w14:paraId="61E3A24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ecological remediation;</w:t>
      </w:r>
    </w:p>
    <w:p w14:paraId="74D47EC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disaster response;</w:t>
      </w:r>
    </w:p>
    <w:p w14:paraId="1710E9C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insurance losses;</w:t>
      </w:r>
    </w:p>
    <w:p w14:paraId="7EE5E57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water stress mitigation;</w:t>
      </w:r>
    </w:p>
    <w:p w14:paraId="54A1D6F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social fragility management;</w:t>
      </w:r>
    </w:p>
    <w:p w14:paraId="5FC05A3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 damage-control expenditure.</w:t>
      </w:r>
    </w:p>
    <w:p w14:paraId="7152727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From this perspective, regeneration is not blocked only by lack of capital.</w:t>
      </w:r>
    </w:p>
    <w:p w14:paraId="02FECBD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is blocked by allocation logic.</w:t>
      </w:r>
    </w:p>
    <w:p w14:paraId="03DF24B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Capital often moves toward damage once damage is visible.</w:t>
      </w:r>
    </w:p>
    <w:p w14:paraId="2290550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Prometheus proposes that capital should become capable of moving toward verified regenerative capacity before damage becomes systemic cost.</w:t>
      </w:r>
    </w:p>
    <w:p w14:paraId="1619CDA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is the interface that may help this shift occur.</w:t>
      </w:r>
    </w:p>
    <w:p w14:paraId="76F2BF5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allows capital allocators to ask:</w:t>
      </w:r>
    </w:p>
    <w:p w14:paraId="59A35BF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What regenerative performance exists?</w:t>
      </w:r>
    </w:p>
    <w:p w14:paraId="6B0CC00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What evidence supports it?</w:t>
      </w:r>
    </w:p>
    <w:p w14:paraId="632F41C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What maturity class applies?</w:t>
      </w:r>
    </w:p>
    <w:p w14:paraId="26FA5CF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What risk remains?</w:t>
      </w:r>
    </w:p>
    <w:p w14:paraId="6DCD06A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What legal structure is required?</w:t>
      </w:r>
    </w:p>
    <w:p w14:paraId="6D854B3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What value is admissible?</w:t>
      </w:r>
    </w:p>
    <w:p w14:paraId="2DA2BA3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What capital pathway is appropriate?</w:t>
      </w:r>
    </w:p>
    <w:p w14:paraId="56CED65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This is the capital-allocation function of the PRU.</w:t>
      </w:r>
    </w:p>
    <w:p w14:paraId="5801222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does not promise capital.</w:t>
      </w:r>
    </w:p>
    <w:p w14:paraId="3E879FD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disciplines capital.</w:t>
      </w:r>
    </w:p>
    <w:p w14:paraId="740AB524" w14:textId="77777777" w:rsidR="00314051" w:rsidRPr="00B479AE" w:rsidRDefault="00314051" w:rsidP="00314051">
      <w:pPr>
        <w:spacing w:line="360" w:lineRule="auto"/>
        <w:rPr>
          <w:rFonts w:ascii="Baskerville Old Face" w:hAnsi="Baskerville Old Face"/>
          <w:b/>
          <w:bCs/>
          <w:i/>
          <w:iCs/>
        </w:rPr>
      </w:pPr>
      <w:r w:rsidRPr="00B479AE">
        <w:rPr>
          <w:rFonts w:ascii="Baskerville Old Face" w:hAnsi="Baskerville Old Face"/>
          <w:b/>
          <w:bCs/>
          <w:i/>
          <w:iCs/>
        </w:rPr>
        <w:t>N.17 Legal and Instrument Boundary</w:t>
      </w:r>
    </w:p>
    <w:p w14:paraId="59D42A5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 PRU may support future legal structuring only where appropriate conditions exist.</w:t>
      </w:r>
    </w:p>
    <w:p w14:paraId="3B68A2E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Possible future pathways may include:</w:t>
      </w:r>
    </w:p>
    <w:p w14:paraId="383EF95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project finance;</w:t>
      </w:r>
    </w:p>
    <w:p w14:paraId="62F18FD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 public procurement;</w:t>
      </w:r>
    </w:p>
    <w:p w14:paraId="6828459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blended finance;</w:t>
      </w:r>
    </w:p>
    <w:p w14:paraId="6C0339F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private credit;</w:t>
      </w:r>
    </w:p>
    <w:p w14:paraId="52D4108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grant-backed deployment;</w:t>
      </w:r>
    </w:p>
    <w:p w14:paraId="2C8AC35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revenue-linked agreements;</w:t>
      </w:r>
    </w:p>
    <w:p w14:paraId="6273BDB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fund vehicles;</w:t>
      </w:r>
    </w:p>
    <w:p w14:paraId="0D41CD4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SPVs;</w:t>
      </w:r>
    </w:p>
    <w:p w14:paraId="306DE92D"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notes;</w:t>
      </w:r>
    </w:p>
    <w:p w14:paraId="039733E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insurance-linked review;</w:t>
      </w:r>
    </w:p>
    <w:p w14:paraId="5AAEBC2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public-sector programs;</w:t>
      </w:r>
    </w:p>
    <w:p w14:paraId="7C74BD1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compliant digital representation;</w:t>
      </w:r>
    </w:p>
    <w:p w14:paraId="2588146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other legally structured pathways.</w:t>
      </w:r>
    </w:p>
    <w:p w14:paraId="7083412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However, the PRU itself does not create these pathways.</w:t>
      </w:r>
    </w:p>
    <w:p w14:paraId="7666720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legal structure creates the rights.</w:t>
      </w:r>
    </w:p>
    <w:p w14:paraId="5331EEE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may support evidence, analysis, classification, and reporting.</w:t>
      </w:r>
    </w:p>
    <w:p w14:paraId="3DA7FFB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Any capital-facing pathway requires:</w:t>
      </w:r>
    </w:p>
    <w:p w14:paraId="7109245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legal review;</w:t>
      </w:r>
    </w:p>
    <w:p w14:paraId="06C3B47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jurisdiction-specific analysis;</w:t>
      </w:r>
    </w:p>
    <w:p w14:paraId="1CEED5C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disclosure;</w:t>
      </w:r>
    </w:p>
    <w:p w14:paraId="118C150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investor suitability where applicable;</w:t>
      </w:r>
    </w:p>
    <w:p w14:paraId="460E757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contractual rights;</w:t>
      </w:r>
    </w:p>
    <w:p w14:paraId="33BC651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custody review where relevant;</w:t>
      </w:r>
    </w:p>
    <w:p w14:paraId="5D7EF28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 AML/KYC where relevant;</w:t>
      </w:r>
    </w:p>
    <w:p w14:paraId="6A2C0B3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sanctions controls where relevant;</w:t>
      </w:r>
    </w:p>
    <w:p w14:paraId="36B686A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tax review;</w:t>
      </w:r>
    </w:p>
    <w:p w14:paraId="1358C0C9"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reporting discipline;</w:t>
      </w:r>
    </w:p>
    <w:p w14:paraId="4EE8AC1F"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no-double-counting controls;</w:t>
      </w:r>
    </w:p>
    <w:p w14:paraId="4F1FF79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 governance approval.</w:t>
      </w:r>
    </w:p>
    <w:p w14:paraId="1869CC3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boundary is:</w:t>
      </w:r>
    </w:p>
    <w:p w14:paraId="2DCB756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PRU logic may support legal structuring.</w:t>
      </w:r>
    </w:p>
    <w:p w14:paraId="7164B99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PRU logic does not replace legal structuring.</w:t>
      </w:r>
    </w:p>
    <w:p w14:paraId="40303A95"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N.18 Final Synthesis</w:t>
      </w:r>
    </w:p>
    <w:p w14:paraId="15443B7A"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is the proposed value-creation interface of Prometheus.</w:t>
      </w:r>
    </w:p>
    <w:p w14:paraId="75AA668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is not the source of value.</w:t>
      </w:r>
    </w:p>
    <w:p w14:paraId="252C0D28"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living system is the source.</w:t>
      </w:r>
    </w:p>
    <w:p w14:paraId="26016F5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makes value visible.</w:t>
      </w:r>
    </w:p>
    <w:p w14:paraId="2019B5E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MRV makes value observable.</w:t>
      </w:r>
    </w:p>
    <w:p w14:paraId="1564091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Methodology makes value interpretable.</w:t>
      </w:r>
    </w:p>
    <w:p w14:paraId="39BE0E6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Confidence scoring makes value bounded.</w:t>
      </w:r>
    </w:p>
    <w:p w14:paraId="4B3B44B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Admissibility makes value usable.</w:t>
      </w:r>
    </w:p>
    <w:p w14:paraId="3BC8A66E"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Governance makes value reviewable.</w:t>
      </w:r>
    </w:p>
    <w:p w14:paraId="1BA5A46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Legal structure makes rights enforceable.</w:t>
      </w:r>
    </w:p>
    <w:p w14:paraId="3CA0C01C"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Capital-readiness makes allocation discussable.</w:t>
      </w:r>
    </w:p>
    <w:p w14:paraId="7DF6D0F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therefore sits between life and capital.</w:t>
      </w:r>
    </w:p>
    <w:p w14:paraId="00BB183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lastRenderedPageBreak/>
        <w:t>It protects both sides.</w:t>
      </w:r>
    </w:p>
    <w:p w14:paraId="249D3F04"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protects life from being reduced to speculative abstraction.</w:t>
      </w:r>
    </w:p>
    <w:p w14:paraId="3F873D0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protects capital from moving on unsupported ecological narratives.</w:t>
      </w:r>
    </w:p>
    <w:p w14:paraId="423DA401"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protects institutions from mistaking aspiration for evidence.</w:t>
      </w:r>
    </w:p>
    <w:p w14:paraId="51C983CB"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protects governance from confusing dashboards with authority.</w:t>
      </w:r>
    </w:p>
    <w:p w14:paraId="3AD1DCE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protects investors from mistaking maturity classification for entitlement.</w:t>
      </w:r>
    </w:p>
    <w:p w14:paraId="2013B7A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protects Prometheus from turning regeneration into a slogan.</w:t>
      </w:r>
    </w:p>
    <w:p w14:paraId="2F792436"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PRU should therefore be treated as one of the most important interfaces in the entire Prometheus architecture.</w:t>
      </w:r>
    </w:p>
    <w:p w14:paraId="556EFB5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is where living performance becomes institutional language.</w:t>
      </w:r>
    </w:p>
    <w:p w14:paraId="1DAD1CA3"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is where ecological improvement becomes reviewable.</w:t>
      </w:r>
    </w:p>
    <w:p w14:paraId="15305F80"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is where evidence becomes comparable.</w:t>
      </w:r>
    </w:p>
    <w:p w14:paraId="7BCC7382"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is where value becomes disciplined.</w:t>
      </w:r>
    </w:p>
    <w:p w14:paraId="6D784367" w14:textId="77777777"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It is where capital may begin to understand regeneration without owning it, extracting it, or falsifying it.</w:t>
      </w:r>
    </w:p>
    <w:p w14:paraId="61F14BE5" w14:textId="19D2D07D" w:rsidR="00314051" w:rsidRPr="00B479AE" w:rsidRDefault="00314051" w:rsidP="00314051">
      <w:pPr>
        <w:spacing w:line="360" w:lineRule="auto"/>
        <w:rPr>
          <w:rFonts w:ascii="Baskerville Old Face" w:hAnsi="Baskerville Old Face"/>
          <w:i/>
          <w:iCs/>
        </w:rPr>
      </w:pPr>
      <w:r w:rsidRPr="00B479AE">
        <w:rPr>
          <w:rFonts w:ascii="Baskerville Old Face" w:hAnsi="Baskerville Old Face"/>
          <w:i/>
          <w:iCs/>
        </w:rPr>
        <w:t>The final principle is:</w:t>
      </w:r>
      <w:r w:rsidR="00060E0B" w:rsidRPr="00B479AE">
        <w:rPr>
          <w:rFonts w:ascii="Baskerville Old Face" w:hAnsi="Baskerville Old Face"/>
          <w:i/>
          <w:iCs/>
        </w:rPr>
        <w:t xml:space="preserve"> </w:t>
      </w:r>
      <w:r w:rsidRPr="00B479AE">
        <w:rPr>
          <w:rFonts w:ascii="Baskerville Old Face" w:hAnsi="Baskerville Old Face"/>
          <w:i/>
          <w:iCs/>
        </w:rPr>
        <w:t>the PRU does not financialize life;</w:t>
      </w:r>
    </w:p>
    <w:p w14:paraId="288509F1" w14:textId="77777777" w:rsidR="000172EA" w:rsidRPr="00B479AE" w:rsidRDefault="00314051" w:rsidP="000172EA">
      <w:pPr>
        <w:spacing w:line="360" w:lineRule="auto"/>
        <w:rPr>
          <w:rFonts w:ascii="Baskerville Old Face" w:hAnsi="Baskerville Old Face"/>
          <w:i/>
          <w:iCs/>
        </w:rPr>
      </w:pPr>
      <w:r w:rsidRPr="00B479AE">
        <w:rPr>
          <w:rFonts w:ascii="Baskerville Old Face" w:hAnsi="Baskerville Old Face"/>
          <w:i/>
          <w:iCs/>
        </w:rPr>
        <w:t>it disciplines the path by which verified regeneration may become visible to capital without losing its living source.</w:t>
      </w:r>
      <w:r w:rsidR="000172EA" w:rsidRPr="00B479AE">
        <w:rPr>
          <w:rFonts w:ascii="Baskerville Old Face" w:hAnsi="Baskerville Old Face"/>
          <w:i/>
          <w:iCs/>
        </w:rPr>
        <w:t xml:space="preserve"> </w:t>
      </w:r>
    </w:p>
    <w:p w14:paraId="2BB41DED" w14:textId="3BC25008" w:rsidR="000172EA" w:rsidRPr="00ED0D46" w:rsidRDefault="000172EA" w:rsidP="00ED0D46">
      <w:pPr>
        <w:pStyle w:val="Titolo1"/>
        <w:rPr>
          <w:rFonts w:ascii="Baskerville Old Face" w:hAnsi="Baskerville Old Face"/>
          <w:b/>
          <w:bCs/>
          <w:i/>
          <w:iCs/>
          <w:sz w:val="24"/>
          <w:szCs w:val="24"/>
        </w:rPr>
      </w:pPr>
      <w:r w:rsidRPr="00ED0D46">
        <w:rPr>
          <w:rFonts w:ascii="Baskerville Old Face" w:hAnsi="Baskerville Old Face"/>
          <w:b/>
          <w:bCs/>
          <w:i/>
          <w:iCs/>
          <w:sz w:val="24"/>
          <w:szCs w:val="24"/>
        </w:rPr>
        <w:t>Appendix O: Capital Reallocation Scenario — From Systemic Cost to Regenerative Infrastructure</w:t>
      </w:r>
    </w:p>
    <w:p w14:paraId="37ECDC39" w14:textId="77777777" w:rsidR="000172EA" w:rsidRPr="00B479AE" w:rsidRDefault="000172EA" w:rsidP="000172EA">
      <w:pPr>
        <w:tabs>
          <w:tab w:val="left" w:pos="1440"/>
        </w:tabs>
        <w:spacing w:line="360" w:lineRule="auto"/>
        <w:rPr>
          <w:rFonts w:ascii="Baskerville Old Face" w:hAnsi="Baskerville Old Face"/>
          <w:b/>
          <w:bCs/>
          <w:i/>
          <w:iCs/>
        </w:rPr>
      </w:pPr>
      <w:r w:rsidRPr="00B479AE">
        <w:rPr>
          <w:rFonts w:ascii="Baskerville Old Face" w:hAnsi="Baskerville Old Face"/>
          <w:b/>
          <w:bCs/>
          <w:i/>
          <w:iCs/>
        </w:rPr>
        <w:t>O.1 Purpose and Boundary</w:t>
      </w:r>
    </w:p>
    <w:p w14:paraId="14C9495B"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This appendix presents a capital-reallocation scenario.</w:t>
      </w:r>
    </w:p>
    <w:p w14:paraId="090FE8F3"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Its purpose is to explain why regenerative infrastructure may become relevant to institutional capital allocation, public policy, resilience finance, preventive-health strategy, food-system transition, climate adaptation, and long-duration real-asset formation.</w:t>
      </w:r>
    </w:p>
    <w:p w14:paraId="4268714B"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This appendix does not create a financial forecast.</w:t>
      </w:r>
    </w:p>
    <w:p w14:paraId="3BCF1ADF"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does not create an investment case by itself.</w:t>
      </w:r>
    </w:p>
    <w:p w14:paraId="1346A193"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does not create a public-budget proposal.</w:t>
      </w:r>
    </w:p>
    <w:p w14:paraId="17B13F99"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does not create a health-economic claim.</w:t>
      </w:r>
    </w:p>
    <w:p w14:paraId="05E19718"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does not create PRU value.</w:t>
      </w:r>
    </w:p>
    <w:p w14:paraId="3A6E244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does not create investor entitlement.</w:t>
      </w:r>
    </w:p>
    <w:p w14:paraId="2E725FE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does not create public reimbursement, insurance eligibility, credit eligibility, collateral recognition, token issuance, or securities status.</w:t>
      </w:r>
    </w:p>
    <w:p w14:paraId="74D51B6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All quantitative references in this appendix should be interpreted as broad order-of-magnitude scenario logic.</w:t>
      </w:r>
    </w:p>
    <w:p w14:paraId="2E88D7A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They are used to illustrate scale, not to promise outcomes.</w:t>
      </w:r>
    </w:p>
    <w:p w14:paraId="52C69D3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core question is:</w:t>
      </w:r>
    </w:p>
    <w:p w14:paraId="2889A4D1"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what would happen if even a small share of existing downstream cost expenditure were redirected toward upstream regenerative infrastructure?</w:t>
      </w:r>
    </w:p>
    <w:p w14:paraId="43849FFF" w14:textId="77777777" w:rsidR="000172EA" w:rsidRPr="00B479AE" w:rsidRDefault="000172EA" w:rsidP="000172EA">
      <w:pPr>
        <w:tabs>
          <w:tab w:val="left" w:pos="1440"/>
        </w:tabs>
        <w:spacing w:line="360" w:lineRule="auto"/>
        <w:rPr>
          <w:rFonts w:ascii="Baskerville Old Face" w:hAnsi="Baskerville Old Face"/>
          <w:b/>
          <w:bCs/>
          <w:i/>
          <w:iCs/>
        </w:rPr>
      </w:pPr>
      <w:r w:rsidRPr="00B479AE">
        <w:rPr>
          <w:rFonts w:ascii="Baskerville Old Face" w:hAnsi="Baskerville Old Face"/>
          <w:b/>
          <w:bCs/>
          <w:i/>
          <w:iCs/>
        </w:rPr>
        <w:t>O.2 Framing the Problem</w:t>
      </w:r>
    </w:p>
    <w:p w14:paraId="51FACAB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Modern economic systems allocate substantial capital toward downstream cost absorption.</w:t>
      </w:r>
    </w:p>
    <w:p w14:paraId="1D3F7020"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Major allocation pools include:</w:t>
      </w:r>
    </w:p>
    <w:p w14:paraId="25BD447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reactive healthcare systems;</w:t>
      </w:r>
    </w:p>
    <w:p w14:paraId="68F8054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industrialized food production;</w:t>
      </w:r>
    </w:p>
    <w:p w14:paraId="0DEE9D21"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resource-extraction models;</w:t>
      </w:r>
    </w:p>
    <w:p w14:paraId="160EC0E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ecological remediation;</w:t>
      </w:r>
    </w:p>
    <w:p w14:paraId="4F0AFD1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disaster response;</w:t>
      </w:r>
    </w:p>
    <w:p w14:paraId="739C2468"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insurance losses;</w:t>
      </w:r>
    </w:p>
    <w:p w14:paraId="482DADCE"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 infrastructure repair;</w:t>
      </w:r>
    </w:p>
    <w:p w14:paraId="1B7193C7"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social-fragility management;</w:t>
      </w:r>
    </w:p>
    <w:p w14:paraId="6F3EE7E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emergency assistance;</w:t>
      </w:r>
    </w:p>
    <w:p w14:paraId="5B533BA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degraded-territory stabilization.</w:t>
      </w:r>
    </w:p>
    <w:p w14:paraId="232401B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These systems often share one structural property:</w:t>
      </w:r>
    </w:p>
    <w:p w14:paraId="3763462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they treat downstream effects instead of addressing upstream causes.</w:t>
      </w:r>
    </w:p>
    <w:p w14:paraId="7686996F"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Healthcare systems treat disease after it emerges.</w:t>
      </w:r>
    </w:p>
    <w:p w14:paraId="24B926AB"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Industrial food systems often optimize volume while externalizing soil, water, biodiversity, nutrition, and health costs.</w:t>
      </w:r>
    </w:p>
    <w:p w14:paraId="6E0D44F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Extractive infrastructure may generate short-term output while weakening the ecological foundations on which long-term productivity depends.</w:t>
      </w:r>
    </w:p>
    <w:p w14:paraId="0E1B7F37"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systemic inefficiency is therefore not only ecological.</w:t>
      </w:r>
    </w:p>
    <w:p w14:paraId="4FEC1F8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is economic.</w:t>
      </w:r>
    </w:p>
    <w:p w14:paraId="30830B09"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Capital is repeatedly used to compensate for damage generated by the same underlying system.</w:t>
      </w:r>
    </w:p>
    <w:p w14:paraId="2E4B358F"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Prometheus proposes a different allocation logic:</w:t>
      </w:r>
    </w:p>
    <w:p w14:paraId="165267E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capital should be able to move upstream into regenerative infrastructure capable of improving the conditions that reduce future systemic cost, fragility, and dependency.</w:t>
      </w:r>
    </w:p>
    <w:p w14:paraId="726897D3" w14:textId="77777777" w:rsidR="000172EA" w:rsidRPr="00B479AE" w:rsidRDefault="000172EA" w:rsidP="000172EA">
      <w:pPr>
        <w:tabs>
          <w:tab w:val="left" w:pos="1440"/>
        </w:tabs>
        <w:spacing w:line="360" w:lineRule="auto"/>
        <w:rPr>
          <w:rFonts w:ascii="Baskerville Old Face" w:hAnsi="Baskerville Old Face"/>
          <w:b/>
          <w:bCs/>
          <w:i/>
          <w:iCs/>
        </w:rPr>
      </w:pPr>
      <w:r w:rsidRPr="00B479AE">
        <w:rPr>
          <w:rFonts w:ascii="Baskerville Old Face" w:hAnsi="Baskerville Old Face"/>
          <w:b/>
          <w:bCs/>
          <w:i/>
          <w:iCs/>
        </w:rPr>
        <w:t>O.3 Global Baseline — Macro-Level Inefficiency</w:t>
      </w:r>
    </w:p>
    <w:p w14:paraId="31957F7A"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At global scale, healthcare expenditure, food-system dysfunction, ecological degradation, climate adaptation, disaster response, and resilience-related costs represent extremely large recurring expenditure pools.</w:t>
      </w:r>
    </w:p>
    <w:p w14:paraId="4F482EAE"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Healthcare alone absorbs a high single-digit to low double-digit share of global economic activity, depending on jurisdiction, methodology, and reporting perimeter.</w:t>
      </w:r>
    </w:p>
    <w:p w14:paraId="1F33AE5E"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Non-communicable diseases represent a major share of global mortality and long-duration health-system burden.</w:t>
      </w:r>
    </w:p>
    <w:p w14:paraId="1CB507DE"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Many of these burdens are influenced, directly or indirectly, by:</w:t>
      </w:r>
    </w:p>
    <w:p w14:paraId="67FBA09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diet quality;</w:t>
      </w:r>
    </w:p>
    <w:p w14:paraId="3B4BE179"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metabolic health;</w:t>
      </w:r>
    </w:p>
    <w:p w14:paraId="6915B007"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food-system structure;</w:t>
      </w:r>
    </w:p>
    <w:p w14:paraId="000EEAEB"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environmental degradation;</w:t>
      </w:r>
    </w:p>
    <w:p w14:paraId="5756DBD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air and water quality;</w:t>
      </w:r>
    </w:p>
    <w:p w14:paraId="3A3C8FDD"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sedentary lifestyles;</w:t>
      </w:r>
    </w:p>
    <w:p w14:paraId="4067E0B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stress exposure;</w:t>
      </w:r>
    </w:p>
    <w:p w14:paraId="6C246E4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social fragmentation;</w:t>
      </w:r>
    </w:p>
    <w:p w14:paraId="4CA74A3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loss of contact with living environments.</w:t>
      </w:r>
    </w:p>
    <w:p w14:paraId="48D64731"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Industrial food systems also carry structural inefficiencies.</w:t>
      </w:r>
    </w:p>
    <w:p w14:paraId="5F75F34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They may depend on:</w:t>
      </w:r>
    </w:p>
    <w:p w14:paraId="4B02A16A"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high external inputs;</w:t>
      </w:r>
    </w:p>
    <w:p w14:paraId="3EF7494F"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long supply chains;</w:t>
      </w:r>
    </w:p>
    <w:p w14:paraId="2FC4217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soil depletion;</w:t>
      </w:r>
    </w:p>
    <w:p w14:paraId="12446378"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water stress;</w:t>
      </w:r>
    </w:p>
    <w:p w14:paraId="64A89D87"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biodiversity loss;</w:t>
      </w:r>
    </w:p>
    <w:p w14:paraId="33B020F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centralized logistics;</w:t>
      </w:r>
    </w:p>
    <w:p w14:paraId="06ED137A"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ultra-processed food patterns;</w:t>
      </w:r>
    </w:p>
    <w:p w14:paraId="5010D2D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public-health externalities;</w:t>
      </w:r>
    </w:p>
    <w:p w14:paraId="3075395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 ecological degradation.</w:t>
      </w:r>
    </w:p>
    <w:p w14:paraId="1C25205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core systemic inefficiency is clear:</w:t>
      </w:r>
    </w:p>
    <w:p w14:paraId="57564E6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capital pays for degradation downstream while too little capital is allocated to upstream systems that could reduce the probability, intensity, or cost of that degradation.</w:t>
      </w:r>
    </w:p>
    <w:p w14:paraId="250A59A7" w14:textId="77777777" w:rsidR="000172EA" w:rsidRPr="00B479AE" w:rsidRDefault="000172EA" w:rsidP="000172EA">
      <w:pPr>
        <w:tabs>
          <w:tab w:val="left" w:pos="1440"/>
        </w:tabs>
        <w:spacing w:line="360" w:lineRule="auto"/>
        <w:rPr>
          <w:rFonts w:ascii="Baskerville Old Face" w:hAnsi="Baskerville Old Face"/>
          <w:b/>
          <w:bCs/>
          <w:i/>
          <w:iCs/>
        </w:rPr>
      </w:pPr>
      <w:r w:rsidRPr="00B479AE">
        <w:rPr>
          <w:rFonts w:ascii="Baskerville Old Face" w:hAnsi="Baskerville Old Face"/>
          <w:b/>
          <w:bCs/>
          <w:i/>
          <w:iCs/>
        </w:rPr>
        <w:t>O.4 United States Benchmark</w:t>
      </w:r>
    </w:p>
    <w:p w14:paraId="191E10CB"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United States provides a useful benchmark because healthcare expenditure represents a very large share of national economic activity.</w:t>
      </w:r>
    </w:p>
    <w:p w14:paraId="31770D4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A substantial portion of public, private, employer, household, and insurance expenditure is absorbed by chronic disease burden, metabolic disorders, obesity-related costs, cardiovascular disease, diabetes, and other diet- or environment-influenced conditions.</w:t>
      </w:r>
    </w:p>
    <w:p w14:paraId="3F44DB8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United States illustrates a strategic paradox:</w:t>
      </w:r>
    </w:p>
    <w:p w14:paraId="4FA653C8"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one of the world’s most capitalized economies allocates enormous resources to downstream treatment, while food-system resilience, soil health, ecological exposure, preventive-health environments, local production, and community-based resilience remain structurally undercapitalized relative to their systemic importance.</w:t>
      </w:r>
    </w:p>
    <w:p w14:paraId="3AE9110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insight is not that regenerative infrastructure can replace healthcare.</w:t>
      </w:r>
    </w:p>
    <w:p w14:paraId="1A3EE63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cannot.</w:t>
      </w:r>
    </w:p>
    <w:p w14:paraId="7A121641"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insight is that even modest improvements in diet quality, ecological exposure, functional movement, local production, soil quality, community coherence, and preventive-health environments may become economically significant at scale.</w:t>
      </w:r>
    </w:p>
    <w:p w14:paraId="22ECB2C0"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Prometheus therefore treats the United States not as a guaranteed market claim, but as an example of capital-allocation inefficiency:</w:t>
      </w:r>
    </w:p>
    <w:p w14:paraId="6D92426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a large downstream cost pool exists;</w:t>
      </w:r>
    </w:p>
    <w:p w14:paraId="1F0A03F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part of that cost pool may be influenced by upstream conditions;</w:t>
      </w:r>
    </w:p>
    <w:p w14:paraId="5E461A1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regenerative infrastructure may become relevant where evidence, public-health governance, institutional partnerships, and measurable pathways support such interpretation.</w:t>
      </w:r>
    </w:p>
    <w:p w14:paraId="42634FD3" w14:textId="77777777" w:rsidR="000172EA" w:rsidRPr="00B479AE" w:rsidRDefault="000172EA" w:rsidP="000172EA">
      <w:pPr>
        <w:tabs>
          <w:tab w:val="left" w:pos="1440"/>
        </w:tabs>
        <w:spacing w:line="360" w:lineRule="auto"/>
        <w:rPr>
          <w:rFonts w:ascii="Baskerville Old Face" w:hAnsi="Baskerville Old Face"/>
          <w:b/>
          <w:bCs/>
          <w:i/>
          <w:iCs/>
        </w:rPr>
      </w:pPr>
      <w:r w:rsidRPr="00B479AE">
        <w:rPr>
          <w:rFonts w:ascii="Baskerville Old Face" w:hAnsi="Baskerville Old Face"/>
          <w:b/>
          <w:bCs/>
          <w:i/>
          <w:iCs/>
        </w:rPr>
        <w:lastRenderedPageBreak/>
        <w:t>O.5 Mediterranean and Sicily Context</w:t>
      </w:r>
    </w:p>
    <w:p w14:paraId="76FA345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Mediterranean context is structurally different from the United States, but strategically important.</w:t>
      </w:r>
    </w:p>
    <w:p w14:paraId="77B6832F"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Sicily and the broader Mediterranean region combine:</w:t>
      </w:r>
    </w:p>
    <w:p w14:paraId="2FD387E7"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historically strong food culture;</w:t>
      </w:r>
    </w:p>
    <w:p w14:paraId="61117D10"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high solar input;</w:t>
      </w:r>
    </w:p>
    <w:p w14:paraId="76F7A7F9"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long growing seasons;</w:t>
      </w:r>
    </w:p>
    <w:p w14:paraId="15F4018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deep agricultural memory;</w:t>
      </w:r>
    </w:p>
    <w:p w14:paraId="4CEA8A0E"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strong hospitality potential;</w:t>
      </w:r>
    </w:p>
    <w:p w14:paraId="5CBF0CE8"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ecological fragility;</w:t>
      </w:r>
    </w:p>
    <w:p w14:paraId="285F079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water stress;</w:t>
      </w:r>
    </w:p>
    <w:p w14:paraId="60B3B1A7"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soil-degradation risk;</w:t>
      </w:r>
    </w:p>
    <w:p w14:paraId="68B34688"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climate exposure;</w:t>
      </w:r>
    </w:p>
    <w:p w14:paraId="40A5BAB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rural abandonment in many areas;</w:t>
      </w:r>
    </w:p>
    <w:p w14:paraId="30F8696D"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increasing pressure from industrialized food patterns.</w:t>
      </w:r>
    </w:p>
    <w:p w14:paraId="44F152DD"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Mediterranean diet is widely recognized as a high-quality dietary model.</w:t>
      </w:r>
    </w:p>
    <w:p w14:paraId="7904C11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However, social and economic transitions have weakened traditional food systems in many territories.</w:t>
      </w:r>
    </w:p>
    <w:p w14:paraId="466FD91B"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Industrialized consumption patterns, sedentary lifestyles, metabolic disorders, obesity, and chronic-disease pressures are increasing in many Mediterranean contexts.</w:t>
      </w:r>
    </w:p>
    <w:p w14:paraId="4BE8CD87"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At the same time, Sicily has exceptional regenerative leverage.</w:t>
      </w:r>
    </w:p>
    <w:p w14:paraId="3D21A363"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Its climatic conditions can support high biological productivity where water strategy, soil cover, species design, agroforestry, and stewardship are properly aligned.</w:t>
      </w:r>
    </w:p>
    <w:p w14:paraId="4E85E3A8"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opportunity is therefore not merely agricultural.</w:t>
      </w:r>
    </w:p>
    <w:p w14:paraId="017B83F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It is systemic.</w:t>
      </w:r>
    </w:p>
    <w:p w14:paraId="7A817B3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A regenerative infrastructure strategy in Sicily may connect:</w:t>
      </w:r>
    </w:p>
    <w:p w14:paraId="5460851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food sovereignty;</w:t>
      </w:r>
    </w:p>
    <w:p w14:paraId="15DF54E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water resilience;</w:t>
      </w:r>
    </w:p>
    <w:p w14:paraId="33C99BBB"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soil regeneration;</w:t>
      </w:r>
    </w:p>
    <w:p w14:paraId="58681F09"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hospitality;</w:t>
      </w:r>
    </w:p>
    <w:p w14:paraId="2D7B8EC3"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education;</w:t>
      </w:r>
    </w:p>
    <w:p w14:paraId="7820974B"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preventive-health relevance;</w:t>
      </w:r>
    </w:p>
    <w:p w14:paraId="15590AE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bioregional identity;</w:t>
      </w:r>
    </w:p>
    <w:p w14:paraId="14037D03"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climate adaptation;</w:t>
      </w:r>
    </w:p>
    <w:p w14:paraId="64DF87B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rural revitalization;</w:t>
      </w:r>
    </w:p>
    <w:p w14:paraId="6E65ACED"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capital-readiness.</w:t>
      </w:r>
    </w:p>
    <w:p w14:paraId="4DA7E43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This makes Sicily a strategically suitable test region for the Prometheus thesis:</w:t>
      </w:r>
    </w:p>
    <w:p w14:paraId="3CEA6C2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territories exposed to ecological stress may also contain high regenerative potential.</w:t>
      </w:r>
    </w:p>
    <w:p w14:paraId="08438556" w14:textId="77777777" w:rsidR="000172EA" w:rsidRPr="00B479AE" w:rsidRDefault="000172EA" w:rsidP="000172EA">
      <w:pPr>
        <w:tabs>
          <w:tab w:val="left" w:pos="1440"/>
        </w:tabs>
        <w:spacing w:line="360" w:lineRule="auto"/>
        <w:rPr>
          <w:rFonts w:ascii="Baskerville Old Face" w:hAnsi="Baskerville Old Face"/>
          <w:b/>
          <w:bCs/>
          <w:i/>
          <w:iCs/>
        </w:rPr>
      </w:pPr>
      <w:r w:rsidRPr="00B479AE">
        <w:rPr>
          <w:rFonts w:ascii="Baskerville Old Face" w:hAnsi="Baskerville Old Face"/>
          <w:b/>
          <w:bCs/>
          <w:i/>
          <w:iCs/>
        </w:rPr>
        <w:t>O.6 Reallocation Scenario — Conservative Logic</w:t>
      </w:r>
    </w:p>
    <w:p w14:paraId="215EE91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reallocation scenario should be understood as a strategic thought experiment, not as a budget proposal, public-policy commitment, investment forecast, or public-health claim.</w:t>
      </w:r>
    </w:p>
    <w:p w14:paraId="51200D30"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At global scale, healthcare expenditure and degradation-related costs represent multi-trillion-dollar annual flows.</w:t>
      </w:r>
    </w:p>
    <w:p w14:paraId="55A6C660"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A very small reallocation from downstream treatment, remediation, emergency response, and fragility management toward upstream regenerative infrastructure could represent a very large annual capital pool.</w:t>
      </w:r>
    </w:p>
    <w:p w14:paraId="7A1525D7"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For scenario purposes, a low-single-digit reallocation of major downstream cost pools may correspond to tens or hundreds of billions in annual capital capacity at global scale.</w:t>
      </w:r>
    </w:p>
    <w:p w14:paraId="1859A890"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Depending on geography, land-access model, labor structure, water infrastructure, monitoring requirements, governance intensity, and deployment scope, such capital could support large numbers of local regenerative units, OHE-compatible systems, food-resilience projects, water-resilience interventions, soil-restoration programs, and community-health environments.</w:t>
      </w:r>
    </w:p>
    <w:p w14:paraId="42A44EBD"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This does not mean that healthcare budgets should be diverted mechanically.</w:t>
      </w:r>
    </w:p>
    <w:p w14:paraId="346D8BDE"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does not mean that every regenerative unit produces health savings.</w:t>
      </w:r>
    </w:p>
    <w:p w14:paraId="699B8A01"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does not mean that every OHE becomes a public-health asset.</w:t>
      </w:r>
    </w:p>
    <w:p w14:paraId="0F0A37B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means that the economic magnitude of downstream cost pools reveals the scale of the opportunity.</w:t>
      </w:r>
    </w:p>
    <w:p w14:paraId="1607F173"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A small shift in allocation logic may generate significant regenerative deployment capacity.</w:t>
      </w:r>
    </w:p>
    <w:p w14:paraId="49C6825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Prometheus interpretation is:</w:t>
      </w:r>
    </w:p>
    <w:p w14:paraId="5F8270CF"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capital already exists in the system;</w:t>
      </w:r>
    </w:p>
    <w:p w14:paraId="2A2E9A0E"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problem is that much of it is trapped downstream.</w:t>
      </w:r>
    </w:p>
    <w:p w14:paraId="58D8D14B" w14:textId="77777777" w:rsidR="000172EA" w:rsidRPr="00B479AE" w:rsidRDefault="000172EA" w:rsidP="000172EA">
      <w:pPr>
        <w:tabs>
          <w:tab w:val="left" w:pos="1440"/>
        </w:tabs>
        <w:spacing w:line="360" w:lineRule="auto"/>
        <w:rPr>
          <w:rFonts w:ascii="Baskerville Old Face" w:hAnsi="Baskerville Old Face"/>
          <w:b/>
          <w:bCs/>
          <w:i/>
          <w:iCs/>
        </w:rPr>
      </w:pPr>
      <w:r w:rsidRPr="00B479AE">
        <w:rPr>
          <w:rFonts w:ascii="Baskerville Old Face" w:hAnsi="Baskerville Old Face"/>
          <w:b/>
          <w:bCs/>
          <w:i/>
          <w:iCs/>
        </w:rPr>
        <w:t>O.7 Scenario Envelope</w:t>
      </w:r>
    </w:p>
    <w:p w14:paraId="10E20BA8"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following scenario envelope is illustrative.</w:t>
      </w:r>
    </w:p>
    <w:p w14:paraId="4AE5E49A"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is not a financial forecast.</w:t>
      </w:r>
    </w:p>
    <w:p w14:paraId="707FC71A"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is not an underwriting model.</w:t>
      </w:r>
    </w:p>
    <w:p w14:paraId="7106248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is not a capital commitment.</w:t>
      </w:r>
    </w:p>
    <w:p w14:paraId="13B37701" w14:textId="1C6C99B8" w:rsidR="000172EA"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is not a public-budget recommendation.</w:t>
      </w:r>
      <w:r w:rsidR="007A3FC5">
        <w:rPr>
          <w:rFonts w:ascii="Baskerville Old Face" w:hAnsi="Baskerville Old Face"/>
          <w:i/>
          <w:iCs/>
        </w:rPr>
        <w:t xml:space="preserve"> </w:t>
      </w:r>
    </w:p>
    <w:p w14:paraId="19491F9A" w14:textId="77777777" w:rsidR="007A3FC5" w:rsidRPr="00B479AE" w:rsidRDefault="007A3FC5" w:rsidP="000172EA">
      <w:pPr>
        <w:tabs>
          <w:tab w:val="left" w:pos="1440"/>
        </w:tabs>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3"/>
        <w:gridCol w:w="5135"/>
        <w:gridCol w:w="3030"/>
      </w:tblGrid>
      <w:tr w:rsidR="000172EA" w:rsidRPr="00B479AE" w14:paraId="7BDBB769" w14:textId="77777777" w:rsidTr="000172EA">
        <w:trPr>
          <w:tblHeader/>
          <w:tblCellSpacing w:w="15" w:type="dxa"/>
        </w:trPr>
        <w:tc>
          <w:tcPr>
            <w:tcW w:w="0" w:type="auto"/>
            <w:vAlign w:val="center"/>
            <w:hideMark/>
          </w:tcPr>
          <w:p w14:paraId="66E92ADE" w14:textId="77777777" w:rsidR="000172EA" w:rsidRPr="00B479AE" w:rsidRDefault="000172EA" w:rsidP="000172EA">
            <w:pPr>
              <w:tabs>
                <w:tab w:val="left" w:pos="1440"/>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Scenario layer</w:t>
            </w:r>
          </w:p>
        </w:tc>
        <w:tc>
          <w:tcPr>
            <w:tcW w:w="0" w:type="auto"/>
            <w:vAlign w:val="center"/>
            <w:hideMark/>
          </w:tcPr>
          <w:p w14:paraId="1A1E67C2" w14:textId="77777777" w:rsidR="000172EA" w:rsidRPr="00B479AE" w:rsidRDefault="000172EA" w:rsidP="000172EA">
            <w:pPr>
              <w:tabs>
                <w:tab w:val="left" w:pos="1440"/>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Conservative interpretation</w:t>
            </w:r>
          </w:p>
        </w:tc>
        <w:tc>
          <w:tcPr>
            <w:tcW w:w="0" w:type="auto"/>
            <w:vAlign w:val="center"/>
            <w:hideMark/>
          </w:tcPr>
          <w:p w14:paraId="1B7F408A" w14:textId="77777777" w:rsidR="000172EA" w:rsidRPr="00B479AE" w:rsidRDefault="000172EA" w:rsidP="000172EA">
            <w:pPr>
              <w:tabs>
                <w:tab w:val="left" w:pos="1440"/>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Boundary</w:t>
            </w:r>
          </w:p>
        </w:tc>
      </w:tr>
      <w:tr w:rsidR="000172EA" w:rsidRPr="00B479AE" w14:paraId="35443D54" w14:textId="77777777" w:rsidTr="000172EA">
        <w:trPr>
          <w:tblCellSpacing w:w="15" w:type="dxa"/>
        </w:trPr>
        <w:tc>
          <w:tcPr>
            <w:tcW w:w="0" w:type="auto"/>
            <w:vAlign w:val="center"/>
            <w:hideMark/>
          </w:tcPr>
          <w:p w14:paraId="371829B6"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Downstream cost pools</w:t>
            </w:r>
          </w:p>
        </w:tc>
        <w:tc>
          <w:tcPr>
            <w:tcW w:w="0" w:type="auto"/>
            <w:vAlign w:val="center"/>
            <w:hideMark/>
          </w:tcPr>
          <w:p w14:paraId="3504FA9E"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Healthcare, food-system inefficiency, ecological degradation, disaster response, insurance losses, remediation, and resilience spending represent very large annual expenditure pools</w:t>
            </w:r>
          </w:p>
        </w:tc>
        <w:tc>
          <w:tcPr>
            <w:tcW w:w="0" w:type="auto"/>
            <w:vAlign w:val="center"/>
            <w:hideMark/>
          </w:tcPr>
          <w:p w14:paraId="1B0F4E86"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Exact values depend on jurisdiction, source, methodology, and perimeter</w:t>
            </w:r>
          </w:p>
        </w:tc>
      </w:tr>
      <w:tr w:rsidR="000172EA" w:rsidRPr="00B479AE" w14:paraId="6370FEDB" w14:textId="77777777" w:rsidTr="000172EA">
        <w:trPr>
          <w:tblCellSpacing w:w="15" w:type="dxa"/>
        </w:trPr>
        <w:tc>
          <w:tcPr>
            <w:tcW w:w="0" w:type="auto"/>
            <w:vAlign w:val="center"/>
            <w:hideMark/>
          </w:tcPr>
          <w:p w14:paraId="15F18068"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Reallocation assumption</w:t>
            </w:r>
          </w:p>
        </w:tc>
        <w:tc>
          <w:tcPr>
            <w:tcW w:w="0" w:type="auto"/>
            <w:vAlign w:val="center"/>
            <w:hideMark/>
          </w:tcPr>
          <w:p w14:paraId="6CD7D4CB"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Low-single-digit reallocation from downstream cost management toward upstream regenerative infrastructure</w:t>
            </w:r>
          </w:p>
        </w:tc>
        <w:tc>
          <w:tcPr>
            <w:tcW w:w="0" w:type="auto"/>
            <w:vAlign w:val="center"/>
            <w:hideMark/>
          </w:tcPr>
          <w:p w14:paraId="2F0B66BC"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Scenario logic only; not a policy claim</w:t>
            </w:r>
          </w:p>
        </w:tc>
      </w:tr>
      <w:tr w:rsidR="000172EA" w:rsidRPr="00B479AE" w14:paraId="5230F2F1" w14:textId="77777777" w:rsidTr="000172EA">
        <w:trPr>
          <w:tblCellSpacing w:w="15" w:type="dxa"/>
        </w:trPr>
        <w:tc>
          <w:tcPr>
            <w:tcW w:w="0" w:type="auto"/>
            <w:vAlign w:val="center"/>
            <w:hideMark/>
          </w:tcPr>
          <w:p w14:paraId="00EDF91F"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Capital magnitude</w:t>
            </w:r>
          </w:p>
        </w:tc>
        <w:tc>
          <w:tcPr>
            <w:tcW w:w="0" w:type="auto"/>
            <w:vAlign w:val="center"/>
            <w:hideMark/>
          </w:tcPr>
          <w:p w14:paraId="447ABA68"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Potentially tens to hundreds of billions globally under broad assumptions</w:t>
            </w:r>
          </w:p>
        </w:tc>
        <w:tc>
          <w:tcPr>
            <w:tcW w:w="0" w:type="auto"/>
            <w:vAlign w:val="center"/>
            <w:hideMark/>
          </w:tcPr>
          <w:p w14:paraId="334DFEB3"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Not automatically available or allocable</w:t>
            </w:r>
          </w:p>
        </w:tc>
      </w:tr>
      <w:tr w:rsidR="000172EA" w:rsidRPr="00B479AE" w14:paraId="0D62BF63" w14:textId="77777777" w:rsidTr="000172EA">
        <w:trPr>
          <w:tblCellSpacing w:w="15" w:type="dxa"/>
        </w:trPr>
        <w:tc>
          <w:tcPr>
            <w:tcW w:w="0" w:type="auto"/>
            <w:vAlign w:val="center"/>
            <w:hideMark/>
          </w:tcPr>
          <w:p w14:paraId="3AE4E031"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Deployment target</w:t>
            </w:r>
          </w:p>
        </w:tc>
        <w:tc>
          <w:tcPr>
            <w:tcW w:w="0" w:type="auto"/>
            <w:vAlign w:val="center"/>
            <w:hideMark/>
          </w:tcPr>
          <w:p w14:paraId="79798D11"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OHE-compatible systems, regenerative food infrastructure, soil and water systems, MRV infrastructure, stewardship training, local production, resilience programs</w:t>
            </w:r>
          </w:p>
        </w:tc>
        <w:tc>
          <w:tcPr>
            <w:tcW w:w="0" w:type="auto"/>
            <w:vAlign w:val="center"/>
            <w:hideMark/>
          </w:tcPr>
          <w:p w14:paraId="4725BA24"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Deployment depends on local design, governance, water, land access, operators, and evidence</w:t>
            </w:r>
          </w:p>
        </w:tc>
      </w:tr>
      <w:tr w:rsidR="000172EA" w:rsidRPr="00B479AE" w14:paraId="5BEA8F5B" w14:textId="77777777" w:rsidTr="000172EA">
        <w:trPr>
          <w:tblCellSpacing w:w="15" w:type="dxa"/>
        </w:trPr>
        <w:tc>
          <w:tcPr>
            <w:tcW w:w="0" w:type="auto"/>
            <w:vAlign w:val="center"/>
            <w:hideMark/>
          </w:tcPr>
          <w:p w14:paraId="2054F74F"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PRU role</w:t>
            </w:r>
          </w:p>
        </w:tc>
        <w:tc>
          <w:tcPr>
            <w:tcW w:w="0" w:type="auto"/>
            <w:vAlign w:val="center"/>
            <w:hideMark/>
          </w:tcPr>
          <w:p w14:paraId="76A049F8"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PRU value-analysis logic may help classify verified regenerative performance and support capital-readiness review</w:t>
            </w:r>
          </w:p>
        </w:tc>
        <w:tc>
          <w:tcPr>
            <w:tcW w:w="0" w:type="auto"/>
            <w:vAlign w:val="center"/>
            <w:hideMark/>
          </w:tcPr>
          <w:p w14:paraId="7E4298BD"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PRU does not create value, rights, credit, or financing by itself</w:t>
            </w:r>
          </w:p>
        </w:tc>
      </w:tr>
      <w:tr w:rsidR="000172EA" w:rsidRPr="00B479AE" w14:paraId="1BCD628B" w14:textId="77777777" w:rsidTr="000172EA">
        <w:trPr>
          <w:tblCellSpacing w:w="15" w:type="dxa"/>
        </w:trPr>
        <w:tc>
          <w:tcPr>
            <w:tcW w:w="0" w:type="auto"/>
            <w:vAlign w:val="center"/>
            <w:hideMark/>
          </w:tcPr>
          <w:p w14:paraId="508A8A46"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Capital pathway</w:t>
            </w:r>
          </w:p>
        </w:tc>
        <w:tc>
          <w:tcPr>
            <w:tcW w:w="0" w:type="auto"/>
            <w:vAlign w:val="center"/>
            <w:hideMark/>
          </w:tcPr>
          <w:p w14:paraId="6DE76EB4"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Public procurement, insurer partnerships, food-as-medicine programs, blended finance, private credit, municipal resilience, rural development, philanthropic capital, infrastructure finance</w:t>
            </w:r>
          </w:p>
        </w:tc>
        <w:tc>
          <w:tcPr>
            <w:tcW w:w="0" w:type="auto"/>
            <w:vAlign w:val="center"/>
            <w:hideMark/>
          </w:tcPr>
          <w:p w14:paraId="628ECFF9"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Requires legal, institutional, MRV, and governance structuring</w:t>
            </w:r>
          </w:p>
        </w:tc>
      </w:tr>
      <w:tr w:rsidR="000172EA" w:rsidRPr="00B479AE" w14:paraId="3301F193" w14:textId="77777777" w:rsidTr="000172EA">
        <w:trPr>
          <w:tblCellSpacing w:w="15" w:type="dxa"/>
        </w:trPr>
        <w:tc>
          <w:tcPr>
            <w:tcW w:w="0" w:type="auto"/>
            <w:vAlign w:val="center"/>
            <w:hideMark/>
          </w:tcPr>
          <w:p w14:paraId="314A353B"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Risk boundary</w:t>
            </w:r>
          </w:p>
        </w:tc>
        <w:tc>
          <w:tcPr>
            <w:tcW w:w="0" w:type="auto"/>
            <w:vAlign w:val="center"/>
            <w:hideMark/>
          </w:tcPr>
          <w:p w14:paraId="06E8DDE5"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Reallocation does not guarantee health savings, ecological improvement, financial return, or public reimbursement</w:t>
            </w:r>
          </w:p>
        </w:tc>
        <w:tc>
          <w:tcPr>
            <w:tcW w:w="0" w:type="auto"/>
            <w:vAlign w:val="center"/>
            <w:hideMark/>
          </w:tcPr>
          <w:p w14:paraId="2E955C48"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Evidence, methodology, governance, and legal review remain required</w:t>
            </w:r>
          </w:p>
        </w:tc>
      </w:tr>
    </w:tbl>
    <w:p w14:paraId="6C9D6FD0"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purpose of this table is to support institutional scale awareness without converting scenario logic into a claim of automatic feasibility.</w:t>
      </w:r>
    </w:p>
    <w:p w14:paraId="6ED76F7A" w14:textId="77777777" w:rsidR="000172EA" w:rsidRPr="00B479AE" w:rsidRDefault="000172EA" w:rsidP="000172EA">
      <w:pPr>
        <w:tabs>
          <w:tab w:val="left" w:pos="1440"/>
        </w:tabs>
        <w:spacing w:line="360" w:lineRule="auto"/>
        <w:rPr>
          <w:rFonts w:ascii="Baskerville Old Face" w:hAnsi="Baskerville Old Face"/>
          <w:b/>
          <w:bCs/>
          <w:i/>
          <w:iCs/>
        </w:rPr>
      </w:pPr>
      <w:r w:rsidRPr="00B479AE">
        <w:rPr>
          <w:rFonts w:ascii="Baskerville Old Face" w:hAnsi="Baskerville Old Face"/>
          <w:b/>
          <w:bCs/>
          <w:i/>
          <w:iCs/>
        </w:rPr>
        <w:t>O.8 Capital Efficiency Comparison</w:t>
      </w:r>
    </w:p>
    <w:p w14:paraId="59DC915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Different allocation pathways generate different systemic outcomes.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0"/>
        <w:gridCol w:w="2568"/>
        <w:gridCol w:w="2682"/>
        <w:gridCol w:w="2648"/>
      </w:tblGrid>
      <w:tr w:rsidR="000172EA" w:rsidRPr="00B479AE" w14:paraId="38BC77EF" w14:textId="77777777" w:rsidTr="000172EA">
        <w:trPr>
          <w:tblHeader/>
          <w:tblCellSpacing w:w="15" w:type="dxa"/>
        </w:trPr>
        <w:tc>
          <w:tcPr>
            <w:tcW w:w="0" w:type="auto"/>
            <w:vAlign w:val="center"/>
            <w:hideMark/>
          </w:tcPr>
          <w:p w14:paraId="7DC04703" w14:textId="77777777" w:rsidR="000172EA" w:rsidRPr="00B479AE" w:rsidRDefault="000172EA" w:rsidP="000172EA">
            <w:pPr>
              <w:tabs>
                <w:tab w:val="left" w:pos="1440"/>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Allocation type</w:t>
            </w:r>
          </w:p>
        </w:tc>
        <w:tc>
          <w:tcPr>
            <w:tcW w:w="0" w:type="auto"/>
            <w:vAlign w:val="center"/>
            <w:hideMark/>
          </w:tcPr>
          <w:p w14:paraId="547135D3" w14:textId="77777777" w:rsidR="000172EA" w:rsidRPr="00B479AE" w:rsidRDefault="000172EA" w:rsidP="000172EA">
            <w:pPr>
              <w:tabs>
                <w:tab w:val="left" w:pos="1440"/>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Primary function</w:t>
            </w:r>
          </w:p>
        </w:tc>
        <w:tc>
          <w:tcPr>
            <w:tcW w:w="0" w:type="auto"/>
            <w:vAlign w:val="center"/>
            <w:hideMark/>
          </w:tcPr>
          <w:p w14:paraId="162AC3AF" w14:textId="77777777" w:rsidR="000172EA" w:rsidRPr="00B479AE" w:rsidRDefault="000172EA" w:rsidP="000172EA">
            <w:pPr>
              <w:tabs>
                <w:tab w:val="left" w:pos="1440"/>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Typical limitation</w:t>
            </w:r>
          </w:p>
        </w:tc>
        <w:tc>
          <w:tcPr>
            <w:tcW w:w="0" w:type="auto"/>
            <w:vAlign w:val="center"/>
            <w:hideMark/>
          </w:tcPr>
          <w:p w14:paraId="01A1D6DC" w14:textId="77777777" w:rsidR="000172EA" w:rsidRPr="00B479AE" w:rsidRDefault="000172EA" w:rsidP="000172EA">
            <w:pPr>
              <w:tabs>
                <w:tab w:val="left" w:pos="1440"/>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Prometheus interpretation</w:t>
            </w:r>
          </w:p>
        </w:tc>
      </w:tr>
      <w:tr w:rsidR="000172EA" w:rsidRPr="00B479AE" w14:paraId="209F134F" w14:textId="77777777" w:rsidTr="000172EA">
        <w:trPr>
          <w:tblCellSpacing w:w="15" w:type="dxa"/>
        </w:trPr>
        <w:tc>
          <w:tcPr>
            <w:tcW w:w="0" w:type="auto"/>
            <w:vAlign w:val="center"/>
            <w:hideMark/>
          </w:tcPr>
          <w:p w14:paraId="3151E6A4"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Reactive healthcare</w:t>
            </w:r>
          </w:p>
        </w:tc>
        <w:tc>
          <w:tcPr>
            <w:tcW w:w="0" w:type="auto"/>
            <w:vAlign w:val="center"/>
            <w:hideMark/>
          </w:tcPr>
          <w:p w14:paraId="2E09E637"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Treats disease and manages health burden after it appears</w:t>
            </w:r>
          </w:p>
        </w:tc>
        <w:tc>
          <w:tcPr>
            <w:tcW w:w="0" w:type="auto"/>
            <w:vAlign w:val="center"/>
            <w:hideMark/>
          </w:tcPr>
          <w:p w14:paraId="4CD18E24"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Often downstream, expensive, and structurally recurring</w:t>
            </w:r>
          </w:p>
        </w:tc>
        <w:tc>
          <w:tcPr>
            <w:tcW w:w="0" w:type="auto"/>
            <w:vAlign w:val="center"/>
            <w:hideMark/>
          </w:tcPr>
          <w:p w14:paraId="1E46E3D5"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Necessary, but insufficient if upstream causes remain unaddressed</w:t>
            </w:r>
          </w:p>
        </w:tc>
      </w:tr>
      <w:tr w:rsidR="000172EA" w:rsidRPr="00B479AE" w14:paraId="3CF521EF" w14:textId="77777777" w:rsidTr="000172EA">
        <w:trPr>
          <w:tblCellSpacing w:w="15" w:type="dxa"/>
        </w:trPr>
        <w:tc>
          <w:tcPr>
            <w:tcW w:w="0" w:type="auto"/>
            <w:vAlign w:val="center"/>
            <w:hideMark/>
          </w:tcPr>
          <w:p w14:paraId="11B488A1"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Industrial agriculture</w:t>
            </w:r>
          </w:p>
        </w:tc>
        <w:tc>
          <w:tcPr>
            <w:tcW w:w="0" w:type="auto"/>
            <w:vAlign w:val="center"/>
            <w:hideMark/>
          </w:tcPr>
          <w:p w14:paraId="55EA548A"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Produces large volumes of food and commodities</w:t>
            </w:r>
          </w:p>
        </w:tc>
        <w:tc>
          <w:tcPr>
            <w:tcW w:w="0" w:type="auto"/>
            <w:vAlign w:val="center"/>
            <w:hideMark/>
          </w:tcPr>
          <w:p w14:paraId="19BA19FC"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Can externalize soil, water, biodiversity, nutrition, and health costs</w:t>
            </w:r>
          </w:p>
        </w:tc>
        <w:tc>
          <w:tcPr>
            <w:tcW w:w="0" w:type="auto"/>
            <w:vAlign w:val="center"/>
            <w:hideMark/>
          </w:tcPr>
          <w:p w14:paraId="1383A8F3"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Productive, but often ecologically and metabolically incomplete</w:t>
            </w:r>
          </w:p>
        </w:tc>
      </w:tr>
      <w:tr w:rsidR="000172EA" w:rsidRPr="00B479AE" w14:paraId="11D85075" w14:textId="77777777" w:rsidTr="000172EA">
        <w:trPr>
          <w:tblCellSpacing w:w="15" w:type="dxa"/>
        </w:trPr>
        <w:tc>
          <w:tcPr>
            <w:tcW w:w="0" w:type="auto"/>
            <w:vAlign w:val="center"/>
            <w:hideMark/>
          </w:tcPr>
          <w:p w14:paraId="23239562"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Extractive infrastructure</w:t>
            </w:r>
          </w:p>
        </w:tc>
        <w:tc>
          <w:tcPr>
            <w:tcW w:w="0" w:type="auto"/>
            <w:vAlign w:val="center"/>
            <w:hideMark/>
          </w:tcPr>
          <w:p w14:paraId="272695FD"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Generates output from resource extraction and linear production</w:t>
            </w:r>
          </w:p>
        </w:tc>
        <w:tc>
          <w:tcPr>
            <w:tcW w:w="0" w:type="auto"/>
            <w:vAlign w:val="center"/>
            <w:hideMark/>
          </w:tcPr>
          <w:p w14:paraId="0E54C608"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May degrade the ecological base of future productivity</w:t>
            </w:r>
          </w:p>
        </w:tc>
        <w:tc>
          <w:tcPr>
            <w:tcW w:w="0" w:type="auto"/>
            <w:vAlign w:val="center"/>
            <w:hideMark/>
          </w:tcPr>
          <w:p w14:paraId="653DE072"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Short-term output may weaken long-term resilience</w:t>
            </w:r>
          </w:p>
        </w:tc>
      </w:tr>
      <w:tr w:rsidR="000172EA" w:rsidRPr="00B479AE" w14:paraId="22633EB0" w14:textId="77777777" w:rsidTr="000172EA">
        <w:trPr>
          <w:tblCellSpacing w:w="15" w:type="dxa"/>
        </w:trPr>
        <w:tc>
          <w:tcPr>
            <w:tcW w:w="0" w:type="auto"/>
            <w:vAlign w:val="center"/>
            <w:hideMark/>
          </w:tcPr>
          <w:p w14:paraId="32934038"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Regenerative OHE / PRU logic</w:t>
            </w:r>
          </w:p>
        </w:tc>
        <w:tc>
          <w:tcPr>
            <w:tcW w:w="0" w:type="auto"/>
            <w:vAlign w:val="center"/>
            <w:hideMark/>
          </w:tcPr>
          <w:p w14:paraId="56136229"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Builds productive ecological capacity while generating evidence</w:t>
            </w:r>
          </w:p>
        </w:tc>
        <w:tc>
          <w:tcPr>
            <w:tcW w:w="0" w:type="auto"/>
            <w:vAlign w:val="center"/>
            <w:hideMark/>
          </w:tcPr>
          <w:p w14:paraId="40A9931D"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Requires design quality, stewardship, MRV, and institutional adoption</w:t>
            </w:r>
          </w:p>
        </w:tc>
        <w:tc>
          <w:tcPr>
            <w:tcW w:w="0" w:type="auto"/>
            <w:vAlign w:val="center"/>
            <w:hideMark/>
          </w:tcPr>
          <w:p w14:paraId="447D9FAB"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Potential upstream infrastructure for reducing future fragility</w:t>
            </w:r>
          </w:p>
        </w:tc>
      </w:tr>
    </w:tbl>
    <w:p w14:paraId="54689810"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structural difference is:</w:t>
      </w:r>
    </w:p>
    <w:p w14:paraId="4B9E8B8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reactive systems absorb cost;</w:t>
      </w:r>
    </w:p>
    <w:p w14:paraId="1C5AD11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extractive systems may create externalities;</w:t>
      </w:r>
    </w:p>
    <w:p w14:paraId="6313670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regenerative systems may increase living capacity while reducing future system fragility.</w:t>
      </w:r>
    </w:p>
    <w:p w14:paraId="7A640F97"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A PRU should not be described as automatically reducing future system costs.</w:t>
      </w:r>
    </w:p>
    <w:p w14:paraId="6BB71FD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stronger formulation is:</w:t>
      </w:r>
    </w:p>
    <w:p w14:paraId="6B4CA0D1"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PRU logic may help identify, measure, classify, and report verified regenerative performance that could reduce future system costs where evidence, methodology, institutional arrangements, and legal structures support such interpretation.</w:t>
      </w:r>
    </w:p>
    <w:p w14:paraId="75C2508F" w14:textId="77777777" w:rsidR="000172EA" w:rsidRPr="00B479AE" w:rsidRDefault="000172EA" w:rsidP="000172EA">
      <w:pPr>
        <w:tabs>
          <w:tab w:val="left" w:pos="1440"/>
        </w:tabs>
        <w:spacing w:line="360" w:lineRule="auto"/>
        <w:rPr>
          <w:rFonts w:ascii="Baskerville Old Face" w:hAnsi="Baskerville Old Face"/>
          <w:b/>
          <w:bCs/>
          <w:i/>
          <w:iCs/>
        </w:rPr>
      </w:pPr>
      <w:r w:rsidRPr="00B479AE">
        <w:rPr>
          <w:rFonts w:ascii="Baskerville Old Face" w:hAnsi="Baskerville Old Face"/>
          <w:b/>
          <w:bCs/>
          <w:i/>
          <w:iCs/>
        </w:rPr>
        <w:t>O.9 PRU Role in Capital Reallocation</w:t>
      </w:r>
    </w:p>
    <w:p w14:paraId="3A9967A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PRU is central to the capital-reallocation thesis, but not because it creates value by itself.</w:t>
      </w:r>
    </w:p>
    <w:p w14:paraId="2A2B16B7"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living system generates regenerative performance.</w:t>
      </w:r>
    </w:p>
    <w:p w14:paraId="52132D2A"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MRV makes that performance observable and reviewable.</w:t>
      </w:r>
    </w:p>
    <w:p w14:paraId="44B8976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PRU provides the analytical interface through which verified regenerative performance may become comparable, maturity-classified, capital-readable, and potentially eligible for further diligence.</w:t>
      </w:r>
    </w:p>
    <w:p w14:paraId="7895EB0A"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In a capital-reallocation context, PRU logic may help institutions ask:</w:t>
      </w:r>
    </w:p>
    <w:p w14:paraId="2A66D28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what regenerative performance exists;</w:t>
      </w:r>
    </w:p>
    <w:p w14:paraId="45A81EB3"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what evidence supports it;</w:t>
      </w:r>
    </w:p>
    <w:p w14:paraId="5DAE8AB3"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what methodology applies;</w:t>
      </w:r>
    </w:p>
    <w:p w14:paraId="0C0BCE6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what confidence level is justified;</w:t>
      </w:r>
    </w:p>
    <w:p w14:paraId="3BFAAD19"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what maturity class applies;</w:t>
      </w:r>
    </w:p>
    <w:p w14:paraId="1ACF63D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what risk remains;</w:t>
      </w:r>
    </w:p>
    <w:p w14:paraId="2135D4B9"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what legal structure is required;</w:t>
      </w:r>
    </w:p>
    <w:p w14:paraId="292E77BA"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what value pathways are admissible;</w:t>
      </w:r>
    </w:p>
    <w:p w14:paraId="76B3EF1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what capital pathway is appropriate.</w:t>
      </w:r>
    </w:p>
    <w:p w14:paraId="6FE81AFF"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This makes the PRU a discipline of translation.</w:t>
      </w:r>
    </w:p>
    <w:p w14:paraId="36609A27"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translates verified regenerative performance into institutional language without turning ecological improvement into automatic financial entitlement.</w:t>
      </w:r>
    </w:p>
    <w:p w14:paraId="3306AB3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correct sequence is:</w:t>
      </w:r>
    </w:p>
    <w:p w14:paraId="21E2A5F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xml:space="preserve">downstream cost pool </w:t>
      </w:r>
      <w:r w:rsidRPr="00B479AE">
        <w:rPr>
          <w:rFonts w:ascii="Times New Roman" w:hAnsi="Times New Roman" w:cs="Times New Roman"/>
          <w:i/>
          <w:iCs/>
        </w:rPr>
        <w:t>→</w:t>
      </w:r>
      <w:r w:rsidRPr="00B479AE">
        <w:rPr>
          <w:rFonts w:ascii="Baskerville Old Face" w:hAnsi="Baskerville Old Face"/>
          <w:i/>
          <w:iCs/>
        </w:rPr>
        <w:t xml:space="preserve"> upstream regenerative deployment </w:t>
      </w:r>
      <w:r w:rsidRPr="00B479AE">
        <w:rPr>
          <w:rFonts w:ascii="Times New Roman" w:hAnsi="Times New Roman" w:cs="Times New Roman"/>
          <w:i/>
          <w:iCs/>
        </w:rPr>
        <w:t>→</w:t>
      </w:r>
      <w:r w:rsidRPr="00B479AE">
        <w:rPr>
          <w:rFonts w:ascii="Baskerville Old Face" w:hAnsi="Baskerville Old Face"/>
          <w:i/>
          <w:iCs/>
        </w:rPr>
        <w:t xml:space="preserve"> MRV evidence </w:t>
      </w:r>
      <w:r w:rsidRPr="00B479AE">
        <w:rPr>
          <w:rFonts w:ascii="Times New Roman" w:hAnsi="Times New Roman" w:cs="Times New Roman"/>
          <w:i/>
          <w:iCs/>
        </w:rPr>
        <w:t>→</w:t>
      </w:r>
      <w:r w:rsidRPr="00B479AE">
        <w:rPr>
          <w:rFonts w:ascii="Baskerville Old Face" w:hAnsi="Baskerville Old Face"/>
          <w:i/>
          <w:iCs/>
        </w:rPr>
        <w:t xml:space="preserve"> PRU value analysis </w:t>
      </w:r>
      <w:r w:rsidRPr="00B479AE">
        <w:rPr>
          <w:rFonts w:ascii="Times New Roman" w:hAnsi="Times New Roman" w:cs="Times New Roman"/>
          <w:i/>
          <w:iCs/>
        </w:rPr>
        <w:t>→</w:t>
      </w:r>
      <w:r w:rsidRPr="00B479AE">
        <w:rPr>
          <w:rFonts w:ascii="Baskerville Old Face" w:hAnsi="Baskerville Old Face"/>
          <w:i/>
          <w:iCs/>
        </w:rPr>
        <w:t xml:space="preserve"> maturity classification </w:t>
      </w:r>
      <w:r w:rsidRPr="00B479AE">
        <w:rPr>
          <w:rFonts w:ascii="Times New Roman" w:hAnsi="Times New Roman" w:cs="Times New Roman"/>
          <w:i/>
          <w:iCs/>
        </w:rPr>
        <w:t>→</w:t>
      </w:r>
      <w:r w:rsidRPr="00B479AE">
        <w:rPr>
          <w:rFonts w:ascii="Baskerville Old Face" w:hAnsi="Baskerville Old Face"/>
          <w:i/>
          <w:iCs/>
        </w:rPr>
        <w:t xml:space="preserve"> capital-readiness review </w:t>
      </w:r>
      <w:r w:rsidRPr="00B479AE">
        <w:rPr>
          <w:rFonts w:ascii="Times New Roman" w:hAnsi="Times New Roman" w:cs="Times New Roman"/>
          <w:i/>
          <w:iCs/>
        </w:rPr>
        <w:t>→</w:t>
      </w:r>
      <w:r w:rsidRPr="00B479AE">
        <w:rPr>
          <w:rFonts w:ascii="Baskerville Old Face" w:hAnsi="Baskerville Old Face"/>
          <w:i/>
          <w:iCs/>
        </w:rPr>
        <w:t xml:space="preserve"> legal or institutional pathway where applicable.</w:t>
      </w:r>
    </w:p>
    <w:p w14:paraId="0F0681F3" w14:textId="77777777" w:rsidR="000172EA" w:rsidRPr="00B479AE" w:rsidRDefault="000172EA" w:rsidP="000172EA">
      <w:pPr>
        <w:tabs>
          <w:tab w:val="left" w:pos="1440"/>
        </w:tabs>
        <w:spacing w:line="360" w:lineRule="auto"/>
        <w:rPr>
          <w:rFonts w:ascii="Baskerville Old Face" w:hAnsi="Baskerville Old Face"/>
          <w:b/>
          <w:bCs/>
          <w:i/>
          <w:iCs/>
        </w:rPr>
      </w:pPr>
      <w:r w:rsidRPr="00B479AE">
        <w:rPr>
          <w:rFonts w:ascii="Baskerville Old Face" w:hAnsi="Baskerville Old Face"/>
          <w:b/>
          <w:bCs/>
          <w:i/>
          <w:iCs/>
        </w:rPr>
        <w:t>O.10 System-Level Feedback Loop</w:t>
      </w:r>
    </w:p>
    <w:p w14:paraId="07B4131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Regenerative capital allocation may create a reinforcing cycle.</w:t>
      </w:r>
    </w:p>
    <w:p w14:paraId="224DC5C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conceptual sequence is:</w:t>
      </w:r>
    </w:p>
    <w:p w14:paraId="1CA859E1"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regenerative deployment;</w:t>
      </w:r>
    </w:p>
    <w:p w14:paraId="018CBB4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improved food and ecological conditions;</w:t>
      </w:r>
    </w:p>
    <w:p w14:paraId="0EF91831"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stronger soil, water, and biodiversity function;</w:t>
      </w:r>
    </w:p>
    <w:p w14:paraId="0521C647"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greater local productive capacity;</w:t>
      </w:r>
    </w:p>
    <w:p w14:paraId="7BC052CA"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better resilience and reduced dependency;</w:t>
      </w:r>
    </w:p>
    <w:p w14:paraId="1C35126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possible preventive-health and community benefits;</w:t>
      </w:r>
    </w:p>
    <w:p w14:paraId="3B0F8A6D"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lower downstream fragility where evidence supports it;</w:t>
      </w:r>
    </w:p>
    <w:p w14:paraId="5E3E5A5A"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more credible institutional reporting;</w:t>
      </w:r>
    </w:p>
    <w:p w14:paraId="191D17F9"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greater capital-readiness;</w:t>
      </w:r>
    </w:p>
    <w:p w14:paraId="0C2D66CE"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further regenerative investment.</w:t>
      </w:r>
    </w:p>
    <w:p w14:paraId="44CD9AEB"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simplified feedback loop is:</w:t>
      </w:r>
    </w:p>
    <w:p w14:paraId="1EBCF80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xml:space="preserve">regeneration </w:t>
      </w:r>
      <w:r w:rsidRPr="00B479AE">
        <w:rPr>
          <w:rFonts w:ascii="Times New Roman" w:hAnsi="Times New Roman" w:cs="Times New Roman"/>
          <w:i/>
          <w:iCs/>
        </w:rPr>
        <w:t>→</w:t>
      </w:r>
      <w:r w:rsidRPr="00B479AE">
        <w:rPr>
          <w:rFonts w:ascii="Baskerville Old Face" w:hAnsi="Baskerville Old Face"/>
          <w:i/>
          <w:iCs/>
        </w:rPr>
        <w:t xml:space="preserve"> resilience </w:t>
      </w:r>
      <w:r w:rsidRPr="00B479AE">
        <w:rPr>
          <w:rFonts w:ascii="Times New Roman" w:hAnsi="Times New Roman" w:cs="Times New Roman"/>
          <w:i/>
          <w:iCs/>
        </w:rPr>
        <w:t>→</w:t>
      </w:r>
      <w:r w:rsidRPr="00B479AE">
        <w:rPr>
          <w:rFonts w:ascii="Baskerville Old Face" w:hAnsi="Baskerville Old Face"/>
          <w:i/>
          <w:iCs/>
        </w:rPr>
        <w:t xml:space="preserve"> reduced fragility </w:t>
      </w:r>
      <w:r w:rsidRPr="00B479AE">
        <w:rPr>
          <w:rFonts w:ascii="Times New Roman" w:hAnsi="Times New Roman" w:cs="Times New Roman"/>
          <w:i/>
          <w:iCs/>
        </w:rPr>
        <w:t>→</w:t>
      </w:r>
      <w:r w:rsidRPr="00B479AE">
        <w:rPr>
          <w:rFonts w:ascii="Baskerville Old Face" w:hAnsi="Baskerville Old Face"/>
          <w:i/>
          <w:iCs/>
        </w:rPr>
        <w:t xml:space="preserve"> institutional confidence </w:t>
      </w:r>
      <w:r w:rsidRPr="00B479AE">
        <w:rPr>
          <w:rFonts w:ascii="Times New Roman" w:hAnsi="Times New Roman" w:cs="Times New Roman"/>
          <w:i/>
          <w:iCs/>
        </w:rPr>
        <w:t>→</w:t>
      </w:r>
      <w:r w:rsidRPr="00B479AE">
        <w:rPr>
          <w:rFonts w:ascii="Baskerville Old Face" w:hAnsi="Baskerville Old Face"/>
          <w:i/>
          <w:iCs/>
        </w:rPr>
        <w:t xml:space="preserve"> capital allocation </w:t>
      </w:r>
      <w:r w:rsidRPr="00B479AE">
        <w:rPr>
          <w:rFonts w:ascii="Times New Roman" w:hAnsi="Times New Roman" w:cs="Times New Roman"/>
          <w:i/>
          <w:iCs/>
        </w:rPr>
        <w:t>→</w:t>
      </w:r>
      <w:r w:rsidRPr="00B479AE">
        <w:rPr>
          <w:rFonts w:ascii="Baskerville Old Face" w:hAnsi="Baskerville Old Face"/>
          <w:i/>
          <w:iCs/>
        </w:rPr>
        <w:t xml:space="preserve"> further regeneration.</w:t>
      </w:r>
    </w:p>
    <w:p w14:paraId="5284B38F"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This loop is not automatic.</w:t>
      </w:r>
    </w:p>
    <w:p w14:paraId="47E94E90"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depends on evidence.</w:t>
      </w:r>
    </w:p>
    <w:p w14:paraId="5C77CD71"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depends on governance.</w:t>
      </w:r>
    </w:p>
    <w:p w14:paraId="7B114DCD"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depends on law.</w:t>
      </w:r>
    </w:p>
    <w:p w14:paraId="61E2A4EF"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depends on execution quality.</w:t>
      </w:r>
    </w:p>
    <w:p w14:paraId="4EDE619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depends on whether value pathways are real, documented, and admissible.</w:t>
      </w:r>
    </w:p>
    <w:p w14:paraId="4452552A"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Prometheus does not assume that regeneration automatically releases capital.</w:t>
      </w:r>
    </w:p>
    <w:p w14:paraId="259A0367"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proposes that verified regeneration may create the conditions under which capital can be reallocated more intelligently.</w:t>
      </w:r>
    </w:p>
    <w:p w14:paraId="20814369" w14:textId="77777777" w:rsidR="000172EA" w:rsidRPr="00B479AE" w:rsidRDefault="000172EA" w:rsidP="000172EA">
      <w:pPr>
        <w:tabs>
          <w:tab w:val="left" w:pos="1440"/>
        </w:tabs>
        <w:spacing w:line="360" w:lineRule="auto"/>
        <w:rPr>
          <w:rFonts w:ascii="Baskerville Old Face" w:hAnsi="Baskerville Old Face"/>
          <w:b/>
          <w:bCs/>
          <w:i/>
          <w:iCs/>
        </w:rPr>
      </w:pPr>
      <w:r w:rsidRPr="00B479AE">
        <w:rPr>
          <w:rFonts w:ascii="Baskerville Old Face" w:hAnsi="Baskerville Old Face"/>
          <w:b/>
          <w:bCs/>
          <w:i/>
          <w:iCs/>
        </w:rPr>
        <w:lastRenderedPageBreak/>
        <w:t>O.11 Financial Interpretation</w:t>
      </w:r>
    </w:p>
    <w:p w14:paraId="1A03E771"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From an institutional perspective, PRU-oriented deployment may be interpreted as:</w:t>
      </w:r>
    </w:p>
    <w:p w14:paraId="22D29ACA"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preventive infrastructure analysis;</w:t>
      </w:r>
    </w:p>
    <w:p w14:paraId="04890ED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ecological-risk reduction analysis;</w:t>
      </w:r>
    </w:p>
    <w:p w14:paraId="190A8D8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food-system resilience analysis;</w:t>
      </w:r>
    </w:p>
    <w:p w14:paraId="44E3EB20"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water-resilience analysis;</w:t>
      </w:r>
    </w:p>
    <w:p w14:paraId="76C01339"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productive-capacity analysis;</w:t>
      </w:r>
    </w:p>
    <w:p w14:paraId="41AE616D"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public-health-adjacent strategic analysis;</w:t>
      </w:r>
    </w:p>
    <w:p w14:paraId="59DC65D7"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multi-sector efficiency analysis;</w:t>
      </w:r>
    </w:p>
    <w:p w14:paraId="773BE1BD"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capital-readiness analysis.</w:t>
      </w:r>
    </w:p>
    <w:p w14:paraId="4F4FFA6F"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This does not mean PRUs are financial instruments by default.</w:t>
      </w:r>
    </w:p>
    <w:p w14:paraId="4A47480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means that PRU logic may help translate verified regenerative performance into language that capital allocators can evaluate.</w:t>
      </w:r>
    </w:p>
    <w:p w14:paraId="2BA2BD89"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correct financial interpretation is:</w:t>
      </w:r>
    </w:p>
    <w:p w14:paraId="1D4E02D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PRU analysis may inform capital allocation.</w:t>
      </w:r>
    </w:p>
    <w:p w14:paraId="54CEE1CB"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does not compel capital allocation.</w:t>
      </w:r>
    </w:p>
    <w:p w14:paraId="1FB908BB"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does not create investor rights.</w:t>
      </w:r>
    </w:p>
    <w:p w14:paraId="1890BB90"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does not create market price.</w:t>
      </w:r>
    </w:p>
    <w:p w14:paraId="03783DB0"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does not create public reimbursement.</w:t>
      </w:r>
    </w:p>
    <w:p w14:paraId="36E32928"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does not create securities status.</w:t>
      </w:r>
    </w:p>
    <w:p w14:paraId="43AEC16B"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does not create token issuance.</w:t>
      </w:r>
    </w:p>
    <w:p w14:paraId="223EF03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does not create collateral recognition.</w:t>
      </w:r>
    </w:p>
    <w:p w14:paraId="6391B58F"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Financial meaning remains downstream from evidence, admissibility, legal structure, underwriting, and institutional decision-making.</w:t>
      </w:r>
    </w:p>
    <w:p w14:paraId="67EF1167" w14:textId="77777777" w:rsidR="000172EA" w:rsidRPr="00B479AE" w:rsidRDefault="000172EA" w:rsidP="000172EA">
      <w:pPr>
        <w:tabs>
          <w:tab w:val="left" w:pos="1440"/>
        </w:tabs>
        <w:spacing w:line="360" w:lineRule="auto"/>
        <w:rPr>
          <w:rFonts w:ascii="Baskerville Old Face" w:hAnsi="Baskerville Old Face"/>
          <w:b/>
          <w:bCs/>
          <w:i/>
          <w:iCs/>
        </w:rPr>
      </w:pPr>
      <w:r w:rsidRPr="00B479AE">
        <w:rPr>
          <w:rFonts w:ascii="Baskerville Old Face" w:hAnsi="Baskerville Old Face"/>
          <w:b/>
          <w:bCs/>
          <w:i/>
          <w:iCs/>
        </w:rPr>
        <w:t>O.12 Strategic Positioning</w:t>
      </w:r>
    </w:p>
    <w:p w14:paraId="597B902E"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opportunity is not primarily to create new capital.</w:t>
      </w:r>
    </w:p>
    <w:p w14:paraId="745726E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opportunity is to improve the allocation of existing capital.</w:t>
      </w:r>
    </w:p>
    <w:p w14:paraId="4E7C3EDD"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Modern economies already spend vast amounts on:</w:t>
      </w:r>
    </w:p>
    <w:p w14:paraId="0F848120"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healthcare burden;</w:t>
      </w:r>
    </w:p>
    <w:p w14:paraId="695A5E1F"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food-system inefficiency;</w:t>
      </w:r>
    </w:p>
    <w:p w14:paraId="4AD9BFA0"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ecological degradation;</w:t>
      </w:r>
    </w:p>
    <w:p w14:paraId="1E993A57"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infrastructure fragility;</w:t>
      </w:r>
    </w:p>
    <w:p w14:paraId="775FCD9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disaster response;</w:t>
      </w:r>
    </w:p>
    <w:p w14:paraId="315EACE3"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insurance losses;</w:t>
      </w:r>
    </w:p>
    <w:p w14:paraId="181B5FB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social and territorial breakdown;</w:t>
      </w:r>
    </w:p>
    <w:p w14:paraId="6D332AB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climate adaptation;</w:t>
      </w:r>
    </w:p>
    <w:p w14:paraId="5EF9D23E"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remediation.</w:t>
      </w:r>
    </w:p>
    <w:p w14:paraId="31037DCD"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Prometheus proposes that some portion of these flows could be better allocated upstream.</w:t>
      </w:r>
    </w:p>
    <w:p w14:paraId="6DFDDCD0"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strategic opportunity is therefore:</w:t>
      </w:r>
    </w:p>
    <w:p w14:paraId="3F0D125F"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not inventing value;</w:t>
      </w:r>
    </w:p>
    <w:p w14:paraId="7386954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but recognizing where value is being destroyed;</w:t>
      </w:r>
    </w:p>
    <w:p w14:paraId="0D190183"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not creating costs;</w:t>
      </w:r>
    </w:p>
    <w:p w14:paraId="135BADDF"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but reducing the conditions that generate them;</w:t>
      </w:r>
    </w:p>
    <w:p w14:paraId="3F2A0F17"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not replacing institutions;</w:t>
      </w:r>
    </w:p>
    <w:p w14:paraId="4B91BF58"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but giving institutions better evidence for upstream investment;</w:t>
      </w:r>
    </w:p>
    <w:p w14:paraId="3166729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not financializing life;</w:t>
      </w:r>
    </w:p>
    <w:p w14:paraId="424668EA"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but making life-supporting systems legible to capital without allowing capital to define their meaning.</w:t>
      </w:r>
    </w:p>
    <w:p w14:paraId="2233A7FC" w14:textId="77777777" w:rsidR="000172EA" w:rsidRPr="00B479AE" w:rsidRDefault="000172EA" w:rsidP="000172EA">
      <w:pPr>
        <w:tabs>
          <w:tab w:val="left" w:pos="1440"/>
        </w:tabs>
        <w:spacing w:line="360" w:lineRule="auto"/>
        <w:rPr>
          <w:rFonts w:ascii="Baskerville Old Face" w:hAnsi="Baskerville Old Face"/>
          <w:b/>
          <w:bCs/>
          <w:i/>
          <w:iCs/>
        </w:rPr>
      </w:pPr>
      <w:r w:rsidRPr="00B479AE">
        <w:rPr>
          <w:rFonts w:ascii="Baskerville Old Face" w:hAnsi="Baskerville Old Face"/>
          <w:b/>
          <w:bCs/>
          <w:i/>
          <w:iCs/>
        </w:rPr>
        <w:t>O.13 Regional Application</w:t>
      </w:r>
    </w:p>
    <w:p w14:paraId="32C0334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United States.</w:t>
      </w:r>
    </w:p>
    <w:p w14:paraId="127B341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In the United States, the primary strategic frame may be preventive-health relevance, chronic-disease burden, diet-related cost pressure, food-system transition, insurer partnerships, food-as-medicine initiatives, employer wellness, public procurement, and community-health pilots.</w:t>
      </w:r>
    </w:p>
    <w:p w14:paraId="1B8AD471"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Prometheus opportunity in the United States is not to claim healthcare savings automatically.</w:t>
      </w:r>
    </w:p>
    <w:p w14:paraId="3804A45B"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is to support evidence-based pathways through which regenerative food, ecological exposure, local production, functional movement, community coherence, and preventive-health environments may become institutionally reviewable.</w:t>
      </w:r>
    </w:p>
    <w:p w14:paraId="2521FE78"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Mediterranean and Sicily.</w:t>
      </w:r>
    </w:p>
    <w:p w14:paraId="242BF90B"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In Sicily and the Mediterranean context, the primary strategic frame may be food sovereignty, water resilience, soil regeneration, climate adaptation, rural revitalization, hospitality, education, and bioregional identity.</w:t>
      </w:r>
    </w:p>
    <w:p w14:paraId="45FDDE5B"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Prometheus opportunity in Sicily is not only economic.</w:t>
      </w:r>
    </w:p>
    <w:p w14:paraId="37482E3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is territorial.</w:t>
      </w:r>
    </w:p>
    <w:p w14:paraId="6721AFB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A regenerative infrastructure model may help transform fragile land and buildings into productive, resilient, educational, hospitality-linked, and evidence-generating assets.</w:t>
      </w:r>
    </w:p>
    <w:p w14:paraId="125E36F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This makes Sicily a high-leverage territory for testing the link among:</w:t>
      </w:r>
    </w:p>
    <w:p w14:paraId="436EE8B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regenerative agriculture;</w:t>
      </w:r>
    </w:p>
    <w:p w14:paraId="10E25F31"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water strategy;</w:t>
      </w:r>
    </w:p>
    <w:p w14:paraId="576AA2CE"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hospitality;</w:t>
      </w:r>
    </w:p>
    <w:p w14:paraId="30F4A808"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 food culture;</w:t>
      </w:r>
    </w:p>
    <w:p w14:paraId="34DF03AA"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community resilience;</w:t>
      </w:r>
    </w:p>
    <w:p w14:paraId="6A9C528B"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capital-readiness.</w:t>
      </w:r>
    </w:p>
    <w:p w14:paraId="0A178AC5" w14:textId="77777777" w:rsidR="000172EA" w:rsidRPr="00B479AE" w:rsidRDefault="000172EA" w:rsidP="000172EA">
      <w:pPr>
        <w:tabs>
          <w:tab w:val="left" w:pos="1440"/>
        </w:tabs>
        <w:spacing w:line="360" w:lineRule="auto"/>
        <w:rPr>
          <w:rFonts w:ascii="Baskerville Old Face" w:hAnsi="Baskerville Old Face"/>
          <w:b/>
          <w:bCs/>
          <w:i/>
          <w:iCs/>
        </w:rPr>
      </w:pPr>
      <w:r w:rsidRPr="00B479AE">
        <w:rPr>
          <w:rFonts w:ascii="Baskerville Old Face" w:hAnsi="Baskerville Old Face"/>
          <w:b/>
          <w:bCs/>
          <w:i/>
          <w:iCs/>
        </w:rPr>
        <w:t>O.14 Constraint Analysis</w:t>
      </w:r>
    </w:p>
    <w:p w14:paraId="44336D1A"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Scaling regenerative infrastructure is not limited only by capital volume.</w:t>
      </w:r>
    </w:p>
    <w:p w14:paraId="03ED4781"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Primary constraints may include:</w:t>
      </w:r>
    </w:p>
    <w:p w14:paraId="40DCD729"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design knowledge;</w:t>
      </w:r>
    </w:p>
    <w:p w14:paraId="73371BAE"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operator training;</w:t>
      </w:r>
    </w:p>
    <w:p w14:paraId="242DCF9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stewardship continuity;</w:t>
      </w:r>
    </w:p>
    <w:p w14:paraId="0C824EA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water strategy;</w:t>
      </w:r>
    </w:p>
    <w:p w14:paraId="7E0FC18A"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land access;</w:t>
      </w:r>
    </w:p>
    <w:p w14:paraId="3D80D4C7"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site-specific ecological literacy;</w:t>
      </w:r>
    </w:p>
    <w:p w14:paraId="126FA3B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technical standards;</w:t>
      </w:r>
    </w:p>
    <w:p w14:paraId="5FE7AF7D"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MRV systems;</w:t>
      </w:r>
    </w:p>
    <w:p w14:paraId="564447B8"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methodology;</w:t>
      </w:r>
    </w:p>
    <w:p w14:paraId="14803A9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data infrastructure;</w:t>
      </w:r>
    </w:p>
    <w:p w14:paraId="1655213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governance capacity;</w:t>
      </w:r>
    </w:p>
    <w:p w14:paraId="5AE79A03"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institutional adoption;</w:t>
      </w:r>
    </w:p>
    <w:p w14:paraId="020C41EE"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legal structuring;</w:t>
      </w:r>
    </w:p>
    <w:p w14:paraId="2B49FCF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public-claim discipline;</w:t>
      </w:r>
    </w:p>
    <w:p w14:paraId="507A375F"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procurement pathways;</w:t>
      </w:r>
    </w:p>
    <w:p w14:paraId="7BAB055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trust.</w:t>
      </w:r>
    </w:p>
    <w:p w14:paraId="6AF9900F"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Land availability matters.</w:t>
      </w:r>
    </w:p>
    <w:p w14:paraId="03187030"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Capital availability matters.</w:t>
      </w:r>
    </w:p>
    <w:p w14:paraId="5B9481BB"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Biological feasibility matters.</w:t>
      </w:r>
    </w:p>
    <w:p w14:paraId="6B41C7C9"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But these are not the only constraints.</w:t>
      </w:r>
    </w:p>
    <w:p w14:paraId="559A6D98"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deeper constraint is coordination.</w:t>
      </w:r>
    </w:p>
    <w:p w14:paraId="206B3890"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Prometheus addresses this coordination gap by linking:</w:t>
      </w:r>
    </w:p>
    <w:p w14:paraId="4C65A5B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OHE biological units;</w:t>
      </w:r>
    </w:p>
    <w:p w14:paraId="7292EFD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MRV evidence;</w:t>
      </w:r>
    </w:p>
    <w:p w14:paraId="0A07D1D7"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PRU value analysis;</w:t>
      </w:r>
    </w:p>
    <w:p w14:paraId="6909EA90"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maturity classification;</w:t>
      </w:r>
    </w:p>
    <w:p w14:paraId="3C787EC3"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governance review;</w:t>
      </w:r>
    </w:p>
    <w:p w14:paraId="75A3E09E"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capital-readiness logic;</w:t>
      </w:r>
    </w:p>
    <w:p w14:paraId="2AED0F2D"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legal boundaries;</w:t>
      </w:r>
    </w:p>
    <w:p w14:paraId="636BFBE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canonical infrastructure;</w:t>
      </w:r>
    </w:p>
    <w:p w14:paraId="40AB9C7E"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Holochain-compatible runtime.</w:t>
      </w:r>
    </w:p>
    <w:p w14:paraId="129F63DF"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goal is not simply to deploy more projects.</w:t>
      </w:r>
    </w:p>
    <w:p w14:paraId="07C70A2D"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goal is to create a repeatable architecture through which regenerative projects can become credible, comparable, reviewable, and institutionally legible.</w:t>
      </w:r>
    </w:p>
    <w:p w14:paraId="79DE219B" w14:textId="77777777" w:rsidR="000172EA" w:rsidRPr="00B479AE" w:rsidRDefault="000172EA" w:rsidP="000172EA">
      <w:pPr>
        <w:tabs>
          <w:tab w:val="left" w:pos="1440"/>
        </w:tabs>
        <w:spacing w:line="360" w:lineRule="auto"/>
        <w:rPr>
          <w:rFonts w:ascii="Baskerville Old Face" w:hAnsi="Baskerville Old Face"/>
          <w:b/>
          <w:bCs/>
          <w:i/>
          <w:iCs/>
        </w:rPr>
      </w:pPr>
      <w:r w:rsidRPr="00B479AE">
        <w:rPr>
          <w:rFonts w:ascii="Baskerville Old Face" w:hAnsi="Baskerville Old Face"/>
          <w:b/>
          <w:bCs/>
          <w:i/>
          <w:iCs/>
        </w:rPr>
        <w:t>O.15 Transition Pathway</w:t>
      </w:r>
    </w:p>
    <w:p w14:paraId="59BC3F87"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A possible transition pathway may include three broad phases.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4"/>
        <w:gridCol w:w="2765"/>
        <w:gridCol w:w="2801"/>
        <w:gridCol w:w="2468"/>
      </w:tblGrid>
      <w:tr w:rsidR="000172EA" w:rsidRPr="00B479AE" w14:paraId="77693302" w14:textId="77777777" w:rsidTr="00506231">
        <w:trPr>
          <w:tblHeader/>
          <w:tblCellSpacing w:w="15" w:type="dxa"/>
        </w:trPr>
        <w:tc>
          <w:tcPr>
            <w:tcW w:w="0" w:type="auto"/>
            <w:vAlign w:val="center"/>
            <w:hideMark/>
          </w:tcPr>
          <w:p w14:paraId="25DE0093" w14:textId="77777777" w:rsidR="000172EA" w:rsidRPr="00B479AE" w:rsidRDefault="000172EA" w:rsidP="000172EA">
            <w:pPr>
              <w:tabs>
                <w:tab w:val="left" w:pos="1440"/>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lastRenderedPageBreak/>
              <w:t>Phase</w:t>
            </w:r>
          </w:p>
        </w:tc>
        <w:tc>
          <w:tcPr>
            <w:tcW w:w="0" w:type="auto"/>
            <w:vAlign w:val="center"/>
            <w:hideMark/>
          </w:tcPr>
          <w:p w14:paraId="50C8DBC5" w14:textId="77777777" w:rsidR="000172EA" w:rsidRPr="00B479AE" w:rsidRDefault="000172EA" w:rsidP="000172EA">
            <w:pPr>
              <w:tabs>
                <w:tab w:val="left" w:pos="1440"/>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Description</w:t>
            </w:r>
          </w:p>
        </w:tc>
        <w:tc>
          <w:tcPr>
            <w:tcW w:w="0" w:type="auto"/>
            <w:vAlign w:val="center"/>
            <w:hideMark/>
          </w:tcPr>
          <w:p w14:paraId="44A402A3" w14:textId="77777777" w:rsidR="000172EA" w:rsidRPr="00B479AE" w:rsidRDefault="000172EA" w:rsidP="000172EA">
            <w:pPr>
              <w:tabs>
                <w:tab w:val="left" w:pos="1440"/>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Primary objective</w:t>
            </w:r>
          </w:p>
        </w:tc>
        <w:tc>
          <w:tcPr>
            <w:tcW w:w="0" w:type="auto"/>
            <w:vAlign w:val="center"/>
            <w:hideMark/>
          </w:tcPr>
          <w:p w14:paraId="6305FA89" w14:textId="77777777" w:rsidR="000172EA" w:rsidRPr="00B479AE" w:rsidRDefault="000172EA" w:rsidP="000172EA">
            <w:pPr>
              <w:tabs>
                <w:tab w:val="left" w:pos="1440"/>
              </w:tabs>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Boundary</w:t>
            </w:r>
          </w:p>
        </w:tc>
      </w:tr>
      <w:tr w:rsidR="000172EA" w:rsidRPr="00B479AE" w14:paraId="1F15D595" w14:textId="77777777" w:rsidTr="00506231">
        <w:trPr>
          <w:tblCellSpacing w:w="15" w:type="dxa"/>
        </w:trPr>
        <w:tc>
          <w:tcPr>
            <w:tcW w:w="0" w:type="auto"/>
            <w:vAlign w:val="center"/>
            <w:hideMark/>
          </w:tcPr>
          <w:p w14:paraId="19D6BA62"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Phase 1 — Pilot deployments</w:t>
            </w:r>
          </w:p>
        </w:tc>
        <w:tc>
          <w:tcPr>
            <w:tcW w:w="0" w:type="auto"/>
            <w:vAlign w:val="center"/>
            <w:hideMark/>
          </w:tcPr>
          <w:p w14:paraId="5DB8EF62"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Small, bounded deployments with strong documentation and MRV design</w:t>
            </w:r>
          </w:p>
        </w:tc>
        <w:tc>
          <w:tcPr>
            <w:tcW w:w="0" w:type="auto"/>
            <w:vAlign w:val="center"/>
            <w:hideMark/>
          </w:tcPr>
          <w:p w14:paraId="1AC45BC5"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Learn, test, observe, refine methodology</w:t>
            </w:r>
          </w:p>
        </w:tc>
        <w:tc>
          <w:tcPr>
            <w:tcW w:w="0" w:type="auto"/>
            <w:vAlign w:val="center"/>
            <w:hideMark/>
          </w:tcPr>
          <w:p w14:paraId="7A014DE2"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Not investment proof; not standardized issuance</w:t>
            </w:r>
          </w:p>
        </w:tc>
      </w:tr>
      <w:tr w:rsidR="000172EA" w:rsidRPr="00B479AE" w14:paraId="52858D5E" w14:textId="77777777" w:rsidTr="00506231">
        <w:trPr>
          <w:tblCellSpacing w:w="15" w:type="dxa"/>
        </w:trPr>
        <w:tc>
          <w:tcPr>
            <w:tcW w:w="0" w:type="auto"/>
            <w:vAlign w:val="center"/>
            <w:hideMark/>
          </w:tcPr>
          <w:p w14:paraId="23AF7FFC"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Phase 2 — Regional clusters</w:t>
            </w:r>
          </w:p>
        </w:tc>
        <w:tc>
          <w:tcPr>
            <w:tcW w:w="0" w:type="auto"/>
            <w:vAlign w:val="center"/>
            <w:hideMark/>
          </w:tcPr>
          <w:p w14:paraId="1ECDABA2"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Multiple deployments within a territory or bioregion</w:t>
            </w:r>
          </w:p>
        </w:tc>
        <w:tc>
          <w:tcPr>
            <w:tcW w:w="0" w:type="auto"/>
            <w:vAlign w:val="center"/>
            <w:hideMark/>
          </w:tcPr>
          <w:p w14:paraId="533E2B76"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Test comparability, shared MRV, operator training, governance, and cluster effects</w:t>
            </w:r>
          </w:p>
        </w:tc>
        <w:tc>
          <w:tcPr>
            <w:tcW w:w="0" w:type="auto"/>
            <w:vAlign w:val="center"/>
            <w:hideMark/>
          </w:tcPr>
          <w:p w14:paraId="13161DE5"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Requires stronger governance and data discipline</w:t>
            </w:r>
          </w:p>
        </w:tc>
      </w:tr>
      <w:tr w:rsidR="000172EA" w:rsidRPr="00B479AE" w14:paraId="6AAAA4AF" w14:textId="77777777" w:rsidTr="00506231">
        <w:trPr>
          <w:tblCellSpacing w:w="15" w:type="dxa"/>
        </w:trPr>
        <w:tc>
          <w:tcPr>
            <w:tcW w:w="0" w:type="auto"/>
            <w:vAlign w:val="center"/>
            <w:hideMark/>
          </w:tcPr>
          <w:p w14:paraId="688D2B4F"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Phase 3 — Institutional portfolios</w:t>
            </w:r>
          </w:p>
        </w:tc>
        <w:tc>
          <w:tcPr>
            <w:tcW w:w="0" w:type="auto"/>
            <w:vAlign w:val="center"/>
            <w:hideMark/>
          </w:tcPr>
          <w:p w14:paraId="0AC35F94"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Aggregated, reviewed, legally structured, and institutionally reported regenerative assets</w:t>
            </w:r>
          </w:p>
        </w:tc>
        <w:tc>
          <w:tcPr>
            <w:tcW w:w="0" w:type="auto"/>
            <w:vAlign w:val="center"/>
            <w:hideMark/>
          </w:tcPr>
          <w:p w14:paraId="04365722"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Support capital-readiness, portfolio analysis, public-sector programs, or private-credit review</w:t>
            </w:r>
          </w:p>
        </w:tc>
        <w:tc>
          <w:tcPr>
            <w:tcW w:w="0" w:type="auto"/>
            <w:vAlign w:val="center"/>
            <w:hideMark/>
          </w:tcPr>
          <w:p w14:paraId="33B966D4" w14:textId="77777777" w:rsidR="000172EA" w:rsidRPr="00B479AE" w:rsidRDefault="000172EA" w:rsidP="000172EA">
            <w:pPr>
              <w:tabs>
                <w:tab w:val="left" w:pos="1440"/>
              </w:tabs>
              <w:spacing w:line="360" w:lineRule="auto"/>
              <w:rPr>
                <w:rFonts w:ascii="Baskerville Old Face" w:hAnsi="Baskerville Old Face"/>
                <w:i/>
                <w:iCs/>
                <w:sz w:val="22"/>
                <w:szCs w:val="22"/>
              </w:rPr>
            </w:pPr>
            <w:r w:rsidRPr="00B479AE">
              <w:rPr>
                <w:rFonts w:ascii="Baskerville Old Face" w:hAnsi="Baskerville Old Face"/>
                <w:i/>
                <w:iCs/>
                <w:sz w:val="22"/>
                <w:szCs w:val="22"/>
              </w:rPr>
              <w:t>Requires legal structure, underwriting, disclosure, and institutional safeguards</w:t>
            </w:r>
          </w:p>
        </w:tc>
      </w:tr>
    </w:tbl>
    <w:p w14:paraId="2F7CCD5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transition pathway is developmental.</w:t>
      </w:r>
    </w:p>
    <w:p w14:paraId="61DDDDBD"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is not automatic.</w:t>
      </w:r>
    </w:p>
    <w:p w14:paraId="17908DC7"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Pilot does not mean proof.</w:t>
      </w:r>
    </w:p>
    <w:p w14:paraId="1F9BD74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Cluster does not mean portfolio.</w:t>
      </w:r>
    </w:p>
    <w:p w14:paraId="389E52F3"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Portfolio does not mean financial instrument.</w:t>
      </w:r>
    </w:p>
    <w:p w14:paraId="2CE108C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Financial instrument does not mean ecological truth.</w:t>
      </w:r>
    </w:p>
    <w:p w14:paraId="501B4FC0"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Each stage requires its own evidence, review, governance, and legal boundary.</w:t>
      </w:r>
    </w:p>
    <w:p w14:paraId="42CF6A31" w14:textId="77777777" w:rsidR="000172EA" w:rsidRPr="00B479AE" w:rsidRDefault="000172EA" w:rsidP="000172EA">
      <w:pPr>
        <w:tabs>
          <w:tab w:val="left" w:pos="1440"/>
        </w:tabs>
        <w:spacing w:line="360" w:lineRule="auto"/>
        <w:rPr>
          <w:rFonts w:ascii="Baskerville Old Face" w:hAnsi="Baskerville Old Face"/>
          <w:b/>
          <w:bCs/>
          <w:i/>
          <w:iCs/>
        </w:rPr>
      </w:pPr>
      <w:r w:rsidRPr="00B479AE">
        <w:rPr>
          <w:rFonts w:ascii="Baskerville Old Face" w:hAnsi="Baskerville Old Face"/>
          <w:b/>
          <w:bCs/>
          <w:i/>
          <w:iCs/>
        </w:rPr>
        <w:t>O.16 Final Insight</w:t>
      </w:r>
    </w:p>
    <w:p w14:paraId="2A29B3CB"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limitation is not whether regeneration can improve living systems.</w:t>
      </w:r>
    </w:p>
    <w:p w14:paraId="1CE32BFE"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limitation is whether capital allocation can evolve fast enough, intelligently enough, and lawfully enough to support regeneration before downstream costs become overwhelming.</w:t>
      </w:r>
    </w:p>
    <w:p w14:paraId="521B806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Prometheus does not claim that regeneration solves every systemic cost.</w:t>
      </w:r>
    </w:p>
    <w:p w14:paraId="041A7E3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claims that capital allocation becomes structurally incomplete when it ignores the living systems that determine future cost, resilience, productivity, and health.</w:t>
      </w:r>
    </w:p>
    <w:p w14:paraId="0768A25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The strategic insight is:</w:t>
      </w:r>
    </w:p>
    <w:p w14:paraId="542839A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capital allocated downstream absorbs damage;</w:t>
      </w:r>
    </w:p>
    <w:p w14:paraId="2638539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capital allocated upstream may reduce fragility;</w:t>
      </w:r>
    </w:p>
    <w:p w14:paraId="59EADFB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capital allocated through verified regenerative infrastructure may become more intelligent.</w:t>
      </w:r>
    </w:p>
    <w:p w14:paraId="2294EA2A" w14:textId="77777777" w:rsidR="000172EA" w:rsidRPr="00B479AE" w:rsidRDefault="000172EA" w:rsidP="000172EA">
      <w:pPr>
        <w:tabs>
          <w:tab w:val="left" w:pos="1440"/>
        </w:tabs>
        <w:spacing w:line="360" w:lineRule="auto"/>
        <w:rPr>
          <w:rFonts w:ascii="Baskerville Old Face" w:hAnsi="Baskerville Old Face"/>
          <w:b/>
          <w:bCs/>
          <w:i/>
          <w:iCs/>
        </w:rPr>
      </w:pPr>
      <w:r w:rsidRPr="00B479AE">
        <w:rPr>
          <w:rFonts w:ascii="Baskerville Old Face" w:hAnsi="Baskerville Old Face"/>
          <w:b/>
          <w:bCs/>
          <w:i/>
          <w:iCs/>
        </w:rPr>
        <w:t>O.17 Conclusion</w:t>
      </w:r>
    </w:p>
    <w:p w14:paraId="45E804B4"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Prometheus model demonstrates a capital-allocation thesis.</w:t>
      </w:r>
    </w:p>
    <w:p w14:paraId="7109571D"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Small reallocations of existing downstream cost pools may support large-scale regenerative infrastructure where design, evidence, governance, legal structure, and institutional pathways mature.</w:t>
      </w:r>
    </w:p>
    <w:p w14:paraId="0E5FD8B1"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potential benefits may include:</w:t>
      </w:r>
    </w:p>
    <w:p w14:paraId="0E08BA2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ecological regeneration;</w:t>
      </w:r>
    </w:p>
    <w:p w14:paraId="7FDAE27A"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food-system resilience;</w:t>
      </w:r>
    </w:p>
    <w:p w14:paraId="0B2F60E1"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water resilience;</w:t>
      </w:r>
    </w:p>
    <w:p w14:paraId="33A4434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soil recovery;</w:t>
      </w:r>
    </w:p>
    <w:p w14:paraId="3FB59C5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local productive capacity;</w:t>
      </w:r>
    </w:p>
    <w:p w14:paraId="353C5DA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preventive-health relevance;</w:t>
      </w:r>
    </w:p>
    <w:p w14:paraId="67E1762E"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educational value;</w:t>
      </w:r>
    </w:p>
    <w:p w14:paraId="4F7FAA7C"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hospitality and community value;</w:t>
      </w:r>
    </w:p>
    <w:p w14:paraId="6FBC46D6"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reduced fragility;</w:t>
      </w:r>
    </w:p>
    <w:p w14:paraId="24F6803F"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 capital-readiness.</w:t>
      </w:r>
    </w:p>
    <w:p w14:paraId="1FA2B825"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This does not make regeneration a niche solution.</w:t>
      </w:r>
    </w:p>
    <w:p w14:paraId="407F3351"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positions regeneration as an upstream infrastructure category.</w:t>
      </w:r>
    </w:p>
    <w:p w14:paraId="6AE07607"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The final principle is:</w:t>
      </w:r>
    </w:p>
    <w:p w14:paraId="401CCEF2"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regeneration is not merely an ecological preference;</w:t>
      </w:r>
    </w:p>
    <w:p w14:paraId="2C3C030A"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it is a capital-allocation upgrade.</w:t>
      </w:r>
    </w:p>
    <w:p w14:paraId="154D6A68"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When capital learns to move upstream, the economy stops paying only for damage and begins financing the conditions that reduce damage.</w:t>
      </w:r>
    </w:p>
    <w:p w14:paraId="55F7CE1A"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That is the strategic purpose of Prometheus:</w:t>
      </w:r>
    </w:p>
    <w:p w14:paraId="1EAAAFBD" w14:textId="77777777" w:rsidR="000172EA" w:rsidRPr="00B479AE" w:rsidRDefault="000172EA" w:rsidP="000172EA">
      <w:pPr>
        <w:tabs>
          <w:tab w:val="left" w:pos="1440"/>
        </w:tabs>
        <w:spacing w:line="360" w:lineRule="auto"/>
        <w:rPr>
          <w:rFonts w:ascii="Baskerville Old Face" w:hAnsi="Baskerville Old Face"/>
          <w:i/>
          <w:iCs/>
        </w:rPr>
      </w:pPr>
      <w:r w:rsidRPr="00B479AE">
        <w:rPr>
          <w:rFonts w:ascii="Baskerville Old Face" w:hAnsi="Baskerville Old Face"/>
          <w:i/>
          <w:iCs/>
        </w:rPr>
        <w:t>to make regenerative infrastructure visible, reviewable, comparable, admissible, and eventually allocable without disconnecting capital from the living systems that make durable value possible.</w:t>
      </w:r>
    </w:p>
    <w:p w14:paraId="5418E66E" w14:textId="46529768" w:rsidR="002602C5" w:rsidRPr="00ED0D46" w:rsidRDefault="002602C5" w:rsidP="00ED0D46">
      <w:pPr>
        <w:pStyle w:val="Titolo1"/>
        <w:rPr>
          <w:rFonts w:ascii="Baskerville Old Face" w:hAnsi="Baskerville Old Face"/>
          <w:b/>
          <w:bCs/>
          <w:i/>
          <w:iCs/>
          <w:sz w:val="24"/>
          <w:szCs w:val="24"/>
        </w:rPr>
      </w:pPr>
      <w:r w:rsidRPr="00ED0D46">
        <w:rPr>
          <w:rFonts w:ascii="Baskerville Old Face" w:hAnsi="Baskerville Old Face"/>
          <w:b/>
          <w:bCs/>
          <w:i/>
          <w:iCs/>
          <w:sz w:val="24"/>
          <w:szCs w:val="24"/>
        </w:rPr>
        <w:t>Appendix P: Glossary and References</w:t>
      </w:r>
    </w:p>
    <w:p w14:paraId="5A4CF5B5" w14:textId="77777777" w:rsidR="002602C5" w:rsidRPr="00B479AE" w:rsidRDefault="002602C5" w:rsidP="002602C5">
      <w:pPr>
        <w:tabs>
          <w:tab w:val="left" w:pos="1440"/>
        </w:tabs>
        <w:spacing w:line="360" w:lineRule="auto"/>
        <w:rPr>
          <w:rFonts w:ascii="Baskerville Old Face" w:hAnsi="Baskerville Old Face"/>
          <w:b/>
          <w:bCs/>
          <w:i/>
          <w:iCs/>
        </w:rPr>
      </w:pPr>
      <w:r w:rsidRPr="00B479AE">
        <w:rPr>
          <w:rFonts w:ascii="Baskerville Old Face" w:hAnsi="Baskerville Old Face"/>
          <w:b/>
          <w:bCs/>
          <w:i/>
          <w:iCs/>
        </w:rPr>
        <w:t>P.1 Glossary of Terms</w:t>
      </w:r>
    </w:p>
    <w:p w14:paraId="557B023C"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This glossary defines key terms used throughout the h•eart•h Prometheus White Paper, technical documentation, canonical appendices, and future implementation materials.</w:t>
      </w:r>
    </w:p>
    <w:p w14:paraId="6B119DB2"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Terms are defined within the constitutional, ecological, technical, governance, legal, and capital-readiness architecture of Prometheus.</w:t>
      </w:r>
    </w:p>
    <w:p w14:paraId="1DDBB711"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Definitions should be interpreted according to the source-layer discipline of the system.</w:t>
      </w:r>
    </w:p>
    <w:p w14:paraId="110AD554"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Where a term has different meanings in external fields, including finance, law, software, ecology, AI, blockchain, Holochain, regenerative design, public health, or governance, the Prometheus-specific meaning controls within this White Paper unless a section expressly states otherwise.</w:t>
      </w:r>
    </w:p>
    <w:p w14:paraId="67A6BC4C" w14:textId="77777777" w:rsidR="002602C5" w:rsidRPr="00B479AE" w:rsidRDefault="002602C5" w:rsidP="002602C5">
      <w:pPr>
        <w:tabs>
          <w:tab w:val="left" w:pos="1440"/>
        </w:tabs>
        <w:spacing w:line="360" w:lineRule="auto"/>
        <w:rPr>
          <w:rFonts w:ascii="Baskerville Old Face" w:hAnsi="Baskerville Old Face"/>
          <w:b/>
          <w:bCs/>
          <w:i/>
          <w:iCs/>
        </w:rPr>
      </w:pPr>
      <w:r w:rsidRPr="00B479AE">
        <w:rPr>
          <w:rFonts w:ascii="Baskerville Old Face" w:hAnsi="Baskerville Old Face"/>
          <w:b/>
          <w:bCs/>
          <w:i/>
          <w:iCs/>
        </w:rPr>
        <w:t>Reference Convention</w:t>
      </w:r>
    </w:p>
    <w:p w14:paraId="0292A613"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Glossary entries refer, wherever possible, to explicit section titles, appendices, or functional layers rather than to numerical section references alone.</w:t>
      </w:r>
    </w:p>
    <w:p w14:paraId="4EF9E10C"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This improves traceability across document versions, formats, pagination changes, exports, translations, repository releases, and future canonical updates.</w:t>
      </w:r>
    </w:p>
    <w:p w14:paraId="633B6167"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A</w:t>
      </w:r>
    </w:p>
    <w:p w14:paraId="7814874E"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 xml:space="preserve">Abundance, Spiral of — Foundational Prometheus principle stating that durable value emerges from regenerative processes, relational coherence, ecological capacity, care potential, and future optionality. </w:t>
      </w:r>
      <w:r w:rsidRPr="00B479AE">
        <w:rPr>
          <w:rFonts w:ascii="Baskerville Old Face" w:hAnsi="Baskerville Old Face"/>
          <w:i/>
          <w:iCs/>
        </w:rPr>
        <w:lastRenderedPageBreak/>
        <w:t>Scarcity is treated not as an immutable law of life, but as a frequent symptom of system design failure, extraction, enclosure, coordination breakdown, or degraded life-support capacity.</w:t>
      </w:r>
    </w:p>
    <w:p w14:paraId="4697A1D6"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Access Credential — A permission, membership, role, or access-related record that may allow participation in defined functions. An access credential does not create ownership, investor rights, PRU value, RAP exposure, land rights, constitutional authority, or financial entitlement.</w:t>
      </w:r>
    </w:p>
    <w:p w14:paraId="42287B2A"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Action — In Holochain, a signed record on an agent’s source chain forming part of a tamper-evident sequence of operations. In Prometheus, actions affecting protected domains remain subject to source-layer, MRV, governance, legal, and admissibility boundaries.</w:t>
      </w:r>
    </w:p>
    <w:p w14:paraId="2609CDBB"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Admissibility — The condition under which evidence, claims, reports, PRU analysis, RAP screening, public statements, investor-facing materials, or capital-readiness interpretations may enter protected Prometheus pathways. Admissibility depends on evidence quality, methodology, confidence, review, no-double-counting controls, governance, legal boundary, and public-claim discipline.</w:t>
      </w:r>
    </w:p>
    <w:p w14:paraId="61263FBF"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Agent — Any entity capable of action within the system, including a human, organization, DAO, project, device, auditor, validator, laboratory, public institution, software process, or AI-assisted service operating under defined authority. In Holochain, an agent maintains a source chain and is identified by a public key.</w:t>
      </w:r>
    </w:p>
    <w:p w14:paraId="136860CD"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Agent-Centric Architecture — Distributed system paradigm in which validation is centered on agent source chains, local rules, and peer validation rather than global consensus. Prometheus uses agent-centric logic to preserve agency, provenance, plural validation, and contextual accountability.</w:t>
      </w:r>
    </w:p>
    <w:p w14:paraId="265646DB"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Agency — The capacity of an entity to act within ecological, legal, computational, social, and governance constraints. In Prometheus, agency is never reduced to token balance, wallet history, reputation score, or automated authorization.</w:t>
      </w:r>
    </w:p>
    <w:p w14:paraId="56E903BE"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AI-Assisted Interpretation — Use of AI systems to support analysis, drafting, anomaly detection, comparison, routing, review preparation, or decision support. AI assistance does not create authority, legal rights, ecological truth, PRU value, governance decision, or investor-facing validity by itself.</w:t>
      </w:r>
    </w:p>
    <w:p w14:paraId="4441751A"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Albedo — Reflectivity of a surface, relevant to climate regulation, local heat dynamics, land-use planning, and planetary-boundary context.</w:t>
      </w:r>
    </w:p>
    <w:p w14:paraId="1E36418F"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Anthropocene — Proposed geological epoch or interpretive frame describing the dominant impact of human activity on Earth systems.</w:t>
      </w:r>
    </w:p>
    <w:p w14:paraId="227DDFFF"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API Boundary — The rule that technical access through an API does not create authority, rights, verification, admissibility, investment status, certification, or source-layer legitimacy.</w:t>
      </w:r>
    </w:p>
    <w:p w14:paraId="5206F355"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Asset-Agnostic Architecture — Design principle allowing different forms of legal, operational, digital, ecological, financial, and governance instruments to coexist within a unified constitutional framework without collapsing their meanings.</w:t>
      </w:r>
    </w:p>
    <w:p w14:paraId="6FB1D878"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Autopoietic Regenerative Intelligence Infrastructure — Recursive intelligence layer that may integrate MRV, AI, governance, data review, ecological indicators, risk signals, and decision-support systems to improve learning, reduce uncertainty, and support adaptive regenerative performance. It remains review-bound and does not operate as sovereign authority.</w:t>
      </w:r>
    </w:p>
    <w:p w14:paraId="14CA7692"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B</w:t>
      </w:r>
    </w:p>
    <w:p w14:paraId="363385FF"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Biogeochemical Flows — Planetary-boundary domain related especially to nitrogen and phosphorus cycles. In Prometheus, this may inform PHI, MRV prioritization, ecological-risk review, and capital-readiness caution.</w:t>
      </w:r>
    </w:p>
    <w:p w14:paraId="71A861FF"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Biolayer — Interface layer translating biological, ecological, physiological, or behavioral context into structured, privacy-preserving, system-relevant data where lawfully and ethically permitted. Biolayer data must never become human ranking, token value, financial modulation, or coercive profiling.</w:t>
      </w:r>
    </w:p>
    <w:p w14:paraId="63C47616"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Biomass Cycling — Regenerative process through which organic matter is produced, pruned, returned, decomposed, and reintegrated into soil fertility, microbial activity, water retention, and ecological function.</w:t>
      </w:r>
    </w:p>
    <w:p w14:paraId="02F30CFA"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Biomimicry — Design methodology inspired by natural systems, ecological intelligence, adaptive structures, and living-system principles.</w:t>
      </w:r>
    </w:p>
    <w:p w14:paraId="41458446"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Bioregional Circle — Governance or coordination unit operating at the scale of a bioregion, watershed, territory, ecological corridor, or regenerative cluster. It may coordinate MRV, stewardship, deployment, learning, and review, subject to source-layer constraints.</w:t>
      </w:r>
    </w:p>
    <w:p w14:paraId="22F046C7"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Biosphere Integrity — Planetary-boundary domain related to biodiversity, ecosystem function, species loss, ecological resilience, and living-system stability.</w:t>
      </w:r>
    </w:p>
    <w:p w14:paraId="76D8067F"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 xml:space="preserve">Blockchain — Data-centric distributed ledger architecture typically relying on global consensus. In Prometheus, blockchain may be used or referenced only where its function is bounded. Blockchain </w:t>
      </w:r>
      <w:r w:rsidRPr="00B479AE">
        <w:rPr>
          <w:rFonts w:ascii="Baskerville Old Face" w:hAnsi="Baskerville Old Face"/>
          <w:i/>
          <w:iCs/>
        </w:rPr>
        <w:lastRenderedPageBreak/>
        <w:t>records do not create ecological truth, legal rights, PRU value, or source-layer authority by themselves.</w:t>
      </w:r>
    </w:p>
    <w:p w14:paraId="587E3DE8"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Bridge — Technical, legal, or informational mechanism connecting systems, networks, records, assets, credentials, or rights. A bridge may transmit references or legally defined rights only according to what has actually been created, disclosed, and structured. A bridge cannot manufacture legitimacy.</w:t>
      </w:r>
    </w:p>
    <w:p w14:paraId="7E19CC36"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Bridge Risk — Risk arising from cross-system, cross-chain, cross-ledger, wrapped, synthetic, or mapped representations, including double counting, false collateralization, legal misclassification, custody failure, user misunderstanding, and unsupported PRU or RAP claims.</w:t>
      </w:r>
    </w:p>
    <w:p w14:paraId="3EBC3924"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Byzantine Fault Tolerance — System property describing resilience to faulty, malicious, or inconsistent nodes. In Prometheus, technical fault tolerance does not replace legal, governance, MRV, or source-layer review.</w:t>
      </w:r>
    </w:p>
    <w:p w14:paraId="55E8E7ED"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C</w:t>
      </w:r>
    </w:p>
    <w:p w14:paraId="631664BC"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Canonical Registry — Official registry or registry-like system used to record canonical releases, verification artifacts, fork status, compatibility status, token integration status, public-claim boundaries, and other status information relevant to Prometheus continuity.</w:t>
      </w:r>
    </w:p>
    <w:p w14:paraId="6D2360E1"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Canonical Release — Identified release of Prometheus documentation, source files, manifests, checksums, signatures, and implementation references that can be verified through canonical procedures.</w:t>
      </w:r>
    </w:p>
    <w:p w14:paraId="014876C0"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Canonical Trust — Condition created by source-layer fidelity, release integrity, cryptographic verification, registry status, runtime coherence, custodial continuity, and legal admissibility.</w:t>
      </w:r>
    </w:p>
    <w:p w14:paraId="54006383"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Capital-Readiness — Condition under which a project, PRU analysis, RAP logic, report, or portfolio may support further diligence by capital allocators. Capital-readiness does not create financing, investor rights, underwriting approval, securities status, or investment suitability.</w:t>
      </w:r>
    </w:p>
    <w:p w14:paraId="2DF68889"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Carbon Credit — A unit representing verified carbon sequestration or emission reduction under a specific external methodology, registry, and legal framework. A carbon credit is not automatically a PRU, and a PRU is not automatically a carbon credit.</w:t>
      </w:r>
    </w:p>
    <w:p w14:paraId="65E0BCF2"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 xml:space="preserve">Category Collapse — Failure mode in which distinct layers such as MRV, PRU, RAP, TRBK, HoloFuel, token rights, land rights, governance authority, investor rights, public claims, and legal </w:t>
      </w:r>
      <w:r w:rsidRPr="00B479AE">
        <w:rPr>
          <w:rFonts w:ascii="Baskerville Old Face" w:hAnsi="Baskerville Old Face"/>
          <w:i/>
          <w:iCs/>
        </w:rPr>
        <w:lastRenderedPageBreak/>
        <w:t>instruments are confused or merged. Prometheus treats category collapse as a core governance and legal risk.</w:t>
      </w:r>
    </w:p>
    <w:p w14:paraId="79BD6D32"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Cell — Execution unit in Holochain composed of a DNA and an agent identity.</w:t>
      </w:r>
    </w:p>
    <w:p w14:paraId="73131CD5"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CESI, Cooperative Ecological Surplus Index — Indicator or analytical construct describing emergent value generated through ecological cooperation, interaction density, biodiversity, network effects, and regenerative surplus. It requires methodology, evidence, and review before institutional use.</w:t>
      </w:r>
    </w:p>
    <w:p w14:paraId="3F461961"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Circle — Sociocratic governance unit with defined purpose, domain, roles, responsibilities, and decision process.</w:t>
      </w:r>
    </w:p>
    <w:p w14:paraId="7F487DC5"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Climate Change — Planetary-boundary domain associated with greenhouse gas concentrations, radiative forcing, climate instability, and systemic ecological risk.</w:t>
      </w:r>
    </w:p>
    <w:p w14:paraId="1B0DDF1C"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Coherence — Voluntary, privacy-first human-state or physiological-context signal that may support self-reflection, stewardship training, research, or reflective governance. Coherence must not be used for human ranking, financial modulation, MRV validity, PRU value, token rights, investor eligibility, or automatic governance authority.</w:t>
      </w:r>
    </w:p>
    <w:p w14:paraId="7E35086A"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Compliant Digital Instrument — Future digital representation, credential, tokenized representation, or instrument that is legally structured, disclosed, jurisdictionally reviewed, and connected to defined rights or functions. It does not arise automatically from PRU, MRV, RAP, or token logic.</w:t>
      </w:r>
    </w:p>
    <w:p w14:paraId="5390C324"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Composite Instrument — Legal or financial structure combining multiple rights, cash flows, contractual claims, ecological-performance references, or value streams into a defined instrument. A composite instrument requires legal structuring and disclosure.</w:t>
      </w:r>
    </w:p>
    <w:p w14:paraId="739B26FF"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Consent — Sociocratic decision rule based on the absence of reasoned and paramount objections within a defined governance domain.</w:t>
      </w:r>
    </w:p>
    <w:p w14:paraId="22340C8F"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Constitutional Boundary — Source-layer constraint that no technical system, token, AI output, dashboard, fork, partner, investor, governance vote, or runtime process may bypass.</w:t>
      </w:r>
    </w:p>
    <w:p w14:paraId="41D2909B"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Contribution Record — Record of work, stewardship, service, participation, role performance, or operational contribution. Contribution may support recognition or review; it does not automatically create investor rights, PRU value, token rights, or constitutional authority.</w:t>
      </w:r>
    </w:p>
    <w:p w14:paraId="46026F29"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Credit Commons — Mutual credit or internal-accounting system based on trust, reciprocity, contribution, and governance. It must remain legally, operationally, and semantically distinct from securities, bank deposits, legal tender, or investor rights unless explicitly structured.</w:t>
      </w:r>
    </w:p>
    <w:p w14:paraId="666F6477"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Custodial Continuity — Preservation of canonical records, release files, manifests, keys, archives, registry status, offline packages, and trusted-custodian records over time.</w:t>
      </w:r>
    </w:p>
    <w:p w14:paraId="5A6E0AA3"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D</w:t>
      </w:r>
    </w:p>
    <w:p w14:paraId="4A9AEE26"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Data-Centric Architecture — System architecture enforcing global consensus or shared state across nodes, typical of many blockchain systems. Contrasted with agent-centric architecture.</w:t>
      </w:r>
    </w:p>
    <w:p w14:paraId="34AF06F7"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Data Room — Controlled-access environment for sharing diligence materials with investors, partners, auditors, institutions, or reviewers. Data-room access does not create investor entitlement, endorsement, offering status, or legal rights.</w:t>
      </w:r>
    </w:p>
    <w:p w14:paraId="39AAFF6F"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Debt-to-Regeneration Ratio — Analytical ratio comparing financial leverage or obligation structure to verified regenerative performance, resilience, or ecological output. It is a risk-analysis tool, not a credit rating by default.</w:t>
      </w:r>
    </w:p>
    <w:p w14:paraId="701606A9"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Decentralized Finance, DeFi — Financial systems operating through smart contracts, decentralized protocols, or non-traditional intermediaries. Prometheus may study or interoperate with DeFi only through source-layer, legal, custody, and token-boundary controls.</w:t>
      </w:r>
    </w:p>
    <w:p w14:paraId="180A6A39"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Decision Log DNA — Distributed memory layer recording decisions, proposals, objections, outcomes, amendments, reviews, corrections, and governance history.</w:t>
      </w:r>
    </w:p>
    <w:p w14:paraId="6299C4AD"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Digital Sovereignty — Control over data, computation, communication, identity, cryptographic integrity, and digital infrastructure.</w:t>
      </w:r>
    </w:p>
    <w:p w14:paraId="401B14FD"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Disclosure — Formal communication of limitations, risks, rights, exclusions, assumptions, legal boundaries, and permitted uses. Disclosure is essential before any capital-facing, token-facing, investor-facing, or public-claim pathway.</w:t>
      </w:r>
    </w:p>
    <w:p w14:paraId="6A00F637"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Distributed Hash Table, DHT — Peer-to-peer data storage and validation layer in Holochain.</w:t>
      </w:r>
    </w:p>
    <w:p w14:paraId="41F280AF"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Durable Value — Value that remains compatible with the conditions that sustain life. In Prometheus, durable value is ultimately downstream from living systems, ecological function, human stewardship, legal clarity, and long-term resilience.</w:t>
      </w:r>
    </w:p>
    <w:p w14:paraId="0F3F9836"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E</w:t>
      </w:r>
    </w:p>
    <w:p w14:paraId="15BF12E8"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Ecological Claim — Statement asserting ecological improvement, performance, impact, regeneration, resilience, restoration, biodiversity benefit, carbon effect, water effect, or related outcome. Ecological claims require evidence, methodology, review, and public-claim discipline.</w:t>
      </w:r>
    </w:p>
    <w:p w14:paraId="5E45061A"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Ecosystem Dividend — Measurable improvement in ecosystem function generated by regenerative activity, subject to evidence, methodology, and review.</w:t>
      </w:r>
    </w:p>
    <w:p w14:paraId="1907F9A6"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Edge AI — AI executed locally or close to the data source to preserve sovereignty, reduce latency, and support privacy.</w:t>
      </w:r>
    </w:p>
    <w:p w14:paraId="620125DA"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Emerging Value — Value arising from interactions among ecological, social, technical, governance, and operational systems. It becomes institutionally relevant only when translated into measurable, reviewable, and admissible form.</w:t>
      </w:r>
    </w:p>
    <w:p w14:paraId="61160026"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Entropy Tax — Conceptual mechanism discouraging destabilizing, extractive, or entropy-increasing financial flows. Any actual mechanism would require legal, governance, and economic structuring.</w:t>
      </w:r>
    </w:p>
    <w:p w14:paraId="2410977C"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Evidence Chain — Traceable sequence connecting observation, source, methodology, record, review, correction, admissibility, reporting, and possible value analysis.</w:t>
      </w:r>
    </w:p>
    <w:p w14:paraId="2B90362E"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Evidence-to-Claim Boundary — Rule that claims must not exceed the evidence, methodology, confidence, legal boundary, and review status supporting them.</w:t>
      </w:r>
    </w:p>
    <w:p w14:paraId="567B5D26"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Externality — Cost or benefit generated by an activity but not reflected in the immediate transaction price. Prometheus treats many ecological and health burdens as evidence of failed allocation logic.</w:t>
      </w:r>
    </w:p>
    <w:p w14:paraId="55B15DDC"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F</w:t>
      </w:r>
    </w:p>
    <w:p w14:paraId="106A9FB6"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Fiat Currency — Government-issued currency used as payment or settlement. Fiat rails may support settlement but do not create regeneration, governance authority, verified impact, PRU value, or Prometheus legitimacy.</w:t>
      </w:r>
    </w:p>
    <w:p w14:paraId="657DB3F9"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Financial Abstraction — Analytical or legal representation of value within financial language. In Prometheus, financial abstraction remains downstream from evidence, admissibility, governance, and legal structure.</w:t>
      </w:r>
    </w:p>
    <w:p w14:paraId="226E53C4"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Financial Instrument — Legal instrument creating defined financial rights, claims, obligations, debt, equity, revenue rights, fund interests, securities, notes, or similar exposure. A PRU is not a financial instrument by default.</w:t>
      </w:r>
    </w:p>
    <w:p w14:paraId="7D9046CA"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Fork — Independent copy, adaptation, implementation, translation, or derivative pathway of Prometheus-related materials, code, methodology, or language. Forks require status classification and may not claim canonical lineage without source-layer fidelity and registry recognition.</w:t>
      </w:r>
    </w:p>
    <w:p w14:paraId="22F8A341"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G</w:t>
      </w:r>
    </w:p>
    <w:p w14:paraId="379BAF6F"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Global Canonical Registry — Broader registry architecture for release status, fork status, token status, implementation status, compatibility, public verification, and canonical lineage.</w:t>
      </w:r>
    </w:p>
    <w:p w14:paraId="6AA5FF5A"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Governance DNA — Code or protocol layer defining governance logic, roles, proposals, consent processes, decision records, reputation context, and review pathways.</w:t>
      </w:r>
    </w:p>
    <w:p w14:paraId="7D420B37"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Governance Token — Token used to participate in defined governance processes. A governance token may support signaling or bounded participation but may not override foundational articles, source-layer constraints, human dignity, MRV discipline, legal requirements, or constitutional review.</w:t>
      </w:r>
    </w:p>
    <w:p w14:paraId="69B52FEB"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Green Water — Soil-stored water available to plants, relevant to hydrology, regenerative design, drought resilience, and ecological performance.</w:t>
      </w:r>
    </w:p>
    <w:p w14:paraId="66FC3CC9"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H</w:t>
      </w:r>
    </w:p>
    <w:p w14:paraId="75B4D2DE"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hApp, Holochain Application — Modular application built on Holochain.</w:t>
      </w:r>
    </w:p>
    <w:p w14:paraId="350A8569"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Hardware Security Module, HSM — Secure device or service used to manage cryptographic keys. Relevant to release signing, registry control, custody, and high-security operations.</w:t>
      </w:r>
    </w:p>
    <w:p w14:paraId="6FACE33C"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Holistic Sovereignty — Integration of biological, digital, governance, legal, and ecological autonomy without reducing sovereignty to ownership, token balance, or technical control.</w:t>
      </w:r>
    </w:p>
    <w:p w14:paraId="569669AF"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HoloFuel — Holochain ecosystem infrastructure asset associated with hosting and transaction capacity. HoloFuel-related infrastructure does not create ecological value, PRU status, investor rights, governance authority, or Prometheus legitimacy by itself.</w:t>
      </w:r>
    </w:p>
    <w:p w14:paraId="63614633"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Holochain-Compatible Runtime — Runtime, hApp, conductor, zome, bridge, console, evaluation stack, or operational layer designed to remain compatible with Holochain principles and Prometheus source-layer discipline.</w:t>
      </w:r>
    </w:p>
    <w:p w14:paraId="25CEF463"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Human State Interface, HSI — Privacy-preserving standard or interface for representing voluntary physiological, behavioral, or coherence-related context. HSI data must not become token value, financial modulation, human ranking, medical claim, MRV proof, or automatic governance authority.</w:t>
      </w:r>
    </w:p>
    <w:p w14:paraId="0F8235FC"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I</w:t>
      </w:r>
    </w:p>
    <w:p w14:paraId="115DCAFC"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Impact Transparency — Capacity to trace capital deployment, operational action, or ecological intervention to measurable and reviewable outcomes.</w:t>
      </w:r>
    </w:p>
    <w:p w14:paraId="5640CF22"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Institutional Admissibility — Condition under which claims, evidence, reports, PRU analysis, RAP screening, or capital-readiness materials can be used in institutional contexts under defined rules.</w:t>
      </w:r>
    </w:p>
    <w:p w14:paraId="0F571DED"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Institutional Capture — Failure mode in which a powerful fund, foundation, public body, corporation, university, auditor, certifier, technology provider, or partner redirects Prometheus meaning, access, or governance toward its own institutional interests.</w:t>
      </w:r>
    </w:p>
    <w:p w14:paraId="1C23C705"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Integral Regeneration Index, IRI — Composite indicator or analytical construct measuring ecological, social, governance, operational, and resilience dimensions of regenerative performance. Requires methodology and review.</w:t>
      </w:r>
    </w:p>
    <w:p w14:paraId="2396CDF4"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Interoperability — Ability of diverse systems to communicate or interact. In Prometheus, interoperability does not imply equivalence, authority transfer, or legal meaning transfer.</w:t>
      </w:r>
    </w:p>
    <w:p w14:paraId="6B67D9E3"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Investor-Review Material — Controlled material shared for diligence, review, education, or discussion with potential capital allocators. It is not an offering document unless legally structured as such.</w:t>
      </w:r>
    </w:p>
    <w:p w14:paraId="0A1EC7EA"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J</w:t>
      </w:r>
    </w:p>
    <w:p w14:paraId="59E80597"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Jurisdiction-Specific Review — Legal, tax, securities, consumer, data, AML/KYC, sanctions, property, public-claim, or regulatory review applicable to a specific jurisdiction.</w:t>
      </w:r>
    </w:p>
    <w:p w14:paraId="352B6ACA"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K</w:t>
      </w:r>
    </w:p>
    <w:p w14:paraId="5DACA7AA"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Key Rotation — Replacement or update of cryptographic keys due to policy, compromise risk, lifecycle management, or operational discipline.</w:t>
      </w:r>
    </w:p>
    <w:p w14:paraId="43A90E42"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L</w:t>
      </w:r>
    </w:p>
    <w:p w14:paraId="4794CA3A"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Legal Admissibility — Condition under which a claim, instrument, report, right, representation, token pathway, capital-facing material, or public statement is legally usable in the relevant context.</w:t>
      </w:r>
    </w:p>
    <w:p w14:paraId="321EDB27"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Legal Wrapper — Legal structure that creates, defines, limits, discloses, and governs rights, obligations, risks, claims, participation, investor exposure, or instrument status. A legal wrapper is required before rights-bearing token or financial-instrument logic can exist.</w:t>
      </w:r>
    </w:p>
    <w:p w14:paraId="64CA36F7"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Life-Support System — Ecological, social, biological, water, soil, climate, food, biodiversity, and human-stewardship systems that make durable value possible.</w:t>
      </w:r>
    </w:p>
    <w:p w14:paraId="3CAB8CBB"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LoRA / QLoRA — Parameter-efficient fine-tuning techniques for large language models, relevant to AI development and model adaptation.</w:t>
      </w:r>
    </w:p>
    <w:p w14:paraId="1C42A419"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M</w:t>
      </w:r>
    </w:p>
    <w:p w14:paraId="439E1578"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Maturity Classification — Review-bound classification of evidence maturity, methodology maturity, governance readiness, operational readiness, legal-readiness, and capital-readiness. It is not a credit rating, securities rating, or investment-grade label.</w:t>
      </w:r>
    </w:p>
    <w:p w14:paraId="22AA73E3"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Meta-Prompt — High-level synthesis output aligning system inputs into coherent prompts, decisions, interpretations, or routing pathways.</w:t>
      </w:r>
    </w:p>
    <w:p w14:paraId="002C9666"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Methodology — Defined framework for measurement, interpretation, scoring, confidence adjustment, admissibility review, reporting, or classification.</w:t>
      </w:r>
    </w:p>
    <w:p w14:paraId="49926CBE"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MRV, Measurement, Reporting, and Verification — System translating ecological, operational, and performance data into structured, reviewable evidence. MRV supports evidence quality; it does not create rights, PRU value, token issuance, investor entitlement, or legal status by itself.</w:t>
      </w:r>
    </w:p>
    <w:p w14:paraId="11629CE1"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MRV Admissibility — Condition under which MRV evidence may enter PRU analysis, RAP screening, public reporting, institutional review, or capital-readiness pathways.</w:t>
      </w:r>
    </w:p>
    <w:p w14:paraId="0F291C2A"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Mutual Credit — System where credit is created internally by participants, generally based on contribution, trust, governance, or reciprocal accounting rather than external reserves.</w:t>
      </w:r>
    </w:p>
    <w:p w14:paraId="7D12918E" w14:textId="77777777" w:rsidR="002602C5" w:rsidRPr="00B479AE" w:rsidRDefault="002602C5" w:rsidP="002602C5">
      <w:pPr>
        <w:tabs>
          <w:tab w:val="left" w:pos="1440"/>
        </w:tabs>
        <w:spacing w:line="360" w:lineRule="auto"/>
        <w:rPr>
          <w:rFonts w:ascii="Baskerville Old Face" w:hAnsi="Baskerville Old Face"/>
          <w:i/>
          <w:iCs/>
        </w:rPr>
      </w:pPr>
    </w:p>
    <w:p w14:paraId="372A221E" w14:textId="02AE8AE1"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N</w:t>
      </w:r>
    </w:p>
    <w:p w14:paraId="666BAED7"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Nature-Based Infrastructure — Infrastructure that uses living systems, ecological function, water cycles, soil, biodiversity, vegetation, and stewardship to provide productive, protective, resilience, or adaptation functions.</w:t>
      </w:r>
    </w:p>
    <w:p w14:paraId="4C1F550E"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Neighborhood — Validation group responsible for data verification, peer review, or local validation in distributed networks.</w:t>
      </w:r>
    </w:p>
    <w:p w14:paraId="690EE9F4"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No-Double-Counting Discipline — Rule preventing the same ecological performance, impact, credit, evidence, PRU-relevant result, or value claim from being counted across incompatible pathways.</w:t>
      </w:r>
    </w:p>
    <w:p w14:paraId="7C3216BF"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Non-Admissible — Status indicating that an output, claim, token, report, evidence bundle, pathway, fork, or representation cannot enter protected Prometheus pathways.</w:t>
      </w:r>
    </w:p>
    <w:p w14:paraId="289F86D0"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Non-Capture Principle — Constitutional principle preventing capital, AI, tokens, partners, institutions, platforms, governance shortcuts, forks, or public narratives from overriding source-layer meaning.</w:t>
      </w:r>
    </w:p>
    <w:p w14:paraId="0B03A2EC"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Novel Entities — Planetary-boundary domain related to synthetic substances, chemical pollution, plastics, radioactive materials, engineered organisms, and other human-made novel pressures.</w:t>
      </w:r>
    </w:p>
    <w:p w14:paraId="258DE48B"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O</w:t>
      </w:r>
    </w:p>
    <w:p w14:paraId="4F8573CC"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OHE, One Human Ecosystem — Compact syntropic agroecological unit designed as a biological, ecological, and operational base layer of Prometheus. It may support food production, soil regeneration, water retention, biodiversity, stewardship, and future MRV-based performance assessment.</w:t>
      </w:r>
    </w:p>
    <w:p w14:paraId="4DB84801"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Operational Plane — Infrastructure layer handling data, governance, accounting, runtime behavior, APIs, dashboards, records, bridge functions, and system operations.</w:t>
      </w:r>
    </w:p>
    <w:p w14:paraId="31AF219C"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P</w:t>
      </w:r>
    </w:p>
    <w:p w14:paraId="26A92FF2"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Patient Capital — Long-term capital oriented toward resilience, stability, stewardship, infrastructure maturity, and regenerative outcomes rather than short-term extraction.</w:t>
      </w:r>
    </w:p>
    <w:p w14:paraId="43A11B53"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PHI, Planetary Health Index — Contextual or analytical layer synthesizing planetary-boundary relevance, ecological risk, evidence signals, and review needs. PHI signals review; it does not create automatic approval, rejection, financeability, or PRU value.</w:t>
      </w:r>
    </w:p>
    <w:p w14:paraId="16A212C6"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Planetary Boundaries — Scientific framework defining safe operating limits for Earth-system processes. In Prometheus, it acts as a context layer for ecological integrity, MRV prioritization, PHI, PRU analysis, RAP screening, and capital-readiness review.</w:t>
      </w:r>
    </w:p>
    <w:p w14:paraId="62B704AD"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PRMF, Prometheus Risk Management Framework — Evaluation layer governing thresholds, review triggers, admissibility criteria, risk signals, and systemic-risk management.</w:t>
      </w:r>
    </w:p>
    <w:p w14:paraId="223B5D61"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PRU, Prometheus Regenerative Unit — Methodology-bound analytical representation of verified regenerative performance. The PRU supports PRU value analysis, maturity classification, capital-readiness interpretation, reporting, and possible legal structuring where applicable. It does not create automatic financial rights, token rights, land rights, investor entitlement, market price, securities status, or investment product status.</w:t>
      </w:r>
    </w:p>
    <w:p w14:paraId="5A7A27BB"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PRU Value Analysis — Structured interpretation of verified regenerative performance under methodology, confidence scoring, admissibility, governance review, and legal-boundary discipline. It is not market valuation by default.</w:t>
      </w:r>
    </w:p>
    <w:p w14:paraId="1B531471"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Public-Claim Boundary — Discipline governing which claims may be made publicly, privately, internally, in research, in data rooms, in investor-review materials, or only after legal structuring.</w:t>
      </w:r>
    </w:p>
    <w:p w14:paraId="5D43EEEB"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Q</w:t>
      </w:r>
    </w:p>
    <w:p w14:paraId="12318C3C"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Quarantine — Protective status isolating a claim, record, fork, token, integration, report, action, release, or component due to serious risk pending review.</w:t>
      </w:r>
    </w:p>
    <w:p w14:paraId="11DD8BA1"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R</w:t>
      </w:r>
    </w:p>
    <w:p w14:paraId="7B424AF2"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RAP, Regenerative Asset Pool — Portfolio logic for aggregating eligible PRU-relevant units under defined evidence, methodology, governance, legal, risk, and reporting criteria. RAP is not a fund, security, or investor exposure by default.</w:t>
      </w:r>
    </w:p>
    <w:p w14:paraId="39420D3E"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Ravel Risk-Signaling Model — Review-bound systemic-risk framework identifying stress indicators, evidence-to-claim mismatch, capital pressure, ecological risk, governance load, semantic drift, and other risk signals. Ravel produces review triggers, not automatic enforcement.</w:t>
      </w:r>
    </w:p>
    <w:p w14:paraId="3602C995"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Regenerative Finance, ReFi — Financial paradigm oriented toward restoring ecological and social capacity. In Prometheus, ReFi language remains bounded by evidence, law, governance, and public-claim discipline.</w:t>
      </w:r>
    </w:p>
    <w:p w14:paraId="23FC2C9A"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Regenerative Real Asset — Land, building, farm, hospitality site, productive estate, or territorial unit designed, managed, and verified as regenerative infrastructure. It may support resilience, continuity, productive capacity, and capital-readiness interpretation where evidence and legal structure allow.</w:t>
      </w:r>
    </w:p>
    <w:p w14:paraId="1C47D0C3"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Regenerative ROI, RROI — Analytical ratio or conceptual indicator of regenerative value generated relative to capital deployed. It is not an investment-return claim by default.</w:t>
      </w:r>
    </w:p>
    <w:p w14:paraId="0A2080E4"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Representation — Technical, legal, digital, documentary, or tokenized expression of a defined function or right. Representation must not be confused with the underlying right.</w:t>
      </w:r>
    </w:p>
    <w:p w14:paraId="1BFD5936"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Resource-Event-Agent, REA — Accounting and modeling framework tracking resources, events, agents, commitments, and multi-dimensional value flows.</w:t>
      </w:r>
    </w:p>
    <w:p w14:paraId="615430CD"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Review-Required — Status indicating that action must pause or route to the applicable review pathway before proceeding.</w:t>
      </w:r>
    </w:p>
    <w:p w14:paraId="75E10D8C"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RPI, Regenerative Productivity Index — Indicator measuring productive output adjusted for resilience, diversity, ecological function, or regenerative quality. Requires methodology and review.</w:t>
      </w:r>
    </w:p>
    <w:p w14:paraId="55D1B556"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Runtime Coherence — Alignment between canonical meaning, repository structure, hApp implementation, zome behavior, bridge behavior, console behavior, evaluation stack, runbooks, APIs, and actual runtime operations.</w:t>
      </w:r>
    </w:p>
    <w:p w14:paraId="69267949"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S</w:t>
      </w:r>
    </w:p>
    <w:p w14:paraId="0407C595"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Scientific and Ecological Evidence Review Network — Review layer supporting ecological-claim assessment, method validation, uncertainty identification, confidence scoring, and MRV admissibility. It does not operate as an oracle or sovereign truth engine.</w:t>
      </w:r>
    </w:p>
    <w:p w14:paraId="3933935C"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Scenario-Informed Governance — Non-binding governance-support method using forecasting, scenario analysis, prediction-market research, probabilistic modeling, stress testing, or AI-assisted comparison to improve decision quality under uncertainty. It does not replace consent, governance review, legal review, MRV admissibility, or source-layer constraints.</w:t>
      </w:r>
    </w:p>
    <w:p w14:paraId="0AA90D09"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Security Token — Token or digital representation that legally represents a security, investment contract, note, fund interest, equity, debt, revenue right, or similar exposure. It requires full legal structuring and jurisdictional compliance.</w:t>
      </w:r>
    </w:p>
    <w:p w14:paraId="1265D93B"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Settlement Rail — Payment or transaction infrastructure, including fiat, banking, electronic-money, or regulated stablecoin rails where legally available. Settlement rails move value but do not create regeneration, evidence, governance authority, or PRU value.</w:t>
      </w:r>
    </w:p>
    <w:p w14:paraId="684B606F"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Slashing — Token penalty or forfeiture mechanism. Prometheus should avoid casual use of slashing unless a legally structured staking mechanism, disclosure, consent, due process, audit, and jurisdictional review exist.</w:t>
      </w:r>
    </w:p>
    <w:p w14:paraId="2EBF5E6A"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Sociocracy — Governance system based on equivalence, consent, circles, feedback loops, and distributed authority within defined domains.</w:t>
      </w:r>
    </w:p>
    <w:p w14:paraId="7E95C50C"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Source Chain — Immutable sequence of signed agent actions in Holochain.</w:t>
      </w:r>
    </w:p>
    <w:p w14:paraId="52B55492"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Source Layer — Foundational constitutional meaning layer of Prometheus. It defines principles, boundaries, non-bypassability, and continuity. No runtime, token, AI system, partner, dashboard, repository, fork, or institution may override it.</w:t>
      </w:r>
    </w:p>
    <w:p w14:paraId="117A3E95"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Source-Layer Fidelity — Degree to which a release, fork, implementation, claim, report, runtime, or representation preserves Prometheus foundational meaning and protected boundaries.</w:t>
      </w:r>
    </w:p>
    <w:p w14:paraId="19BF8FEE"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SRI, Syntropic Resilience Index — Indicator measuring ecological stability, soil function, hydrological coherence, biodiversity, disturbance response, and regenerative resilience. Requires methodology and review.</w:t>
      </w:r>
    </w:p>
    <w:p w14:paraId="650160F8"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Stablecoin — Digital settlement instrument typically designed to maintain a stable value relative to a reference asset. In Prometheus, stablecoins may be considered only as settlement rails where legally available, issuer-reviewed, custody-reviewed, and compliant.</w:t>
      </w:r>
    </w:p>
    <w:p w14:paraId="00F1FD30"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Syntropic Agriculture — Agroecological system based on succession, stratification, biomass cycling, soil cover, pruning, biodiversity, and regenerative management.</w:t>
      </w:r>
    </w:p>
    <w:p w14:paraId="5E8ACDE9"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Syntropic Sovereignty Header — Cryptographic or metadata structure carrying source-layer references, release identity, constitutional constraints, verification data, or integrity information at record or data-packet level.</w:t>
      </w:r>
    </w:p>
    <w:p w14:paraId="0E0A5BAF"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 xml:space="preserve">SyntroGIFT — Systemic-value layer linking regenerative food systems, nutrition, functional movement, nature exposure, social coherence, preventive-health relevance, education, hospitality, wellness, research, and community resilience. It remains strategic upside unless evidence, </w:t>
      </w:r>
      <w:r w:rsidRPr="00B479AE">
        <w:rPr>
          <w:rFonts w:ascii="Baskerville Old Face" w:hAnsi="Baskerville Old Face"/>
          <w:i/>
          <w:iCs/>
        </w:rPr>
        <w:lastRenderedPageBreak/>
        <w:t>methodology, institutional arrangements, medical or public-health governance, and legal admissibility support capital-facing use.</w:t>
      </w:r>
    </w:p>
    <w:p w14:paraId="3E6C0711"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T</w:t>
      </w:r>
    </w:p>
    <w:p w14:paraId="5157DD62"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Token — Digital or cryptographic unit that may represent access, settlement, governance participation, contribution, credential, accounting, reward, or legally structured rights. A token does not create ecological value, PRU value, RAP exposure, land rights, investor rights, governance authority, or human worth by itself.</w:t>
      </w:r>
    </w:p>
    <w:p w14:paraId="32D4DA02"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Token Boundary — Rule that tokens may represent defined functions but may not manufacture the underlying right, evidence, value, legal claim, governance authority, or source-layer legitimacy.</w:t>
      </w:r>
    </w:p>
    <w:p w14:paraId="2ABC5DAA"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Token Integration Registry — Registry recording token classification, status, approved uses, prohibited uses, legal review, MRV / PRU / RAP relationship, governance relationship, custody notes, risk class, and review date.</w:t>
      </w:r>
    </w:p>
    <w:p w14:paraId="1761FB8E"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TRBK, Tribeke Token — Token associated with Tribeke that may support governance, access, coordination, contribution, or ecosystem participation depending on its legal, technical, and governance structure. TRBK does not automatically create Prometheus constitutional authority, PRU value, RAP exposure, investor rights, land rights, MRV validity, HSI status, or governance supremacy.</w:t>
      </w:r>
    </w:p>
    <w:p w14:paraId="24FC444A"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U</w:t>
      </w:r>
    </w:p>
    <w:p w14:paraId="7CD48C38"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Underwriting Readability — Degree to which evidence, risk, cash-flow context, legal structure, governance, reporting, and operational records can be understood by lenders, insurers, investors, or institutional reviewers. It does not imply underwriting approval.</w:t>
      </w:r>
    </w:p>
    <w:p w14:paraId="0114292C"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Unsloth — Framework for efficient fine-tuning of large language models used in AI development and experimentation.</w:t>
      </w:r>
    </w:p>
    <w:p w14:paraId="7D7C34F4"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V</w:t>
      </w:r>
    </w:p>
    <w:p w14:paraId="210868C8"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Validation Authority — Node, reviewer, process, or role responsible for verifying data integrity or evidence quality within a defined scope. Validation authority does not create sovereign authority or legal rights by itself.</w:t>
      </w:r>
    </w:p>
    <w:p w14:paraId="5AA89480"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Value Analysis — Structured interpretation of value under methodology, evidence, admissibility, review, and legal-boundary constraints. It is not financial valuation by default.</w:t>
      </w:r>
    </w:p>
    <w:p w14:paraId="1055D628"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Value Supremacy — Principle stating that outputs violating core values, source-layer constraints, human dignity, ecological integrity, or constitutional boundaries are invalid for protected Prometheus pathways.</w:t>
      </w:r>
    </w:p>
    <w:p w14:paraId="48058656"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Valueflows — Open vocabulary and modeling framework for economic networks based on REA concepts such as resources, events, agents, commitments, and exchanges.</w:t>
      </w:r>
    </w:p>
    <w:p w14:paraId="16FF67DD"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Verifiable Credential — Digital credential that can prove identity, role, status, qualification, authorization, or claim under defined conditions. It does not create broader authority beyond its scope.</w:t>
      </w:r>
    </w:p>
    <w:p w14:paraId="5F403BDC"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W</w:t>
      </w:r>
    </w:p>
    <w:p w14:paraId="3E455810"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Wallet-as-History — Concept in which a wallet or agent identity reflects contribution, participation, roles, history, and records. Wallet-as-history must not become wallet-as-human-worth.</w:t>
      </w:r>
    </w:p>
    <w:p w14:paraId="0550424C"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Warrant — Integrity record identifying alleged misbehavior, data falsification, constitutional violation, public-claim overreach, governance abuse, or other harmful acts. A warrant is not guilt by declaration; it requires review, evidence, due process, and appeal where appropriate.</w:t>
      </w:r>
    </w:p>
    <w:p w14:paraId="730C00F9"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World Model — Local representation of network behavior, ecological context, system state, or risk conditions used for validation, trust assessment, or decision support.</w:t>
      </w:r>
    </w:p>
    <w:p w14:paraId="2E8E4678"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Z</w:t>
      </w:r>
    </w:p>
    <w:p w14:paraId="233246BB"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Zero-Knowledge Proof, ZKP — Cryptographic method enabling verification of a statement without revealing the underlying data.</w:t>
      </w:r>
    </w:p>
    <w:p w14:paraId="5AD0454E" w14:textId="77777777" w:rsidR="002602C5" w:rsidRPr="00B479AE" w:rsidRDefault="002602C5" w:rsidP="002602C5">
      <w:pPr>
        <w:tabs>
          <w:tab w:val="left" w:pos="1440"/>
        </w:tabs>
        <w:spacing w:line="360" w:lineRule="auto"/>
        <w:rPr>
          <w:rFonts w:ascii="Baskerville Old Face" w:hAnsi="Baskerville Old Face"/>
          <w:i/>
          <w:iCs/>
        </w:rPr>
      </w:pPr>
      <w:r w:rsidRPr="00B479AE">
        <w:rPr>
          <w:rFonts w:ascii="Baskerville Old Face" w:hAnsi="Baskerville Old Face"/>
          <w:i/>
          <w:iCs/>
        </w:rPr>
        <w:t>Zome — Modular execution unit in Holochain DNA defining application logic, validation rules, entries, and functions.</w:t>
      </w:r>
    </w:p>
    <w:p w14:paraId="6A84A384" w14:textId="77777777" w:rsidR="00A25DE1" w:rsidRPr="00B479AE" w:rsidRDefault="00A25DE1" w:rsidP="00A25DE1">
      <w:pPr>
        <w:tabs>
          <w:tab w:val="left" w:pos="1440"/>
        </w:tabs>
        <w:spacing w:line="360" w:lineRule="auto"/>
        <w:rPr>
          <w:rFonts w:ascii="Baskerville Old Face" w:hAnsi="Baskerville Old Face"/>
          <w:b/>
          <w:bCs/>
          <w:i/>
          <w:iCs/>
        </w:rPr>
      </w:pPr>
      <w:r w:rsidRPr="00B479AE">
        <w:rPr>
          <w:rFonts w:ascii="Baskerville Old Face" w:hAnsi="Baskerville Old Face"/>
          <w:b/>
          <w:bCs/>
          <w:i/>
          <w:iCs/>
        </w:rPr>
        <w:t>P.2 References and Further Reading</w:t>
      </w:r>
    </w:p>
    <w:p w14:paraId="7D81ED52" w14:textId="77777777" w:rsidR="00A25DE1" w:rsidRPr="00B479AE" w:rsidRDefault="00A25DE1" w:rsidP="00A25DE1">
      <w:pPr>
        <w:tabs>
          <w:tab w:val="left" w:pos="1440"/>
        </w:tabs>
        <w:spacing w:line="360" w:lineRule="auto"/>
        <w:rPr>
          <w:rFonts w:ascii="Baskerville Old Face" w:hAnsi="Baskerville Old Face"/>
          <w:b/>
          <w:bCs/>
          <w:i/>
          <w:iCs/>
        </w:rPr>
      </w:pPr>
      <w:r w:rsidRPr="00B479AE">
        <w:rPr>
          <w:rFonts w:ascii="Baskerville Old Face" w:hAnsi="Baskerville Old Face"/>
          <w:b/>
          <w:bCs/>
          <w:i/>
          <w:iCs/>
        </w:rPr>
        <w:t>P.2.1 Foundational scientific and economic framework</w:t>
      </w:r>
    </w:p>
    <w:p w14:paraId="7C7A51FB" w14:textId="7AE17474"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xml:space="preserve">This section consolidates the scientific, ecological, and economic foundations underpinning the Prometheus architecture, including MRV systems, </w:t>
      </w:r>
      <w:r w:rsidR="00BE5BB7" w:rsidRPr="00B479AE">
        <w:rPr>
          <w:rFonts w:ascii="Baskerville Old Face" w:hAnsi="Baskerville Old Face"/>
          <w:i/>
          <w:iCs/>
        </w:rPr>
        <w:t>PRU value analysis</w:t>
      </w:r>
      <w:r w:rsidRPr="00B479AE">
        <w:rPr>
          <w:rFonts w:ascii="Baskerville Old Face" w:hAnsi="Baskerville Old Face"/>
          <w:i/>
          <w:iCs/>
        </w:rPr>
        <w:t xml:space="preserve"> logic, and regenerative finance.</w:t>
      </w:r>
    </w:p>
    <w:p w14:paraId="7BA7F94D" w14:textId="270F5631" w:rsidR="00A25DE1" w:rsidRPr="00B479AE" w:rsidRDefault="00A25DE1" w:rsidP="00A25DE1">
      <w:pPr>
        <w:tabs>
          <w:tab w:val="left" w:pos="1440"/>
        </w:tabs>
        <w:spacing w:line="360" w:lineRule="auto"/>
        <w:rPr>
          <w:rFonts w:ascii="Baskerville Old Face" w:hAnsi="Baskerville Old Face"/>
          <w:i/>
          <w:iCs/>
        </w:rPr>
      </w:pPr>
    </w:p>
    <w:p w14:paraId="7613E732" w14:textId="77777777" w:rsidR="00A25DE1" w:rsidRPr="00B479AE" w:rsidRDefault="00A25DE1" w:rsidP="00A25DE1">
      <w:pPr>
        <w:tabs>
          <w:tab w:val="left" w:pos="1440"/>
        </w:tabs>
        <w:spacing w:line="360" w:lineRule="auto"/>
        <w:rPr>
          <w:rFonts w:ascii="Baskerville Old Face" w:hAnsi="Baskerville Old Face"/>
          <w:b/>
          <w:bCs/>
          <w:i/>
          <w:iCs/>
        </w:rPr>
      </w:pPr>
      <w:r w:rsidRPr="00B479AE">
        <w:rPr>
          <w:rFonts w:ascii="Baskerville Old Face" w:hAnsi="Baskerville Old Face"/>
          <w:b/>
          <w:bCs/>
          <w:i/>
          <w:iCs/>
        </w:rPr>
        <w:lastRenderedPageBreak/>
        <w:t>Planetary Boundaries and Earth System Science</w:t>
      </w:r>
    </w:p>
    <w:p w14:paraId="74995C7A"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Rockström, J., et al. (2009). A safe operating space for humanity. Nature, 461(7263), 472–475.</w:t>
      </w:r>
      <w:r w:rsidRPr="00B479AE">
        <w:rPr>
          <w:rFonts w:ascii="Baskerville Old Face" w:hAnsi="Baskerville Old Face"/>
          <w:i/>
          <w:iCs/>
        </w:rPr>
        <w:br/>
      </w:r>
      <w:hyperlink r:id="rId28" w:history="1">
        <w:r w:rsidRPr="00B479AE">
          <w:rPr>
            <w:rStyle w:val="Collegamentoipertestuale"/>
            <w:rFonts w:ascii="Baskerville Old Face" w:hAnsi="Baskerville Old Face"/>
            <w:i/>
            <w:iCs/>
          </w:rPr>
          <w:t>https://doi.org/10.1038/461472a</w:t>
        </w:r>
      </w:hyperlink>
    </w:p>
    <w:p w14:paraId="3A7DA324"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Steffen, W., et al. (2015). Planetary boundaries: Guiding human development on a changing planet. Science, 347(6223), 1259855.</w:t>
      </w:r>
      <w:r w:rsidRPr="00B479AE">
        <w:rPr>
          <w:rFonts w:ascii="Baskerville Old Face" w:hAnsi="Baskerville Old Face"/>
          <w:i/>
          <w:iCs/>
        </w:rPr>
        <w:br/>
      </w:r>
      <w:hyperlink r:id="rId29" w:history="1">
        <w:r w:rsidRPr="00B479AE">
          <w:rPr>
            <w:rStyle w:val="Collegamentoipertestuale"/>
            <w:rFonts w:ascii="Baskerville Old Face" w:hAnsi="Baskerville Old Face"/>
            <w:i/>
            <w:iCs/>
          </w:rPr>
          <w:t>https://doi.org/10.1126/science.1259855</w:t>
        </w:r>
      </w:hyperlink>
    </w:p>
    <w:p w14:paraId="00E8686F"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Richardson, K., et al. (2023). Earth beyond six of nine planetary boundaries. Science Advances, 9(37), eadh2458.</w:t>
      </w:r>
      <w:r w:rsidRPr="00B479AE">
        <w:rPr>
          <w:rFonts w:ascii="Baskerville Old Face" w:hAnsi="Baskerville Old Face"/>
          <w:i/>
          <w:iCs/>
        </w:rPr>
        <w:br/>
      </w:r>
      <w:hyperlink r:id="rId30" w:history="1">
        <w:r w:rsidRPr="00B479AE">
          <w:rPr>
            <w:rStyle w:val="Collegamentoipertestuale"/>
            <w:rFonts w:ascii="Baskerville Old Face" w:hAnsi="Baskerville Old Face"/>
            <w:i/>
            <w:iCs/>
          </w:rPr>
          <w:t>https://doi.org/10.1126/sciadv.adh2458</w:t>
        </w:r>
      </w:hyperlink>
    </w:p>
    <w:p w14:paraId="6EFB2152"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Persson, L., et al. (2022). Outside the safe operating space of the planetary boundary for novel entities. Environmental Science &amp; Technology.</w:t>
      </w:r>
      <w:r w:rsidRPr="00B479AE">
        <w:rPr>
          <w:rFonts w:ascii="Baskerville Old Face" w:hAnsi="Baskerville Old Face"/>
          <w:i/>
          <w:iCs/>
        </w:rPr>
        <w:br/>
      </w:r>
      <w:hyperlink r:id="rId31" w:history="1">
        <w:r w:rsidRPr="00B479AE">
          <w:rPr>
            <w:rStyle w:val="Collegamentoipertestuale"/>
            <w:rFonts w:ascii="Baskerville Old Face" w:hAnsi="Baskerville Old Face"/>
            <w:i/>
            <w:iCs/>
          </w:rPr>
          <w:t>https://doi.org/10.1021/acs.est.1c04158</w:t>
        </w:r>
      </w:hyperlink>
    </w:p>
    <w:p w14:paraId="333A2D12"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Wang-Erlandsson, L., et al. (2022). A planetary boundary for green water. Nature Reviews Earth &amp; Environment.</w:t>
      </w:r>
      <w:r w:rsidRPr="00B479AE">
        <w:rPr>
          <w:rFonts w:ascii="Baskerville Old Face" w:hAnsi="Baskerville Old Face"/>
          <w:i/>
          <w:iCs/>
        </w:rPr>
        <w:br/>
      </w:r>
      <w:hyperlink r:id="rId32" w:history="1">
        <w:r w:rsidRPr="00B479AE">
          <w:rPr>
            <w:rStyle w:val="Collegamentoipertestuale"/>
            <w:rFonts w:ascii="Baskerville Old Face" w:hAnsi="Baskerville Old Face"/>
            <w:i/>
            <w:iCs/>
          </w:rPr>
          <w:t>https://doi.org/10.1038/s43017-022-00287-8</w:t>
        </w:r>
      </w:hyperlink>
    </w:p>
    <w:p w14:paraId="59DFC84E"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Stockholm Resilience Centre – Planetary Boundaries</w:t>
      </w:r>
      <w:r w:rsidRPr="00B479AE">
        <w:rPr>
          <w:rFonts w:ascii="Baskerville Old Face" w:hAnsi="Baskerville Old Face"/>
          <w:i/>
          <w:iCs/>
        </w:rPr>
        <w:br/>
      </w:r>
      <w:hyperlink r:id="rId33" w:history="1">
        <w:r w:rsidRPr="00B479AE">
          <w:rPr>
            <w:rStyle w:val="Collegamentoipertestuale"/>
            <w:rFonts w:ascii="Baskerville Old Face" w:hAnsi="Baskerville Old Face"/>
            <w:i/>
            <w:iCs/>
          </w:rPr>
          <w:t>https://www.stockholmresilience.org/research/planetary-boundaries.html</w:t>
        </w:r>
      </w:hyperlink>
    </w:p>
    <w:p w14:paraId="79143E16"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Potsdam Institute – Planetary Health Check</w:t>
      </w:r>
      <w:r w:rsidRPr="00B479AE">
        <w:rPr>
          <w:rFonts w:ascii="Baskerville Old Face" w:hAnsi="Baskerville Old Face"/>
          <w:i/>
          <w:iCs/>
        </w:rPr>
        <w:br/>
      </w:r>
      <w:hyperlink r:id="rId34" w:history="1">
        <w:r w:rsidRPr="00B479AE">
          <w:rPr>
            <w:rStyle w:val="Collegamentoipertestuale"/>
            <w:rFonts w:ascii="Baskerville Old Face" w:hAnsi="Baskerville Old Face"/>
            <w:i/>
            <w:iCs/>
          </w:rPr>
          <w:t>https://planetaryhealthcheck.org</w:t>
        </w:r>
      </w:hyperlink>
    </w:p>
    <w:p w14:paraId="189EC576"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Times New Roman" w:hAnsi="Times New Roman" w:cs="Times New Roman"/>
          <w:i/>
          <w:iCs/>
        </w:rPr>
        <w:t>→</w:t>
      </w:r>
      <w:r w:rsidRPr="00B479AE">
        <w:rPr>
          <w:rFonts w:ascii="Baskerville Old Face" w:hAnsi="Baskerville Old Face"/>
          <w:i/>
          <w:iCs/>
        </w:rPr>
        <w:t xml:space="preserve"> Defines ecological constraints embedded in MRV architecture and PRU admissibility thresholds</w:t>
      </w:r>
    </w:p>
    <w:p w14:paraId="7E450E96" w14:textId="77777777" w:rsidR="00A25DE1" w:rsidRPr="00B479AE" w:rsidRDefault="00A25DE1" w:rsidP="00A25DE1">
      <w:pPr>
        <w:tabs>
          <w:tab w:val="left" w:pos="1440"/>
        </w:tabs>
        <w:spacing w:line="360" w:lineRule="auto"/>
        <w:rPr>
          <w:rFonts w:ascii="Baskerville Old Face" w:hAnsi="Baskerville Old Face"/>
          <w:b/>
          <w:bCs/>
          <w:i/>
          <w:iCs/>
        </w:rPr>
      </w:pPr>
      <w:r w:rsidRPr="00B479AE">
        <w:rPr>
          <w:rFonts w:ascii="Baskerville Old Face" w:hAnsi="Baskerville Old Face"/>
          <w:b/>
          <w:bCs/>
          <w:i/>
          <w:iCs/>
        </w:rPr>
        <w:t>Regenerative Economics and Financial Systems</w:t>
      </w:r>
    </w:p>
    <w:p w14:paraId="3A4D8DFF"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Fullerton, J. (2015). Regenerative Capitalism. Capital Institute</w:t>
      </w:r>
      <w:r w:rsidRPr="00B479AE">
        <w:rPr>
          <w:rFonts w:ascii="Baskerville Old Face" w:hAnsi="Baskerville Old Face"/>
          <w:i/>
          <w:iCs/>
        </w:rPr>
        <w:br/>
      </w:r>
      <w:hyperlink r:id="rId35" w:history="1">
        <w:r w:rsidRPr="00B479AE">
          <w:rPr>
            <w:rStyle w:val="Collegamentoipertestuale"/>
            <w:rFonts w:ascii="Baskerville Old Face" w:hAnsi="Baskerville Old Face"/>
            <w:i/>
            <w:iCs/>
          </w:rPr>
          <w:t>https://capitalinstitute.org/wp-content/uploads/2015/04/2015-Regenerative-Capitalism-4-20-15-final.pdf</w:t>
        </w:r>
      </w:hyperlink>
    </w:p>
    <w:p w14:paraId="4C4D5311"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Minsky, H. P. (1986). Stabilizing an Unstable Economy. Yale University Press</w:t>
      </w:r>
    </w:p>
    <w:p w14:paraId="4D788E70"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Keen, S. (2021). The New Economics: A Manifesto. Polity Press</w:t>
      </w:r>
    </w:p>
    <w:p w14:paraId="24FD41AB"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 Schumacher, E. F. (1973). Small Is Beautiful. Blond &amp; Briggs</w:t>
      </w:r>
    </w:p>
    <w:p w14:paraId="22CD14F0"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Times New Roman" w:hAnsi="Times New Roman" w:cs="Times New Roman"/>
          <w:i/>
          <w:iCs/>
        </w:rPr>
        <w:t>→</w:t>
      </w:r>
      <w:r w:rsidRPr="00B479AE">
        <w:rPr>
          <w:rFonts w:ascii="Baskerville Old Face" w:hAnsi="Baskerville Old Face"/>
          <w:i/>
          <w:iCs/>
        </w:rPr>
        <w:t xml:space="preserve"> Informs capital cycles, systemic instability, and PRMF valuation logic</w:t>
      </w:r>
    </w:p>
    <w:p w14:paraId="60EC06F9" w14:textId="77777777" w:rsidR="00A25DE1" w:rsidRPr="00B479AE" w:rsidRDefault="00A25DE1" w:rsidP="00A25DE1">
      <w:pPr>
        <w:tabs>
          <w:tab w:val="left" w:pos="1440"/>
        </w:tabs>
        <w:spacing w:line="360" w:lineRule="auto"/>
        <w:rPr>
          <w:rFonts w:ascii="Baskerville Old Face" w:hAnsi="Baskerville Old Face"/>
          <w:b/>
          <w:bCs/>
          <w:i/>
          <w:iCs/>
        </w:rPr>
      </w:pPr>
      <w:r w:rsidRPr="00B479AE">
        <w:rPr>
          <w:rFonts w:ascii="Baskerville Old Face" w:hAnsi="Baskerville Old Face"/>
          <w:b/>
          <w:bCs/>
          <w:i/>
          <w:iCs/>
        </w:rPr>
        <w:t>Complexity Economics and Emergent Value</w:t>
      </w:r>
    </w:p>
    <w:p w14:paraId="59D468EE"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Beinhocker, E. (2006). The Origin of Wealth. Harvard Business School Press</w:t>
      </w:r>
    </w:p>
    <w:p w14:paraId="44CA5092"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Arthur, W. B. (2015). Complexity and the Economy. Oxford University Press</w:t>
      </w:r>
    </w:p>
    <w:p w14:paraId="2081D046"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Harris-Braun, E. – Center for New Economics</w:t>
      </w:r>
      <w:r w:rsidRPr="00B479AE">
        <w:rPr>
          <w:rFonts w:ascii="Baskerville Old Face" w:hAnsi="Baskerville Old Face"/>
          <w:i/>
          <w:iCs/>
        </w:rPr>
        <w:br/>
      </w:r>
      <w:hyperlink r:id="rId36" w:history="1">
        <w:r w:rsidRPr="00B479AE">
          <w:rPr>
            <w:rStyle w:val="Collegamentoipertestuale"/>
            <w:rFonts w:ascii="Baskerville Old Face" w:hAnsi="Baskerville Old Face"/>
            <w:i/>
            <w:iCs/>
          </w:rPr>
          <w:t>https://centerforneweconomics.org</w:t>
        </w:r>
      </w:hyperlink>
    </w:p>
    <w:p w14:paraId="2F1FE21A" w14:textId="67C0343B" w:rsidR="00A25DE1" w:rsidRPr="00B479AE" w:rsidRDefault="00A25DE1" w:rsidP="00A25DE1">
      <w:pPr>
        <w:tabs>
          <w:tab w:val="left" w:pos="1440"/>
        </w:tabs>
        <w:spacing w:line="360" w:lineRule="auto"/>
        <w:rPr>
          <w:rFonts w:ascii="Baskerville Old Face" w:hAnsi="Baskerville Old Face"/>
          <w:i/>
          <w:iCs/>
        </w:rPr>
      </w:pPr>
      <w:r w:rsidRPr="00B479AE">
        <w:rPr>
          <w:rFonts w:ascii="Times New Roman" w:hAnsi="Times New Roman" w:cs="Times New Roman"/>
          <w:i/>
          <w:iCs/>
        </w:rPr>
        <w:t>→</w:t>
      </w:r>
      <w:r w:rsidRPr="00B479AE">
        <w:rPr>
          <w:rFonts w:ascii="Baskerville Old Face" w:hAnsi="Baskerville Old Face"/>
          <w:i/>
          <w:iCs/>
        </w:rPr>
        <w:t xml:space="preserve"> Establishes non-linear value generation </w:t>
      </w:r>
      <w:r w:rsidRPr="00B479AE">
        <w:rPr>
          <w:rFonts w:ascii="Times New Roman" w:hAnsi="Times New Roman" w:cs="Times New Roman"/>
          <w:i/>
          <w:iCs/>
        </w:rPr>
        <w:t>→</w:t>
      </w:r>
      <w:r w:rsidRPr="00B479AE">
        <w:rPr>
          <w:rFonts w:ascii="Baskerville Old Face" w:hAnsi="Baskerville Old Face"/>
          <w:i/>
          <w:iCs/>
        </w:rPr>
        <w:t xml:space="preserve"> foundation of CESI and </w:t>
      </w:r>
      <w:r w:rsidR="009D194F" w:rsidRPr="00B479AE">
        <w:rPr>
          <w:rFonts w:ascii="Baskerville Old Face" w:hAnsi="Baskerville Old Face"/>
          <w:i/>
          <w:iCs/>
        </w:rPr>
        <w:t xml:space="preserve">PRU maturity classification </w:t>
      </w:r>
      <w:r w:rsidR="00EE7E97" w:rsidRPr="00B479AE">
        <w:rPr>
          <w:rFonts w:ascii="Baskerville Old Face" w:hAnsi="Baskerville Old Face"/>
          <w:i/>
          <w:iCs/>
        </w:rPr>
        <w:t xml:space="preserve"> </w:t>
      </w:r>
    </w:p>
    <w:p w14:paraId="101F8899" w14:textId="77777777" w:rsidR="00A25DE1" w:rsidRPr="00B479AE" w:rsidRDefault="00A25DE1" w:rsidP="00A25DE1">
      <w:pPr>
        <w:tabs>
          <w:tab w:val="left" w:pos="1440"/>
        </w:tabs>
        <w:spacing w:line="360" w:lineRule="auto"/>
        <w:rPr>
          <w:rFonts w:ascii="Baskerville Old Face" w:hAnsi="Baskerville Old Face"/>
          <w:b/>
          <w:bCs/>
          <w:i/>
          <w:iCs/>
        </w:rPr>
      </w:pPr>
      <w:r w:rsidRPr="00B479AE">
        <w:rPr>
          <w:rFonts w:ascii="Baskerville Old Face" w:hAnsi="Baskerville Old Face"/>
          <w:b/>
          <w:bCs/>
          <w:i/>
          <w:iCs/>
        </w:rPr>
        <w:t>Syntropic Agriculture and Agroforestry Systems</w:t>
      </w:r>
    </w:p>
    <w:p w14:paraId="24C809F5"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Götsch, E. (1992). Natural succession in agroforestry systems</w:t>
      </w:r>
      <w:r w:rsidRPr="00B479AE">
        <w:rPr>
          <w:rFonts w:ascii="Baskerville Old Face" w:hAnsi="Baskerville Old Face"/>
          <w:i/>
          <w:iCs/>
        </w:rPr>
        <w:br/>
      </w:r>
      <w:hyperlink r:id="rId37" w:history="1">
        <w:r w:rsidRPr="00B479AE">
          <w:rPr>
            <w:rStyle w:val="Collegamentoipertestuale"/>
            <w:rFonts w:ascii="Baskerville Old Face" w:hAnsi="Baskerville Old Face"/>
            <w:i/>
            <w:iCs/>
          </w:rPr>
          <w:t>https://agendagotsch.com/en/our-videos/</w:t>
        </w:r>
      </w:hyperlink>
    </w:p>
    <w:p w14:paraId="2932D492"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Schulz, B., Becker, B., &amp; Götsch, E. (1994). Indigenous knowledge in agroforestry. Agroforestry Systems</w:t>
      </w:r>
      <w:r w:rsidRPr="00B479AE">
        <w:rPr>
          <w:rFonts w:ascii="Baskerville Old Face" w:hAnsi="Baskerville Old Face"/>
          <w:i/>
          <w:iCs/>
        </w:rPr>
        <w:br/>
      </w:r>
      <w:hyperlink r:id="rId38" w:history="1">
        <w:r w:rsidRPr="00B479AE">
          <w:rPr>
            <w:rStyle w:val="Collegamentoipertestuale"/>
            <w:rFonts w:ascii="Baskerville Old Face" w:hAnsi="Baskerville Old Face"/>
            <w:i/>
            <w:iCs/>
          </w:rPr>
          <w:t>https://doi.org/10.1007/BF00705143</w:t>
        </w:r>
      </w:hyperlink>
    </w:p>
    <w:p w14:paraId="1E11B357"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Armengot, L., et al. (2016). Agroforestry vs monoculture productivity. Agronomy for Sustainable Development</w:t>
      </w:r>
      <w:r w:rsidRPr="00B479AE">
        <w:rPr>
          <w:rFonts w:ascii="Baskerville Old Face" w:hAnsi="Baskerville Old Face"/>
          <w:i/>
          <w:iCs/>
        </w:rPr>
        <w:br/>
      </w:r>
      <w:hyperlink r:id="rId39" w:history="1">
        <w:r w:rsidRPr="00B479AE">
          <w:rPr>
            <w:rStyle w:val="Collegamentoipertestuale"/>
            <w:rFonts w:ascii="Baskerville Old Face" w:hAnsi="Baskerville Old Face"/>
            <w:i/>
            <w:iCs/>
          </w:rPr>
          <w:t>https://doi.org/10.1007/s13593-016-0407-9</w:t>
        </w:r>
      </w:hyperlink>
    </w:p>
    <w:p w14:paraId="2819E354"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Andres, C., et al. (2016). Dynamic agroforestry systems. Springer</w:t>
      </w:r>
      <w:r w:rsidRPr="00B479AE">
        <w:rPr>
          <w:rFonts w:ascii="Baskerville Old Face" w:hAnsi="Baskerville Old Face"/>
          <w:i/>
          <w:iCs/>
        </w:rPr>
        <w:br/>
      </w:r>
      <w:hyperlink r:id="rId40" w:history="1">
        <w:r w:rsidRPr="00B479AE">
          <w:rPr>
            <w:rStyle w:val="Collegamentoipertestuale"/>
            <w:rFonts w:ascii="Baskerville Old Face" w:hAnsi="Baskerville Old Face"/>
            <w:i/>
            <w:iCs/>
          </w:rPr>
          <w:t>https://doi.org/10.1007/978-3-319-26777-7_4</w:t>
        </w:r>
      </w:hyperlink>
    </w:p>
    <w:p w14:paraId="0432D560"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Jacobi, J., et al. (2025). Syntropic farming systems</w:t>
      </w:r>
    </w:p>
    <w:p w14:paraId="2D307EC5"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Mountain Time Farm. (2025). The economics of syntropic agroforestry</w:t>
      </w:r>
      <w:r w:rsidRPr="00B479AE">
        <w:rPr>
          <w:rFonts w:ascii="Baskerville Old Face" w:hAnsi="Baskerville Old Face"/>
          <w:i/>
          <w:iCs/>
        </w:rPr>
        <w:br/>
      </w:r>
      <w:hyperlink r:id="rId41" w:history="1">
        <w:r w:rsidRPr="00B479AE">
          <w:rPr>
            <w:rStyle w:val="Collegamentoipertestuale"/>
            <w:rFonts w:ascii="Baskerville Old Face" w:hAnsi="Baskerville Old Face"/>
            <w:i/>
            <w:iCs/>
          </w:rPr>
          <w:t>https://mountaintimefarm.com/pages/the-economics-of-syntropic-agroforestry</w:t>
        </w:r>
      </w:hyperlink>
    </w:p>
    <w:p w14:paraId="387C1C91"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Times New Roman" w:hAnsi="Times New Roman" w:cs="Times New Roman"/>
          <w:i/>
          <w:iCs/>
        </w:rPr>
        <w:t>→</w:t>
      </w:r>
      <w:r w:rsidRPr="00B479AE">
        <w:rPr>
          <w:rFonts w:ascii="Baskerville Old Face" w:hAnsi="Baskerville Old Face"/>
          <w:i/>
          <w:iCs/>
        </w:rPr>
        <w:t xml:space="preserve"> Empirical basis for SRI (resilience), RPI (productivity), and CESI (cooperative ecological surplus)</w:t>
      </w:r>
    </w:p>
    <w:p w14:paraId="0C60A7B8" w14:textId="5F0427B8" w:rsidR="00A25DE1" w:rsidRPr="00B479AE" w:rsidRDefault="00A25DE1" w:rsidP="00A25DE1">
      <w:pPr>
        <w:tabs>
          <w:tab w:val="left" w:pos="1440"/>
        </w:tabs>
        <w:spacing w:line="360" w:lineRule="auto"/>
        <w:rPr>
          <w:rFonts w:ascii="Baskerville Old Face" w:hAnsi="Baskerville Old Face"/>
          <w:i/>
          <w:iCs/>
        </w:rPr>
      </w:pPr>
    </w:p>
    <w:p w14:paraId="730EE46E" w14:textId="77777777" w:rsidR="00A25DE1" w:rsidRPr="00B479AE" w:rsidRDefault="00A25DE1" w:rsidP="00A25DE1">
      <w:pPr>
        <w:tabs>
          <w:tab w:val="left" w:pos="1440"/>
        </w:tabs>
        <w:spacing w:line="360" w:lineRule="auto"/>
        <w:rPr>
          <w:rFonts w:ascii="Baskerville Old Face" w:hAnsi="Baskerville Old Face"/>
          <w:b/>
          <w:bCs/>
          <w:i/>
          <w:iCs/>
        </w:rPr>
      </w:pPr>
      <w:r w:rsidRPr="00B479AE">
        <w:rPr>
          <w:rFonts w:ascii="Baskerville Old Face" w:hAnsi="Baskerville Old Face"/>
          <w:b/>
          <w:bCs/>
          <w:i/>
          <w:iCs/>
        </w:rPr>
        <w:lastRenderedPageBreak/>
        <w:t>System-Level Productivity and Syntropic Performance Evidence</w:t>
      </w:r>
    </w:p>
    <w:p w14:paraId="1D5E3EB5"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The Lancet Planetary Health (2025). Systematic review of syntropic agroforestry systems (67 empirical studies)</w:t>
      </w:r>
    </w:p>
    <w:p w14:paraId="43986B36"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Key synthesized findings:</w:t>
      </w:r>
    </w:p>
    <w:p w14:paraId="4955DF11"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In multiple cases, total system yields and total marketable outputs exceed comparator systems, confirming superiority at system level rather than single-crop metrics</w:t>
      </w:r>
    </w:p>
    <w:p w14:paraId="7E5B70F4"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Land Equivalent Ratios (LER): 2.8–4.1, indicating significantly higher total value per unit land compared to monocultures</w:t>
      </w:r>
    </w:p>
    <w:p w14:paraId="1509426B"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System income increases: +33% to +200% relative to comparator cropping systems</w:t>
      </w:r>
    </w:p>
    <w:p w14:paraId="1F45CD6D"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Brazilian case study:</w:t>
      </w:r>
    </w:p>
    <w:p w14:paraId="53E69E2C" w14:textId="77777777" w:rsidR="00A25DE1" w:rsidRPr="00B479AE" w:rsidRDefault="00A25DE1">
      <w:pPr>
        <w:numPr>
          <w:ilvl w:val="0"/>
          <w:numId w:val="15"/>
        </w:numPr>
        <w:tabs>
          <w:tab w:val="left" w:pos="1440"/>
        </w:tabs>
        <w:spacing w:line="360" w:lineRule="auto"/>
        <w:rPr>
          <w:rFonts w:ascii="Baskerville Old Face" w:hAnsi="Baskerville Old Face"/>
          <w:i/>
          <w:iCs/>
        </w:rPr>
      </w:pPr>
      <w:r w:rsidRPr="00B479AE">
        <w:rPr>
          <w:rFonts w:ascii="Baskerville Old Face" w:hAnsi="Baskerville Old Face"/>
          <w:i/>
          <w:iCs/>
        </w:rPr>
        <w:t>biomass input: 28.6 t/ha/year</w:t>
      </w:r>
    </w:p>
    <w:p w14:paraId="514ED414" w14:textId="77777777" w:rsidR="00A25DE1" w:rsidRPr="00B479AE" w:rsidRDefault="00A25DE1">
      <w:pPr>
        <w:numPr>
          <w:ilvl w:val="0"/>
          <w:numId w:val="15"/>
        </w:numPr>
        <w:tabs>
          <w:tab w:val="left" w:pos="1440"/>
        </w:tabs>
        <w:spacing w:line="360" w:lineRule="auto"/>
        <w:rPr>
          <w:rFonts w:ascii="Baskerville Old Face" w:hAnsi="Baskerville Old Face"/>
          <w:i/>
          <w:iCs/>
        </w:rPr>
      </w:pPr>
      <w:r w:rsidRPr="00B479AE">
        <w:rPr>
          <w:rFonts w:ascii="Baskerville Old Face" w:hAnsi="Baskerville Old Face"/>
          <w:i/>
          <w:iCs/>
        </w:rPr>
        <w:t xml:space="preserve">soil organic carbon increase: 56 </w:t>
      </w:r>
      <w:r w:rsidRPr="00B479AE">
        <w:rPr>
          <w:rFonts w:ascii="Times New Roman" w:hAnsi="Times New Roman" w:cs="Times New Roman"/>
          <w:i/>
          <w:iCs/>
        </w:rPr>
        <w:t>→</w:t>
      </w:r>
      <w:r w:rsidRPr="00B479AE">
        <w:rPr>
          <w:rFonts w:ascii="Baskerville Old Face" w:hAnsi="Baskerville Old Face"/>
          <w:i/>
          <w:iCs/>
        </w:rPr>
        <w:t xml:space="preserve"> 79.6 t C/ha over 6 years</w:t>
      </w:r>
    </w:p>
    <w:p w14:paraId="582AD1CA"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These results demonstrate high performance ceilings under favorable conditions while explicitly confirming:</w:t>
      </w:r>
    </w:p>
    <w:p w14:paraId="7DBF1A01"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context dependency</w:t>
      </w:r>
      <w:r w:rsidRPr="00B479AE">
        <w:rPr>
          <w:rFonts w:ascii="Baskerville Old Face" w:hAnsi="Baskerville Old Face"/>
          <w:i/>
          <w:iCs/>
        </w:rPr>
        <w:br/>
        <w:t>• labor and knowledge intensity</w:t>
      </w:r>
      <w:r w:rsidRPr="00B479AE">
        <w:rPr>
          <w:rFonts w:ascii="Baskerville Old Face" w:hAnsi="Baskerville Old Face"/>
          <w:i/>
          <w:iCs/>
        </w:rPr>
        <w:br/>
        <w:t>• policy and enabling environment constraints</w:t>
      </w:r>
    </w:p>
    <w:p w14:paraId="2755A096" w14:textId="07C2BB2E" w:rsidR="00A25DE1" w:rsidRPr="00B479AE" w:rsidRDefault="00A25DE1" w:rsidP="00A25DE1">
      <w:pPr>
        <w:tabs>
          <w:tab w:val="left" w:pos="1440"/>
        </w:tabs>
        <w:spacing w:line="360" w:lineRule="auto"/>
        <w:rPr>
          <w:rFonts w:ascii="Baskerville Old Face" w:hAnsi="Baskerville Old Face"/>
          <w:i/>
          <w:iCs/>
        </w:rPr>
      </w:pPr>
      <w:r w:rsidRPr="00B479AE">
        <w:rPr>
          <w:rFonts w:ascii="Times New Roman" w:hAnsi="Times New Roman" w:cs="Times New Roman"/>
          <w:i/>
          <w:iCs/>
        </w:rPr>
        <w:t>→</w:t>
      </w:r>
      <w:r w:rsidRPr="00B479AE">
        <w:rPr>
          <w:rFonts w:ascii="Baskerville Old Face" w:hAnsi="Baskerville Old Face"/>
          <w:i/>
          <w:iCs/>
        </w:rPr>
        <w:t xml:space="preserve"> Establishes system-level productivity as the correct evaluation framework for OHE and PRU valu</w:t>
      </w:r>
      <w:r w:rsidR="00C91C6A" w:rsidRPr="00B479AE">
        <w:rPr>
          <w:rFonts w:ascii="Baskerville Old Face" w:hAnsi="Baskerville Old Face"/>
          <w:i/>
          <w:iCs/>
        </w:rPr>
        <w:t>e analysis</w:t>
      </w:r>
    </w:p>
    <w:p w14:paraId="2A4F65C4" w14:textId="77777777" w:rsidR="00A25DE1" w:rsidRPr="00B479AE" w:rsidRDefault="00A25DE1" w:rsidP="00A25DE1">
      <w:pPr>
        <w:tabs>
          <w:tab w:val="left" w:pos="1440"/>
        </w:tabs>
        <w:spacing w:line="360" w:lineRule="auto"/>
        <w:rPr>
          <w:rFonts w:ascii="Baskerville Old Face" w:hAnsi="Baskerville Old Face"/>
          <w:b/>
          <w:bCs/>
          <w:i/>
          <w:iCs/>
        </w:rPr>
      </w:pPr>
      <w:r w:rsidRPr="00B479AE">
        <w:rPr>
          <w:rFonts w:ascii="Baskerville Old Face" w:hAnsi="Baskerville Old Face"/>
          <w:b/>
          <w:bCs/>
          <w:i/>
          <w:iCs/>
        </w:rPr>
        <w:t>Soil Systems, Carbon Dynamics, and Microbial Ecology</w:t>
      </w:r>
    </w:p>
    <w:p w14:paraId="42FFD7E9" w14:textId="77777777" w:rsidR="00A25DE1" w:rsidRPr="005907F1" w:rsidRDefault="00A25DE1" w:rsidP="00A25DE1">
      <w:pPr>
        <w:tabs>
          <w:tab w:val="left" w:pos="1440"/>
        </w:tabs>
        <w:spacing w:line="360" w:lineRule="auto"/>
        <w:rPr>
          <w:rFonts w:ascii="Baskerville Old Face" w:hAnsi="Baskerville Old Face"/>
          <w:i/>
          <w:iCs/>
          <w:lang w:val="it-IT"/>
        </w:rPr>
      </w:pPr>
      <w:r w:rsidRPr="005907F1">
        <w:rPr>
          <w:rFonts w:ascii="Baskerville Old Face" w:hAnsi="Baskerville Old Face"/>
          <w:i/>
          <w:iCs/>
          <w:lang w:val="it-IT"/>
        </w:rPr>
        <w:t>• Lal, R. (2004). Soil carbon sequestration. Science</w:t>
      </w:r>
      <w:r w:rsidRPr="005907F1">
        <w:rPr>
          <w:rFonts w:ascii="Baskerville Old Face" w:hAnsi="Baskerville Old Face"/>
          <w:i/>
          <w:iCs/>
          <w:lang w:val="it-IT"/>
        </w:rPr>
        <w:br/>
      </w:r>
      <w:hyperlink r:id="rId42" w:history="1">
        <w:r w:rsidRPr="005907F1">
          <w:rPr>
            <w:rStyle w:val="Collegamentoipertestuale"/>
            <w:rFonts w:ascii="Baskerville Old Face" w:hAnsi="Baskerville Old Face"/>
            <w:i/>
            <w:iCs/>
            <w:lang w:val="it-IT"/>
          </w:rPr>
          <w:t>https://doi.org/10.1126/science.1097396</w:t>
        </w:r>
      </w:hyperlink>
    </w:p>
    <w:p w14:paraId="6C0AD8F6"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Lehmann, J., &amp; Kleber, M. (2015). Soil organic matter. Nature</w:t>
      </w:r>
      <w:r w:rsidRPr="00B479AE">
        <w:rPr>
          <w:rFonts w:ascii="Baskerville Old Face" w:hAnsi="Baskerville Old Face"/>
          <w:i/>
          <w:iCs/>
        </w:rPr>
        <w:br/>
      </w:r>
      <w:hyperlink r:id="rId43" w:history="1">
        <w:r w:rsidRPr="00B479AE">
          <w:rPr>
            <w:rStyle w:val="Collegamentoipertestuale"/>
            <w:rFonts w:ascii="Baskerville Old Face" w:hAnsi="Baskerville Old Face"/>
            <w:i/>
            <w:iCs/>
          </w:rPr>
          <w:t>https://doi.org/10.1038/nature16069</w:t>
        </w:r>
      </w:hyperlink>
    </w:p>
    <w:p w14:paraId="773254F8"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lastRenderedPageBreak/>
        <w:t>• Six, J., et al. (2002). Stabilization of soil organic matter. Plant and Soil</w:t>
      </w:r>
      <w:r w:rsidRPr="00B479AE">
        <w:rPr>
          <w:rFonts w:ascii="Baskerville Old Face" w:hAnsi="Baskerville Old Face"/>
          <w:i/>
          <w:iCs/>
        </w:rPr>
        <w:br/>
      </w:r>
      <w:hyperlink r:id="rId44" w:history="1">
        <w:r w:rsidRPr="00B479AE">
          <w:rPr>
            <w:rStyle w:val="Collegamentoipertestuale"/>
            <w:rFonts w:ascii="Baskerville Old Face" w:hAnsi="Baskerville Old Face"/>
            <w:i/>
            <w:iCs/>
          </w:rPr>
          <w:t>https://doi.org/10.1023/A:1016125726789</w:t>
        </w:r>
      </w:hyperlink>
    </w:p>
    <w:p w14:paraId="60F294D2"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Bardgett, R. D., &amp; van der Putten, W. H. (2014). Belowground biodiversity. Nature</w:t>
      </w:r>
      <w:r w:rsidRPr="00B479AE">
        <w:rPr>
          <w:rFonts w:ascii="Baskerville Old Face" w:hAnsi="Baskerville Old Face"/>
          <w:i/>
          <w:iCs/>
        </w:rPr>
        <w:br/>
      </w:r>
      <w:hyperlink r:id="rId45" w:history="1">
        <w:r w:rsidRPr="00B479AE">
          <w:rPr>
            <w:rStyle w:val="Collegamentoipertestuale"/>
            <w:rFonts w:ascii="Baskerville Old Face" w:hAnsi="Baskerville Old Face"/>
            <w:i/>
            <w:iCs/>
          </w:rPr>
          <w:t>https://doi.org/10.1038/nature13855</w:t>
        </w:r>
      </w:hyperlink>
    </w:p>
    <w:p w14:paraId="55441753"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Times New Roman" w:hAnsi="Times New Roman" w:cs="Times New Roman"/>
          <w:i/>
          <w:iCs/>
        </w:rPr>
        <w:t>→</w:t>
      </w:r>
      <w:r w:rsidRPr="00B479AE">
        <w:rPr>
          <w:rFonts w:ascii="Baskerville Old Face" w:hAnsi="Baskerville Old Face"/>
          <w:i/>
          <w:iCs/>
        </w:rPr>
        <w:t xml:space="preserve"> Scientific basis of soil resilience, carbon dynamics, and SRI behavior</w:t>
      </w:r>
    </w:p>
    <w:p w14:paraId="18A5E80A" w14:textId="77777777" w:rsidR="00A25DE1" w:rsidRPr="00B479AE" w:rsidRDefault="00A25DE1" w:rsidP="00A25DE1">
      <w:pPr>
        <w:tabs>
          <w:tab w:val="left" w:pos="1440"/>
        </w:tabs>
        <w:spacing w:line="360" w:lineRule="auto"/>
        <w:rPr>
          <w:rFonts w:ascii="Baskerville Old Face" w:hAnsi="Baskerville Old Face"/>
          <w:b/>
          <w:bCs/>
          <w:i/>
          <w:iCs/>
        </w:rPr>
      </w:pPr>
      <w:r w:rsidRPr="00B479AE">
        <w:rPr>
          <w:rFonts w:ascii="Baskerville Old Face" w:hAnsi="Baskerville Old Face"/>
          <w:b/>
          <w:bCs/>
          <w:i/>
          <w:iCs/>
        </w:rPr>
        <w:t>Biochemical Signaling and Plant Interaction</w:t>
      </w:r>
    </w:p>
    <w:p w14:paraId="2FC3757E"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Araniti, F., et al. (2017). Allelopathy and plant metabolites. Agronomy for Sustainable Development</w:t>
      </w:r>
      <w:r w:rsidRPr="00B479AE">
        <w:rPr>
          <w:rFonts w:ascii="Baskerville Old Face" w:hAnsi="Baskerville Old Face"/>
          <w:i/>
          <w:iCs/>
        </w:rPr>
        <w:br/>
      </w:r>
      <w:hyperlink r:id="rId46" w:history="1">
        <w:r w:rsidRPr="00B479AE">
          <w:rPr>
            <w:rStyle w:val="Collegamentoipertestuale"/>
            <w:rFonts w:ascii="Baskerville Old Face" w:hAnsi="Baskerville Old Face"/>
            <w:i/>
            <w:iCs/>
          </w:rPr>
          <w:t>https://doi.org/10.1007/s13593-017-0429-0</w:t>
        </w:r>
      </w:hyperlink>
    </w:p>
    <w:p w14:paraId="787F1C8A" w14:textId="77777777" w:rsidR="00A25DE1" w:rsidRPr="00B479AE" w:rsidRDefault="00A25DE1" w:rsidP="00A25DE1">
      <w:pPr>
        <w:tabs>
          <w:tab w:val="left" w:pos="1440"/>
        </w:tabs>
        <w:spacing w:line="360" w:lineRule="auto"/>
        <w:rPr>
          <w:rFonts w:ascii="Baskerville Old Face" w:hAnsi="Baskerville Old Face"/>
          <w:i/>
          <w:iCs/>
        </w:rPr>
      </w:pPr>
      <w:r w:rsidRPr="005907F1">
        <w:rPr>
          <w:rFonts w:ascii="Baskerville Old Face" w:hAnsi="Baskerville Old Face"/>
          <w:i/>
          <w:iCs/>
          <w:lang w:val="it-IT"/>
        </w:rPr>
        <w:t xml:space="preserve">• Araniti, F., &amp; Abenavoli, M. R. (2015). </w:t>
      </w:r>
      <w:r w:rsidRPr="00B479AE">
        <w:rPr>
          <w:rFonts w:ascii="Baskerville Old Face" w:hAnsi="Baskerville Old Face"/>
          <w:i/>
          <w:iCs/>
        </w:rPr>
        <w:t>Allelochemical interactions. Plant Signaling &amp; Behavior</w:t>
      </w:r>
      <w:r w:rsidRPr="00B479AE">
        <w:rPr>
          <w:rFonts w:ascii="Baskerville Old Face" w:hAnsi="Baskerville Old Face"/>
          <w:i/>
          <w:iCs/>
        </w:rPr>
        <w:br/>
      </w:r>
      <w:hyperlink r:id="rId47" w:history="1">
        <w:r w:rsidRPr="00B479AE">
          <w:rPr>
            <w:rStyle w:val="Collegamentoipertestuale"/>
            <w:rFonts w:ascii="Baskerville Old Face" w:hAnsi="Baskerville Old Face"/>
            <w:i/>
            <w:iCs/>
          </w:rPr>
          <w:t>https://doi.org/10.4161/15592324.2014.991574</w:t>
        </w:r>
      </w:hyperlink>
    </w:p>
    <w:p w14:paraId="3F76DC0F"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Times New Roman" w:hAnsi="Times New Roman" w:cs="Times New Roman"/>
          <w:i/>
          <w:iCs/>
        </w:rPr>
        <w:t>→</w:t>
      </w:r>
      <w:r w:rsidRPr="00B479AE">
        <w:rPr>
          <w:rFonts w:ascii="Baskerville Old Face" w:hAnsi="Baskerville Old Face"/>
          <w:i/>
          <w:iCs/>
        </w:rPr>
        <w:t xml:space="preserve"> Supports biochemical layer of ecological intelligence and adaptive response mechanisms</w:t>
      </w:r>
    </w:p>
    <w:p w14:paraId="65DABB9F" w14:textId="77777777" w:rsidR="00A25DE1" w:rsidRPr="00B479AE" w:rsidRDefault="00A25DE1" w:rsidP="00A25DE1">
      <w:pPr>
        <w:tabs>
          <w:tab w:val="left" w:pos="1440"/>
        </w:tabs>
        <w:spacing w:line="360" w:lineRule="auto"/>
        <w:rPr>
          <w:rFonts w:ascii="Baskerville Old Face" w:hAnsi="Baskerville Old Face"/>
          <w:b/>
          <w:bCs/>
          <w:i/>
          <w:iCs/>
        </w:rPr>
      </w:pPr>
      <w:r w:rsidRPr="00B479AE">
        <w:rPr>
          <w:rFonts w:ascii="Baskerville Old Face" w:hAnsi="Baskerville Old Face"/>
          <w:b/>
          <w:bCs/>
          <w:i/>
          <w:iCs/>
        </w:rPr>
        <w:t>Mycorrhizal Networks and Ecosystem Cooperation</w:t>
      </w:r>
    </w:p>
    <w:p w14:paraId="135CB7BA"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Simard, S. W., et al. (1997). Carbon transfer between tree species. Nature</w:t>
      </w:r>
      <w:r w:rsidRPr="00B479AE">
        <w:rPr>
          <w:rFonts w:ascii="Baskerville Old Face" w:hAnsi="Baskerville Old Face"/>
          <w:i/>
          <w:iCs/>
        </w:rPr>
        <w:br/>
      </w:r>
      <w:hyperlink r:id="rId48" w:history="1">
        <w:r w:rsidRPr="00B479AE">
          <w:rPr>
            <w:rStyle w:val="Collegamentoipertestuale"/>
            <w:rFonts w:ascii="Baskerville Old Face" w:hAnsi="Baskerville Old Face"/>
            <w:i/>
            <w:iCs/>
          </w:rPr>
          <w:t>https://doi.org/10.1038/41557</w:t>
        </w:r>
      </w:hyperlink>
    </w:p>
    <w:p w14:paraId="670122CD"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Simard, S. W., et al. (2012). Mycorrhizal networks. Fungal Biology Reviews</w:t>
      </w:r>
      <w:r w:rsidRPr="00B479AE">
        <w:rPr>
          <w:rFonts w:ascii="Baskerville Old Face" w:hAnsi="Baskerville Old Face"/>
          <w:i/>
          <w:iCs/>
        </w:rPr>
        <w:br/>
      </w:r>
      <w:hyperlink r:id="rId49" w:history="1">
        <w:r w:rsidRPr="00B479AE">
          <w:rPr>
            <w:rStyle w:val="Collegamentoipertestuale"/>
            <w:rFonts w:ascii="Baskerville Old Face" w:hAnsi="Baskerville Old Face"/>
            <w:i/>
            <w:iCs/>
          </w:rPr>
          <w:t>https://doi.org/10.1016/j.fbr.2012.01.001</w:t>
        </w:r>
      </w:hyperlink>
    </w:p>
    <w:p w14:paraId="31A0F036"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Times New Roman" w:hAnsi="Times New Roman" w:cs="Times New Roman"/>
          <w:i/>
          <w:iCs/>
        </w:rPr>
        <w:t>→</w:t>
      </w:r>
      <w:r w:rsidRPr="00B479AE">
        <w:rPr>
          <w:rFonts w:ascii="Baskerville Old Face" w:hAnsi="Baskerville Old Face"/>
          <w:i/>
          <w:iCs/>
        </w:rPr>
        <w:t xml:space="preserve"> Empirical grounding of CESI (cooperative ecological value and network effects)</w:t>
      </w:r>
    </w:p>
    <w:p w14:paraId="61A2AA00" w14:textId="77777777" w:rsidR="00A25DE1" w:rsidRPr="00B479AE" w:rsidRDefault="00A25DE1" w:rsidP="00A25DE1">
      <w:pPr>
        <w:tabs>
          <w:tab w:val="left" w:pos="1440"/>
        </w:tabs>
        <w:spacing w:line="360" w:lineRule="auto"/>
        <w:rPr>
          <w:rFonts w:ascii="Baskerville Old Face" w:hAnsi="Baskerville Old Face"/>
          <w:b/>
          <w:bCs/>
          <w:i/>
          <w:iCs/>
        </w:rPr>
      </w:pPr>
      <w:r w:rsidRPr="00B479AE">
        <w:rPr>
          <w:rFonts w:ascii="Baskerville Old Face" w:hAnsi="Baskerville Old Face"/>
          <w:b/>
          <w:bCs/>
          <w:i/>
          <w:iCs/>
        </w:rPr>
        <w:t>Chemical Foundations of Soil Systems</w:t>
      </w:r>
    </w:p>
    <w:p w14:paraId="3860A3B5"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Meyer, L. (1870). Periodicity of chemical elements. Annalen der Chemie</w:t>
      </w:r>
    </w:p>
    <w:p w14:paraId="6E752B32"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Meyer, L. (1890). Modern Theories of Chemistry. Longmans</w:t>
      </w:r>
    </w:p>
    <w:p w14:paraId="20071234"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Times New Roman" w:hAnsi="Times New Roman" w:cs="Times New Roman"/>
          <w:i/>
          <w:iCs/>
        </w:rPr>
        <w:t>→</w:t>
      </w:r>
      <w:r w:rsidRPr="00B479AE">
        <w:rPr>
          <w:rFonts w:ascii="Baskerville Old Face" w:hAnsi="Baskerville Old Face"/>
          <w:i/>
          <w:iCs/>
        </w:rPr>
        <w:t xml:space="preserve"> Foundational understanding of nutrient cycles, elemental behavior, and soil chemistry</w:t>
      </w:r>
    </w:p>
    <w:p w14:paraId="3DBEE53C" w14:textId="77777777" w:rsidR="007A3FC5" w:rsidRDefault="007A3FC5" w:rsidP="00A25DE1">
      <w:pPr>
        <w:tabs>
          <w:tab w:val="left" w:pos="1440"/>
        </w:tabs>
        <w:spacing w:line="360" w:lineRule="auto"/>
        <w:rPr>
          <w:rFonts w:ascii="Baskerville Old Face" w:hAnsi="Baskerville Old Face"/>
          <w:b/>
          <w:bCs/>
          <w:i/>
          <w:iCs/>
        </w:rPr>
      </w:pPr>
    </w:p>
    <w:p w14:paraId="747E2C0F" w14:textId="77777777" w:rsidR="007A3FC5" w:rsidRDefault="007A3FC5" w:rsidP="00A25DE1">
      <w:pPr>
        <w:tabs>
          <w:tab w:val="left" w:pos="1440"/>
        </w:tabs>
        <w:spacing w:line="360" w:lineRule="auto"/>
        <w:rPr>
          <w:rFonts w:ascii="Baskerville Old Face" w:hAnsi="Baskerville Old Face"/>
          <w:b/>
          <w:bCs/>
          <w:i/>
          <w:iCs/>
        </w:rPr>
      </w:pPr>
    </w:p>
    <w:p w14:paraId="4C451FB6" w14:textId="5F6D05A3" w:rsidR="00A25DE1" w:rsidRPr="00B479AE" w:rsidRDefault="00A25DE1" w:rsidP="00A25DE1">
      <w:pPr>
        <w:tabs>
          <w:tab w:val="left" w:pos="1440"/>
        </w:tabs>
        <w:spacing w:line="360" w:lineRule="auto"/>
        <w:rPr>
          <w:rFonts w:ascii="Baskerville Old Face" w:hAnsi="Baskerville Old Face"/>
          <w:b/>
          <w:bCs/>
          <w:i/>
          <w:iCs/>
        </w:rPr>
      </w:pPr>
      <w:r w:rsidRPr="00B479AE">
        <w:rPr>
          <w:rFonts w:ascii="Baskerville Old Face" w:hAnsi="Baskerville Old Face"/>
          <w:b/>
          <w:bCs/>
          <w:i/>
          <w:iCs/>
        </w:rPr>
        <w:lastRenderedPageBreak/>
        <w:t>Ecological Degradation and Industrial Agriculture</w:t>
      </w:r>
    </w:p>
    <w:p w14:paraId="12DE6402"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Mulvaney, R. L., Khan, S. A., &amp; Ellsworth, T. R. (2009). Synthetic nitrogen fertilizers deplete soil nitrogen. Journal of Environmental Quality</w:t>
      </w:r>
    </w:p>
    <w:p w14:paraId="78AF60DD"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Times New Roman" w:hAnsi="Times New Roman" w:cs="Times New Roman"/>
          <w:i/>
          <w:iCs/>
        </w:rPr>
        <w:t>→</w:t>
      </w:r>
      <w:r w:rsidRPr="00B479AE">
        <w:rPr>
          <w:rFonts w:ascii="Baskerville Old Face" w:hAnsi="Baskerville Old Face"/>
          <w:i/>
          <w:iCs/>
        </w:rPr>
        <w:t xml:space="preserve"> Evidence of systemic degradation and long-term instability in industrial agricultural systems</w:t>
      </w:r>
    </w:p>
    <w:p w14:paraId="2BEFF54D" w14:textId="77777777" w:rsidR="00A25DE1" w:rsidRPr="00B479AE" w:rsidRDefault="00A25DE1" w:rsidP="00A25DE1">
      <w:pPr>
        <w:tabs>
          <w:tab w:val="left" w:pos="1440"/>
        </w:tabs>
        <w:spacing w:line="360" w:lineRule="auto"/>
        <w:rPr>
          <w:rFonts w:ascii="Baskerville Old Face" w:hAnsi="Baskerville Old Face"/>
          <w:b/>
          <w:bCs/>
          <w:i/>
          <w:iCs/>
        </w:rPr>
      </w:pPr>
      <w:r w:rsidRPr="00B479AE">
        <w:rPr>
          <w:rFonts w:ascii="Baskerville Old Face" w:hAnsi="Baskerville Old Face"/>
          <w:b/>
          <w:bCs/>
          <w:i/>
          <w:iCs/>
        </w:rPr>
        <w:t>Indigenous Knowledge and Regenerative Intelligence</w:t>
      </w:r>
    </w:p>
    <w:p w14:paraId="2FA252D5"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CEPLAC – Brazilian Cacao Research Center</w:t>
      </w:r>
    </w:p>
    <w:p w14:paraId="01507047"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Baskerville Old Face" w:hAnsi="Baskerville Old Face"/>
          <w:i/>
          <w:iCs/>
        </w:rPr>
        <w:t>• Schulz, B., Becker, B., &amp; Götsch, E. (1994)</w:t>
      </w:r>
    </w:p>
    <w:p w14:paraId="05EFFE6E" w14:textId="77777777" w:rsidR="00A25DE1" w:rsidRPr="00B479AE" w:rsidRDefault="00A25DE1" w:rsidP="00A25DE1">
      <w:pPr>
        <w:tabs>
          <w:tab w:val="left" w:pos="1440"/>
        </w:tabs>
        <w:spacing w:line="360" w:lineRule="auto"/>
        <w:rPr>
          <w:rFonts w:ascii="Baskerville Old Face" w:hAnsi="Baskerville Old Face"/>
          <w:i/>
          <w:iCs/>
        </w:rPr>
      </w:pPr>
      <w:r w:rsidRPr="00B479AE">
        <w:rPr>
          <w:rFonts w:ascii="Times New Roman" w:hAnsi="Times New Roman" w:cs="Times New Roman"/>
          <w:i/>
          <w:iCs/>
        </w:rPr>
        <w:t>→</w:t>
      </w:r>
      <w:r w:rsidRPr="00B479AE">
        <w:rPr>
          <w:rFonts w:ascii="Baskerville Old Face" w:hAnsi="Baskerville Old Face"/>
          <w:i/>
          <w:iCs/>
        </w:rPr>
        <w:t xml:space="preserve"> Demonstrates long-term ecological coherence and knowledge-driven system optimization</w:t>
      </w:r>
    </w:p>
    <w:p w14:paraId="03A4E4B2" w14:textId="5DFC9B65" w:rsidR="00FC6BCD" w:rsidRPr="00B479AE" w:rsidRDefault="00FC6BCD" w:rsidP="00FC6BCD">
      <w:pPr>
        <w:spacing w:line="360" w:lineRule="auto"/>
        <w:rPr>
          <w:rFonts w:ascii="Baskerville Old Face" w:hAnsi="Baskerville Old Face"/>
          <w:b/>
          <w:bCs/>
          <w:i/>
          <w:iCs/>
        </w:rPr>
      </w:pPr>
      <w:r w:rsidRPr="00B479AE">
        <w:rPr>
          <w:rFonts w:ascii="Baskerville Old Face" w:hAnsi="Baskerville Old Face"/>
          <w:b/>
          <w:bCs/>
          <w:i/>
          <w:iCs/>
        </w:rPr>
        <w:t>P.2.2 Holochain Technical Documentation</w:t>
      </w:r>
    </w:p>
    <w:p w14:paraId="67E6211B" w14:textId="77777777" w:rsidR="00FC6BCD" w:rsidRPr="00B479AE" w:rsidRDefault="00FC6BCD">
      <w:pPr>
        <w:numPr>
          <w:ilvl w:val="0"/>
          <w:numId w:val="11"/>
        </w:numPr>
        <w:spacing w:line="360" w:lineRule="auto"/>
        <w:rPr>
          <w:rFonts w:ascii="Baskerville Old Face" w:hAnsi="Baskerville Old Face"/>
          <w:i/>
          <w:iCs/>
        </w:rPr>
      </w:pPr>
      <w:r w:rsidRPr="00B479AE">
        <w:rPr>
          <w:rFonts w:ascii="Baskerville Old Face" w:hAnsi="Baskerville Old Face"/>
          <w:i/>
          <w:iCs/>
        </w:rPr>
        <w:t>Harris-Braun, E., Luck, N., &amp; Brock, A. (2018). Holochain</w:t>
      </w:r>
      <w:r w:rsidRPr="00B479AE">
        <w:rPr>
          <w:rFonts w:ascii="Baskerville Old Face" w:hAnsi="Baskerville Old Face"/>
          <w:i/>
          <w:iCs/>
        </w:rPr>
        <w:br/>
      </w:r>
      <w:hyperlink r:id="rId50" w:history="1">
        <w:r w:rsidRPr="00B479AE">
          <w:rPr>
            <w:rStyle w:val="Collegamentoipertestuale"/>
            <w:rFonts w:ascii="Baskerville Old Face" w:hAnsi="Baskerville Old Face"/>
            <w:i/>
            <w:iCs/>
          </w:rPr>
          <w:t>https://holochain.org</w:t>
        </w:r>
      </w:hyperlink>
    </w:p>
    <w:p w14:paraId="0290FB9A" w14:textId="77777777" w:rsidR="00FC6BCD" w:rsidRPr="00B479AE" w:rsidRDefault="00FC6BCD">
      <w:pPr>
        <w:numPr>
          <w:ilvl w:val="0"/>
          <w:numId w:val="11"/>
        </w:numPr>
        <w:spacing w:line="360" w:lineRule="auto"/>
        <w:rPr>
          <w:rFonts w:ascii="Baskerville Old Face" w:hAnsi="Baskerville Old Face"/>
          <w:i/>
          <w:iCs/>
        </w:rPr>
      </w:pPr>
      <w:r w:rsidRPr="00B479AE">
        <w:rPr>
          <w:rFonts w:ascii="Baskerville Old Face" w:hAnsi="Baskerville Old Face"/>
          <w:i/>
          <w:iCs/>
        </w:rPr>
        <w:t>Holochain Developer Documentation</w:t>
      </w:r>
      <w:r w:rsidRPr="00B479AE">
        <w:rPr>
          <w:rFonts w:ascii="Baskerville Old Face" w:hAnsi="Baskerville Old Face"/>
          <w:i/>
          <w:iCs/>
        </w:rPr>
        <w:br/>
      </w:r>
      <w:hyperlink r:id="rId51" w:history="1">
        <w:r w:rsidRPr="00B479AE">
          <w:rPr>
            <w:rStyle w:val="Collegamentoipertestuale"/>
            <w:rFonts w:ascii="Baskerville Old Face" w:hAnsi="Baskerville Old Face"/>
            <w:i/>
            <w:iCs/>
          </w:rPr>
          <w:t>https://developer.holochain.org</w:t>
        </w:r>
      </w:hyperlink>
    </w:p>
    <w:p w14:paraId="0F1100EA" w14:textId="77777777" w:rsidR="00FC6BCD" w:rsidRPr="00B479AE" w:rsidRDefault="00FC6BCD">
      <w:pPr>
        <w:numPr>
          <w:ilvl w:val="0"/>
          <w:numId w:val="11"/>
        </w:numPr>
        <w:spacing w:line="360" w:lineRule="auto"/>
        <w:rPr>
          <w:rFonts w:ascii="Baskerville Old Face" w:hAnsi="Baskerville Old Face"/>
          <w:i/>
          <w:iCs/>
        </w:rPr>
      </w:pPr>
      <w:r w:rsidRPr="00B479AE">
        <w:rPr>
          <w:rFonts w:ascii="Baskerville Old Face" w:hAnsi="Baskerville Old Face"/>
          <w:i/>
          <w:iCs/>
        </w:rPr>
        <w:t>Holochain Glossary</w:t>
      </w:r>
      <w:r w:rsidRPr="00B479AE">
        <w:rPr>
          <w:rFonts w:ascii="Baskerville Old Face" w:hAnsi="Baskerville Old Face"/>
          <w:i/>
          <w:iCs/>
        </w:rPr>
        <w:br/>
      </w:r>
      <w:hyperlink r:id="rId52" w:history="1">
        <w:r w:rsidRPr="00B479AE">
          <w:rPr>
            <w:rStyle w:val="Collegamentoipertestuale"/>
            <w:rFonts w:ascii="Baskerville Old Face" w:hAnsi="Baskerville Old Face"/>
            <w:i/>
            <w:iCs/>
          </w:rPr>
          <w:t>https://developer.holochain.org/resources/glossary</w:t>
        </w:r>
      </w:hyperlink>
    </w:p>
    <w:p w14:paraId="7529C35D" w14:textId="77777777" w:rsidR="00FC6BCD" w:rsidRPr="00B479AE" w:rsidRDefault="00FC6BCD" w:rsidP="00FC6BCD">
      <w:pPr>
        <w:spacing w:line="360" w:lineRule="auto"/>
        <w:rPr>
          <w:rFonts w:ascii="Baskerville Old Face" w:hAnsi="Baskerville Old Face"/>
          <w:b/>
          <w:bCs/>
          <w:i/>
          <w:iCs/>
        </w:rPr>
      </w:pPr>
      <w:r w:rsidRPr="00B479AE">
        <w:rPr>
          <w:rFonts w:ascii="Baskerville Old Face" w:hAnsi="Baskerville Old Face"/>
          <w:b/>
          <w:bCs/>
          <w:i/>
          <w:iCs/>
        </w:rPr>
        <w:t>P.2.3 Regenerative Finance and Web3</w:t>
      </w:r>
    </w:p>
    <w:p w14:paraId="5E38C064" w14:textId="77777777" w:rsidR="00FC6BCD" w:rsidRPr="00B479AE" w:rsidRDefault="00FC6BCD">
      <w:pPr>
        <w:numPr>
          <w:ilvl w:val="0"/>
          <w:numId w:val="12"/>
        </w:numPr>
        <w:spacing w:line="360" w:lineRule="auto"/>
        <w:rPr>
          <w:rFonts w:ascii="Baskerville Old Face" w:hAnsi="Baskerville Old Face"/>
          <w:i/>
          <w:iCs/>
        </w:rPr>
      </w:pPr>
      <w:r w:rsidRPr="00B479AE">
        <w:rPr>
          <w:rFonts w:ascii="Baskerville Old Face" w:hAnsi="Baskerville Old Face"/>
          <w:i/>
          <w:iCs/>
        </w:rPr>
        <w:t>Owocki, K., &amp; Miyazono, E. (2023). Regenerative Finance (ReFi)</w:t>
      </w:r>
      <w:r w:rsidRPr="00B479AE">
        <w:rPr>
          <w:rFonts w:ascii="Baskerville Old Face" w:hAnsi="Baskerville Old Face"/>
          <w:i/>
          <w:iCs/>
        </w:rPr>
        <w:br/>
      </w:r>
      <w:hyperlink r:id="rId53" w:history="1">
        <w:r w:rsidRPr="00B479AE">
          <w:rPr>
            <w:rStyle w:val="Collegamentoipertestuale"/>
            <w:rFonts w:ascii="Baskerville Old Face" w:hAnsi="Baskerville Old Face"/>
            <w:i/>
            <w:iCs/>
          </w:rPr>
          <w:t>https://coinmarketcap.com/academy/glossary/regenerative-finance-refi</w:t>
        </w:r>
      </w:hyperlink>
    </w:p>
    <w:p w14:paraId="4239B50A" w14:textId="77777777" w:rsidR="00FC6BCD" w:rsidRPr="00B479AE" w:rsidRDefault="00FC6BCD">
      <w:pPr>
        <w:numPr>
          <w:ilvl w:val="0"/>
          <w:numId w:val="12"/>
        </w:numPr>
        <w:spacing w:line="360" w:lineRule="auto"/>
        <w:rPr>
          <w:rFonts w:ascii="Baskerville Old Face" w:hAnsi="Baskerville Old Face"/>
          <w:i/>
          <w:iCs/>
        </w:rPr>
      </w:pPr>
      <w:r w:rsidRPr="00B479AE">
        <w:rPr>
          <w:rFonts w:ascii="Baskerville Old Face" w:hAnsi="Baskerville Old Face"/>
          <w:i/>
          <w:iCs/>
        </w:rPr>
        <w:t>DeFi Planet (2025). Holochain vs blockchain analysis</w:t>
      </w:r>
      <w:r w:rsidRPr="00B479AE">
        <w:rPr>
          <w:rFonts w:ascii="Baskerville Old Face" w:hAnsi="Baskerville Old Face"/>
          <w:i/>
          <w:iCs/>
        </w:rPr>
        <w:br/>
      </w:r>
      <w:hyperlink r:id="rId54" w:history="1">
        <w:r w:rsidRPr="00B479AE">
          <w:rPr>
            <w:rStyle w:val="Collegamentoipertestuale"/>
            <w:rFonts w:ascii="Baskerville Old Face" w:hAnsi="Baskerville Old Face"/>
            <w:i/>
            <w:iCs/>
          </w:rPr>
          <w:t>https://coinmarketcap.com/community/articles/6908eff5babf112a65445824/</w:t>
        </w:r>
      </w:hyperlink>
    </w:p>
    <w:p w14:paraId="3AE30C03" w14:textId="77777777" w:rsidR="00FC6BCD" w:rsidRPr="00B479AE" w:rsidRDefault="00FC6BCD">
      <w:pPr>
        <w:numPr>
          <w:ilvl w:val="0"/>
          <w:numId w:val="12"/>
        </w:numPr>
        <w:spacing w:line="360" w:lineRule="auto"/>
        <w:rPr>
          <w:rFonts w:ascii="Baskerville Old Face" w:hAnsi="Baskerville Old Face"/>
          <w:i/>
          <w:iCs/>
        </w:rPr>
      </w:pPr>
      <w:r w:rsidRPr="00B479AE">
        <w:rPr>
          <w:rFonts w:ascii="Baskerville Old Face" w:hAnsi="Baskerville Old Face"/>
          <w:i/>
          <w:iCs/>
        </w:rPr>
        <w:t>Grassroots Economics (2020). Food forests and syntropic currencies</w:t>
      </w:r>
      <w:r w:rsidRPr="00B479AE">
        <w:rPr>
          <w:rFonts w:ascii="Baskerville Old Face" w:hAnsi="Baskerville Old Face"/>
          <w:i/>
          <w:iCs/>
        </w:rPr>
        <w:br/>
      </w:r>
      <w:hyperlink r:id="rId55" w:history="1">
        <w:r w:rsidRPr="00B479AE">
          <w:rPr>
            <w:rStyle w:val="Collegamentoipertestuale"/>
            <w:rFonts w:ascii="Baskerville Old Face" w:hAnsi="Baskerville Old Face"/>
            <w:i/>
            <w:iCs/>
          </w:rPr>
          <w:t>https://www.grassecon.org/food-forests</w:t>
        </w:r>
      </w:hyperlink>
    </w:p>
    <w:p w14:paraId="36E0D5FB" w14:textId="77777777" w:rsidR="00FC6BCD" w:rsidRPr="00B479AE" w:rsidRDefault="00FC6BCD" w:rsidP="00FC6BCD">
      <w:pPr>
        <w:spacing w:line="360" w:lineRule="auto"/>
        <w:rPr>
          <w:rFonts w:ascii="Baskerville Old Face" w:hAnsi="Baskerville Old Face"/>
          <w:b/>
          <w:bCs/>
          <w:i/>
          <w:iCs/>
        </w:rPr>
      </w:pPr>
      <w:r w:rsidRPr="00B479AE">
        <w:rPr>
          <w:rFonts w:ascii="Baskerville Old Face" w:hAnsi="Baskerville Old Face"/>
          <w:b/>
          <w:bCs/>
          <w:i/>
          <w:iCs/>
        </w:rPr>
        <w:t>P.2.4 Standards and Certifications</w:t>
      </w:r>
    </w:p>
    <w:p w14:paraId="6A7DD0D4" w14:textId="77777777" w:rsidR="00FC6BCD" w:rsidRPr="00B479AE" w:rsidRDefault="00FC6BCD">
      <w:pPr>
        <w:numPr>
          <w:ilvl w:val="0"/>
          <w:numId w:val="13"/>
        </w:numPr>
        <w:spacing w:line="360" w:lineRule="auto"/>
        <w:rPr>
          <w:rFonts w:ascii="Baskerville Old Face" w:hAnsi="Baskerville Old Face"/>
          <w:i/>
          <w:iCs/>
        </w:rPr>
      </w:pPr>
      <w:r w:rsidRPr="00B479AE">
        <w:rPr>
          <w:rFonts w:ascii="Baskerville Old Face" w:hAnsi="Baskerville Old Face"/>
          <w:i/>
          <w:iCs/>
        </w:rPr>
        <w:t>ISO 17620:2025 – Biodiversity net gain</w:t>
      </w:r>
    </w:p>
    <w:p w14:paraId="77C13C44" w14:textId="77777777" w:rsidR="00FC6BCD" w:rsidRPr="00B479AE" w:rsidRDefault="00FC6BCD">
      <w:pPr>
        <w:numPr>
          <w:ilvl w:val="0"/>
          <w:numId w:val="13"/>
        </w:numPr>
        <w:spacing w:line="360" w:lineRule="auto"/>
        <w:rPr>
          <w:rFonts w:ascii="Baskerville Old Face" w:hAnsi="Baskerville Old Face"/>
          <w:i/>
          <w:iCs/>
        </w:rPr>
      </w:pPr>
      <w:r w:rsidRPr="00B479AE">
        <w:rPr>
          <w:rFonts w:ascii="Baskerville Old Face" w:hAnsi="Baskerville Old Face"/>
          <w:i/>
          <w:iCs/>
        </w:rPr>
        <w:lastRenderedPageBreak/>
        <w:t>Verra – Verified Carbon Standard</w:t>
      </w:r>
      <w:r w:rsidRPr="00B479AE">
        <w:rPr>
          <w:rFonts w:ascii="Baskerville Old Face" w:hAnsi="Baskerville Old Face"/>
          <w:i/>
          <w:iCs/>
        </w:rPr>
        <w:br/>
      </w:r>
      <w:hyperlink r:id="rId56" w:history="1">
        <w:r w:rsidRPr="00B479AE">
          <w:rPr>
            <w:rStyle w:val="Collegamentoipertestuale"/>
            <w:rFonts w:ascii="Baskerville Old Face" w:hAnsi="Baskerville Old Face"/>
            <w:i/>
            <w:iCs/>
          </w:rPr>
          <w:t>https://verra.org/methodologies/</w:t>
        </w:r>
      </w:hyperlink>
    </w:p>
    <w:p w14:paraId="4B31E215" w14:textId="77777777" w:rsidR="00FC6BCD" w:rsidRPr="00B479AE" w:rsidRDefault="00FC6BCD">
      <w:pPr>
        <w:numPr>
          <w:ilvl w:val="0"/>
          <w:numId w:val="13"/>
        </w:numPr>
        <w:spacing w:line="360" w:lineRule="auto"/>
        <w:rPr>
          <w:rFonts w:ascii="Baskerville Old Face" w:hAnsi="Baskerville Old Face"/>
          <w:i/>
          <w:iCs/>
        </w:rPr>
      </w:pPr>
      <w:r w:rsidRPr="00B479AE">
        <w:rPr>
          <w:rFonts w:ascii="Baskerville Old Face" w:hAnsi="Baskerville Old Face"/>
          <w:i/>
          <w:iCs/>
        </w:rPr>
        <w:t>Plan Vivo Standard</w:t>
      </w:r>
      <w:r w:rsidRPr="00B479AE">
        <w:rPr>
          <w:rFonts w:ascii="Baskerville Old Face" w:hAnsi="Baskerville Old Face"/>
          <w:i/>
          <w:iCs/>
        </w:rPr>
        <w:br/>
      </w:r>
      <w:hyperlink r:id="rId57" w:history="1">
        <w:r w:rsidRPr="00B479AE">
          <w:rPr>
            <w:rStyle w:val="Collegamentoipertestuale"/>
            <w:rFonts w:ascii="Baskerville Old Face" w:hAnsi="Baskerville Old Face"/>
            <w:i/>
            <w:iCs/>
          </w:rPr>
          <w:t>https://www.planvivo.org/</w:t>
        </w:r>
      </w:hyperlink>
    </w:p>
    <w:p w14:paraId="53BB1053" w14:textId="77777777" w:rsidR="00FC6BCD" w:rsidRPr="00B479AE" w:rsidRDefault="00FC6BCD">
      <w:pPr>
        <w:numPr>
          <w:ilvl w:val="0"/>
          <w:numId w:val="13"/>
        </w:numPr>
        <w:spacing w:line="360" w:lineRule="auto"/>
        <w:rPr>
          <w:rFonts w:ascii="Baskerville Old Face" w:hAnsi="Baskerville Old Face"/>
          <w:i/>
          <w:iCs/>
        </w:rPr>
      </w:pPr>
      <w:r w:rsidRPr="00B479AE">
        <w:rPr>
          <w:rFonts w:ascii="Baskerville Old Face" w:hAnsi="Baskerville Old Face"/>
          <w:i/>
          <w:iCs/>
        </w:rPr>
        <w:t>Alliance for Water Stewardship</w:t>
      </w:r>
      <w:r w:rsidRPr="00B479AE">
        <w:rPr>
          <w:rFonts w:ascii="Baskerville Old Face" w:hAnsi="Baskerville Old Face"/>
          <w:i/>
          <w:iCs/>
        </w:rPr>
        <w:br/>
      </w:r>
      <w:hyperlink r:id="rId58" w:history="1">
        <w:r w:rsidRPr="00B479AE">
          <w:rPr>
            <w:rStyle w:val="Collegamentoipertestuale"/>
            <w:rFonts w:ascii="Baskerville Old Face" w:hAnsi="Baskerville Old Face"/>
            <w:i/>
            <w:iCs/>
          </w:rPr>
          <w:t>https://a4ws.org/</w:t>
        </w:r>
      </w:hyperlink>
    </w:p>
    <w:p w14:paraId="4A6E320B" w14:textId="77777777" w:rsidR="00FC6BCD" w:rsidRPr="00B479AE" w:rsidRDefault="00FC6BCD">
      <w:pPr>
        <w:numPr>
          <w:ilvl w:val="0"/>
          <w:numId w:val="13"/>
        </w:numPr>
        <w:spacing w:line="360" w:lineRule="auto"/>
        <w:rPr>
          <w:rFonts w:ascii="Baskerville Old Face" w:hAnsi="Baskerville Old Face"/>
          <w:i/>
          <w:iCs/>
        </w:rPr>
      </w:pPr>
      <w:r w:rsidRPr="00B479AE">
        <w:rPr>
          <w:rFonts w:ascii="Baskerville Old Face" w:hAnsi="Baskerville Old Face"/>
          <w:i/>
          <w:iCs/>
        </w:rPr>
        <w:t>Climate Action Reserve</w:t>
      </w:r>
      <w:r w:rsidRPr="00B479AE">
        <w:rPr>
          <w:rFonts w:ascii="Baskerville Old Face" w:hAnsi="Baskerville Old Face"/>
          <w:i/>
          <w:iCs/>
        </w:rPr>
        <w:br/>
      </w:r>
      <w:hyperlink r:id="rId59" w:history="1">
        <w:r w:rsidRPr="00B479AE">
          <w:rPr>
            <w:rStyle w:val="Collegamentoipertestuale"/>
            <w:rFonts w:ascii="Baskerville Old Face" w:hAnsi="Baskerville Old Face"/>
            <w:i/>
            <w:iCs/>
          </w:rPr>
          <w:t>https://www.climateactionreserve.org/</w:t>
        </w:r>
      </w:hyperlink>
    </w:p>
    <w:p w14:paraId="30444235" w14:textId="77777777" w:rsidR="00FC6BCD" w:rsidRPr="00B479AE" w:rsidRDefault="00FC6BCD" w:rsidP="00FC6BCD">
      <w:pPr>
        <w:spacing w:line="360" w:lineRule="auto"/>
        <w:rPr>
          <w:rFonts w:ascii="Baskerville Old Face" w:hAnsi="Baskerville Old Face"/>
          <w:b/>
          <w:bCs/>
          <w:i/>
          <w:iCs/>
        </w:rPr>
      </w:pPr>
      <w:r w:rsidRPr="00B479AE">
        <w:rPr>
          <w:rFonts w:ascii="Baskerville Old Face" w:hAnsi="Baskerville Old Face"/>
          <w:b/>
          <w:bCs/>
          <w:i/>
          <w:iCs/>
        </w:rPr>
        <w:t>P.2.5 Environmental Data Sources</w:t>
      </w:r>
    </w:p>
    <w:p w14:paraId="45ACBEA6" w14:textId="77777777" w:rsidR="00FC6BCD" w:rsidRPr="00B479AE" w:rsidRDefault="00FC6BCD">
      <w:pPr>
        <w:numPr>
          <w:ilvl w:val="0"/>
          <w:numId w:val="14"/>
        </w:numPr>
        <w:spacing w:line="360" w:lineRule="auto"/>
        <w:rPr>
          <w:rFonts w:ascii="Baskerville Old Face" w:hAnsi="Baskerville Old Face"/>
          <w:i/>
          <w:iCs/>
        </w:rPr>
      </w:pPr>
      <w:r w:rsidRPr="00B479AE">
        <w:rPr>
          <w:rFonts w:ascii="Baskerville Old Face" w:hAnsi="Baskerville Old Face"/>
          <w:i/>
          <w:iCs/>
        </w:rPr>
        <w:t>NASA Earth Observatory</w:t>
      </w:r>
      <w:r w:rsidRPr="00B479AE">
        <w:rPr>
          <w:rFonts w:ascii="Baskerville Old Face" w:hAnsi="Baskerville Old Face"/>
          <w:i/>
          <w:iCs/>
        </w:rPr>
        <w:br/>
      </w:r>
      <w:hyperlink r:id="rId60" w:history="1">
        <w:r w:rsidRPr="00B479AE">
          <w:rPr>
            <w:rStyle w:val="Collegamentoipertestuale"/>
            <w:rFonts w:ascii="Baskerville Old Face" w:hAnsi="Baskerville Old Face"/>
            <w:i/>
            <w:iCs/>
          </w:rPr>
          <w:t>https://ozonewatch.gsfc.nasa.gov/</w:t>
        </w:r>
      </w:hyperlink>
    </w:p>
    <w:p w14:paraId="0F1AD204" w14:textId="77777777" w:rsidR="00FC6BCD" w:rsidRPr="005907F1" w:rsidRDefault="00FC6BCD">
      <w:pPr>
        <w:numPr>
          <w:ilvl w:val="0"/>
          <w:numId w:val="14"/>
        </w:numPr>
        <w:spacing w:line="360" w:lineRule="auto"/>
        <w:rPr>
          <w:rFonts w:ascii="Baskerville Old Face" w:hAnsi="Baskerville Old Face"/>
          <w:i/>
          <w:iCs/>
          <w:lang w:val="it-IT"/>
        </w:rPr>
      </w:pPr>
      <w:r w:rsidRPr="005907F1">
        <w:rPr>
          <w:rFonts w:ascii="Baskerville Old Face" w:hAnsi="Baskerville Old Face"/>
          <w:i/>
          <w:iCs/>
          <w:lang w:val="it-IT"/>
        </w:rPr>
        <w:t>NOAA Global Monitoring Laboratory</w:t>
      </w:r>
      <w:r w:rsidRPr="005907F1">
        <w:rPr>
          <w:rFonts w:ascii="Baskerville Old Face" w:hAnsi="Baskerville Old Face"/>
          <w:i/>
          <w:iCs/>
          <w:lang w:val="it-IT"/>
        </w:rPr>
        <w:br/>
      </w:r>
      <w:hyperlink r:id="rId61" w:history="1">
        <w:r w:rsidRPr="005907F1">
          <w:rPr>
            <w:rStyle w:val="Collegamentoipertestuale"/>
            <w:rFonts w:ascii="Baskerville Old Face" w:hAnsi="Baskerville Old Face"/>
            <w:i/>
            <w:iCs/>
            <w:lang w:val="it-IT"/>
          </w:rPr>
          <w:t>https://gml.noaa.gov/</w:t>
        </w:r>
      </w:hyperlink>
    </w:p>
    <w:p w14:paraId="12F7AE3C" w14:textId="77777777" w:rsidR="00FC6BCD" w:rsidRPr="00B479AE" w:rsidRDefault="00FC6BCD">
      <w:pPr>
        <w:numPr>
          <w:ilvl w:val="0"/>
          <w:numId w:val="14"/>
        </w:numPr>
        <w:spacing w:line="360" w:lineRule="auto"/>
        <w:rPr>
          <w:rFonts w:ascii="Baskerville Old Face" w:hAnsi="Baskerville Old Face"/>
          <w:i/>
          <w:iCs/>
        </w:rPr>
      </w:pPr>
      <w:r w:rsidRPr="00B479AE">
        <w:rPr>
          <w:rFonts w:ascii="Baskerville Old Face" w:hAnsi="Baskerville Old Face"/>
          <w:i/>
          <w:iCs/>
        </w:rPr>
        <w:t>Copernicus Open Access Hub</w:t>
      </w:r>
      <w:r w:rsidRPr="00B479AE">
        <w:rPr>
          <w:rFonts w:ascii="Baskerville Old Face" w:hAnsi="Baskerville Old Face"/>
          <w:i/>
          <w:iCs/>
        </w:rPr>
        <w:br/>
      </w:r>
      <w:hyperlink r:id="rId62" w:history="1">
        <w:r w:rsidRPr="00B479AE">
          <w:rPr>
            <w:rStyle w:val="Collegamentoipertestuale"/>
            <w:rFonts w:ascii="Baskerville Old Face" w:hAnsi="Baskerville Old Face"/>
            <w:i/>
            <w:iCs/>
          </w:rPr>
          <w:t>https://scihub.copernicus.eu/</w:t>
        </w:r>
      </w:hyperlink>
    </w:p>
    <w:p w14:paraId="42E3F1EA" w14:textId="77777777" w:rsidR="00FC6BCD" w:rsidRPr="00B479AE" w:rsidRDefault="00FC6BCD">
      <w:pPr>
        <w:numPr>
          <w:ilvl w:val="0"/>
          <w:numId w:val="14"/>
        </w:numPr>
        <w:spacing w:line="360" w:lineRule="auto"/>
        <w:rPr>
          <w:rFonts w:ascii="Baskerville Old Face" w:hAnsi="Baskerville Old Face"/>
          <w:i/>
          <w:iCs/>
        </w:rPr>
      </w:pPr>
      <w:r w:rsidRPr="00B479AE">
        <w:rPr>
          <w:rFonts w:ascii="Baskerville Old Face" w:hAnsi="Baskerville Old Face"/>
          <w:i/>
          <w:iCs/>
        </w:rPr>
        <w:t>USGS EarthExplorer</w:t>
      </w:r>
      <w:r w:rsidRPr="00B479AE">
        <w:rPr>
          <w:rFonts w:ascii="Baskerville Old Face" w:hAnsi="Baskerville Old Face"/>
          <w:i/>
          <w:iCs/>
        </w:rPr>
        <w:br/>
      </w:r>
      <w:hyperlink r:id="rId63" w:history="1">
        <w:r w:rsidRPr="00B479AE">
          <w:rPr>
            <w:rStyle w:val="Collegamentoipertestuale"/>
            <w:rFonts w:ascii="Baskerville Old Face" w:hAnsi="Baskerville Old Face"/>
            <w:i/>
            <w:iCs/>
          </w:rPr>
          <w:t>https://earthexplorer.usgs.gov/</w:t>
        </w:r>
      </w:hyperlink>
    </w:p>
    <w:p w14:paraId="3DC467BD" w14:textId="77777777" w:rsidR="00FC6BCD" w:rsidRPr="00B479AE" w:rsidRDefault="00FC6BCD">
      <w:pPr>
        <w:numPr>
          <w:ilvl w:val="0"/>
          <w:numId w:val="14"/>
        </w:numPr>
        <w:spacing w:line="360" w:lineRule="auto"/>
        <w:rPr>
          <w:rFonts w:ascii="Baskerville Old Face" w:hAnsi="Baskerville Old Face"/>
          <w:i/>
          <w:iCs/>
        </w:rPr>
      </w:pPr>
      <w:r w:rsidRPr="00B479AE">
        <w:rPr>
          <w:rFonts w:ascii="Baskerville Old Face" w:hAnsi="Baskerville Old Face"/>
          <w:i/>
          <w:iCs/>
        </w:rPr>
        <w:t>Esri Living Atlas</w:t>
      </w:r>
      <w:r w:rsidRPr="00B479AE">
        <w:rPr>
          <w:rFonts w:ascii="Baskerville Old Face" w:hAnsi="Baskerville Old Face"/>
          <w:i/>
          <w:iCs/>
        </w:rPr>
        <w:br/>
      </w:r>
      <w:hyperlink r:id="rId64" w:history="1">
        <w:r w:rsidRPr="00B479AE">
          <w:rPr>
            <w:rStyle w:val="Collegamentoipertestuale"/>
            <w:rFonts w:ascii="Baskerville Old Face" w:hAnsi="Baskerville Old Face"/>
            <w:i/>
            <w:iCs/>
          </w:rPr>
          <w:t>https://livingatlas.arcgis.com/</w:t>
        </w:r>
      </w:hyperlink>
    </w:p>
    <w:p w14:paraId="32CC8D4F" w14:textId="77777777" w:rsidR="00FC6BCD" w:rsidRPr="00B479AE" w:rsidRDefault="00FC6BCD">
      <w:pPr>
        <w:numPr>
          <w:ilvl w:val="0"/>
          <w:numId w:val="14"/>
        </w:numPr>
        <w:spacing w:line="360" w:lineRule="auto"/>
        <w:rPr>
          <w:rFonts w:ascii="Baskerville Old Face" w:hAnsi="Baskerville Old Face"/>
          <w:i/>
          <w:iCs/>
        </w:rPr>
      </w:pPr>
      <w:r w:rsidRPr="00B479AE">
        <w:rPr>
          <w:rFonts w:ascii="Baskerville Old Face" w:hAnsi="Baskerville Old Face"/>
          <w:i/>
          <w:iCs/>
        </w:rPr>
        <w:t>World Resources Institute</w:t>
      </w:r>
      <w:r w:rsidRPr="00B479AE">
        <w:rPr>
          <w:rFonts w:ascii="Baskerville Old Face" w:hAnsi="Baskerville Old Face"/>
          <w:i/>
          <w:iCs/>
        </w:rPr>
        <w:br/>
      </w:r>
      <w:hyperlink r:id="rId65" w:history="1">
        <w:r w:rsidRPr="00B479AE">
          <w:rPr>
            <w:rStyle w:val="Collegamentoipertestuale"/>
            <w:rFonts w:ascii="Baskerville Old Face" w:hAnsi="Baskerville Old Face"/>
            <w:i/>
            <w:iCs/>
          </w:rPr>
          <w:t>https://www.climatewatchdata.org/</w:t>
        </w:r>
      </w:hyperlink>
    </w:p>
    <w:p w14:paraId="3768BF3F" w14:textId="77777777" w:rsidR="00FC6BCD" w:rsidRPr="00B479AE" w:rsidRDefault="00FC6BCD" w:rsidP="00FC6BCD">
      <w:pPr>
        <w:spacing w:line="360" w:lineRule="auto"/>
        <w:rPr>
          <w:rFonts w:ascii="Baskerville Old Face" w:hAnsi="Baskerville Old Face"/>
          <w:b/>
          <w:bCs/>
          <w:i/>
          <w:iCs/>
        </w:rPr>
      </w:pPr>
      <w:r w:rsidRPr="00B479AE">
        <w:rPr>
          <w:rFonts w:ascii="Baskerville Old Face" w:hAnsi="Baskerville Old Face"/>
          <w:b/>
          <w:bCs/>
          <w:i/>
          <w:iCs/>
        </w:rPr>
        <w:t>P.2.6 Technical and Implementation References</w:t>
      </w:r>
    </w:p>
    <w:p w14:paraId="41D37DAE" w14:textId="77777777" w:rsidR="00FC6BCD" w:rsidRPr="00B479AE" w:rsidRDefault="00FC6BCD">
      <w:pPr>
        <w:numPr>
          <w:ilvl w:val="0"/>
          <w:numId w:val="9"/>
        </w:numPr>
        <w:spacing w:line="360" w:lineRule="auto"/>
        <w:rPr>
          <w:rFonts w:ascii="Baskerville Old Face" w:hAnsi="Baskerville Old Face"/>
          <w:i/>
          <w:iCs/>
        </w:rPr>
      </w:pPr>
      <w:r w:rsidRPr="00B479AE">
        <w:rPr>
          <w:rFonts w:ascii="Baskerville Old Face" w:hAnsi="Baskerville Old Face"/>
          <w:i/>
          <w:iCs/>
        </w:rPr>
        <w:t>Unsloth AI. Unsloth documentation. </w:t>
      </w:r>
      <w:hyperlink r:id="rId66" w:tgtFrame="_blank" w:history="1">
        <w:r w:rsidRPr="00B479AE">
          <w:rPr>
            <w:rStyle w:val="Collegamentoipertestuale"/>
            <w:rFonts w:ascii="Baskerville Old Face" w:hAnsi="Baskerville Old Face"/>
            <w:i/>
            <w:iCs/>
          </w:rPr>
          <w:t>https://unsloth.ai/</w:t>
        </w:r>
      </w:hyperlink>
    </w:p>
    <w:p w14:paraId="69894B2F" w14:textId="77777777" w:rsidR="00FC6BCD" w:rsidRPr="005907F1" w:rsidRDefault="00FC6BCD">
      <w:pPr>
        <w:numPr>
          <w:ilvl w:val="0"/>
          <w:numId w:val="9"/>
        </w:numPr>
        <w:spacing w:line="360" w:lineRule="auto"/>
        <w:rPr>
          <w:rFonts w:ascii="Baskerville Old Face" w:hAnsi="Baskerville Old Face"/>
          <w:i/>
          <w:iCs/>
          <w:lang w:val="it-IT"/>
        </w:rPr>
      </w:pPr>
      <w:r w:rsidRPr="005907F1">
        <w:rPr>
          <w:rFonts w:ascii="Baskerville Old Face" w:hAnsi="Baskerville Old Face"/>
          <w:i/>
          <w:iCs/>
          <w:lang w:val="it-IT"/>
        </w:rPr>
        <w:t>Dragino soil sensor specification. </w:t>
      </w:r>
      <w:hyperlink r:id="rId67" w:tgtFrame="_blank" w:history="1">
        <w:r w:rsidRPr="005907F1">
          <w:rPr>
            <w:rStyle w:val="Collegamentoipertestuale"/>
            <w:rFonts w:ascii="Baskerville Old Face" w:hAnsi="Baskerville Old Face"/>
            <w:i/>
            <w:iCs/>
            <w:lang w:val="it-IT"/>
          </w:rPr>
          <w:t>https://dragino.com/products/agriculture-weather-station/item/335-se02-lb.html</w:t>
        </w:r>
      </w:hyperlink>
    </w:p>
    <w:p w14:paraId="53163525" w14:textId="77777777" w:rsidR="00FC6BCD" w:rsidRPr="00B479AE" w:rsidRDefault="00FC6BCD">
      <w:pPr>
        <w:numPr>
          <w:ilvl w:val="0"/>
          <w:numId w:val="9"/>
        </w:numPr>
        <w:spacing w:line="360" w:lineRule="auto"/>
        <w:rPr>
          <w:rFonts w:ascii="Baskerville Old Face" w:hAnsi="Baskerville Old Face"/>
          <w:i/>
          <w:iCs/>
        </w:rPr>
      </w:pPr>
      <w:r w:rsidRPr="00B479AE">
        <w:rPr>
          <w:rFonts w:ascii="Baskerville Old Face" w:hAnsi="Baskerville Old Face"/>
          <w:i/>
          <w:iCs/>
        </w:rPr>
        <w:t>The Things Network. LoRaWAN documentation. </w:t>
      </w:r>
      <w:hyperlink r:id="rId68" w:tgtFrame="_blank" w:history="1">
        <w:r w:rsidRPr="00B479AE">
          <w:rPr>
            <w:rStyle w:val="Collegamentoipertestuale"/>
            <w:rFonts w:ascii="Baskerville Old Face" w:hAnsi="Baskerville Old Face"/>
            <w:i/>
            <w:iCs/>
          </w:rPr>
          <w:t>https://www.thethingsnetwork.org/</w:t>
        </w:r>
      </w:hyperlink>
    </w:p>
    <w:p w14:paraId="1601BBF0" w14:textId="77777777" w:rsidR="00FC6BCD" w:rsidRPr="00B479AE" w:rsidRDefault="00FC6BCD">
      <w:pPr>
        <w:numPr>
          <w:ilvl w:val="0"/>
          <w:numId w:val="9"/>
        </w:numPr>
        <w:spacing w:line="360" w:lineRule="auto"/>
        <w:rPr>
          <w:rFonts w:ascii="Baskerville Old Face" w:hAnsi="Baskerville Old Face"/>
          <w:i/>
          <w:iCs/>
        </w:rPr>
      </w:pPr>
      <w:r w:rsidRPr="00B479AE">
        <w:rPr>
          <w:rFonts w:ascii="Baskerville Old Face" w:hAnsi="Baskerville Old Face"/>
          <w:i/>
          <w:iCs/>
        </w:rPr>
        <w:lastRenderedPageBreak/>
        <w:t>Ostrom, E. (1990). Governing the commons: The evolution of institutions for collective action. Cambridge University Press.</w:t>
      </w:r>
    </w:p>
    <w:p w14:paraId="389185AA" w14:textId="77777777" w:rsidR="00F574FB" w:rsidRPr="00B479AE" w:rsidRDefault="00F574FB">
      <w:pPr>
        <w:numPr>
          <w:ilvl w:val="0"/>
          <w:numId w:val="9"/>
        </w:numPr>
        <w:spacing w:line="360" w:lineRule="auto"/>
        <w:rPr>
          <w:rFonts w:ascii="Baskerville Old Face" w:hAnsi="Baskerville Old Face"/>
          <w:i/>
          <w:iCs/>
        </w:rPr>
      </w:pPr>
      <w:r w:rsidRPr="00B479AE">
        <w:rPr>
          <w:rFonts w:ascii="Baskerville Old Face" w:hAnsi="Baskerville Old Face"/>
          <w:i/>
          <w:iCs/>
        </w:rPr>
        <w:t>HeartMath Institute. Science of heart coherence. </w:t>
      </w:r>
      <w:hyperlink r:id="rId69" w:tgtFrame="_blank" w:history="1">
        <w:r w:rsidRPr="00B479AE">
          <w:rPr>
            <w:rStyle w:val="Collegamentoipertestuale"/>
            <w:rFonts w:ascii="Baskerville Old Face" w:hAnsi="Baskerville Old Face"/>
            <w:i/>
            <w:iCs/>
          </w:rPr>
          <w:t>https://www.heartmath.org/science/</w:t>
        </w:r>
      </w:hyperlink>
    </w:p>
    <w:p w14:paraId="5B93A474" w14:textId="0C3E353B" w:rsidR="00FC6BCD" w:rsidRPr="00B479AE" w:rsidRDefault="00FC6BCD">
      <w:pPr>
        <w:numPr>
          <w:ilvl w:val="0"/>
          <w:numId w:val="9"/>
        </w:numPr>
        <w:spacing w:line="360" w:lineRule="auto"/>
        <w:rPr>
          <w:rFonts w:ascii="Baskerville Old Face" w:hAnsi="Baskerville Old Face"/>
          <w:i/>
          <w:iCs/>
        </w:rPr>
      </w:pPr>
      <w:r w:rsidRPr="00B479AE">
        <w:rPr>
          <w:rFonts w:ascii="Baskerville Old Face" w:hAnsi="Baskerville Old Face"/>
          <w:i/>
          <w:iCs/>
        </w:rPr>
        <w:t xml:space="preserve">Elbers, J., &amp; McCraty, R. (2025). From dysregulation to coherence: Exploring the HeartMath® approach to emotional and physiological regulation. Global Advances in Integrative Medicine and Health, 14. </w:t>
      </w:r>
      <w:hyperlink r:id="rId70" w:history="1">
        <w:r w:rsidR="00F574FB" w:rsidRPr="00B479AE">
          <w:rPr>
            <w:rStyle w:val="Collegamentoipertestuale"/>
            <w:rFonts w:ascii="Baskerville Old Face" w:hAnsi="Baskerville Old Face"/>
            <w:i/>
            <w:iCs/>
          </w:rPr>
          <w:t>https://doi.org/10.1177/27536130251408821</w:t>
        </w:r>
      </w:hyperlink>
    </w:p>
    <w:p w14:paraId="1C8B65DD" w14:textId="77777777" w:rsidR="002602C5" w:rsidRPr="00ED0D46" w:rsidRDefault="002602C5" w:rsidP="00ED0D46">
      <w:pPr>
        <w:pStyle w:val="Titolo1"/>
        <w:rPr>
          <w:rFonts w:ascii="Baskerville Old Face" w:hAnsi="Baskerville Old Face"/>
          <w:b/>
          <w:bCs/>
          <w:i/>
          <w:iCs/>
          <w:sz w:val="24"/>
          <w:szCs w:val="24"/>
        </w:rPr>
      </w:pPr>
      <w:r w:rsidRPr="00ED0D46">
        <w:rPr>
          <w:rFonts w:ascii="Baskerville Old Face" w:hAnsi="Baskerville Old Face"/>
          <w:b/>
          <w:bCs/>
          <w:i/>
          <w:iCs/>
          <w:sz w:val="24"/>
          <w:szCs w:val="24"/>
        </w:rPr>
        <w:t>Appendix Q: Token Boundary, Interoperability, and Future Integration Registry</w:t>
      </w:r>
    </w:p>
    <w:p w14:paraId="2ACF8E3A" w14:textId="77777777" w:rsidR="002602C5" w:rsidRPr="00B479AE" w:rsidRDefault="002602C5" w:rsidP="002602C5">
      <w:pPr>
        <w:spacing w:line="360" w:lineRule="auto"/>
        <w:rPr>
          <w:rFonts w:ascii="Baskerville Old Face" w:hAnsi="Baskerville Old Face"/>
          <w:b/>
          <w:bCs/>
          <w:i/>
          <w:iCs/>
        </w:rPr>
      </w:pPr>
      <w:r w:rsidRPr="00B479AE">
        <w:rPr>
          <w:rFonts w:ascii="Baskerville Old Face" w:hAnsi="Baskerville Old Face"/>
          <w:b/>
          <w:bCs/>
          <w:i/>
          <w:iCs/>
        </w:rPr>
        <w:t>Q.1 Purpose and Boundary</w:t>
      </w:r>
    </w:p>
    <w:p w14:paraId="779010B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Prometheus may interact with token systems, digital assets, settlement rails, governance tokens, access tokens, contribution records, accounting units, stablecoins, Holochain-native assets, HoloFuel-related infrastructure, TRBK, verifiable credentials, digital identity systems, or future legally structured instruments.</w:t>
      </w:r>
    </w:p>
    <w:p w14:paraId="6CDE784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However, token interoperability must remain strictly bounded.</w:t>
      </w:r>
    </w:p>
    <w:p w14:paraId="2DB81095"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is not regeneration.</w:t>
      </w:r>
    </w:p>
    <w:p w14:paraId="0960FC2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is not evidence.</w:t>
      </w:r>
    </w:p>
    <w:p w14:paraId="68B6E7D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is not MRV.</w:t>
      </w:r>
    </w:p>
    <w:p w14:paraId="4BEA1F3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is not PRU.</w:t>
      </w:r>
    </w:p>
    <w:p w14:paraId="6FBC6C9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is not RAP.</w:t>
      </w:r>
    </w:p>
    <w:p w14:paraId="2A9E3D5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is not land.</w:t>
      </w:r>
    </w:p>
    <w:p w14:paraId="13A2EDE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is not food.</w:t>
      </w:r>
    </w:p>
    <w:p w14:paraId="6C8E31A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is not soil.</w:t>
      </w:r>
    </w:p>
    <w:p w14:paraId="2612BE7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is not biodiversity.</w:t>
      </w:r>
    </w:p>
    <w:p w14:paraId="3822828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is not human dignity.</w:t>
      </w:r>
    </w:p>
    <w:p w14:paraId="1EF6229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is not constitutional authority.</w:t>
      </w:r>
    </w:p>
    <w:p w14:paraId="639A323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A token is not investor exposure unless a compliant legal instrument expressly creates that exposure.</w:t>
      </w:r>
    </w:p>
    <w:p w14:paraId="2D84E0F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is not a right merely because it is transferable.</w:t>
      </w:r>
    </w:p>
    <w:p w14:paraId="5DB62E2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 purpose of this appendix is to define how Prometheus may evaluate, classify, document, monitor, and potentially integrate token systems without collapsing ecological value, governance participation, legal rights, financial exposure, human-state data, community meaning, or source-layer authority into a single speculative object.</w:t>
      </w:r>
    </w:p>
    <w:p w14:paraId="3116702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Tokens may be useful.</w:t>
      </w:r>
    </w:p>
    <w:p w14:paraId="44D87E8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They may coordinate access.</w:t>
      </w:r>
    </w:p>
    <w:p w14:paraId="407AC10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They may support settlement.</w:t>
      </w:r>
    </w:p>
    <w:p w14:paraId="404C2E6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They may record contribution.</w:t>
      </w:r>
    </w:p>
    <w:p w14:paraId="459C8E0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They may signal participation.</w:t>
      </w:r>
    </w:p>
    <w:p w14:paraId="2201FC1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They may represent legally structured rights where such rights already exist.</w:t>
      </w:r>
    </w:p>
    <w:p w14:paraId="412FB0E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They may connect communities, protocols, DAOs, registries, and future compliant digital-instrument pathways.</w:t>
      </w:r>
    </w:p>
    <w:p w14:paraId="5DA2658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But tokens must remain instruments.</w:t>
      </w:r>
    </w:p>
    <w:p w14:paraId="3A1D130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They do not become the source of truth.</w:t>
      </w:r>
    </w:p>
    <w:p w14:paraId="086FD57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They do not become the source of value.</w:t>
      </w:r>
    </w:p>
    <w:p w14:paraId="455D6C4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They do not become Prometheus.</w:t>
      </w:r>
    </w:p>
    <w:p w14:paraId="1CC8A46A" w14:textId="7E2476F4"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 core principle is:</w:t>
      </w:r>
      <w:r w:rsidR="00CC6E6B">
        <w:rPr>
          <w:rFonts w:ascii="Baskerville Old Face" w:hAnsi="Baskerville Old Face"/>
          <w:i/>
          <w:iCs/>
        </w:rPr>
        <w:t xml:space="preserve"> </w:t>
      </w:r>
      <w:r w:rsidRPr="00B479AE">
        <w:rPr>
          <w:rFonts w:ascii="Baskerville Old Face" w:hAnsi="Baskerville Old Face"/>
          <w:i/>
          <w:iCs/>
        </w:rPr>
        <w:t>tokens may represent bounded functions;</w:t>
      </w:r>
    </w:p>
    <w:p w14:paraId="5858458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they may not replace evidence, law, governance, MRV, legal structure, human dignity, or the source layer.</w:t>
      </w:r>
    </w:p>
    <w:p w14:paraId="4D714AA0" w14:textId="1F8A58C5" w:rsidR="002602C5" w:rsidRPr="00B479AE" w:rsidRDefault="002602C5" w:rsidP="002602C5">
      <w:pPr>
        <w:spacing w:line="360" w:lineRule="auto"/>
        <w:rPr>
          <w:rFonts w:ascii="Baskerville Old Face" w:hAnsi="Baskerville Old Face"/>
          <w:b/>
          <w:bCs/>
          <w:i/>
          <w:iCs/>
        </w:rPr>
      </w:pPr>
      <w:r w:rsidRPr="00B479AE">
        <w:rPr>
          <w:rFonts w:ascii="Baskerville Old Face" w:hAnsi="Baskerville Old Face"/>
          <w:b/>
          <w:bCs/>
          <w:i/>
          <w:iCs/>
        </w:rPr>
        <w:t>Q.2 Token Boundary Doctrine</w:t>
      </w:r>
    </w:p>
    <w:p w14:paraId="7C4C1AB1" w14:textId="462F299F"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Prometheus should maintain functional separation among all token-relevant domains.</w:t>
      </w:r>
      <w:r w:rsidR="007D0A8E">
        <w:rPr>
          <w:rFonts w:ascii="Baskerville Old Face" w:hAnsi="Baskerville Old Face"/>
          <w:i/>
          <w:iCs/>
        </w:rPr>
        <w:t xml:space="preserve"> </w:t>
      </w:r>
      <w:r w:rsidRPr="00B479AE">
        <w:rPr>
          <w:rFonts w:ascii="Baskerville Old Face" w:hAnsi="Baskerville Old Face"/>
          <w:i/>
          <w:iCs/>
        </w:rPr>
        <w:t>This separation prevents category collapse.</w:t>
      </w:r>
      <w:r w:rsidR="00B44F62">
        <w:rPr>
          <w:rFonts w:ascii="Baskerville Old Face" w:hAnsi="Baskerville Old Face"/>
          <w:i/>
          <w:iCs/>
        </w:rPr>
        <w:t xml:space="preserve"> </w:t>
      </w:r>
      <w:r w:rsidRPr="00B479AE">
        <w:rPr>
          <w:rFonts w:ascii="Baskerville Old Face" w:hAnsi="Baskerville Old Face"/>
          <w:i/>
          <w:iCs/>
        </w:rPr>
        <w:t xml:space="preserve">Category collapse occurs when one technical object is allowed to </w:t>
      </w:r>
      <w:r w:rsidRPr="00B479AE">
        <w:rPr>
          <w:rFonts w:ascii="Baskerville Old Face" w:hAnsi="Baskerville Old Face"/>
          <w:i/>
          <w:iCs/>
        </w:rPr>
        <w:lastRenderedPageBreak/>
        <w:t>impersonate multiple legal, ecological, governance, financial, or constitutional meanings at once.</w:t>
      </w:r>
      <w:r w:rsidR="00B44F62">
        <w:rPr>
          <w:rFonts w:ascii="Baskerville Old Face" w:hAnsi="Baskerville Old Face"/>
          <w:i/>
          <w:iCs/>
        </w:rPr>
        <w:t xml:space="preserve"> </w:t>
      </w:r>
      <w:r w:rsidRPr="00B479AE">
        <w:rPr>
          <w:rFonts w:ascii="Baskerville Old Face" w:hAnsi="Baskerville Old Face"/>
          <w:i/>
          <w:iCs/>
        </w:rPr>
        <w:t>Prometheus may integrate multiple systems.</w:t>
      </w:r>
      <w:r w:rsidR="00B44F62">
        <w:rPr>
          <w:rFonts w:ascii="Baskerville Old Face" w:hAnsi="Baskerville Old Face"/>
          <w:i/>
          <w:iCs/>
        </w:rPr>
        <w:t xml:space="preserve"> </w:t>
      </w:r>
      <w:r w:rsidRPr="00B479AE">
        <w:rPr>
          <w:rFonts w:ascii="Baskerville Old Face" w:hAnsi="Baskerville Old Face"/>
          <w:i/>
          <w:iCs/>
        </w:rPr>
        <w:t>It may not allow one system to impersonate all systems.</w:t>
      </w:r>
      <w:r w:rsidR="00716126" w:rsidRPr="00B479AE">
        <w:rPr>
          <w:rFonts w:ascii="Baskerville Old Face" w:hAnsi="Baskerville Old Face"/>
          <w:i/>
          <w:iCs/>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5"/>
        <w:gridCol w:w="3797"/>
        <w:gridCol w:w="4126"/>
      </w:tblGrid>
      <w:tr w:rsidR="002602C5" w:rsidRPr="007D0A8E" w14:paraId="25A9638E" w14:textId="77777777" w:rsidTr="002602C5">
        <w:trPr>
          <w:tblHeader/>
          <w:tblCellSpacing w:w="15" w:type="dxa"/>
        </w:trPr>
        <w:tc>
          <w:tcPr>
            <w:tcW w:w="0" w:type="auto"/>
            <w:vAlign w:val="center"/>
            <w:hideMark/>
          </w:tcPr>
          <w:p w14:paraId="0EA8F6DC" w14:textId="77777777" w:rsidR="002602C5" w:rsidRPr="007D0A8E" w:rsidRDefault="002602C5" w:rsidP="002602C5">
            <w:pPr>
              <w:spacing w:line="360" w:lineRule="auto"/>
              <w:rPr>
                <w:rFonts w:ascii="Baskerville Old Face" w:hAnsi="Baskerville Old Face"/>
                <w:b/>
                <w:bCs/>
                <w:i/>
                <w:iCs/>
                <w:sz w:val="18"/>
                <w:szCs w:val="18"/>
              </w:rPr>
            </w:pPr>
            <w:r w:rsidRPr="007D0A8E">
              <w:rPr>
                <w:rFonts w:ascii="Baskerville Old Face" w:hAnsi="Baskerville Old Face"/>
                <w:b/>
                <w:bCs/>
                <w:i/>
                <w:iCs/>
                <w:sz w:val="18"/>
                <w:szCs w:val="18"/>
              </w:rPr>
              <w:t>Domain</w:t>
            </w:r>
          </w:p>
        </w:tc>
        <w:tc>
          <w:tcPr>
            <w:tcW w:w="0" w:type="auto"/>
            <w:vAlign w:val="center"/>
            <w:hideMark/>
          </w:tcPr>
          <w:p w14:paraId="03130176" w14:textId="77777777" w:rsidR="002602C5" w:rsidRPr="007D0A8E" w:rsidRDefault="002602C5" w:rsidP="002602C5">
            <w:pPr>
              <w:spacing w:line="360" w:lineRule="auto"/>
              <w:rPr>
                <w:rFonts w:ascii="Baskerville Old Face" w:hAnsi="Baskerville Old Face"/>
                <w:b/>
                <w:bCs/>
                <w:i/>
                <w:iCs/>
                <w:sz w:val="18"/>
                <w:szCs w:val="18"/>
              </w:rPr>
            </w:pPr>
            <w:r w:rsidRPr="007D0A8E">
              <w:rPr>
                <w:rFonts w:ascii="Baskerville Old Face" w:hAnsi="Baskerville Old Face"/>
                <w:b/>
                <w:bCs/>
                <w:i/>
                <w:iCs/>
                <w:sz w:val="18"/>
                <w:szCs w:val="18"/>
              </w:rPr>
              <w:t>Meaning</w:t>
            </w:r>
          </w:p>
        </w:tc>
        <w:tc>
          <w:tcPr>
            <w:tcW w:w="0" w:type="auto"/>
            <w:vAlign w:val="center"/>
            <w:hideMark/>
          </w:tcPr>
          <w:p w14:paraId="0B2BAD70" w14:textId="77777777" w:rsidR="002602C5" w:rsidRPr="007D0A8E" w:rsidRDefault="002602C5" w:rsidP="002602C5">
            <w:pPr>
              <w:spacing w:line="360" w:lineRule="auto"/>
              <w:rPr>
                <w:rFonts w:ascii="Baskerville Old Face" w:hAnsi="Baskerville Old Face"/>
                <w:b/>
                <w:bCs/>
                <w:i/>
                <w:iCs/>
                <w:sz w:val="18"/>
                <w:szCs w:val="18"/>
              </w:rPr>
            </w:pPr>
            <w:r w:rsidRPr="007D0A8E">
              <w:rPr>
                <w:rFonts w:ascii="Baskerville Old Face" w:hAnsi="Baskerville Old Face"/>
                <w:b/>
                <w:bCs/>
                <w:i/>
                <w:iCs/>
                <w:sz w:val="18"/>
                <w:szCs w:val="18"/>
              </w:rPr>
              <w:t>Boundary</w:t>
            </w:r>
          </w:p>
        </w:tc>
      </w:tr>
      <w:tr w:rsidR="002602C5" w:rsidRPr="007D0A8E" w14:paraId="55A0041A" w14:textId="77777777" w:rsidTr="002602C5">
        <w:trPr>
          <w:tblCellSpacing w:w="15" w:type="dxa"/>
        </w:trPr>
        <w:tc>
          <w:tcPr>
            <w:tcW w:w="0" w:type="auto"/>
            <w:vAlign w:val="center"/>
            <w:hideMark/>
          </w:tcPr>
          <w:p w14:paraId="6E5CFC17"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MRV</w:t>
            </w:r>
          </w:p>
        </w:tc>
        <w:tc>
          <w:tcPr>
            <w:tcW w:w="0" w:type="auto"/>
            <w:vAlign w:val="center"/>
            <w:hideMark/>
          </w:tcPr>
          <w:p w14:paraId="003FF42F"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Measurement, Reporting, and Verification of evidence</w:t>
            </w:r>
          </w:p>
        </w:tc>
        <w:tc>
          <w:tcPr>
            <w:tcW w:w="0" w:type="auto"/>
            <w:vAlign w:val="center"/>
            <w:hideMark/>
          </w:tcPr>
          <w:p w14:paraId="308767A5"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MRV produces and reviews evidence; it does not create rights by itself</w:t>
            </w:r>
          </w:p>
        </w:tc>
      </w:tr>
      <w:tr w:rsidR="002602C5" w:rsidRPr="007D0A8E" w14:paraId="344DAA1C" w14:textId="77777777" w:rsidTr="002602C5">
        <w:trPr>
          <w:tblCellSpacing w:w="15" w:type="dxa"/>
        </w:trPr>
        <w:tc>
          <w:tcPr>
            <w:tcW w:w="0" w:type="auto"/>
            <w:vAlign w:val="center"/>
            <w:hideMark/>
          </w:tcPr>
          <w:p w14:paraId="76CA3587"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PRU</w:t>
            </w:r>
          </w:p>
        </w:tc>
        <w:tc>
          <w:tcPr>
            <w:tcW w:w="0" w:type="auto"/>
            <w:vAlign w:val="center"/>
            <w:hideMark/>
          </w:tcPr>
          <w:p w14:paraId="46748550"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Methodology-bound analysis of verified regenerative performance</w:t>
            </w:r>
          </w:p>
        </w:tc>
        <w:tc>
          <w:tcPr>
            <w:tcW w:w="0" w:type="auto"/>
            <w:vAlign w:val="center"/>
            <w:hideMark/>
          </w:tcPr>
          <w:p w14:paraId="7F2B1EE8"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PRU is evidence-derived and review-bound; it is not automatically a token</w:t>
            </w:r>
          </w:p>
        </w:tc>
      </w:tr>
      <w:tr w:rsidR="002602C5" w:rsidRPr="007D0A8E" w14:paraId="2648CD7F" w14:textId="77777777" w:rsidTr="002602C5">
        <w:trPr>
          <w:tblCellSpacing w:w="15" w:type="dxa"/>
        </w:trPr>
        <w:tc>
          <w:tcPr>
            <w:tcW w:w="0" w:type="auto"/>
            <w:vAlign w:val="center"/>
            <w:hideMark/>
          </w:tcPr>
          <w:p w14:paraId="2283C984"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RAP</w:t>
            </w:r>
          </w:p>
        </w:tc>
        <w:tc>
          <w:tcPr>
            <w:tcW w:w="0" w:type="auto"/>
            <w:vAlign w:val="center"/>
            <w:hideMark/>
          </w:tcPr>
          <w:p w14:paraId="34D6A286"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Regenerative Asset Pool logic based on eligible PRU-relevant units</w:t>
            </w:r>
          </w:p>
        </w:tc>
        <w:tc>
          <w:tcPr>
            <w:tcW w:w="0" w:type="auto"/>
            <w:vAlign w:val="center"/>
            <w:hideMark/>
          </w:tcPr>
          <w:p w14:paraId="2925B2CB"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RAP is portfolio logic; it requires legal, evidentiary, governance, and reporting structure before capital use</w:t>
            </w:r>
          </w:p>
        </w:tc>
      </w:tr>
      <w:tr w:rsidR="002602C5" w:rsidRPr="007D0A8E" w14:paraId="40267957" w14:textId="77777777" w:rsidTr="002602C5">
        <w:trPr>
          <w:tblCellSpacing w:w="15" w:type="dxa"/>
        </w:trPr>
        <w:tc>
          <w:tcPr>
            <w:tcW w:w="0" w:type="auto"/>
            <w:vAlign w:val="center"/>
            <w:hideMark/>
          </w:tcPr>
          <w:p w14:paraId="52003A02"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TRBK</w:t>
            </w:r>
          </w:p>
        </w:tc>
        <w:tc>
          <w:tcPr>
            <w:tcW w:w="0" w:type="auto"/>
            <w:vAlign w:val="center"/>
            <w:hideMark/>
          </w:tcPr>
          <w:p w14:paraId="6DBE3365"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Potential governance, coordination, access, contribution, or community token within defined boundaries</w:t>
            </w:r>
          </w:p>
        </w:tc>
        <w:tc>
          <w:tcPr>
            <w:tcW w:w="0" w:type="auto"/>
            <w:vAlign w:val="center"/>
            <w:hideMark/>
          </w:tcPr>
          <w:p w14:paraId="34C68D46"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TRBK does not automatically create PRU value, land rights, investor rights, MRV validity, or constitutional authority</w:t>
            </w:r>
          </w:p>
        </w:tc>
      </w:tr>
      <w:tr w:rsidR="002602C5" w:rsidRPr="007D0A8E" w14:paraId="3ABA6B1E" w14:textId="77777777" w:rsidTr="002602C5">
        <w:trPr>
          <w:tblCellSpacing w:w="15" w:type="dxa"/>
        </w:trPr>
        <w:tc>
          <w:tcPr>
            <w:tcW w:w="0" w:type="auto"/>
            <w:vAlign w:val="center"/>
            <w:hideMark/>
          </w:tcPr>
          <w:p w14:paraId="1F09E050"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HoloFuel / infrastructure capacity</w:t>
            </w:r>
          </w:p>
        </w:tc>
        <w:tc>
          <w:tcPr>
            <w:tcW w:w="0" w:type="auto"/>
            <w:vAlign w:val="center"/>
            <w:hideMark/>
          </w:tcPr>
          <w:p w14:paraId="58EF3181"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Possible transaction, hosting, or infrastructure-capacity layer within Holochain-compatible systems</w:t>
            </w:r>
          </w:p>
        </w:tc>
        <w:tc>
          <w:tcPr>
            <w:tcW w:w="0" w:type="auto"/>
            <w:vAlign w:val="center"/>
            <w:hideMark/>
          </w:tcPr>
          <w:p w14:paraId="6B4B16E6"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Operational utility does not create ecological value, investor entitlement, or PRU maturity</w:t>
            </w:r>
          </w:p>
        </w:tc>
      </w:tr>
      <w:tr w:rsidR="002602C5" w:rsidRPr="007D0A8E" w14:paraId="374459E3" w14:textId="77777777" w:rsidTr="002602C5">
        <w:trPr>
          <w:tblCellSpacing w:w="15" w:type="dxa"/>
        </w:trPr>
        <w:tc>
          <w:tcPr>
            <w:tcW w:w="0" w:type="auto"/>
            <w:vAlign w:val="center"/>
            <w:hideMark/>
          </w:tcPr>
          <w:p w14:paraId="1CAC3797"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Stablecoin / fiat settlement rail</w:t>
            </w:r>
          </w:p>
        </w:tc>
        <w:tc>
          <w:tcPr>
            <w:tcW w:w="0" w:type="auto"/>
            <w:vAlign w:val="center"/>
            <w:hideMark/>
          </w:tcPr>
          <w:p w14:paraId="15DD5F98"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Payment, settlement, treasury, or transaction mechanism</w:t>
            </w:r>
          </w:p>
        </w:tc>
        <w:tc>
          <w:tcPr>
            <w:tcW w:w="0" w:type="auto"/>
            <w:vAlign w:val="center"/>
            <w:hideMark/>
          </w:tcPr>
          <w:p w14:paraId="68A9057C"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Settlement does not create regeneration, governance authority, or verified impact</w:t>
            </w:r>
          </w:p>
        </w:tc>
      </w:tr>
      <w:tr w:rsidR="002602C5" w:rsidRPr="007D0A8E" w14:paraId="66A4B910" w14:textId="77777777" w:rsidTr="002602C5">
        <w:trPr>
          <w:tblCellSpacing w:w="15" w:type="dxa"/>
        </w:trPr>
        <w:tc>
          <w:tcPr>
            <w:tcW w:w="0" w:type="auto"/>
            <w:vAlign w:val="center"/>
            <w:hideMark/>
          </w:tcPr>
          <w:p w14:paraId="54392C42"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Security token / note / fund interest</w:t>
            </w:r>
          </w:p>
        </w:tc>
        <w:tc>
          <w:tcPr>
            <w:tcW w:w="0" w:type="auto"/>
            <w:vAlign w:val="center"/>
            <w:hideMark/>
          </w:tcPr>
          <w:p w14:paraId="3063D52A"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Regulated or legally structured financial instrument</w:t>
            </w:r>
          </w:p>
        </w:tc>
        <w:tc>
          <w:tcPr>
            <w:tcW w:w="0" w:type="auto"/>
            <w:vAlign w:val="center"/>
            <w:hideMark/>
          </w:tcPr>
          <w:p w14:paraId="00F58966"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Rights arise from legal documents, disclosures, jurisdictional review, and investor protections</w:t>
            </w:r>
          </w:p>
        </w:tc>
      </w:tr>
      <w:tr w:rsidR="002602C5" w:rsidRPr="007D0A8E" w14:paraId="66CA3F4D" w14:textId="77777777" w:rsidTr="002602C5">
        <w:trPr>
          <w:tblCellSpacing w:w="15" w:type="dxa"/>
        </w:trPr>
        <w:tc>
          <w:tcPr>
            <w:tcW w:w="0" w:type="auto"/>
            <w:vAlign w:val="center"/>
            <w:hideMark/>
          </w:tcPr>
          <w:p w14:paraId="585C7EB1"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Access credential</w:t>
            </w:r>
          </w:p>
        </w:tc>
        <w:tc>
          <w:tcPr>
            <w:tcW w:w="0" w:type="auto"/>
            <w:vAlign w:val="center"/>
            <w:hideMark/>
          </w:tcPr>
          <w:p w14:paraId="6F753679"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Permission, membership, or eligibility record</w:t>
            </w:r>
          </w:p>
        </w:tc>
        <w:tc>
          <w:tcPr>
            <w:tcW w:w="0" w:type="auto"/>
            <w:vAlign w:val="center"/>
            <w:hideMark/>
          </w:tcPr>
          <w:p w14:paraId="7EB7A88E"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Access does not create ownership, financial entitlement, or PRU value</w:t>
            </w:r>
          </w:p>
        </w:tc>
      </w:tr>
      <w:tr w:rsidR="002602C5" w:rsidRPr="007D0A8E" w14:paraId="10F2B361" w14:textId="77777777" w:rsidTr="002602C5">
        <w:trPr>
          <w:tblCellSpacing w:w="15" w:type="dxa"/>
        </w:trPr>
        <w:tc>
          <w:tcPr>
            <w:tcW w:w="0" w:type="auto"/>
            <w:vAlign w:val="center"/>
            <w:hideMark/>
          </w:tcPr>
          <w:p w14:paraId="77EB6694"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Contribution record</w:t>
            </w:r>
          </w:p>
        </w:tc>
        <w:tc>
          <w:tcPr>
            <w:tcW w:w="0" w:type="auto"/>
            <w:vAlign w:val="center"/>
            <w:hideMark/>
          </w:tcPr>
          <w:p w14:paraId="1CCB3467"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Record of work, stewardship, participation, or role performance</w:t>
            </w:r>
          </w:p>
        </w:tc>
        <w:tc>
          <w:tcPr>
            <w:tcW w:w="0" w:type="auto"/>
            <w:vAlign w:val="center"/>
            <w:hideMark/>
          </w:tcPr>
          <w:p w14:paraId="3AA617FA"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Contribution may support recognition or review; it does not automatically create value rights</w:t>
            </w:r>
          </w:p>
        </w:tc>
      </w:tr>
      <w:tr w:rsidR="002602C5" w:rsidRPr="007D0A8E" w14:paraId="65DA19AD" w14:textId="77777777" w:rsidTr="002602C5">
        <w:trPr>
          <w:tblCellSpacing w:w="15" w:type="dxa"/>
        </w:trPr>
        <w:tc>
          <w:tcPr>
            <w:tcW w:w="0" w:type="auto"/>
            <w:vAlign w:val="center"/>
            <w:hideMark/>
          </w:tcPr>
          <w:p w14:paraId="49D856BF"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Reputation badge / credential</w:t>
            </w:r>
          </w:p>
        </w:tc>
        <w:tc>
          <w:tcPr>
            <w:tcW w:w="0" w:type="auto"/>
            <w:vAlign w:val="center"/>
            <w:hideMark/>
          </w:tcPr>
          <w:p w14:paraId="0B84B44F"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Signal of role, achievement, credential, or contribution</w:t>
            </w:r>
          </w:p>
        </w:tc>
        <w:tc>
          <w:tcPr>
            <w:tcW w:w="0" w:type="auto"/>
            <w:vAlign w:val="center"/>
            <w:hideMark/>
          </w:tcPr>
          <w:p w14:paraId="7D05E2C8"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Must not become human ranking, social-credit machinery, or automatic authority</w:t>
            </w:r>
          </w:p>
        </w:tc>
      </w:tr>
      <w:tr w:rsidR="002602C5" w:rsidRPr="007D0A8E" w14:paraId="503F2708" w14:textId="77777777" w:rsidTr="002602C5">
        <w:trPr>
          <w:tblCellSpacing w:w="15" w:type="dxa"/>
        </w:trPr>
        <w:tc>
          <w:tcPr>
            <w:tcW w:w="0" w:type="auto"/>
            <w:vAlign w:val="center"/>
            <w:hideMark/>
          </w:tcPr>
          <w:p w14:paraId="7B17E7F9"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HSI-related signal</w:t>
            </w:r>
          </w:p>
        </w:tc>
        <w:tc>
          <w:tcPr>
            <w:tcW w:w="0" w:type="auto"/>
            <w:vAlign w:val="center"/>
            <w:hideMark/>
          </w:tcPr>
          <w:p w14:paraId="5F2B2B66"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Voluntary human-state or coherence-related data</w:t>
            </w:r>
          </w:p>
        </w:tc>
        <w:tc>
          <w:tcPr>
            <w:tcW w:w="0" w:type="auto"/>
            <w:vAlign w:val="center"/>
            <w:hideMark/>
          </w:tcPr>
          <w:p w14:paraId="162CD048"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HSI never becomes token value, human ranking, MRV proof, PRU value, or financial entitlement</w:t>
            </w:r>
          </w:p>
        </w:tc>
      </w:tr>
      <w:tr w:rsidR="002602C5" w:rsidRPr="007D0A8E" w14:paraId="7E87D00B" w14:textId="77777777" w:rsidTr="002602C5">
        <w:trPr>
          <w:tblCellSpacing w:w="15" w:type="dxa"/>
        </w:trPr>
        <w:tc>
          <w:tcPr>
            <w:tcW w:w="0" w:type="auto"/>
            <w:vAlign w:val="center"/>
            <w:hideMark/>
          </w:tcPr>
          <w:p w14:paraId="21C945AF"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Canonical registry record</w:t>
            </w:r>
          </w:p>
        </w:tc>
        <w:tc>
          <w:tcPr>
            <w:tcW w:w="0" w:type="auto"/>
            <w:vAlign w:val="center"/>
            <w:hideMark/>
          </w:tcPr>
          <w:p w14:paraId="41831401"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Status record for release, fork, compatibility, or public verification</w:t>
            </w:r>
          </w:p>
        </w:tc>
        <w:tc>
          <w:tcPr>
            <w:tcW w:w="0" w:type="auto"/>
            <w:vAlign w:val="center"/>
            <w:hideMark/>
          </w:tcPr>
          <w:p w14:paraId="5CA34480" w14:textId="77777777" w:rsidR="002602C5" w:rsidRPr="007D0A8E" w:rsidRDefault="002602C5" w:rsidP="002602C5">
            <w:pPr>
              <w:spacing w:line="360" w:lineRule="auto"/>
              <w:rPr>
                <w:rFonts w:ascii="Baskerville Old Face" w:hAnsi="Baskerville Old Face"/>
                <w:i/>
                <w:iCs/>
                <w:sz w:val="18"/>
                <w:szCs w:val="18"/>
              </w:rPr>
            </w:pPr>
            <w:r w:rsidRPr="007D0A8E">
              <w:rPr>
                <w:rFonts w:ascii="Baskerville Old Face" w:hAnsi="Baskerville Old Face"/>
                <w:i/>
                <w:iCs/>
                <w:sz w:val="18"/>
                <w:szCs w:val="18"/>
              </w:rPr>
              <w:t>Registry status supports verification; it does not create rights unless a separate legal structure does so</w:t>
            </w:r>
          </w:p>
        </w:tc>
      </w:tr>
    </w:tbl>
    <w:p w14:paraId="3B45254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 doctrine is simple:</w:t>
      </w:r>
    </w:p>
    <w:p w14:paraId="66B3718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connect systems technically;</w:t>
      </w:r>
    </w:p>
    <w:p w14:paraId="0D16268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separate meanings constitutionally.</w:t>
      </w:r>
    </w:p>
    <w:p w14:paraId="25CFBEAA" w14:textId="77777777" w:rsidR="002602C5" w:rsidRPr="00B479AE" w:rsidRDefault="002602C5" w:rsidP="002602C5">
      <w:pPr>
        <w:spacing w:line="360" w:lineRule="auto"/>
        <w:rPr>
          <w:rFonts w:ascii="Baskerville Old Face" w:hAnsi="Baskerville Old Face"/>
          <w:b/>
          <w:bCs/>
          <w:i/>
          <w:iCs/>
        </w:rPr>
      </w:pPr>
      <w:r w:rsidRPr="00B479AE">
        <w:rPr>
          <w:rFonts w:ascii="Baskerville Old Face" w:hAnsi="Baskerville Old Face"/>
          <w:b/>
          <w:bCs/>
          <w:i/>
          <w:iCs/>
        </w:rPr>
        <w:t>Q.3 Token Classification Framework</w:t>
      </w:r>
    </w:p>
    <w:p w14:paraId="2DD24225"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Any token, credential, digital unit, settlement asset, or blockchain-based representation seeking Prometheus interaction should be classified before integration.</w:t>
      </w:r>
    </w:p>
    <w:p w14:paraId="76405CB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Classification comes before integration.</w:t>
      </w:r>
    </w:p>
    <w:p w14:paraId="1E32633A" w14:textId="5DDB03D0" w:rsidR="002602C5" w:rsidRPr="00B479AE" w:rsidRDefault="00952316" w:rsidP="002602C5">
      <w:pPr>
        <w:spacing w:line="360" w:lineRule="auto"/>
        <w:rPr>
          <w:rFonts w:ascii="Baskerville Old Face" w:hAnsi="Baskerville Old Face"/>
          <w:i/>
          <w:iCs/>
        </w:rPr>
      </w:pPr>
      <w:r w:rsidRPr="00B479AE">
        <w:rPr>
          <w:rFonts w:ascii="Baskerville Old Face" w:hAnsi="Baskerville Old Face"/>
          <w:i/>
          <w:iCs/>
        </w:rPr>
        <w:t>Integration without prior classification creates governance ambiguity, legal uncertainty, public-claim risk, and potential source-layer contamination.</w:t>
      </w:r>
      <w:r w:rsidR="009217A9" w:rsidRPr="00B479AE">
        <w:rPr>
          <w:rFonts w:ascii="Baskerville Old Face" w:hAnsi="Baskerville Old Face"/>
          <w:i/>
          <w:iCs/>
        </w:rPr>
        <w:t xml:space="preserve"> </w:t>
      </w:r>
    </w:p>
    <w:p w14:paraId="230161B6" w14:textId="77777777" w:rsidR="009217A9" w:rsidRPr="00B479AE" w:rsidRDefault="009217A9" w:rsidP="002602C5">
      <w:pPr>
        <w:spacing w:line="360" w:lineRule="auto"/>
        <w:rPr>
          <w:rFonts w:ascii="Baskerville Old Face" w:hAnsi="Baskerville Old Face"/>
          <w:i/>
          <w:iCs/>
        </w:rPr>
      </w:pPr>
    </w:p>
    <w:p w14:paraId="4A64D374" w14:textId="77777777" w:rsidR="009217A9" w:rsidRPr="00B479AE" w:rsidRDefault="009217A9" w:rsidP="002602C5">
      <w:pPr>
        <w:spacing w:line="360" w:lineRule="auto"/>
        <w:rPr>
          <w:rFonts w:ascii="Baskerville Old Face" w:hAnsi="Baskerville Old Face"/>
          <w:i/>
          <w:iCs/>
        </w:rPr>
      </w:pPr>
    </w:p>
    <w:p w14:paraId="3B10E421" w14:textId="77777777" w:rsidR="009217A9" w:rsidRPr="00B479AE" w:rsidRDefault="009217A9" w:rsidP="002602C5">
      <w:pPr>
        <w:spacing w:line="360" w:lineRule="auto"/>
        <w:rPr>
          <w:rFonts w:ascii="Baskerville Old Face" w:hAnsi="Baskerville Old Face"/>
          <w:i/>
          <w:iCs/>
        </w:rPr>
      </w:pPr>
    </w:p>
    <w:p w14:paraId="065FBC18" w14:textId="77777777" w:rsidR="009217A9" w:rsidRPr="00B479AE" w:rsidRDefault="009217A9" w:rsidP="002602C5">
      <w:pPr>
        <w:spacing w:line="360" w:lineRule="auto"/>
        <w:rPr>
          <w:rFonts w:ascii="Baskerville Old Face" w:hAnsi="Baskerville Old Face"/>
          <w:i/>
          <w:iCs/>
        </w:rPr>
      </w:pPr>
    </w:p>
    <w:p w14:paraId="4BBAA4CE" w14:textId="77777777" w:rsidR="009217A9" w:rsidRPr="00B479AE" w:rsidRDefault="009217A9" w:rsidP="002602C5">
      <w:pPr>
        <w:spacing w:line="360" w:lineRule="auto"/>
        <w:rPr>
          <w:rFonts w:ascii="Baskerville Old Face" w:hAnsi="Baskerville Old Face"/>
          <w:i/>
          <w:iCs/>
        </w:rPr>
      </w:pPr>
    </w:p>
    <w:p w14:paraId="14421729" w14:textId="77777777" w:rsidR="009217A9" w:rsidRPr="00B479AE" w:rsidRDefault="009217A9" w:rsidP="002602C5">
      <w:pPr>
        <w:spacing w:line="360" w:lineRule="auto"/>
        <w:rPr>
          <w:rFonts w:ascii="Baskerville Old Face" w:hAnsi="Baskerville Old Face"/>
          <w:i/>
          <w:iCs/>
        </w:rPr>
      </w:pPr>
    </w:p>
    <w:p w14:paraId="1A020841" w14:textId="77777777" w:rsidR="009217A9" w:rsidRPr="00B479AE" w:rsidRDefault="009217A9" w:rsidP="002602C5">
      <w:pPr>
        <w:spacing w:line="360" w:lineRule="auto"/>
        <w:rPr>
          <w:rFonts w:ascii="Baskerville Old Face" w:hAnsi="Baskerville Old Face"/>
          <w:i/>
          <w:iCs/>
        </w:rPr>
      </w:pPr>
    </w:p>
    <w:p w14:paraId="2BE7C8BC" w14:textId="77777777" w:rsidR="009217A9" w:rsidRPr="00B479AE" w:rsidRDefault="009217A9" w:rsidP="002602C5">
      <w:pPr>
        <w:spacing w:line="360" w:lineRule="auto"/>
        <w:rPr>
          <w:rFonts w:ascii="Baskerville Old Face" w:hAnsi="Baskerville Old Face"/>
          <w:i/>
          <w:iCs/>
        </w:rPr>
      </w:pPr>
    </w:p>
    <w:p w14:paraId="5C5C6A99" w14:textId="77777777" w:rsidR="009217A9" w:rsidRPr="00B479AE" w:rsidRDefault="009217A9" w:rsidP="002602C5">
      <w:pPr>
        <w:spacing w:line="360" w:lineRule="auto"/>
        <w:rPr>
          <w:rFonts w:ascii="Baskerville Old Face" w:hAnsi="Baskerville Old Face"/>
          <w:i/>
          <w:iCs/>
        </w:rPr>
      </w:pPr>
    </w:p>
    <w:p w14:paraId="1BDF0141" w14:textId="77777777" w:rsidR="009217A9" w:rsidRPr="00B479AE" w:rsidRDefault="009217A9" w:rsidP="002602C5">
      <w:pPr>
        <w:spacing w:line="360" w:lineRule="auto"/>
        <w:rPr>
          <w:rFonts w:ascii="Baskerville Old Face" w:hAnsi="Baskerville Old Face"/>
          <w:i/>
          <w:iCs/>
        </w:rPr>
      </w:pPr>
    </w:p>
    <w:p w14:paraId="0C845203" w14:textId="77777777" w:rsidR="009217A9" w:rsidRPr="00B479AE" w:rsidRDefault="009217A9" w:rsidP="002602C5">
      <w:pPr>
        <w:spacing w:line="360" w:lineRule="auto"/>
        <w:rPr>
          <w:rFonts w:ascii="Baskerville Old Face" w:hAnsi="Baskerville Old Face"/>
          <w:i/>
          <w:iCs/>
        </w:rPr>
      </w:pPr>
    </w:p>
    <w:p w14:paraId="16DEA6A0" w14:textId="77777777" w:rsidR="009217A9" w:rsidRPr="00B479AE" w:rsidRDefault="009217A9" w:rsidP="002602C5">
      <w:pPr>
        <w:spacing w:line="360" w:lineRule="auto"/>
        <w:rPr>
          <w:rFonts w:ascii="Baskerville Old Face" w:hAnsi="Baskerville Old Face"/>
          <w:i/>
          <w:iCs/>
        </w:rPr>
      </w:pPr>
    </w:p>
    <w:p w14:paraId="182CD880" w14:textId="77777777" w:rsidR="009217A9" w:rsidRPr="00B479AE" w:rsidRDefault="009217A9" w:rsidP="002602C5">
      <w:pPr>
        <w:spacing w:line="360" w:lineRule="auto"/>
        <w:rPr>
          <w:rFonts w:ascii="Baskerville Old Face" w:hAnsi="Baskerville Old Face"/>
          <w:i/>
          <w:iCs/>
        </w:rPr>
      </w:pPr>
    </w:p>
    <w:p w14:paraId="71110F86" w14:textId="77777777" w:rsidR="009217A9" w:rsidRPr="00B479AE" w:rsidRDefault="009217A9" w:rsidP="002602C5">
      <w:pPr>
        <w:spacing w:line="360" w:lineRule="auto"/>
        <w:rPr>
          <w:rFonts w:ascii="Baskerville Old Face" w:hAnsi="Baskerville Old Face"/>
          <w:i/>
          <w:iCs/>
        </w:rPr>
      </w:pPr>
    </w:p>
    <w:p w14:paraId="6B1C2374" w14:textId="77777777" w:rsidR="009217A9" w:rsidRPr="00B479AE" w:rsidRDefault="009217A9" w:rsidP="002602C5">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3"/>
        <w:gridCol w:w="3803"/>
        <w:gridCol w:w="4112"/>
      </w:tblGrid>
      <w:tr w:rsidR="002602C5" w:rsidRPr="00B479AE" w14:paraId="0A4827D8" w14:textId="77777777" w:rsidTr="00716126">
        <w:trPr>
          <w:tblHeader/>
          <w:tblCellSpacing w:w="15" w:type="dxa"/>
        </w:trPr>
        <w:tc>
          <w:tcPr>
            <w:tcW w:w="0" w:type="auto"/>
            <w:vAlign w:val="center"/>
            <w:hideMark/>
          </w:tcPr>
          <w:p w14:paraId="0E157420" w14:textId="77777777" w:rsidR="002602C5" w:rsidRPr="00B479AE" w:rsidRDefault="002602C5" w:rsidP="002602C5">
            <w:pPr>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Classification</w:t>
            </w:r>
          </w:p>
        </w:tc>
        <w:tc>
          <w:tcPr>
            <w:tcW w:w="0" w:type="auto"/>
            <w:vAlign w:val="center"/>
            <w:hideMark/>
          </w:tcPr>
          <w:p w14:paraId="6814B11C" w14:textId="77777777" w:rsidR="002602C5" w:rsidRPr="00B479AE" w:rsidRDefault="002602C5" w:rsidP="002602C5">
            <w:pPr>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Description</w:t>
            </w:r>
          </w:p>
        </w:tc>
        <w:tc>
          <w:tcPr>
            <w:tcW w:w="0" w:type="auto"/>
            <w:vAlign w:val="center"/>
            <w:hideMark/>
          </w:tcPr>
          <w:p w14:paraId="7CDB75EE" w14:textId="77777777" w:rsidR="002602C5" w:rsidRPr="00B479AE" w:rsidRDefault="002602C5" w:rsidP="002602C5">
            <w:pPr>
              <w:spacing w:line="360" w:lineRule="auto"/>
              <w:rPr>
                <w:rFonts w:ascii="Baskerville Old Face" w:hAnsi="Baskerville Old Face"/>
                <w:b/>
                <w:bCs/>
                <w:i/>
                <w:iCs/>
                <w:sz w:val="18"/>
                <w:szCs w:val="18"/>
              </w:rPr>
            </w:pPr>
            <w:r w:rsidRPr="00B479AE">
              <w:rPr>
                <w:rFonts w:ascii="Baskerville Old Face" w:hAnsi="Baskerville Old Face"/>
                <w:b/>
                <w:bCs/>
                <w:i/>
                <w:iCs/>
                <w:sz w:val="18"/>
                <w:szCs w:val="18"/>
              </w:rPr>
              <w:t>Prometheus implication</w:t>
            </w:r>
          </w:p>
        </w:tc>
      </w:tr>
      <w:tr w:rsidR="002602C5" w:rsidRPr="00B479AE" w14:paraId="770672AA" w14:textId="77777777" w:rsidTr="00716126">
        <w:trPr>
          <w:tblCellSpacing w:w="15" w:type="dxa"/>
        </w:trPr>
        <w:tc>
          <w:tcPr>
            <w:tcW w:w="0" w:type="auto"/>
            <w:vAlign w:val="center"/>
            <w:hideMark/>
          </w:tcPr>
          <w:p w14:paraId="0D2D5107"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Utility / access token</w:t>
            </w:r>
          </w:p>
        </w:tc>
        <w:tc>
          <w:tcPr>
            <w:tcW w:w="0" w:type="auto"/>
            <w:vAlign w:val="center"/>
            <w:hideMark/>
          </w:tcPr>
          <w:p w14:paraId="1E8A3EEE"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Grants access to a function, service, permission layer, or community process</w:t>
            </w:r>
          </w:p>
        </w:tc>
        <w:tc>
          <w:tcPr>
            <w:tcW w:w="0" w:type="auto"/>
            <w:vAlign w:val="center"/>
            <w:hideMark/>
          </w:tcPr>
          <w:p w14:paraId="389CEB95"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Requires scope definition and no implied investor right</w:t>
            </w:r>
          </w:p>
        </w:tc>
      </w:tr>
      <w:tr w:rsidR="002602C5" w:rsidRPr="00B479AE" w14:paraId="22244CB1" w14:textId="77777777" w:rsidTr="00716126">
        <w:trPr>
          <w:tblCellSpacing w:w="15" w:type="dxa"/>
        </w:trPr>
        <w:tc>
          <w:tcPr>
            <w:tcW w:w="0" w:type="auto"/>
            <w:vAlign w:val="center"/>
            <w:hideMark/>
          </w:tcPr>
          <w:p w14:paraId="4D69E529"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Governance token</w:t>
            </w:r>
          </w:p>
        </w:tc>
        <w:tc>
          <w:tcPr>
            <w:tcW w:w="0" w:type="auto"/>
            <w:vAlign w:val="center"/>
            <w:hideMark/>
          </w:tcPr>
          <w:p w14:paraId="7289240B"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Participates in defined governance processes</w:t>
            </w:r>
          </w:p>
        </w:tc>
        <w:tc>
          <w:tcPr>
            <w:tcW w:w="0" w:type="auto"/>
            <w:vAlign w:val="center"/>
            <w:hideMark/>
          </w:tcPr>
          <w:p w14:paraId="1238A526"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Requires governance boundary, anti-capture design, and constitutional limits</w:t>
            </w:r>
          </w:p>
        </w:tc>
      </w:tr>
      <w:tr w:rsidR="002602C5" w:rsidRPr="00B479AE" w14:paraId="7B4A083F" w14:textId="77777777" w:rsidTr="00716126">
        <w:trPr>
          <w:tblCellSpacing w:w="15" w:type="dxa"/>
        </w:trPr>
        <w:tc>
          <w:tcPr>
            <w:tcW w:w="0" w:type="auto"/>
            <w:vAlign w:val="center"/>
            <w:hideMark/>
          </w:tcPr>
          <w:p w14:paraId="659EEA61"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Contribution token</w:t>
            </w:r>
          </w:p>
        </w:tc>
        <w:tc>
          <w:tcPr>
            <w:tcW w:w="0" w:type="auto"/>
            <w:vAlign w:val="center"/>
            <w:hideMark/>
          </w:tcPr>
          <w:p w14:paraId="1C928167"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Recognizes contribution, participation, work, stewardship, or service</w:t>
            </w:r>
          </w:p>
        </w:tc>
        <w:tc>
          <w:tcPr>
            <w:tcW w:w="0" w:type="auto"/>
            <w:vAlign w:val="center"/>
            <w:hideMark/>
          </w:tcPr>
          <w:p w14:paraId="3B7B110E"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Requires contribution-policy clarity and no automatic PRU, RAP, or investor conversion</w:t>
            </w:r>
          </w:p>
        </w:tc>
      </w:tr>
      <w:tr w:rsidR="002602C5" w:rsidRPr="00B479AE" w14:paraId="74D3B55D" w14:textId="77777777" w:rsidTr="00716126">
        <w:trPr>
          <w:tblCellSpacing w:w="15" w:type="dxa"/>
        </w:trPr>
        <w:tc>
          <w:tcPr>
            <w:tcW w:w="0" w:type="auto"/>
            <w:vAlign w:val="center"/>
            <w:hideMark/>
          </w:tcPr>
          <w:p w14:paraId="622B41A2"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Settlement token</w:t>
            </w:r>
          </w:p>
        </w:tc>
        <w:tc>
          <w:tcPr>
            <w:tcW w:w="0" w:type="auto"/>
            <w:vAlign w:val="center"/>
            <w:hideMark/>
          </w:tcPr>
          <w:p w14:paraId="3081E1A8"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Used for payment, settlement, or transaction accounting</w:t>
            </w:r>
          </w:p>
        </w:tc>
        <w:tc>
          <w:tcPr>
            <w:tcW w:w="0" w:type="auto"/>
            <w:vAlign w:val="center"/>
            <w:hideMark/>
          </w:tcPr>
          <w:p w14:paraId="01BAC2E6"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Requires compliance, custody, tax, AML/KYC, sanctions, and operational review where relevant</w:t>
            </w:r>
          </w:p>
        </w:tc>
      </w:tr>
      <w:tr w:rsidR="002602C5" w:rsidRPr="00B479AE" w14:paraId="5F35EEDE" w14:textId="77777777" w:rsidTr="00716126">
        <w:trPr>
          <w:tblCellSpacing w:w="15" w:type="dxa"/>
        </w:trPr>
        <w:tc>
          <w:tcPr>
            <w:tcW w:w="0" w:type="auto"/>
            <w:vAlign w:val="center"/>
            <w:hideMark/>
          </w:tcPr>
          <w:p w14:paraId="78E19962"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Accounting unit</w:t>
            </w:r>
          </w:p>
        </w:tc>
        <w:tc>
          <w:tcPr>
            <w:tcW w:w="0" w:type="auto"/>
            <w:vAlign w:val="center"/>
            <w:hideMark/>
          </w:tcPr>
          <w:p w14:paraId="01C64B67"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Tracks internal values, balances, credits, points, or records</w:t>
            </w:r>
          </w:p>
        </w:tc>
        <w:tc>
          <w:tcPr>
            <w:tcW w:w="0" w:type="auto"/>
            <w:vAlign w:val="center"/>
            <w:hideMark/>
          </w:tcPr>
          <w:p w14:paraId="2F475934"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Requires accounting policy and non-misrepresentation controls</w:t>
            </w:r>
          </w:p>
        </w:tc>
      </w:tr>
      <w:tr w:rsidR="002602C5" w:rsidRPr="00B479AE" w14:paraId="63299F42" w14:textId="77777777" w:rsidTr="00716126">
        <w:trPr>
          <w:tblCellSpacing w:w="15" w:type="dxa"/>
        </w:trPr>
        <w:tc>
          <w:tcPr>
            <w:tcW w:w="0" w:type="auto"/>
            <w:vAlign w:val="center"/>
            <w:hideMark/>
          </w:tcPr>
          <w:p w14:paraId="3319965D"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Reward token</w:t>
            </w:r>
          </w:p>
        </w:tc>
        <w:tc>
          <w:tcPr>
            <w:tcW w:w="0" w:type="auto"/>
            <w:vAlign w:val="center"/>
            <w:hideMark/>
          </w:tcPr>
          <w:p w14:paraId="77AA2DD9"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Provides rewards, incentives, or distribution logic</w:t>
            </w:r>
          </w:p>
        </w:tc>
        <w:tc>
          <w:tcPr>
            <w:tcW w:w="0" w:type="auto"/>
            <w:vAlign w:val="center"/>
            <w:hideMark/>
          </w:tcPr>
          <w:p w14:paraId="56ADC349"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Requires legal, tax, labor, consumer, securities, and community-governance review</w:t>
            </w:r>
          </w:p>
        </w:tc>
      </w:tr>
      <w:tr w:rsidR="002602C5" w:rsidRPr="00B479AE" w14:paraId="1525807A" w14:textId="77777777" w:rsidTr="00716126">
        <w:trPr>
          <w:tblCellSpacing w:w="15" w:type="dxa"/>
        </w:trPr>
        <w:tc>
          <w:tcPr>
            <w:tcW w:w="0" w:type="auto"/>
            <w:vAlign w:val="center"/>
            <w:hideMark/>
          </w:tcPr>
          <w:p w14:paraId="4ECF9BB7"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Security / investment token</w:t>
            </w:r>
          </w:p>
        </w:tc>
        <w:tc>
          <w:tcPr>
            <w:tcW w:w="0" w:type="auto"/>
            <w:vAlign w:val="center"/>
            <w:hideMark/>
          </w:tcPr>
          <w:p w14:paraId="0D95952C"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Represents financial rights, revenue, debt, equity, fund interest, note, or similar exposure</w:t>
            </w:r>
          </w:p>
        </w:tc>
        <w:tc>
          <w:tcPr>
            <w:tcW w:w="0" w:type="auto"/>
            <w:vAlign w:val="center"/>
            <w:hideMark/>
          </w:tcPr>
          <w:p w14:paraId="3E887CB8"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Requires full legal structuring, disclosure, investor suitability, and jurisdictional compliance</w:t>
            </w:r>
          </w:p>
        </w:tc>
      </w:tr>
      <w:tr w:rsidR="002602C5" w:rsidRPr="00B479AE" w14:paraId="7E31BCF1" w14:textId="77777777" w:rsidTr="00716126">
        <w:trPr>
          <w:tblCellSpacing w:w="15" w:type="dxa"/>
        </w:trPr>
        <w:tc>
          <w:tcPr>
            <w:tcW w:w="0" w:type="auto"/>
            <w:vAlign w:val="center"/>
            <w:hideMark/>
          </w:tcPr>
          <w:p w14:paraId="5ABE95CB"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Reputation token / badge</w:t>
            </w:r>
          </w:p>
        </w:tc>
        <w:tc>
          <w:tcPr>
            <w:tcW w:w="0" w:type="auto"/>
            <w:vAlign w:val="center"/>
            <w:hideMark/>
          </w:tcPr>
          <w:p w14:paraId="5C8585E7"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Signals achievement, role, credential, contribution, or community status</w:t>
            </w:r>
          </w:p>
        </w:tc>
        <w:tc>
          <w:tcPr>
            <w:tcW w:w="0" w:type="auto"/>
            <w:vAlign w:val="center"/>
            <w:hideMark/>
          </w:tcPr>
          <w:p w14:paraId="096EE41C"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Must not become human ranking or social-credit machinery</w:t>
            </w:r>
          </w:p>
        </w:tc>
      </w:tr>
      <w:tr w:rsidR="002602C5" w:rsidRPr="00B479AE" w14:paraId="4090813D" w14:textId="77777777" w:rsidTr="00716126">
        <w:trPr>
          <w:tblCellSpacing w:w="15" w:type="dxa"/>
        </w:trPr>
        <w:tc>
          <w:tcPr>
            <w:tcW w:w="0" w:type="auto"/>
            <w:vAlign w:val="center"/>
            <w:hideMark/>
          </w:tcPr>
          <w:p w14:paraId="552A6149"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Verifiable credential</w:t>
            </w:r>
          </w:p>
        </w:tc>
        <w:tc>
          <w:tcPr>
            <w:tcW w:w="0" w:type="auto"/>
            <w:vAlign w:val="center"/>
            <w:hideMark/>
          </w:tcPr>
          <w:p w14:paraId="55E3118C"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Confirms identity, role, qualification, authorization, or review status</w:t>
            </w:r>
          </w:p>
        </w:tc>
        <w:tc>
          <w:tcPr>
            <w:tcW w:w="0" w:type="auto"/>
            <w:vAlign w:val="center"/>
            <w:hideMark/>
          </w:tcPr>
          <w:p w14:paraId="03251482"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Must remain purpose-limited and revocable where appropriate</w:t>
            </w:r>
          </w:p>
        </w:tc>
      </w:tr>
      <w:tr w:rsidR="002602C5" w:rsidRPr="00B479AE" w14:paraId="493CA8AC" w14:textId="77777777" w:rsidTr="00716126">
        <w:trPr>
          <w:tblCellSpacing w:w="15" w:type="dxa"/>
        </w:trPr>
        <w:tc>
          <w:tcPr>
            <w:tcW w:w="0" w:type="auto"/>
            <w:vAlign w:val="center"/>
            <w:hideMark/>
          </w:tcPr>
          <w:p w14:paraId="02BADBFB"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MRV-linked representation</w:t>
            </w:r>
          </w:p>
        </w:tc>
        <w:tc>
          <w:tcPr>
            <w:tcW w:w="0" w:type="auto"/>
            <w:vAlign w:val="center"/>
            <w:hideMark/>
          </w:tcPr>
          <w:p w14:paraId="5595D5FE"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References evidence, indicators, ecological performance, or reporting records</w:t>
            </w:r>
          </w:p>
        </w:tc>
        <w:tc>
          <w:tcPr>
            <w:tcW w:w="0" w:type="auto"/>
            <w:vAlign w:val="center"/>
            <w:hideMark/>
          </w:tcPr>
          <w:p w14:paraId="703F58C0"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Requires MRV admissibility and careful public-claim controls</w:t>
            </w:r>
          </w:p>
        </w:tc>
      </w:tr>
      <w:tr w:rsidR="002602C5" w:rsidRPr="00B479AE" w14:paraId="1CB5F250" w14:textId="77777777" w:rsidTr="00716126">
        <w:trPr>
          <w:tblCellSpacing w:w="15" w:type="dxa"/>
        </w:trPr>
        <w:tc>
          <w:tcPr>
            <w:tcW w:w="0" w:type="auto"/>
            <w:vAlign w:val="center"/>
            <w:hideMark/>
          </w:tcPr>
          <w:p w14:paraId="371FB01E"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PRU-referenced representation</w:t>
            </w:r>
          </w:p>
        </w:tc>
        <w:tc>
          <w:tcPr>
            <w:tcW w:w="0" w:type="auto"/>
            <w:vAlign w:val="center"/>
            <w:hideMark/>
          </w:tcPr>
          <w:p w14:paraId="55B43C60"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References PRU analysis, maturity, or reporting</w:t>
            </w:r>
          </w:p>
        </w:tc>
        <w:tc>
          <w:tcPr>
            <w:tcW w:w="0" w:type="auto"/>
            <w:vAlign w:val="center"/>
            <w:hideMark/>
          </w:tcPr>
          <w:p w14:paraId="7E7D01AB"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Requires reviewed PRU methodology, admissibility, legal boundary, and controlled language</w:t>
            </w:r>
          </w:p>
        </w:tc>
      </w:tr>
      <w:tr w:rsidR="002602C5" w:rsidRPr="00B479AE" w14:paraId="1758D938" w14:textId="77777777" w:rsidTr="00716126">
        <w:trPr>
          <w:tblCellSpacing w:w="15" w:type="dxa"/>
        </w:trPr>
        <w:tc>
          <w:tcPr>
            <w:tcW w:w="0" w:type="auto"/>
            <w:vAlign w:val="center"/>
            <w:hideMark/>
          </w:tcPr>
          <w:p w14:paraId="0B1D9DD7"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RAP-referenced representation</w:t>
            </w:r>
          </w:p>
        </w:tc>
        <w:tc>
          <w:tcPr>
            <w:tcW w:w="0" w:type="auto"/>
            <w:vAlign w:val="center"/>
            <w:hideMark/>
          </w:tcPr>
          <w:p w14:paraId="0A3CEC1E"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References portfolio or pool logic</w:t>
            </w:r>
          </w:p>
        </w:tc>
        <w:tc>
          <w:tcPr>
            <w:tcW w:w="0" w:type="auto"/>
            <w:vAlign w:val="center"/>
            <w:hideMark/>
          </w:tcPr>
          <w:p w14:paraId="5E3AF86A"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Requires eligible underlying units, legal wrapper, disclosure, and portfolio governance</w:t>
            </w:r>
          </w:p>
        </w:tc>
      </w:tr>
      <w:tr w:rsidR="002602C5" w:rsidRPr="00B479AE" w14:paraId="2BC02958" w14:textId="77777777" w:rsidTr="00716126">
        <w:trPr>
          <w:tblCellSpacing w:w="15" w:type="dxa"/>
        </w:trPr>
        <w:tc>
          <w:tcPr>
            <w:tcW w:w="0" w:type="auto"/>
            <w:vAlign w:val="center"/>
            <w:hideMark/>
          </w:tcPr>
          <w:p w14:paraId="46920399"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Non-admissible token claim</w:t>
            </w:r>
          </w:p>
        </w:tc>
        <w:tc>
          <w:tcPr>
            <w:tcW w:w="0" w:type="auto"/>
            <w:vAlign w:val="center"/>
            <w:hideMark/>
          </w:tcPr>
          <w:p w14:paraId="6AA0DEA5"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Claims regenerative, PRU, RAP, investor, legal, or public certification meaning without basis</w:t>
            </w:r>
          </w:p>
        </w:tc>
        <w:tc>
          <w:tcPr>
            <w:tcW w:w="0" w:type="auto"/>
            <w:vAlign w:val="center"/>
            <w:hideMark/>
          </w:tcPr>
          <w:p w14:paraId="388A4685" w14:textId="77777777" w:rsidR="002602C5" w:rsidRPr="00B479AE" w:rsidRDefault="002602C5" w:rsidP="002602C5">
            <w:pPr>
              <w:spacing w:line="360" w:lineRule="auto"/>
              <w:rPr>
                <w:rFonts w:ascii="Baskerville Old Face" w:hAnsi="Baskerville Old Face"/>
                <w:i/>
                <w:iCs/>
                <w:sz w:val="18"/>
                <w:szCs w:val="18"/>
              </w:rPr>
            </w:pPr>
            <w:r w:rsidRPr="00B479AE">
              <w:rPr>
                <w:rFonts w:ascii="Baskerville Old Face" w:hAnsi="Baskerville Old Face"/>
                <w:i/>
                <w:iCs/>
                <w:sz w:val="18"/>
                <w:szCs w:val="18"/>
              </w:rPr>
              <w:t>Not eligible for protected Prometheus pathways</w:t>
            </w:r>
          </w:p>
        </w:tc>
      </w:tr>
    </w:tbl>
    <w:p w14:paraId="05FEE45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may be technically sophisticated and constitutionally irrelevant.</w:t>
      </w:r>
    </w:p>
    <w:p w14:paraId="1E89DEF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A token may be liquid and legally unsafe.</w:t>
      </w:r>
    </w:p>
    <w:p w14:paraId="2A3BF7B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may be popular and methodologically empty.</w:t>
      </w:r>
    </w:p>
    <w:p w14:paraId="599AC14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Prometheus compatibility requires more than code.</w:t>
      </w:r>
    </w:p>
    <w:p w14:paraId="20F4C70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requires source-layer compatibility.</w:t>
      </w:r>
    </w:p>
    <w:p w14:paraId="698477BD" w14:textId="77777777" w:rsidR="002602C5" w:rsidRPr="00B479AE" w:rsidRDefault="002602C5" w:rsidP="002602C5">
      <w:pPr>
        <w:spacing w:line="360" w:lineRule="auto"/>
        <w:rPr>
          <w:rFonts w:ascii="Baskerville Old Face" w:hAnsi="Baskerville Old Face"/>
          <w:b/>
          <w:bCs/>
          <w:i/>
          <w:iCs/>
        </w:rPr>
      </w:pPr>
      <w:r w:rsidRPr="00B479AE">
        <w:rPr>
          <w:rFonts w:ascii="Baskerville Old Face" w:hAnsi="Baskerville Old Face"/>
          <w:b/>
          <w:bCs/>
          <w:i/>
          <w:iCs/>
        </w:rPr>
        <w:t>Q.4 Token Integration Readiness Review</w:t>
      </w:r>
    </w:p>
    <w:p w14:paraId="19F274D7" w14:textId="63942AE7" w:rsidR="002602C5" w:rsidRDefault="002602C5" w:rsidP="002602C5">
      <w:pPr>
        <w:spacing w:line="360" w:lineRule="auto"/>
        <w:rPr>
          <w:rFonts w:ascii="Baskerville Old Face" w:hAnsi="Baskerville Old Face"/>
          <w:i/>
          <w:iCs/>
        </w:rPr>
      </w:pPr>
      <w:r w:rsidRPr="00B479AE">
        <w:rPr>
          <w:rFonts w:ascii="Baskerville Old Face" w:hAnsi="Baskerville Old Face"/>
          <w:i/>
          <w:iCs/>
        </w:rPr>
        <w:t>Before Prometheus interacts with any token system, the following review dimensions should be assessed.</w:t>
      </w:r>
      <w:r w:rsidR="00CC6E6B">
        <w:rPr>
          <w:rFonts w:ascii="Baskerville Old Face" w:hAnsi="Baskerville Old Face"/>
          <w:i/>
          <w:iCs/>
        </w:rPr>
        <w:t xml:space="preserve"> </w:t>
      </w:r>
    </w:p>
    <w:p w14:paraId="73430CC9" w14:textId="77777777" w:rsidR="00CC6E6B" w:rsidRDefault="00CC6E6B" w:rsidP="002602C5">
      <w:pPr>
        <w:spacing w:line="360" w:lineRule="auto"/>
        <w:rPr>
          <w:rFonts w:ascii="Baskerville Old Face" w:hAnsi="Baskerville Old Face"/>
          <w:i/>
          <w:iCs/>
        </w:rPr>
      </w:pPr>
    </w:p>
    <w:p w14:paraId="54ABE1F0" w14:textId="77777777" w:rsidR="00CC6E6B" w:rsidRDefault="00CC6E6B" w:rsidP="002602C5">
      <w:pPr>
        <w:spacing w:line="360" w:lineRule="auto"/>
        <w:rPr>
          <w:rFonts w:ascii="Baskerville Old Face" w:hAnsi="Baskerville Old Face"/>
          <w:i/>
          <w:iCs/>
        </w:rPr>
      </w:pPr>
    </w:p>
    <w:p w14:paraId="7ABAEA62" w14:textId="77777777" w:rsidR="00CC6E6B" w:rsidRDefault="00CC6E6B" w:rsidP="002602C5">
      <w:pPr>
        <w:spacing w:line="360" w:lineRule="auto"/>
        <w:rPr>
          <w:rFonts w:ascii="Baskerville Old Face" w:hAnsi="Baskerville Old Face"/>
          <w:i/>
          <w:iCs/>
        </w:rPr>
      </w:pPr>
    </w:p>
    <w:p w14:paraId="00B5493A" w14:textId="77777777" w:rsidR="00CC6E6B" w:rsidRDefault="00CC6E6B" w:rsidP="002602C5">
      <w:pPr>
        <w:spacing w:line="360" w:lineRule="auto"/>
        <w:rPr>
          <w:rFonts w:ascii="Baskerville Old Face" w:hAnsi="Baskerville Old Face"/>
          <w:i/>
          <w:iCs/>
        </w:rPr>
      </w:pPr>
    </w:p>
    <w:p w14:paraId="7A0EBC22" w14:textId="77777777" w:rsidR="00CC6E6B" w:rsidRDefault="00CC6E6B" w:rsidP="002602C5">
      <w:pPr>
        <w:spacing w:line="360" w:lineRule="auto"/>
        <w:rPr>
          <w:rFonts w:ascii="Baskerville Old Face" w:hAnsi="Baskerville Old Face"/>
          <w:i/>
          <w:iCs/>
        </w:rPr>
      </w:pPr>
    </w:p>
    <w:p w14:paraId="1B2F46EC" w14:textId="77777777" w:rsidR="00CC6E6B" w:rsidRDefault="00CC6E6B" w:rsidP="002602C5">
      <w:pPr>
        <w:spacing w:line="360" w:lineRule="auto"/>
        <w:rPr>
          <w:rFonts w:ascii="Baskerville Old Face" w:hAnsi="Baskerville Old Face"/>
          <w:i/>
          <w:iCs/>
        </w:rPr>
      </w:pPr>
    </w:p>
    <w:p w14:paraId="1B077C50" w14:textId="77777777" w:rsidR="00CC6E6B" w:rsidRDefault="00CC6E6B" w:rsidP="002602C5">
      <w:pPr>
        <w:spacing w:line="360" w:lineRule="auto"/>
        <w:rPr>
          <w:rFonts w:ascii="Baskerville Old Face" w:hAnsi="Baskerville Old Face"/>
          <w:i/>
          <w:iCs/>
        </w:rPr>
      </w:pPr>
    </w:p>
    <w:p w14:paraId="616F02C0" w14:textId="77777777" w:rsidR="00CC6E6B" w:rsidRDefault="00CC6E6B" w:rsidP="002602C5">
      <w:pPr>
        <w:spacing w:line="360" w:lineRule="auto"/>
        <w:rPr>
          <w:rFonts w:ascii="Baskerville Old Face" w:hAnsi="Baskerville Old Face"/>
          <w:i/>
          <w:iCs/>
        </w:rPr>
      </w:pPr>
    </w:p>
    <w:p w14:paraId="1C30A87E" w14:textId="77777777" w:rsidR="00CC6E6B" w:rsidRDefault="00CC6E6B" w:rsidP="002602C5">
      <w:pPr>
        <w:spacing w:line="360" w:lineRule="auto"/>
        <w:rPr>
          <w:rFonts w:ascii="Baskerville Old Face" w:hAnsi="Baskerville Old Face"/>
          <w:i/>
          <w:iCs/>
        </w:rPr>
      </w:pPr>
    </w:p>
    <w:p w14:paraId="0D1FE3F5" w14:textId="77777777" w:rsidR="00CC6E6B" w:rsidRDefault="00CC6E6B" w:rsidP="002602C5">
      <w:pPr>
        <w:spacing w:line="360" w:lineRule="auto"/>
        <w:rPr>
          <w:rFonts w:ascii="Baskerville Old Face" w:hAnsi="Baskerville Old Face"/>
          <w:i/>
          <w:iCs/>
        </w:rPr>
      </w:pPr>
    </w:p>
    <w:p w14:paraId="09A823C1" w14:textId="77777777" w:rsidR="00CC6E6B" w:rsidRDefault="00CC6E6B" w:rsidP="002602C5">
      <w:pPr>
        <w:spacing w:line="360" w:lineRule="auto"/>
        <w:rPr>
          <w:rFonts w:ascii="Baskerville Old Face" w:hAnsi="Baskerville Old Face"/>
          <w:i/>
          <w:iCs/>
        </w:rPr>
      </w:pPr>
    </w:p>
    <w:p w14:paraId="7918C326" w14:textId="77777777" w:rsidR="00CC6E6B" w:rsidRDefault="00CC6E6B" w:rsidP="002602C5">
      <w:pPr>
        <w:spacing w:line="360" w:lineRule="auto"/>
        <w:rPr>
          <w:rFonts w:ascii="Baskerville Old Face" w:hAnsi="Baskerville Old Face"/>
          <w:i/>
          <w:iCs/>
        </w:rPr>
      </w:pPr>
    </w:p>
    <w:p w14:paraId="0D8CC76E" w14:textId="77777777" w:rsidR="00CC6E6B" w:rsidRDefault="00CC6E6B" w:rsidP="002602C5">
      <w:pPr>
        <w:spacing w:line="360" w:lineRule="auto"/>
        <w:rPr>
          <w:rFonts w:ascii="Baskerville Old Face" w:hAnsi="Baskerville Old Face"/>
          <w:i/>
          <w:iCs/>
        </w:rPr>
      </w:pPr>
    </w:p>
    <w:p w14:paraId="5555CA29" w14:textId="77777777" w:rsidR="00CC6E6B" w:rsidRPr="00B479AE" w:rsidRDefault="00CC6E6B" w:rsidP="002602C5">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8"/>
        <w:gridCol w:w="7900"/>
      </w:tblGrid>
      <w:tr w:rsidR="002602C5" w:rsidRPr="00CC6E6B" w14:paraId="52550531" w14:textId="77777777" w:rsidTr="002602C5">
        <w:trPr>
          <w:tblHeader/>
          <w:tblCellSpacing w:w="15" w:type="dxa"/>
        </w:trPr>
        <w:tc>
          <w:tcPr>
            <w:tcW w:w="0" w:type="auto"/>
            <w:vAlign w:val="center"/>
            <w:hideMark/>
          </w:tcPr>
          <w:p w14:paraId="05791428" w14:textId="77777777" w:rsidR="002602C5" w:rsidRPr="00CC6E6B" w:rsidRDefault="002602C5" w:rsidP="002602C5">
            <w:pPr>
              <w:spacing w:line="360" w:lineRule="auto"/>
              <w:rPr>
                <w:rFonts w:ascii="Baskerville Old Face" w:hAnsi="Baskerville Old Face"/>
                <w:b/>
                <w:bCs/>
                <w:i/>
                <w:iCs/>
                <w:sz w:val="17"/>
                <w:szCs w:val="17"/>
              </w:rPr>
            </w:pPr>
            <w:r w:rsidRPr="00CC6E6B">
              <w:rPr>
                <w:rFonts w:ascii="Baskerville Old Face" w:hAnsi="Baskerville Old Face"/>
                <w:b/>
                <w:bCs/>
                <w:i/>
                <w:iCs/>
                <w:sz w:val="17"/>
                <w:szCs w:val="17"/>
              </w:rPr>
              <w:lastRenderedPageBreak/>
              <w:t>Review dimension</w:t>
            </w:r>
          </w:p>
        </w:tc>
        <w:tc>
          <w:tcPr>
            <w:tcW w:w="0" w:type="auto"/>
            <w:vAlign w:val="center"/>
            <w:hideMark/>
          </w:tcPr>
          <w:p w14:paraId="1106F0EA" w14:textId="77777777" w:rsidR="002602C5" w:rsidRPr="00CC6E6B" w:rsidRDefault="002602C5" w:rsidP="002602C5">
            <w:pPr>
              <w:spacing w:line="360" w:lineRule="auto"/>
              <w:rPr>
                <w:rFonts w:ascii="Baskerville Old Face" w:hAnsi="Baskerville Old Face"/>
                <w:b/>
                <w:bCs/>
                <w:i/>
                <w:iCs/>
                <w:sz w:val="17"/>
                <w:szCs w:val="17"/>
              </w:rPr>
            </w:pPr>
            <w:r w:rsidRPr="00CC6E6B">
              <w:rPr>
                <w:rFonts w:ascii="Baskerville Old Face" w:hAnsi="Baskerville Old Face"/>
                <w:b/>
                <w:bCs/>
                <w:i/>
                <w:iCs/>
                <w:sz w:val="17"/>
                <w:szCs w:val="17"/>
              </w:rPr>
              <w:t>Key question</w:t>
            </w:r>
          </w:p>
        </w:tc>
      </w:tr>
      <w:tr w:rsidR="002602C5" w:rsidRPr="00CC6E6B" w14:paraId="0284BF3E" w14:textId="77777777" w:rsidTr="002602C5">
        <w:trPr>
          <w:tblCellSpacing w:w="15" w:type="dxa"/>
        </w:trPr>
        <w:tc>
          <w:tcPr>
            <w:tcW w:w="0" w:type="auto"/>
            <w:vAlign w:val="center"/>
            <w:hideMark/>
          </w:tcPr>
          <w:p w14:paraId="22B50DE2"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Purpose</w:t>
            </w:r>
          </w:p>
        </w:tc>
        <w:tc>
          <w:tcPr>
            <w:tcW w:w="0" w:type="auto"/>
            <w:vAlign w:val="center"/>
            <w:hideMark/>
          </w:tcPr>
          <w:p w14:paraId="16E24BDB"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What function does the token perform?</w:t>
            </w:r>
          </w:p>
        </w:tc>
      </w:tr>
      <w:tr w:rsidR="002602C5" w:rsidRPr="00CC6E6B" w14:paraId="484321CD" w14:textId="77777777" w:rsidTr="002602C5">
        <w:trPr>
          <w:tblCellSpacing w:w="15" w:type="dxa"/>
        </w:trPr>
        <w:tc>
          <w:tcPr>
            <w:tcW w:w="0" w:type="auto"/>
            <w:vAlign w:val="center"/>
            <w:hideMark/>
          </w:tcPr>
          <w:p w14:paraId="39A96738"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Rights</w:t>
            </w:r>
          </w:p>
        </w:tc>
        <w:tc>
          <w:tcPr>
            <w:tcW w:w="0" w:type="auto"/>
            <w:vAlign w:val="center"/>
            <w:hideMark/>
          </w:tcPr>
          <w:p w14:paraId="32E9A3F1"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What rights, if any, does the token legally confer?</w:t>
            </w:r>
          </w:p>
        </w:tc>
      </w:tr>
      <w:tr w:rsidR="002602C5" w:rsidRPr="00CC6E6B" w14:paraId="7E12A17C" w14:textId="77777777" w:rsidTr="002602C5">
        <w:trPr>
          <w:tblCellSpacing w:w="15" w:type="dxa"/>
        </w:trPr>
        <w:tc>
          <w:tcPr>
            <w:tcW w:w="0" w:type="auto"/>
            <w:vAlign w:val="center"/>
            <w:hideMark/>
          </w:tcPr>
          <w:p w14:paraId="527499BA"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Claims</w:t>
            </w:r>
          </w:p>
        </w:tc>
        <w:tc>
          <w:tcPr>
            <w:tcW w:w="0" w:type="auto"/>
            <w:vAlign w:val="center"/>
            <w:hideMark/>
          </w:tcPr>
          <w:p w14:paraId="5E3A4FC2"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What public, ecological, financial, governance, or community claims are being made?</w:t>
            </w:r>
          </w:p>
        </w:tc>
      </w:tr>
      <w:tr w:rsidR="002602C5" w:rsidRPr="00CC6E6B" w14:paraId="546C95EF" w14:textId="77777777" w:rsidTr="002602C5">
        <w:trPr>
          <w:tblCellSpacing w:w="15" w:type="dxa"/>
        </w:trPr>
        <w:tc>
          <w:tcPr>
            <w:tcW w:w="0" w:type="auto"/>
            <w:vAlign w:val="center"/>
            <w:hideMark/>
          </w:tcPr>
          <w:p w14:paraId="2BCA1459"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Legal classification</w:t>
            </w:r>
          </w:p>
        </w:tc>
        <w:tc>
          <w:tcPr>
            <w:tcW w:w="0" w:type="auto"/>
            <w:vAlign w:val="center"/>
            <w:hideMark/>
          </w:tcPr>
          <w:p w14:paraId="027B6F61"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Is the token a security, payment token, utility token, reward, credential, accounting unit, access token, or something else under relevant law?</w:t>
            </w:r>
          </w:p>
        </w:tc>
      </w:tr>
      <w:tr w:rsidR="002602C5" w:rsidRPr="00CC6E6B" w14:paraId="69987B4C" w14:textId="77777777" w:rsidTr="002602C5">
        <w:trPr>
          <w:tblCellSpacing w:w="15" w:type="dxa"/>
        </w:trPr>
        <w:tc>
          <w:tcPr>
            <w:tcW w:w="0" w:type="auto"/>
            <w:vAlign w:val="center"/>
            <w:hideMark/>
          </w:tcPr>
          <w:p w14:paraId="64C0C66B"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Jurisdiction</w:t>
            </w:r>
          </w:p>
        </w:tc>
        <w:tc>
          <w:tcPr>
            <w:tcW w:w="0" w:type="auto"/>
            <w:vAlign w:val="center"/>
            <w:hideMark/>
          </w:tcPr>
          <w:p w14:paraId="5288EA7C"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Which jurisdictions are involved?</w:t>
            </w:r>
          </w:p>
        </w:tc>
      </w:tr>
      <w:tr w:rsidR="002602C5" w:rsidRPr="00CC6E6B" w14:paraId="77E15437" w14:textId="77777777" w:rsidTr="002602C5">
        <w:trPr>
          <w:tblCellSpacing w:w="15" w:type="dxa"/>
        </w:trPr>
        <w:tc>
          <w:tcPr>
            <w:tcW w:w="0" w:type="auto"/>
            <w:vAlign w:val="center"/>
            <w:hideMark/>
          </w:tcPr>
          <w:p w14:paraId="19BF142A"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Issuer / controller</w:t>
            </w:r>
          </w:p>
        </w:tc>
        <w:tc>
          <w:tcPr>
            <w:tcW w:w="0" w:type="auto"/>
            <w:vAlign w:val="center"/>
            <w:hideMark/>
          </w:tcPr>
          <w:p w14:paraId="527544E8"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Who issues, controls, upgrades, burns, mints, pauses, or administers it?</w:t>
            </w:r>
          </w:p>
        </w:tc>
      </w:tr>
      <w:tr w:rsidR="002602C5" w:rsidRPr="00CC6E6B" w14:paraId="35A793A0" w14:textId="77777777" w:rsidTr="002602C5">
        <w:trPr>
          <w:tblCellSpacing w:w="15" w:type="dxa"/>
        </w:trPr>
        <w:tc>
          <w:tcPr>
            <w:tcW w:w="0" w:type="auto"/>
            <w:vAlign w:val="center"/>
            <w:hideMark/>
          </w:tcPr>
          <w:p w14:paraId="1A68BD51"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Governance</w:t>
            </w:r>
          </w:p>
        </w:tc>
        <w:tc>
          <w:tcPr>
            <w:tcW w:w="0" w:type="auto"/>
            <w:vAlign w:val="center"/>
            <w:hideMark/>
          </w:tcPr>
          <w:p w14:paraId="3F337F4D"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How are token decisions made?</w:t>
            </w:r>
          </w:p>
        </w:tc>
      </w:tr>
      <w:tr w:rsidR="002602C5" w:rsidRPr="00CC6E6B" w14:paraId="552EF056" w14:textId="77777777" w:rsidTr="002602C5">
        <w:trPr>
          <w:tblCellSpacing w:w="15" w:type="dxa"/>
        </w:trPr>
        <w:tc>
          <w:tcPr>
            <w:tcW w:w="0" w:type="auto"/>
            <w:vAlign w:val="center"/>
            <w:hideMark/>
          </w:tcPr>
          <w:p w14:paraId="78D7351E"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Concentration risk</w:t>
            </w:r>
          </w:p>
        </w:tc>
        <w:tc>
          <w:tcPr>
            <w:tcW w:w="0" w:type="auto"/>
            <w:vAlign w:val="center"/>
            <w:hideMark/>
          </w:tcPr>
          <w:p w14:paraId="731DB17D"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Are rights or influence concentrated among insiders, founders, investors, whales, custodians, or automated agents?</w:t>
            </w:r>
          </w:p>
        </w:tc>
      </w:tr>
      <w:tr w:rsidR="002602C5" w:rsidRPr="00CC6E6B" w14:paraId="75EAF6DC" w14:textId="77777777" w:rsidTr="002602C5">
        <w:trPr>
          <w:tblCellSpacing w:w="15" w:type="dxa"/>
        </w:trPr>
        <w:tc>
          <w:tcPr>
            <w:tcW w:w="0" w:type="auto"/>
            <w:vAlign w:val="center"/>
            <w:hideMark/>
          </w:tcPr>
          <w:p w14:paraId="04C6EAB0"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Treasury risk</w:t>
            </w:r>
          </w:p>
        </w:tc>
        <w:tc>
          <w:tcPr>
            <w:tcW w:w="0" w:type="auto"/>
            <w:vAlign w:val="center"/>
            <w:hideMark/>
          </w:tcPr>
          <w:p w14:paraId="5E261470"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How are reserves, treasuries, revenues, proceeds, or protocol funds governed?</w:t>
            </w:r>
          </w:p>
        </w:tc>
      </w:tr>
      <w:tr w:rsidR="002602C5" w:rsidRPr="00CC6E6B" w14:paraId="4C1E8071" w14:textId="77777777" w:rsidTr="002602C5">
        <w:trPr>
          <w:tblCellSpacing w:w="15" w:type="dxa"/>
        </w:trPr>
        <w:tc>
          <w:tcPr>
            <w:tcW w:w="0" w:type="auto"/>
            <w:vAlign w:val="center"/>
            <w:hideMark/>
          </w:tcPr>
          <w:p w14:paraId="520D3E85"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Bridge risk</w:t>
            </w:r>
          </w:p>
        </w:tc>
        <w:tc>
          <w:tcPr>
            <w:tcW w:w="0" w:type="auto"/>
            <w:vAlign w:val="center"/>
            <w:hideMark/>
          </w:tcPr>
          <w:p w14:paraId="61246408"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Are cross-chain or cross-system integrations involved?</w:t>
            </w:r>
          </w:p>
        </w:tc>
      </w:tr>
      <w:tr w:rsidR="002602C5" w:rsidRPr="00CC6E6B" w14:paraId="32DFDD1A" w14:textId="77777777" w:rsidTr="002602C5">
        <w:trPr>
          <w:tblCellSpacing w:w="15" w:type="dxa"/>
        </w:trPr>
        <w:tc>
          <w:tcPr>
            <w:tcW w:w="0" w:type="auto"/>
            <w:vAlign w:val="center"/>
            <w:hideMark/>
          </w:tcPr>
          <w:p w14:paraId="49323A5A"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Custody risk</w:t>
            </w:r>
          </w:p>
        </w:tc>
        <w:tc>
          <w:tcPr>
            <w:tcW w:w="0" w:type="auto"/>
            <w:vAlign w:val="center"/>
            <w:hideMark/>
          </w:tcPr>
          <w:p w14:paraId="26F57D97"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Who holds assets, credentials, wallets, keys, treasury controls, or admin privileges?</w:t>
            </w:r>
          </w:p>
        </w:tc>
      </w:tr>
      <w:tr w:rsidR="002602C5" w:rsidRPr="00CC6E6B" w14:paraId="1FEA2C3C" w14:textId="77777777" w:rsidTr="002602C5">
        <w:trPr>
          <w:tblCellSpacing w:w="15" w:type="dxa"/>
        </w:trPr>
        <w:tc>
          <w:tcPr>
            <w:tcW w:w="0" w:type="auto"/>
            <w:vAlign w:val="center"/>
            <w:hideMark/>
          </w:tcPr>
          <w:p w14:paraId="513200B7"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MRV link</w:t>
            </w:r>
          </w:p>
        </w:tc>
        <w:tc>
          <w:tcPr>
            <w:tcW w:w="0" w:type="auto"/>
            <w:vAlign w:val="center"/>
            <w:hideMark/>
          </w:tcPr>
          <w:p w14:paraId="06525742"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Does the token claim ecological performance, verification, impact, or evidence linkage?</w:t>
            </w:r>
          </w:p>
        </w:tc>
      </w:tr>
      <w:tr w:rsidR="002602C5" w:rsidRPr="00CC6E6B" w14:paraId="6108D72F" w14:textId="77777777" w:rsidTr="002602C5">
        <w:trPr>
          <w:tblCellSpacing w:w="15" w:type="dxa"/>
        </w:trPr>
        <w:tc>
          <w:tcPr>
            <w:tcW w:w="0" w:type="auto"/>
            <w:vAlign w:val="center"/>
            <w:hideMark/>
          </w:tcPr>
          <w:p w14:paraId="75AFC88B"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PRU / RAP link</w:t>
            </w:r>
          </w:p>
        </w:tc>
        <w:tc>
          <w:tcPr>
            <w:tcW w:w="0" w:type="auto"/>
            <w:vAlign w:val="center"/>
            <w:hideMark/>
          </w:tcPr>
          <w:p w14:paraId="73AD7906"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Does the token imply PRU value, PRU maturity, RAP exposure, portfolio exposure, or investor rights?</w:t>
            </w:r>
          </w:p>
        </w:tc>
      </w:tr>
      <w:tr w:rsidR="002602C5" w:rsidRPr="00CC6E6B" w14:paraId="4618F30D" w14:textId="77777777" w:rsidTr="002602C5">
        <w:trPr>
          <w:tblCellSpacing w:w="15" w:type="dxa"/>
        </w:trPr>
        <w:tc>
          <w:tcPr>
            <w:tcW w:w="0" w:type="auto"/>
            <w:vAlign w:val="center"/>
            <w:hideMark/>
          </w:tcPr>
          <w:p w14:paraId="2B341798"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HSI link</w:t>
            </w:r>
          </w:p>
        </w:tc>
        <w:tc>
          <w:tcPr>
            <w:tcW w:w="0" w:type="auto"/>
            <w:vAlign w:val="center"/>
            <w:hideMark/>
          </w:tcPr>
          <w:p w14:paraId="0879DCD1"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Does the token interact with human-state, biometric, coherence, health, behavioral, or sensitive personal data?</w:t>
            </w:r>
          </w:p>
        </w:tc>
      </w:tr>
      <w:tr w:rsidR="002602C5" w:rsidRPr="00CC6E6B" w14:paraId="45B64F13" w14:textId="77777777" w:rsidTr="002602C5">
        <w:trPr>
          <w:tblCellSpacing w:w="15" w:type="dxa"/>
        </w:trPr>
        <w:tc>
          <w:tcPr>
            <w:tcW w:w="0" w:type="auto"/>
            <w:vAlign w:val="center"/>
            <w:hideMark/>
          </w:tcPr>
          <w:p w14:paraId="46310B3F"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AI / automation</w:t>
            </w:r>
          </w:p>
        </w:tc>
        <w:tc>
          <w:tcPr>
            <w:tcW w:w="0" w:type="auto"/>
            <w:vAlign w:val="center"/>
            <w:hideMark/>
          </w:tcPr>
          <w:p w14:paraId="62893B56"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Can AI systems mint, issue, allocate, vote, modify, classify, pause, or alter token rights?</w:t>
            </w:r>
          </w:p>
        </w:tc>
      </w:tr>
      <w:tr w:rsidR="002602C5" w:rsidRPr="00CC6E6B" w14:paraId="5AB1CEB3" w14:textId="77777777" w:rsidTr="002602C5">
        <w:trPr>
          <w:tblCellSpacing w:w="15" w:type="dxa"/>
        </w:trPr>
        <w:tc>
          <w:tcPr>
            <w:tcW w:w="0" w:type="auto"/>
            <w:vAlign w:val="center"/>
            <w:hideMark/>
          </w:tcPr>
          <w:p w14:paraId="7E0456E7"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Disclosure</w:t>
            </w:r>
          </w:p>
        </w:tc>
        <w:tc>
          <w:tcPr>
            <w:tcW w:w="0" w:type="auto"/>
            <w:vAlign w:val="center"/>
            <w:hideMark/>
          </w:tcPr>
          <w:p w14:paraId="0786D54E"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Are limitations, risks, exclusions, and rights clearly disclosed?</w:t>
            </w:r>
          </w:p>
        </w:tc>
      </w:tr>
      <w:tr w:rsidR="002602C5" w:rsidRPr="00CC6E6B" w14:paraId="2831EE81" w14:textId="77777777" w:rsidTr="002602C5">
        <w:trPr>
          <w:tblCellSpacing w:w="15" w:type="dxa"/>
        </w:trPr>
        <w:tc>
          <w:tcPr>
            <w:tcW w:w="0" w:type="auto"/>
            <w:vAlign w:val="center"/>
            <w:hideMark/>
          </w:tcPr>
          <w:p w14:paraId="7253A029"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Source-layer compatibility</w:t>
            </w:r>
          </w:p>
        </w:tc>
        <w:tc>
          <w:tcPr>
            <w:tcW w:w="0" w:type="auto"/>
            <w:vAlign w:val="center"/>
            <w:hideMark/>
          </w:tcPr>
          <w:p w14:paraId="0D343DC2"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Does the token preserve Prometheus constitutional boundaries?</w:t>
            </w:r>
          </w:p>
        </w:tc>
      </w:tr>
      <w:tr w:rsidR="002602C5" w:rsidRPr="00CC6E6B" w14:paraId="7127A526" w14:textId="77777777" w:rsidTr="002602C5">
        <w:trPr>
          <w:tblCellSpacing w:w="15" w:type="dxa"/>
        </w:trPr>
        <w:tc>
          <w:tcPr>
            <w:tcW w:w="0" w:type="auto"/>
            <w:vAlign w:val="center"/>
            <w:hideMark/>
          </w:tcPr>
          <w:p w14:paraId="1E979917"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Public-claim boundary</w:t>
            </w:r>
          </w:p>
        </w:tc>
        <w:tc>
          <w:tcPr>
            <w:tcW w:w="0" w:type="auto"/>
            <w:vAlign w:val="center"/>
            <w:hideMark/>
          </w:tcPr>
          <w:p w14:paraId="38D8D31C"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Could the token’s marketing language mislead communities, investors, partners, or public users?</w:t>
            </w:r>
          </w:p>
        </w:tc>
      </w:tr>
      <w:tr w:rsidR="002602C5" w:rsidRPr="00CC6E6B" w14:paraId="5D23FD04" w14:textId="77777777" w:rsidTr="002602C5">
        <w:trPr>
          <w:tblCellSpacing w:w="15" w:type="dxa"/>
        </w:trPr>
        <w:tc>
          <w:tcPr>
            <w:tcW w:w="0" w:type="auto"/>
            <w:vAlign w:val="center"/>
            <w:hideMark/>
          </w:tcPr>
          <w:p w14:paraId="18F783B1"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Exit and incident response</w:t>
            </w:r>
          </w:p>
        </w:tc>
        <w:tc>
          <w:tcPr>
            <w:tcW w:w="0" w:type="auto"/>
            <w:vAlign w:val="center"/>
            <w:hideMark/>
          </w:tcPr>
          <w:p w14:paraId="6A83CB87" w14:textId="77777777" w:rsidR="002602C5" w:rsidRPr="00CC6E6B" w:rsidRDefault="002602C5" w:rsidP="002602C5">
            <w:pPr>
              <w:spacing w:line="360" w:lineRule="auto"/>
              <w:rPr>
                <w:rFonts w:ascii="Baskerville Old Face" w:hAnsi="Baskerville Old Face"/>
                <w:i/>
                <w:iCs/>
                <w:sz w:val="17"/>
                <w:szCs w:val="17"/>
              </w:rPr>
            </w:pPr>
            <w:r w:rsidRPr="00CC6E6B">
              <w:rPr>
                <w:rFonts w:ascii="Baskerville Old Face" w:hAnsi="Baskerville Old Face"/>
                <w:i/>
                <w:iCs/>
                <w:sz w:val="17"/>
                <w:szCs w:val="17"/>
              </w:rPr>
              <w:t>What happens if the token, bridge, issuer, key, treasury, or claim becomes unsafe?</w:t>
            </w:r>
          </w:p>
        </w:tc>
      </w:tr>
    </w:tbl>
    <w:p w14:paraId="40A87358" w14:textId="77777777" w:rsidR="00CC6E6B" w:rsidRDefault="00CC6E6B" w:rsidP="002602C5">
      <w:pPr>
        <w:spacing w:line="360" w:lineRule="auto"/>
        <w:rPr>
          <w:rFonts w:ascii="Baskerville Old Face" w:hAnsi="Baskerville Old Face"/>
          <w:i/>
          <w:iCs/>
        </w:rPr>
      </w:pPr>
    </w:p>
    <w:p w14:paraId="48AE6FC6" w14:textId="446A64C3"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A token may be technically compatible and constitutionally incompatible.</w:t>
      </w:r>
    </w:p>
    <w:p w14:paraId="6702D94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Prometheus compatibility requires both.</w:t>
      </w:r>
    </w:p>
    <w:p w14:paraId="7356EE55" w14:textId="77777777" w:rsidR="002602C5" w:rsidRPr="00B479AE" w:rsidRDefault="002602C5" w:rsidP="002602C5">
      <w:pPr>
        <w:spacing w:line="360" w:lineRule="auto"/>
        <w:rPr>
          <w:rFonts w:ascii="Baskerville Old Face" w:hAnsi="Baskerville Old Face"/>
          <w:b/>
          <w:bCs/>
          <w:i/>
          <w:iCs/>
        </w:rPr>
      </w:pPr>
      <w:r w:rsidRPr="00B479AE">
        <w:rPr>
          <w:rFonts w:ascii="Baskerville Old Face" w:hAnsi="Baskerville Old Face"/>
          <w:b/>
          <w:bCs/>
          <w:i/>
          <w:iCs/>
        </w:rPr>
        <w:t>Q.5 Integration Status Categories</w:t>
      </w:r>
    </w:p>
    <w:p w14:paraId="690215C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system may receive one of several Prometheus-facing statuses.</w:t>
      </w:r>
    </w:p>
    <w:p w14:paraId="100A90D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Status should be versioned.</w:t>
      </w:r>
    </w:p>
    <w:p w14:paraId="00646E1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Status should be time-bound where appropriate.</w:t>
      </w:r>
    </w:p>
    <w:p w14:paraId="27E123B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Status should be reviewable.</w:t>
      </w:r>
    </w:p>
    <w:p w14:paraId="03248492" w14:textId="31891586" w:rsidR="002602C5" w:rsidRDefault="002602C5" w:rsidP="002602C5">
      <w:pPr>
        <w:spacing w:line="360" w:lineRule="auto"/>
        <w:rPr>
          <w:rFonts w:ascii="Baskerville Old Face" w:hAnsi="Baskerville Old Face"/>
          <w:i/>
          <w:iCs/>
        </w:rPr>
      </w:pPr>
      <w:r w:rsidRPr="00B479AE">
        <w:rPr>
          <w:rFonts w:ascii="Baskerville Old Face" w:hAnsi="Baskerville Old Face"/>
          <w:i/>
          <w:iCs/>
        </w:rPr>
        <w:t>No token should receive permanent compatibility by default.</w:t>
      </w:r>
      <w:r w:rsidR="009217A9" w:rsidRPr="00B479AE">
        <w:rPr>
          <w:rFonts w:ascii="Baskerville Old Face" w:hAnsi="Baskerville Old Face"/>
          <w:i/>
          <w:iCs/>
        </w:rPr>
        <w:t xml:space="preserve"> </w:t>
      </w:r>
    </w:p>
    <w:p w14:paraId="3C298903" w14:textId="77777777" w:rsidR="00CC6E6B" w:rsidRDefault="00CC6E6B" w:rsidP="002602C5">
      <w:pPr>
        <w:spacing w:line="360" w:lineRule="auto"/>
        <w:rPr>
          <w:rFonts w:ascii="Baskerville Old Face" w:hAnsi="Baskerville Old Face"/>
          <w:i/>
          <w:iCs/>
        </w:rPr>
      </w:pPr>
    </w:p>
    <w:p w14:paraId="080E521E" w14:textId="77777777" w:rsidR="00CC6E6B" w:rsidRDefault="00CC6E6B" w:rsidP="002602C5">
      <w:pPr>
        <w:spacing w:line="360" w:lineRule="auto"/>
        <w:rPr>
          <w:rFonts w:ascii="Baskerville Old Face" w:hAnsi="Baskerville Old Face"/>
          <w:i/>
          <w:iCs/>
        </w:rPr>
      </w:pPr>
    </w:p>
    <w:p w14:paraId="10CB4958" w14:textId="77777777" w:rsidR="00CC6E6B" w:rsidRDefault="00CC6E6B" w:rsidP="002602C5">
      <w:pPr>
        <w:spacing w:line="360" w:lineRule="auto"/>
        <w:rPr>
          <w:rFonts w:ascii="Baskerville Old Face" w:hAnsi="Baskerville Old Face"/>
          <w:i/>
          <w:iCs/>
        </w:rPr>
      </w:pPr>
    </w:p>
    <w:p w14:paraId="0867DBB1" w14:textId="77777777" w:rsidR="00CC6E6B" w:rsidRDefault="00CC6E6B" w:rsidP="002602C5">
      <w:pPr>
        <w:spacing w:line="360" w:lineRule="auto"/>
        <w:rPr>
          <w:rFonts w:ascii="Baskerville Old Face" w:hAnsi="Baskerville Old Face"/>
          <w:i/>
          <w:iCs/>
        </w:rPr>
      </w:pPr>
    </w:p>
    <w:p w14:paraId="7562543D" w14:textId="77777777" w:rsidR="00CC6E6B" w:rsidRDefault="00CC6E6B" w:rsidP="002602C5">
      <w:pPr>
        <w:spacing w:line="360" w:lineRule="auto"/>
        <w:rPr>
          <w:rFonts w:ascii="Baskerville Old Face" w:hAnsi="Baskerville Old Face"/>
          <w:i/>
          <w:iCs/>
        </w:rPr>
      </w:pPr>
    </w:p>
    <w:p w14:paraId="28EC9296" w14:textId="77777777" w:rsidR="00CC6E6B" w:rsidRDefault="00CC6E6B" w:rsidP="002602C5">
      <w:pPr>
        <w:spacing w:line="360" w:lineRule="auto"/>
        <w:rPr>
          <w:rFonts w:ascii="Baskerville Old Face" w:hAnsi="Baskerville Old Face"/>
          <w:i/>
          <w:iCs/>
        </w:rPr>
      </w:pPr>
    </w:p>
    <w:p w14:paraId="6B26A91C" w14:textId="77777777" w:rsidR="00CC6E6B" w:rsidRDefault="00CC6E6B" w:rsidP="002602C5">
      <w:pPr>
        <w:spacing w:line="360" w:lineRule="auto"/>
        <w:rPr>
          <w:rFonts w:ascii="Baskerville Old Face" w:hAnsi="Baskerville Old Face"/>
          <w:i/>
          <w:iCs/>
        </w:rPr>
      </w:pPr>
    </w:p>
    <w:p w14:paraId="414AAB2C" w14:textId="77777777" w:rsidR="00CC6E6B" w:rsidRDefault="00CC6E6B" w:rsidP="002602C5">
      <w:pPr>
        <w:spacing w:line="360" w:lineRule="auto"/>
        <w:rPr>
          <w:rFonts w:ascii="Baskerville Old Face" w:hAnsi="Baskerville Old Face"/>
          <w:i/>
          <w:iCs/>
        </w:rPr>
      </w:pPr>
    </w:p>
    <w:p w14:paraId="4A88FB5A" w14:textId="77777777" w:rsidR="00CC6E6B" w:rsidRDefault="00CC6E6B" w:rsidP="002602C5">
      <w:pPr>
        <w:spacing w:line="360" w:lineRule="auto"/>
        <w:rPr>
          <w:rFonts w:ascii="Baskerville Old Face" w:hAnsi="Baskerville Old Face"/>
          <w:i/>
          <w:iCs/>
        </w:rPr>
      </w:pPr>
    </w:p>
    <w:p w14:paraId="4AD96D58" w14:textId="77777777" w:rsidR="00CC6E6B" w:rsidRDefault="00CC6E6B" w:rsidP="002602C5">
      <w:pPr>
        <w:spacing w:line="360" w:lineRule="auto"/>
        <w:rPr>
          <w:rFonts w:ascii="Baskerville Old Face" w:hAnsi="Baskerville Old Face"/>
          <w:i/>
          <w:iCs/>
        </w:rPr>
      </w:pPr>
    </w:p>
    <w:p w14:paraId="6D1B5CE5" w14:textId="77777777" w:rsidR="00CC6E6B" w:rsidRDefault="00CC6E6B" w:rsidP="002602C5">
      <w:pPr>
        <w:spacing w:line="360" w:lineRule="auto"/>
        <w:rPr>
          <w:rFonts w:ascii="Baskerville Old Face" w:hAnsi="Baskerville Old Face"/>
          <w:i/>
          <w:iCs/>
        </w:rPr>
      </w:pPr>
    </w:p>
    <w:p w14:paraId="0299FECA" w14:textId="77777777" w:rsidR="00CC6E6B" w:rsidRPr="00B479AE" w:rsidRDefault="00CC6E6B" w:rsidP="002602C5">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4"/>
        <w:gridCol w:w="7584"/>
      </w:tblGrid>
      <w:tr w:rsidR="002602C5" w:rsidRPr="00B479AE" w14:paraId="1C403E35" w14:textId="77777777" w:rsidTr="002602C5">
        <w:trPr>
          <w:tblHeader/>
          <w:tblCellSpacing w:w="15" w:type="dxa"/>
        </w:trPr>
        <w:tc>
          <w:tcPr>
            <w:tcW w:w="0" w:type="auto"/>
            <w:vAlign w:val="center"/>
            <w:hideMark/>
          </w:tcPr>
          <w:p w14:paraId="2AFE896A" w14:textId="77777777" w:rsidR="002602C5" w:rsidRPr="00B479AE" w:rsidRDefault="002602C5" w:rsidP="002602C5">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lastRenderedPageBreak/>
              <w:t>Status</w:t>
            </w:r>
          </w:p>
        </w:tc>
        <w:tc>
          <w:tcPr>
            <w:tcW w:w="0" w:type="auto"/>
            <w:vAlign w:val="center"/>
            <w:hideMark/>
          </w:tcPr>
          <w:p w14:paraId="01EA8014" w14:textId="77777777" w:rsidR="002602C5" w:rsidRPr="00B479AE" w:rsidRDefault="002602C5" w:rsidP="002602C5">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Meaning</w:t>
            </w:r>
          </w:p>
        </w:tc>
      </w:tr>
      <w:tr w:rsidR="002602C5" w:rsidRPr="00B479AE" w14:paraId="41BB10A2" w14:textId="77777777" w:rsidTr="002602C5">
        <w:trPr>
          <w:tblCellSpacing w:w="15" w:type="dxa"/>
        </w:trPr>
        <w:tc>
          <w:tcPr>
            <w:tcW w:w="0" w:type="auto"/>
            <w:vAlign w:val="center"/>
            <w:hideMark/>
          </w:tcPr>
          <w:p w14:paraId="679F40E9"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Observed</w:t>
            </w:r>
          </w:p>
        </w:tc>
        <w:tc>
          <w:tcPr>
            <w:tcW w:w="0" w:type="auto"/>
            <w:vAlign w:val="center"/>
            <w:hideMark/>
          </w:tcPr>
          <w:p w14:paraId="638A0A53"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is known to Prometheus but not integrated</w:t>
            </w:r>
          </w:p>
        </w:tc>
      </w:tr>
      <w:tr w:rsidR="002602C5" w:rsidRPr="00B479AE" w14:paraId="5E517AB6" w14:textId="77777777" w:rsidTr="002602C5">
        <w:trPr>
          <w:tblCellSpacing w:w="15" w:type="dxa"/>
        </w:trPr>
        <w:tc>
          <w:tcPr>
            <w:tcW w:w="0" w:type="auto"/>
            <w:vAlign w:val="center"/>
            <w:hideMark/>
          </w:tcPr>
          <w:p w14:paraId="4079E1B5"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Research / sandbox</w:t>
            </w:r>
          </w:p>
        </w:tc>
        <w:tc>
          <w:tcPr>
            <w:tcW w:w="0" w:type="auto"/>
            <w:vAlign w:val="center"/>
            <w:hideMark/>
          </w:tcPr>
          <w:p w14:paraId="1ED4A1D7"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may be studied or tested in controlled, non-sensitive conditions</w:t>
            </w:r>
          </w:p>
        </w:tc>
      </w:tr>
      <w:tr w:rsidR="002602C5" w:rsidRPr="00B479AE" w14:paraId="146B7FA8" w14:textId="77777777" w:rsidTr="002602C5">
        <w:trPr>
          <w:tblCellSpacing w:w="15" w:type="dxa"/>
        </w:trPr>
        <w:tc>
          <w:tcPr>
            <w:tcW w:w="0" w:type="auto"/>
            <w:vAlign w:val="center"/>
            <w:hideMark/>
          </w:tcPr>
          <w:p w14:paraId="76DD8E80"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Compatible for limited use</w:t>
            </w:r>
          </w:p>
        </w:tc>
        <w:tc>
          <w:tcPr>
            <w:tcW w:w="0" w:type="auto"/>
            <w:vAlign w:val="center"/>
            <w:hideMark/>
          </w:tcPr>
          <w:p w14:paraId="2CB0C467"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may interact with specific non-sensitive functions under defined limits</w:t>
            </w:r>
          </w:p>
        </w:tc>
      </w:tr>
      <w:tr w:rsidR="002602C5" w:rsidRPr="00B479AE" w14:paraId="75124473" w14:textId="77777777" w:rsidTr="002602C5">
        <w:trPr>
          <w:tblCellSpacing w:w="15" w:type="dxa"/>
        </w:trPr>
        <w:tc>
          <w:tcPr>
            <w:tcW w:w="0" w:type="auto"/>
            <w:vAlign w:val="center"/>
            <w:hideMark/>
          </w:tcPr>
          <w:p w14:paraId="7B0D1A82"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Operationally compatible</w:t>
            </w:r>
          </w:p>
        </w:tc>
        <w:tc>
          <w:tcPr>
            <w:tcW w:w="0" w:type="auto"/>
            <w:vAlign w:val="center"/>
            <w:hideMark/>
          </w:tcPr>
          <w:p w14:paraId="40BEDC32"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may support defined operational workflows after technical, governance, and legal review</w:t>
            </w:r>
          </w:p>
        </w:tc>
      </w:tr>
      <w:tr w:rsidR="002602C5" w:rsidRPr="00B479AE" w14:paraId="114638D7" w14:textId="77777777" w:rsidTr="002602C5">
        <w:trPr>
          <w:tblCellSpacing w:w="15" w:type="dxa"/>
        </w:trPr>
        <w:tc>
          <w:tcPr>
            <w:tcW w:w="0" w:type="auto"/>
            <w:vAlign w:val="center"/>
            <w:hideMark/>
          </w:tcPr>
          <w:p w14:paraId="58D8EB42"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Governance-compatible</w:t>
            </w:r>
          </w:p>
        </w:tc>
        <w:tc>
          <w:tcPr>
            <w:tcW w:w="0" w:type="auto"/>
            <w:vAlign w:val="center"/>
            <w:hideMark/>
          </w:tcPr>
          <w:p w14:paraId="14C62A02"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may participate in defined governance functions without overriding source-layer constraints</w:t>
            </w:r>
          </w:p>
        </w:tc>
      </w:tr>
      <w:tr w:rsidR="002602C5" w:rsidRPr="00B479AE" w14:paraId="74DDFD44" w14:textId="77777777" w:rsidTr="002602C5">
        <w:trPr>
          <w:tblCellSpacing w:w="15" w:type="dxa"/>
        </w:trPr>
        <w:tc>
          <w:tcPr>
            <w:tcW w:w="0" w:type="auto"/>
            <w:vAlign w:val="center"/>
            <w:hideMark/>
          </w:tcPr>
          <w:p w14:paraId="4DFF46BA"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Settlement-compatible</w:t>
            </w:r>
          </w:p>
        </w:tc>
        <w:tc>
          <w:tcPr>
            <w:tcW w:w="0" w:type="auto"/>
            <w:vAlign w:val="center"/>
            <w:hideMark/>
          </w:tcPr>
          <w:p w14:paraId="5549375E"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may support payment or settlement functions where legally reviewed</w:t>
            </w:r>
          </w:p>
        </w:tc>
      </w:tr>
      <w:tr w:rsidR="002602C5" w:rsidRPr="00B479AE" w14:paraId="2D61ABC3" w14:textId="77777777" w:rsidTr="002602C5">
        <w:trPr>
          <w:tblCellSpacing w:w="15" w:type="dxa"/>
        </w:trPr>
        <w:tc>
          <w:tcPr>
            <w:tcW w:w="0" w:type="auto"/>
            <w:vAlign w:val="center"/>
            <w:hideMark/>
          </w:tcPr>
          <w:p w14:paraId="034A1E08"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MRV-reference compatible</w:t>
            </w:r>
          </w:p>
        </w:tc>
        <w:tc>
          <w:tcPr>
            <w:tcW w:w="0" w:type="auto"/>
            <w:vAlign w:val="center"/>
            <w:hideMark/>
          </w:tcPr>
          <w:p w14:paraId="4D6EC3FD"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may reference MRV records only under strict admissibility and public-claim controls</w:t>
            </w:r>
          </w:p>
        </w:tc>
      </w:tr>
      <w:tr w:rsidR="002602C5" w:rsidRPr="00B479AE" w14:paraId="31575BD0" w14:textId="77777777" w:rsidTr="002602C5">
        <w:trPr>
          <w:tblCellSpacing w:w="15" w:type="dxa"/>
        </w:trPr>
        <w:tc>
          <w:tcPr>
            <w:tcW w:w="0" w:type="auto"/>
            <w:vAlign w:val="center"/>
            <w:hideMark/>
          </w:tcPr>
          <w:p w14:paraId="17072312"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PRU-reference compatible</w:t>
            </w:r>
          </w:p>
        </w:tc>
        <w:tc>
          <w:tcPr>
            <w:tcW w:w="0" w:type="auto"/>
            <w:vAlign w:val="center"/>
            <w:hideMark/>
          </w:tcPr>
          <w:p w14:paraId="07D92B1B"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may reference PRU analysis only where PRU methodology, evidence, admissibility, and language boundaries are reviewed</w:t>
            </w:r>
          </w:p>
        </w:tc>
      </w:tr>
      <w:tr w:rsidR="002602C5" w:rsidRPr="00B479AE" w14:paraId="43DFC456" w14:textId="77777777" w:rsidTr="002602C5">
        <w:trPr>
          <w:tblCellSpacing w:w="15" w:type="dxa"/>
        </w:trPr>
        <w:tc>
          <w:tcPr>
            <w:tcW w:w="0" w:type="auto"/>
            <w:vAlign w:val="center"/>
            <w:hideMark/>
          </w:tcPr>
          <w:p w14:paraId="7F6A0C75"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RAP-reference compatible</w:t>
            </w:r>
          </w:p>
        </w:tc>
        <w:tc>
          <w:tcPr>
            <w:tcW w:w="0" w:type="auto"/>
            <w:vAlign w:val="center"/>
            <w:hideMark/>
          </w:tcPr>
          <w:p w14:paraId="226CD2CD"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may reference RAP logic only where legal wrapper, eligible units, disclosures, and portfolio governance exist</w:t>
            </w:r>
          </w:p>
        </w:tc>
      </w:tr>
      <w:tr w:rsidR="002602C5" w:rsidRPr="00B479AE" w14:paraId="4436C85A" w14:textId="77777777" w:rsidTr="002602C5">
        <w:trPr>
          <w:tblCellSpacing w:w="15" w:type="dxa"/>
        </w:trPr>
        <w:tc>
          <w:tcPr>
            <w:tcW w:w="0" w:type="auto"/>
            <w:vAlign w:val="center"/>
            <w:hideMark/>
          </w:tcPr>
          <w:p w14:paraId="7A7BE41E"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Investor-structure compatible</w:t>
            </w:r>
          </w:p>
        </w:tc>
        <w:tc>
          <w:tcPr>
            <w:tcW w:w="0" w:type="auto"/>
            <w:vAlign w:val="center"/>
            <w:hideMark/>
          </w:tcPr>
          <w:p w14:paraId="7DEB3AAC"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may be used only inside a compliant legal wrapper with disclosures and jurisdiction-specific review</w:t>
            </w:r>
          </w:p>
        </w:tc>
      </w:tr>
      <w:tr w:rsidR="002602C5" w:rsidRPr="00B479AE" w14:paraId="7CE314B9" w14:textId="77777777" w:rsidTr="002602C5">
        <w:trPr>
          <w:tblCellSpacing w:w="15" w:type="dxa"/>
        </w:trPr>
        <w:tc>
          <w:tcPr>
            <w:tcW w:w="0" w:type="auto"/>
            <w:vAlign w:val="center"/>
            <w:hideMark/>
          </w:tcPr>
          <w:p w14:paraId="04B105E2"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Review required</w:t>
            </w:r>
          </w:p>
        </w:tc>
        <w:tc>
          <w:tcPr>
            <w:tcW w:w="0" w:type="auto"/>
            <w:vAlign w:val="center"/>
            <w:hideMark/>
          </w:tcPr>
          <w:p w14:paraId="163B52C5"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Additional legal, technical, MRV, governance, or constitutional review is needed</w:t>
            </w:r>
          </w:p>
        </w:tc>
      </w:tr>
      <w:tr w:rsidR="002602C5" w:rsidRPr="00B479AE" w14:paraId="316D9269" w14:textId="77777777" w:rsidTr="002602C5">
        <w:trPr>
          <w:tblCellSpacing w:w="15" w:type="dxa"/>
        </w:trPr>
        <w:tc>
          <w:tcPr>
            <w:tcW w:w="0" w:type="auto"/>
            <w:vAlign w:val="center"/>
            <w:hideMark/>
          </w:tcPr>
          <w:p w14:paraId="2E9EF026"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Non-admissible</w:t>
            </w:r>
          </w:p>
        </w:tc>
        <w:tc>
          <w:tcPr>
            <w:tcW w:w="0" w:type="auto"/>
            <w:vAlign w:val="center"/>
            <w:hideMark/>
          </w:tcPr>
          <w:p w14:paraId="226FADDC"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claim or pathway cannot enter protected Prometheus pathways</w:t>
            </w:r>
          </w:p>
        </w:tc>
      </w:tr>
      <w:tr w:rsidR="002602C5" w:rsidRPr="00B479AE" w14:paraId="2D911783" w14:textId="77777777" w:rsidTr="002602C5">
        <w:trPr>
          <w:tblCellSpacing w:w="15" w:type="dxa"/>
        </w:trPr>
        <w:tc>
          <w:tcPr>
            <w:tcW w:w="0" w:type="auto"/>
            <w:vAlign w:val="center"/>
            <w:hideMark/>
          </w:tcPr>
          <w:p w14:paraId="5396968B"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Quarantined</w:t>
            </w:r>
          </w:p>
        </w:tc>
        <w:tc>
          <w:tcPr>
            <w:tcW w:w="0" w:type="auto"/>
            <w:vAlign w:val="center"/>
            <w:hideMark/>
          </w:tcPr>
          <w:p w14:paraId="531A2883"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presents serious legal, ecological, financial, technical, governance, custody, bridge, or source-layer risk</w:t>
            </w:r>
          </w:p>
        </w:tc>
      </w:tr>
      <w:tr w:rsidR="002602C5" w:rsidRPr="00B479AE" w14:paraId="743E3316" w14:textId="77777777" w:rsidTr="002602C5">
        <w:trPr>
          <w:tblCellSpacing w:w="15" w:type="dxa"/>
        </w:trPr>
        <w:tc>
          <w:tcPr>
            <w:tcW w:w="0" w:type="auto"/>
            <w:vAlign w:val="center"/>
            <w:hideMark/>
          </w:tcPr>
          <w:p w14:paraId="323FC1FA"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Revoked</w:t>
            </w:r>
          </w:p>
        </w:tc>
        <w:tc>
          <w:tcPr>
            <w:tcW w:w="0" w:type="auto"/>
            <w:vAlign w:val="center"/>
            <w:hideMark/>
          </w:tcPr>
          <w:p w14:paraId="53014EF0"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Previous compatibility status has been withdrawn due to risk, misuse, drift, breach, or changed conditions</w:t>
            </w:r>
          </w:p>
        </w:tc>
      </w:tr>
    </w:tbl>
    <w:p w14:paraId="113AD46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Compatibility is not a trophy.</w:t>
      </w:r>
    </w:p>
    <w:p w14:paraId="18F2F4D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It is a monitored status.</w:t>
      </w:r>
    </w:p>
    <w:p w14:paraId="3BA7C741" w14:textId="77777777" w:rsidR="002602C5" w:rsidRPr="00B479AE" w:rsidRDefault="002602C5" w:rsidP="002602C5">
      <w:pPr>
        <w:spacing w:line="360" w:lineRule="auto"/>
        <w:rPr>
          <w:rFonts w:ascii="Baskerville Old Face" w:hAnsi="Baskerville Old Face"/>
          <w:b/>
          <w:bCs/>
          <w:i/>
          <w:iCs/>
        </w:rPr>
      </w:pPr>
      <w:r w:rsidRPr="00B479AE">
        <w:rPr>
          <w:rFonts w:ascii="Baskerville Old Face" w:hAnsi="Baskerville Old Face"/>
          <w:b/>
          <w:bCs/>
          <w:i/>
          <w:iCs/>
        </w:rPr>
        <w:t>Q.6 Interoperability Architecture</w:t>
      </w:r>
    </w:p>
    <w:p w14:paraId="2E93D8B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Prometheus may support interoperability with multiple technical and legal systems.</w:t>
      </w:r>
    </w:p>
    <w:p w14:paraId="78ED9E9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Potential integration layers may include:</w:t>
      </w:r>
    </w:p>
    <w:p w14:paraId="4EEB382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Holochain-compatible records;</w:t>
      </w:r>
    </w:p>
    <w:p w14:paraId="30D68D95"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Valueflows / REA-compatible accounting structures;</w:t>
      </w:r>
    </w:p>
    <w:p w14:paraId="32025D4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conventional databases for dashboards;</w:t>
      </w:r>
    </w:p>
    <w:p w14:paraId="1FC23A7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legal documents for enforceable rights;</w:t>
      </w:r>
    </w:p>
    <w:p w14:paraId="794921B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data-room records for diligence;</w:t>
      </w:r>
    </w:p>
    <w:p w14:paraId="059E944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fiat payment rails;</w:t>
      </w:r>
    </w:p>
    <w:p w14:paraId="2FABA0A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regulated stablecoin or electronic-money rails where legally available;</w:t>
      </w:r>
    </w:p>
    <w:p w14:paraId="663E918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token-gated access systems;</w:t>
      </w:r>
    </w:p>
    <w:p w14:paraId="09622C6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verifiable credentials;</w:t>
      </w:r>
    </w:p>
    <w:p w14:paraId="164F54E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decentralized identifiers;</w:t>
      </w:r>
    </w:p>
    <w:p w14:paraId="7C77D1D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APIs;</w:t>
      </w:r>
    </w:p>
    <w:p w14:paraId="1BBA155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bridge adapters;</w:t>
      </w:r>
    </w:p>
    <w:p w14:paraId="4CD1D51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accounting exports;</w:t>
      </w:r>
    </w:p>
    <w:p w14:paraId="28E7CFE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custody or settlement providers;</w:t>
      </w:r>
    </w:p>
    <w:p w14:paraId="6020C6B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institutional reporting systems;</w:t>
      </w:r>
    </w:p>
    <w:p w14:paraId="6474FC0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public verification registries.</w:t>
      </w:r>
    </w:p>
    <w:p w14:paraId="76F486C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Interoperability does not imply equivalence.</w:t>
      </w:r>
    </w:p>
    <w:p w14:paraId="1DE481E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bridge may move information or value across systems.</w:t>
      </w:r>
    </w:p>
    <w:p w14:paraId="62573DB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It does not merge the legal meaning of those systems.</w:t>
      </w:r>
    </w:p>
    <w:p w14:paraId="47E7C9C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record in one system may reference another.</w:t>
      </w:r>
    </w:p>
    <w:p w14:paraId="2233F25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does not automatically inherit its authority.</w:t>
      </w:r>
    </w:p>
    <w:p w14:paraId="3DE5C04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settlement rail may move money.</w:t>
      </w:r>
    </w:p>
    <w:p w14:paraId="320E9CF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does not verify regeneration.</w:t>
      </w:r>
    </w:p>
    <w:p w14:paraId="75A79D05"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credential may prove access.</w:t>
      </w:r>
    </w:p>
    <w:p w14:paraId="3A3FAFF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does not create ownership.</w:t>
      </w:r>
    </w:p>
    <w:p w14:paraId="384F81C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blockchain record may preserve a timestamp.</w:t>
      </w:r>
    </w:p>
    <w:p w14:paraId="5D31CB3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does not establish admissibility.</w:t>
      </w:r>
    </w:p>
    <w:p w14:paraId="5A4CD6D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 interoperability principle is:</w:t>
      </w:r>
    </w:p>
    <w:p w14:paraId="50DBC1B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connect systems technically;</w:t>
      </w:r>
    </w:p>
    <w:p w14:paraId="19A4474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separate meanings constitutionally;</w:t>
      </w:r>
    </w:p>
    <w:p w14:paraId="4E4E490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verify status publicly;</w:t>
      </w:r>
    </w:p>
    <w:p w14:paraId="2C5559A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route protected-domain actions through review.</w:t>
      </w:r>
    </w:p>
    <w:p w14:paraId="615D4504" w14:textId="77777777" w:rsidR="002602C5" w:rsidRPr="00B479AE" w:rsidRDefault="002602C5" w:rsidP="002602C5">
      <w:pPr>
        <w:spacing w:line="360" w:lineRule="auto"/>
        <w:rPr>
          <w:rFonts w:ascii="Baskerville Old Face" w:hAnsi="Baskerville Old Face"/>
          <w:b/>
          <w:bCs/>
          <w:i/>
          <w:iCs/>
        </w:rPr>
      </w:pPr>
      <w:r w:rsidRPr="00B479AE">
        <w:rPr>
          <w:rFonts w:ascii="Baskerville Old Face" w:hAnsi="Baskerville Old Face"/>
          <w:b/>
          <w:bCs/>
          <w:i/>
          <w:iCs/>
        </w:rPr>
        <w:t>Q.7 Bridge and Cross-System Risk Controls</w:t>
      </w:r>
    </w:p>
    <w:p w14:paraId="522D932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Bridge architecture is one of the highest-risk areas in token systems.</w:t>
      </w:r>
    </w:p>
    <w:p w14:paraId="3972295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Prometheus should treat bridges, wrappers, synthetic assets, mapped tokens, cross-ledger references, tokenized representations, proof bridges, oracle feeds, and cross-system rights references as protected-domain integrations.</w:t>
      </w:r>
    </w:p>
    <w:p w14:paraId="6BA7B11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Risks include:</w:t>
      </w:r>
    </w:p>
    <w:p w14:paraId="1B42713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double counting;</w:t>
      </w:r>
    </w:p>
    <w:p w14:paraId="5EFE102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unauthorized minting;</w:t>
      </w:r>
    </w:p>
    <w:p w14:paraId="53BE01A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 false collateralization;</w:t>
      </w:r>
    </w:p>
    <w:p w14:paraId="3B5255E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bridge exploit;</w:t>
      </w:r>
    </w:p>
    <w:p w14:paraId="60B78BB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liquidity illusion;</w:t>
      </w:r>
    </w:p>
    <w:p w14:paraId="7C78AA4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legal misclassification;</w:t>
      </w:r>
    </w:p>
    <w:p w14:paraId="3C2A213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asset mismatch;</w:t>
      </w:r>
    </w:p>
    <w:p w14:paraId="374A164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governance mismatch;</w:t>
      </w:r>
    </w:p>
    <w:p w14:paraId="3045519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custody failure;</w:t>
      </w:r>
    </w:p>
    <w:p w14:paraId="6E58301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key compromise;</w:t>
      </w:r>
    </w:p>
    <w:p w14:paraId="48392C6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replay attack;</w:t>
      </w:r>
    </w:p>
    <w:p w14:paraId="5469740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synthetic PRU claim;</w:t>
      </w:r>
    </w:p>
    <w:p w14:paraId="6C9475F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unsupported RAP exposure;</w:t>
      </w:r>
    </w:p>
    <w:p w14:paraId="167DC37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false investor exposure;</w:t>
      </w:r>
    </w:p>
    <w:p w14:paraId="71C0A47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user misunderstanding;</w:t>
      </w:r>
    </w:p>
    <w:p w14:paraId="06733DB5"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jurisdictional ambiguity;</w:t>
      </w:r>
    </w:p>
    <w:p w14:paraId="0E130A9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public-claim drift.</w:t>
      </w:r>
    </w:p>
    <w:p w14:paraId="0B8B1C4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Bridge integration should require:</w:t>
      </w:r>
    </w:p>
    <w:p w14:paraId="72C8913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technical audit;</w:t>
      </w:r>
    </w:p>
    <w:p w14:paraId="137767B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legal review;</w:t>
      </w:r>
    </w:p>
    <w:p w14:paraId="66D17EB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custody review;</w:t>
      </w:r>
    </w:p>
    <w:p w14:paraId="0DF6F9A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rights mapping;</w:t>
      </w:r>
    </w:p>
    <w:p w14:paraId="56D4B7A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disclosure;</w:t>
      </w:r>
    </w:p>
    <w:p w14:paraId="3996C47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source-layer compatibility check;</w:t>
      </w:r>
    </w:p>
    <w:p w14:paraId="67FC86B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 emergency pause pathway;</w:t>
      </w:r>
    </w:p>
    <w:p w14:paraId="5DC8E0C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incident response;</w:t>
      </w:r>
    </w:p>
    <w:p w14:paraId="7E63813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user-facing claim control;</w:t>
      </w:r>
    </w:p>
    <w:p w14:paraId="4A60F5C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no-double-counting controls;</w:t>
      </w:r>
    </w:p>
    <w:p w14:paraId="04C24C4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canonical registry reference;</w:t>
      </w:r>
    </w:p>
    <w:p w14:paraId="2CF5305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post-incident review pathway.</w:t>
      </w:r>
    </w:p>
    <w:p w14:paraId="554C265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 correct bridge rule is:</w:t>
      </w:r>
    </w:p>
    <w:p w14:paraId="65679BF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bridges may transmit records, references, settlement instructions, or legally defined rights only according to the rights actually created, disclosed, and legally structured.</w:t>
      </w:r>
    </w:p>
    <w:p w14:paraId="52D6393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bridge cannot manufacture legitimacy.</w:t>
      </w:r>
    </w:p>
    <w:p w14:paraId="7F5D52C2" w14:textId="77777777" w:rsidR="002602C5" w:rsidRPr="00B479AE" w:rsidRDefault="002602C5" w:rsidP="002602C5">
      <w:pPr>
        <w:spacing w:line="360" w:lineRule="auto"/>
        <w:rPr>
          <w:rFonts w:ascii="Baskerville Old Face" w:hAnsi="Baskerville Old Face"/>
          <w:b/>
          <w:bCs/>
          <w:i/>
          <w:iCs/>
        </w:rPr>
      </w:pPr>
      <w:r w:rsidRPr="00B479AE">
        <w:rPr>
          <w:rFonts w:ascii="Baskerville Old Face" w:hAnsi="Baskerville Old Face"/>
          <w:b/>
          <w:bCs/>
          <w:i/>
          <w:iCs/>
        </w:rPr>
        <w:t>Q.8 Token Integration Registry</w:t>
      </w:r>
    </w:p>
    <w:p w14:paraId="3A3CD8A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Prometheus may maintain a Token Integration Registry.</w:t>
      </w:r>
    </w:p>
    <w:p w14:paraId="4B4F97F1" w14:textId="68D04560" w:rsidR="002602C5" w:rsidRDefault="002602C5" w:rsidP="002602C5">
      <w:pPr>
        <w:spacing w:line="360" w:lineRule="auto"/>
        <w:rPr>
          <w:rFonts w:ascii="Baskerville Old Face" w:hAnsi="Baskerville Old Face"/>
          <w:i/>
          <w:iCs/>
        </w:rPr>
      </w:pPr>
      <w:r w:rsidRPr="00B479AE">
        <w:rPr>
          <w:rFonts w:ascii="Baskerville Old Face" w:hAnsi="Baskerville Old Face"/>
          <w:i/>
          <w:iCs/>
        </w:rPr>
        <w:t>The registry should record token status, classification, approved use, prohibited use, review status, risk class, and public limitations.</w:t>
      </w:r>
      <w:r w:rsidR="00CC6E6B">
        <w:rPr>
          <w:rFonts w:ascii="Baskerville Old Face" w:hAnsi="Baskerville Old Face"/>
          <w:i/>
          <w:iCs/>
        </w:rPr>
        <w:t xml:space="preserve"> </w:t>
      </w:r>
    </w:p>
    <w:p w14:paraId="0BD0671A" w14:textId="77777777" w:rsidR="00CC6E6B" w:rsidRDefault="00CC6E6B" w:rsidP="002602C5">
      <w:pPr>
        <w:spacing w:line="360" w:lineRule="auto"/>
        <w:rPr>
          <w:rFonts w:ascii="Baskerville Old Face" w:hAnsi="Baskerville Old Face"/>
          <w:i/>
          <w:iCs/>
        </w:rPr>
      </w:pPr>
    </w:p>
    <w:p w14:paraId="643C51D7" w14:textId="77777777" w:rsidR="00CC6E6B" w:rsidRDefault="00CC6E6B" w:rsidP="002602C5">
      <w:pPr>
        <w:spacing w:line="360" w:lineRule="auto"/>
        <w:rPr>
          <w:rFonts w:ascii="Baskerville Old Face" w:hAnsi="Baskerville Old Face"/>
          <w:i/>
          <w:iCs/>
        </w:rPr>
      </w:pPr>
    </w:p>
    <w:p w14:paraId="5A777F73" w14:textId="77777777" w:rsidR="00CC6E6B" w:rsidRDefault="00CC6E6B" w:rsidP="002602C5">
      <w:pPr>
        <w:spacing w:line="360" w:lineRule="auto"/>
        <w:rPr>
          <w:rFonts w:ascii="Baskerville Old Face" w:hAnsi="Baskerville Old Face"/>
          <w:i/>
          <w:iCs/>
        </w:rPr>
      </w:pPr>
    </w:p>
    <w:p w14:paraId="6DFF547B" w14:textId="77777777" w:rsidR="00CC6E6B" w:rsidRDefault="00CC6E6B" w:rsidP="002602C5">
      <w:pPr>
        <w:spacing w:line="360" w:lineRule="auto"/>
        <w:rPr>
          <w:rFonts w:ascii="Baskerville Old Face" w:hAnsi="Baskerville Old Face"/>
          <w:i/>
          <w:iCs/>
        </w:rPr>
      </w:pPr>
    </w:p>
    <w:p w14:paraId="297F0AD1" w14:textId="77777777" w:rsidR="00CC6E6B" w:rsidRDefault="00CC6E6B" w:rsidP="002602C5">
      <w:pPr>
        <w:spacing w:line="360" w:lineRule="auto"/>
        <w:rPr>
          <w:rFonts w:ascii="Baskerville Old Face" w:hAnsi="Baskerville Old Face"/>
          <w:i/>
          <w:iCs/>
        </w:rPr>
      </w:pPr>
    </w:p>
    <w:p w14:paraId="5D9BEB2B" w14:textId="77777777" w:rsidR="00CC6E6B" w:rsidRDefault="00CC6E6B" w:rsidP="002602C5">
      <w:pPr>
        <w:spacing w:line="360" w:lineRule="auto"/>
        <w:rPr>
          <w:rFonts w:ascii="Baskerville Old Face" w:hAnsi="Baskerville Old Face"/>
          <w:i/>
          <w:iCs/>
        </w:rPr>
      </w:pPr>
    </w:p>
    <w:p w14:paraId="3F893E67" w14:textId="77777777" w:rsidR="00CC6E6B" w:rsidRDefault="00CC6E6B" w:rsidP="002602C5">
      <w:pPr>
        <w:spacing w:line="360" w:lineRule="auto"/>
        <w:rPr>
          <w:rFonts w:ascii="Baskerville Old Face" w:hAnsi="Baskerville Old Face"/>
          <w:i/>
          <w:iCs/>
        </w:rPr>
      </w:pPr>
    </w:p>
    <w:p w14:paraId="1C25C665" w14:textId="77777777" w:rsidR="00CC6E6B" w:rsidRDefault="00CC6E6B" w:rsidP="002602C5">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9"/>
        <w:gridCol w:w="7379"/>
      </w:tblGrid>
      <w:tr w:rsidR="002602C5" w:rsidRPr="00B479AE" w14:paraId="02ED5D09" w14:textId="77777777" w:rsidTr="002602C5">
        <w:trPr>
          <w:tblHeader/>
          <w:tblCellSpacing w:w="15" w:type="dxa"/>
        </w:trPr>
        <w:tc>
          <w:tcPr>
            <w:tcW w:w="0" w:type="auto"/>
            <w:vAlign w:val="center"/>
            <w:hideMark/>
          </w:tcPr>
          <w:p w14:paraId="4784D144" w14:textId="77777777" w:rsidR="002602C5" w:rsidRPr="00B479AE" w:rsidRDefault="002602C5" w:rsidP="002602C5">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lastRenderedPageBreak/>
              <w:t>Registry field</w:t>
            </w:r>
          </w:p>
        </w:tc>
        <w:tc>
          <w:tcPr>
            <w:tcW w:w="0" w:type="auto"/>
            <w:vAlign w:val="center"/>
            <w:hideMark/>
          </w:tcPr>
          <w:p w14:paraId="4D5CF9F0" w14:textId="77777777" w:rsidR="002602C5" w:rsidRPr="00B479AE" w:rsidRDefault="002602C5" w:rsidP="002602C5">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Purpose</w:t>
            </w:r>
          </w:p>
        </w:tc>
      </w:tr>
      <w:tr w:rsidR="002602C5" w:rsidRPr="00B479AE" w14:paraId="43CE56FD" w14:textId="77777777" w:rsidTr="002602C5">
        <w:trPr>
          <w:tblCellSpacing w:w="15" w:type="dxa"/>
        </w:trPr>
        <w:tc>
          <w:tcPr>
            <w:tcW w:w="0" w:type="auto"/>
            <w:vAlign w:val="center"/>
            <w:hideMark/>
          </w:tcPr>
          <w:p w14:paraId="6716C482"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name / symbol</w:t>
            </w:r>
          </w:p>
        </w:tc>
        <w:tc>
          <w:tcPr>
            <w:tcW w:w="0" w:type="auto"/>
            <w:vAlign w:val="center"/>
            <w:hideMark/>
          </w:tcPr>
          <w:p w14:paraId="6F7DAFCE"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Identifies the token</w:t>
            </w:r>
          </w:p>
        </w:tc>
      </w:tr>
      <w:tr w:rsidR="002602C5" w:rsidRPr="00B479AE" w14:paraId="1E7B0061" w14:textId="77777777" w:rsidTr="002602C5">
        <w:trPr>
          <w:tblCellSpacing w:w="15" w:type="dxa"/>
        </w:trPr>
        <w:tc>
          <w:tcPr>
            <w:tcW w:w="0" w:type="auto"/>
            <w:vAlign w:val="center"/>
            <w:hideMark/>
          </w:tcPr>
          <w:p w14:paraId="5DEC0A24"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Issuer / controller</w:t>
            </w:r>
          </w:p>
        </w:tc>
        <w:tc>
          <w:tcPr>
            <w:tcW w:w="0" w:type="auto"/>
            <w:vAlign w:val="center"/>
            <w:hideMark/>
          </w:tcPr>
          <w:p w14:paraId="434DE5F0"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Identifies who controls issuance, upgrades, governance, treasury, or administration</w:t>
            </w:r>
          </w:p>
        </w:tc>
      </w:tr>
      <w:tr w:rsidR="002602C5" w:rsidRPr="00B479AE" w14:paraId="3F5FD95A" w14:textId="77777777" w:rsidTr="002602C5">
        <w:trPr>
          <w:tblCellSpacing w:w="15" w:type="dxa"/>
        </w:trPr>
        <w:tc>
          <w:tcPr>
            <w:tcW w:w="0" w:type="auto"/>
            <w:vAlign w:val="center"/>
            <w:hideMark/>
          </w:tcPr>
          <w:p w14:paraId="6FCA5B0F"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Network / infrastructure</w:t>
            </w:r>
          </w:p>
        </w:tc>
        <w:tc>
          <w:tcPr>
            <w:tcW w:w="0" w:type="auto"/>
            <w:vAlign w:val="center"/>
            <w:hideMark/>
          </w:tcPr>
          <w:p w14:paraId="411435C7"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Identifies the technical substrate</w:t>
            </w:r>
          </w:p>
        </w:tc>
      </w:tr>
      <w:tr w:rsidR="002602C5" w:rsidRPr="00B479AE" w14:paraId="28A2B7BC" w14:textId="77777777" w:rsidTr="002602C5">
        <w:trPr>
          <w:tblCellSpacing w:w="15" w:type="dxa"/>
        </w:trPr>
        <w:tc>
          <w:tcPr>
            <w:tcW w:w="0" w:type="auto"/>
            <w:vAlign w:val="center"/>
            <w:hideMark/>
          </w:tcPr>
          <w:p w14:paraId="5B22252A"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classification</w:t>
            </w:r>
          </w:p>
        </w:tc>
        <w:tc>
          <w:tcPr>
            <w:tcW w:w="0" w:type="auto"/>
            <w:vAlign w:val="center"/>
            <w:hideMark/>
          </w:tcPr>
          <w:p w14:paraId="47F8A36F"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Utility, governance, settlement, contribution, credential, security, or other</w:t>
            </w:r>
          </w:p>
        </w:tc>
      </w:tr>
      <w:tr w:rsidR="002602C5" w:rsidRPr="00B479AE" w14:paraId="2A20A7CA" w14:textId="77777777" w:rsidTr="002602C5">
        <w:trPr>
          <w:tblCellSpacing w:w="15" w:type="dxa"/>
        </w:trPr>
        <w:tc>
          <w:tcPr>
            <w:tcW w:w="0" w:type="auto"/>
            <w:vAlign w:val="center"/>
            <w:hideMark/>
          </w:tcPr>
          <w:p w14:paraId="056F7C0B"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Prometheus status</w:t>
            </w:r>
          </w:p>
        </w:tc>
        <w:tc>
          <w:tcPr>
            <w:tcW w:w="0" w:type="auto"/>
            <w:vAlign w:val="center"/>
            <w:hideMark/>
          </w:tcPr>
          <w:p w14:paraId="20F6762F"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Observed, sandbox, limited, operational, review-required, non-admissible, quarantined, revoked</w:t>
            </w:r>
          </w:p>
        </w:tc>
      </w:tr>
      <w:tr w:rsidR="002602C5" w:rsidRPr="00B479AE" w14:paraId="360C70C5" w14:textId="77777777" w:rsidTr="002602C5">
        <w:trPr>
          <w:tblCellSpacing w:w="15" w:type="dxa"/>
        </w:trPr>
        <w:tc>
          <w:tcPr>
            <w:tcW w:w="0" w:type="auto"/>
            <w:vAlign w:val="center"/>
            <w:hideMark/>
          </w:tcPr>
          <w:p w14:paraId="41D1CB7F"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Approved use</w:t>
            </w:r>
          </w:p>
        </w:tc>
        <w:tc>
          <w:tcPr>
            <w:tcW w:w="0" w:type="auto"/>
            <w:vAlign w:val="center"/>
            <w:hideMark/>
          </w:tcPr>
          <w:p w14:paraId="28789C2F"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Defines permitted Prometheus-facing functions</w:t>
            </w:r>
          </w:p>
        </w:tc>
      </w:tr>
      <w:tr w:rsidR="002602C5" w:rsidRPr="00B479AE" w14:paraId="179E7930" w14:textId="77777777" w:rsidTr="002602C5">
        <w:trPr>
          <w:tblCellSpacing w:w="15" w:type="dxa"/>
        </w:trPr>
        <w:tc>
          <w:tcPr>
            <w:tcW w:w="0" w:type="auto"/>
            <w:vAlign w:val="center"/>
            <w:hideMark/>
          </w:tcPr>
          <w:p w14:paraId="164F0A2A"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Prohibited use</w:t>
            </w:r>
          </w:p>
        </w:tc>
        <w:tc>
          <w:tcPr>
            <w:tcW w:w="0" w:type="auto"/>
            <w:vAlign w:val="center"/>
            <w:hideMark/>
          </w:tcPr>
          <w:p w14:paraId="7145A381"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Defines what the token may not claim or perform</w:t>
            </w:r>
          </w:p>
        </w:tc>
      </w:tr>
      <w:tr w:rsidR="002602C5" w:rsidRPr="00B479AE" w14:paraId="16DDB6BB" w14:textId="77777777" w:rsidTr="002602C5">
        <w:trPr>
          <w:tblCellSpacing w:w="15" w:type="dxa"/>
        </w:trPr>
        <w:tc>
          <w:tcPr>
            <w:tcW w:w="0" w:type="auto"/>
            <w:vAlign w:val="center"/>
            <w:hideMark/>
          </w:tcPr>
          <w:p w14:paraId="359BDA83"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Legal review status</w:t>
            </w:r>
          </w:p>
        </w:tc>
        <w:tc>
          <w:tcPr>
            <w:tcW w:w="0" w:type="auto"/>
            <w:vAlign w:val="center"/>
            <w:hideMark/>
          </w:tcPr>
          <w:p w14:paraId="371AB6A5"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Records whether jurisdictional review has occurred</w:t>
            </w:r>
          </w:p>
        </w:tc>
      </w:tr>
      <w:tr w:rsidR="002602C5" w:rsidRPr="00B479AE" w14:paraId="3CEAA1E4" w14:textId="77777777" w:rsidTr="002602C5">
        <w:trPr>
          <w:tblCellSpacing w:w="15" w:type="dxa"/>
        </w:trPr>
        <w:tc>
          <w:tcPr>
            <w:tcW w:w="0" w:type="auto"/>
            <w:vAlign w:val="center"/>
            <w:hideMark/>
          </w:tcPr>
          <w:p w14:paraId="52B7CECB"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MRV relationship</w:t>
            </w:r>
          </w:p>
        </w:tc>
        <w:tc>
          <w:tcPr>
            <w:tcW w:w="0" w:type="auto"/>
            <w:vAlign w:val="center"/>
            <w:hideMark/>
          </w:tcPr>
          <w:p w14:paraId="708517B0"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Defines whether and how the token may reference evidence</w:t>
            </w:r>
          </w:p>
        </w:tc>
      </w:tr>
      <w:tr w:rsidR="002602C5" w:rsidRPr="00B479AE" w14:paraId="5CBA42C0" w14:textId="77777777" w:rsidTr="002602C5">
        <w:trPr>
          <w:tblCellSpacing w:w="15" w:type="dxa"/>
        </w:trPr>
        <w:tc>
          <w:tcPr>
            <w:tcW w:w="0" w:type="auto"/>
            <w:vAlign w:val="center"/>
            <w:hideMark/>
          </w:tcPr>
          <w:p w14:paraId="1051717C"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PRU relationship</w:t>
            </w:r>
          </w:p>
        </w:tc>
        <w:tc>
          <w:tcPr>
            <w:tcW w:w="0" w:type="auto"/>
            <w:vAlign w:val="center"/>
            <w:hideMark/>
          </w:tcPr>
          <w:p w14:paraId="1F7B6ABB"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Defines whether and how the token may reference PRU analysis</w:t>
            </w:r>
          </w:p>
        </w:tc>
      </w:tr>
      <w:tr w:rsidR="002602C5" w:rsidRPr="00B479AE" w14:paraId="4AFC2099" w14:textId="77777777" w:rsidTr="002602C5">
        <w:trPr>
          <w:tblCellSpacing w:w="15" w:type="dxa"/>
        </w:trPr>
        <w:tc>
          <w:tcPr>
            <w:tcW w:w="0" w:type="auto"/>
            <w:vAlign w:val="center"/>
            <w:hideMark/>
          </w:tcPr>
          <w:p w14:paraId="709FB024"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RAP relationship</w:t>
            </w:r>
          </w:p>
        </w:tc>
        <w:tc>
          <w:tcPr>
            <w:tcW w:w="0" w:type="auto"/>
            <w:vAlign w:val="center"/>
            <w:hideMark/>
          </w:tcPr>
          <w:p w14:paraId="3935409A"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Defines whether and how the token may reference RAP logic</w:t>
            </w:r>
          </w:p>
        </w:tc>
      </w:tr>
      <w:tr w:rsidR="002602C5" w:rsidRPr="00B479AE" w14:paraId="351304D7" w14:textId="77777777" w:rsidTr="002602C5">
        <w:trPr>
          <w:tblCellSpacing w:w="15" w:type="dxa"/>
        </w:trPr>
        <w:tc>
          <w:tcPr>
            <w:tcW w:w="0" w:type="auto"/>
            <w:vAlign w:val="center"/>
            <w:hideMark/>
          </w:tcPr>
          <w:p w14:paraId="457B6074"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Governance relationship</w:t>
            </w:r>
          </w:p>
        </w:tc>
        <w:tc>
          <w:tcPr>
            <w:tcW w:w="0" w:type="auto"/>
            <w:vAlign w:val="center"/>
            <w:hideMark/>
          </w:tcPr>
          <w:p w14:paraId="293017EF"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Defines whether token participates in governance and under what limits</w:t>
            </w:r>
          </w:p>
        </w:tc>
      </w:tr>
      <w:tr w:rsidR="002602C5" w:rsidRPr="00B479AE" w14:paraId="3ACFB5B1" w14:textId="77777777" w:rsidTr="002602C5">
        <w:trPr>
          <w:tblCellSpacing w:w="15" w:type="dxa"/>
        </w:trPr>
        <w:tc>
          <w:tcPr>
            <w:tcW w:w="0" w:type="auto"/>
            <w:vAlign w:val="center"/>
            <w:hideMark/>
          </w:tcPr>
          <w:p w14:paraId="35AD7DDA"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Custody / treasury notes</w:t>
            </w:r>
          </w:p>
        </w:tc>
        <w:tc>
          <w:tcPr>
            <w:tcW w:w="0" w:type="auto"/>
            <w:vAlign w:val="center"/>
            <w:hideMark/>
          </w:tcPr>
          <w:p w14:paraId="5BC1F48D"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Records key custody, treasury, reserve, or admin-control considerations</w:t>
            </w:r>
          </w:p>
        </w:tc>
      </w:tr>
      <w:tr w:rsidR="002602C5" w:rsidRPr="00B479AE" w14:paraId="6EB67425" w14:textId="77777777" w:rsidTr="002602C5">
        <w:trPr>
          <w:tblCellSpacing w:w="15" w:type="dxa"/>
        </w:trPr>
        <w:tc>
          <w:tcPr>
            <w:tcW w:w="0" w:type="auto"/>
            <w:vAlign w:val="center"/>
            <w:hideMark/>
          </w:tcPr>
          <w:p w14:paraId="4D7A136D"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Bridge exposure</w:t>
            </w:r>
          </w:p>
        </w:tc>
        <w:tc>
          <w:tcPr>
            <w:tcW w:w="0" w:type="auto"/>
            <w:vAlign w:val="center"/>
            <w:hideMark/>
          </w:tcPr>
          <w:p w14:paraId="5F482B6A"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Records whether bridge, wrapper, cross-chain, or synthetic exposure exists</w:t>
            </w:r>
          </w:p>
        </w:tc>
      </w:tr>
      <w:tr w:rsidR="002602C5" w:rsidRPr="00B479AE" w14:paraId="31241F53" w14:textId="77777777" w:rsidTr="002602C5">
        <w:trPr>
          <w:tblCellSpacing w:w="15" w:type="dxa"/>
        </w:trPr>
        <w:tc>
          <w:tcPr>
            <w:tcW w:w="0" w:type="auto"/>
            <w:vAlign w:val="center"/>
            <w:hideMark/>
          </w:tcPr>
          <w:p w14:paraId="6892AC32"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AI / automation exposure</w:t>
            </w:r>
          </w:p>
        </w:tc>
        <w:tc>
          <w:tcPr>
            <w:tcW w:w="0" w:type="auto"/>
            <w:vAlign w:val="center"/>
            <w:hideMark/>
          </w:tcPr>
          <w:p w14:paraId="5DE4E4A3"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Records whether AI systems can influence allocation, review, minting, governance, or rights</w:t>
            </w:r>
          </w:p>
        </w:tc>
      </w:tr>
      <w:tr w:rsidR="002602C5" w:rsidRPr="00B479AE" w14:paraId="318C8E6F" w14:textId="77777777" w:rsidTr="002602C5">
        <w:trPr>
          <w:tblCellSpacing w:w="15" w:type="dxa"/>
        </w:trPr>
        <w:tc>
          <w:tcPr>
            <w:tcW w:w="0" w:type="auto"/>
            <w:vAlign w:val="center"/>
            <w:hideMark/>
          </w:tcPr>
          <w:p w14:paraId="51D29263"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Risk class</w:t>
            </w:r>
          </w:p>
        </w:tc>
        <w:tc>
          <w:tcPr>
            <w:tcW w:w="0" w:type="auto"/>
            <w:vAlign w:val="center"/>
            <w:hideMark/>
          </w:tcPr>
          <w:p w14:paraId="1646B4A3"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Low, moderate, high, or critical</w:t>
            </w:r>
          </w:p>
        </w:tc>
      </w:tr>
      <w:tr w:rsidR="002602C5" w:rsidRPr="00B479AE" w14:paraId="6C39D57D" w14:textId="77777777" w:rsidTr="002602C5">
        <w:trPr>
          <w:tblCellSpacing w:w="15" w:type="dxa"/>
        </w:trPr>
        <w:tc>
          <w:tcPr>
            <w:tcW w:w="0" w:type="auto"/>
            <w:vAlign w:val="center"/>
            <w:hideMark/>
          </w:tcPr>
          <w:p w14:paraId="7840FB28"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Review date</w:t>
            </w:r>
          </w:p>
        </w:tc>
        <w:tc>
          <w:tcPr>
            <w:tcW w:w="0" w:type="auto"/>
            <w:vAlign w:val="center"/>
            <w:hideMark/>
          </w:tcPr>
          <w:p w14:paraId="6FF02EA1"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Defines when status must be reviewed</w:t>
            </w:r>
          </w:p>
        </w:tc>
      </w:tr>
      <w:tr w:rsidR="002602C5" w:rsidRPr="00B479AE" w14:paraId="1C6FFB94" w14:textId="77777777" w:rsidTr="002602C5">
        <w:trPr>
          <w:tblCellSpacing w:w="15" w:type="dxa"/>
        </w:trPr>
        <w:tc>
          <w:tcPr>
            <w:tcW w:w="0" w:type="auto"/>
            <w:vAlign w:val="center"/>
            <w:hideMark/>
          </w:tcPr>
          <w:p w14:paraId="01C0181F"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Public disclosure link</w:t>
            </w:r>
          </w:p>
        </w:tc>
        <w:tc>
          <w:tcPr>
            <w:tcW w:w="0" w:type="auto"/>
            <w:vAlign w:val="center"/>
            <w:hideMark/>
          </w:tcPr>
          <w:p w14:paraId="416A0C8B"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Links to public limitations and risk disclosures</w:t>
            </w:r>
          </w:p>
        </w:tc>
      </w:tr>
      <w:tr w:rsidR="002602C5" w:rsidRPr="00B479AE" w14:paraId="2E09E3C5" w14:textId="77777777" w:rsidTr="002602C5">
        <w:trPr>
          <w:tblCellSpacing w:w="15" w:type="dxa"/>
        </w:trPr>
        <w:tc>
          <w:tcPr>
            <w:tcW w:w="0" w:type="auto"/>
            <w:vAlign w:val="center"/>
            <w:hideMark/>
          </w:tcPr>
          <w:p w14:paraId="0F132766"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Canonical registry reference</w:t>
            </w:r>
          </w:p>
        </w:tc>
        <w:tc>
          <w:tcPr>
            <w:tcW w:w="0" w:type="auto"/>
            <w:vAlign w:val="center"/>
            <w:hideMark/>
          </w:tcPr>
          <w:p w14:paraId="6CDB243B"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Links to official Prometheus status verification</w:t>
            </w:r>
          </w:p>
        </w:tc>
      </w:tr>
    </w:tbl>
    <w:p w14:paraId="4C73CB9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The Token Integration Registry should be part of the broader Global Canonical Registry where public status verification is appropriate.</w:t>
      </w:r>
    </w:p>
    <w:p w14:paraId="1157381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This allows any user, investor, community, partner, reviewer, institution, or AI agent to verify whether a token claim is Prometheus-recognized, limited, under review, non-admissible, quarantined, revoked, or misleading.</w:t>
      </w:r>
    </w:p>
    <w:p w14:paraId="5A0F1C46" w14:textId="77777777" w:rsidR="002602C5" w:rsidRPr="00B479AE" w:rsidRDefault="002602C5" w:rsidP="002602C5">
      <w:pPr>
        <w:spacing w:line="360" w:lineRule="auto"/>
        <w:rPr>
          <w:rFonts w:ascii="Baskerville Old Face" w:hAnsi="Baskerville Old Face"/>
          <w:b/>
          <w:bCs/>
          <w:i/>
          <w:iCs/>
        </w:rPr>
      </w:pPr>
      <w:r w:rsidRPr="00B479AE">
        <w:rPr>
          <w:rFonts w:ascii="Baskerville Old Face" w:hAnsi="Baskerville Old Face"/>
          <w:b/>
          <w:bCs/>
          <w:i/>
          <w:iCs/>
        </w:rPr>
        <w:t>Q.9 Token Claims and Public Communication</w:t>
      </w:r>
    </w:p>
    <w:p w14:paraId="10BC8E7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Prometheus should tightly classify token-related language.</w:t>
      </w:r>
    </w:p>
    <w:p w14:paraId="2CB10C7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Token communication should distinguish:</w:t>
      </w:r>
    </w:p>
    <w:p w14:paraId="1F3830C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access;</w:t>
      </w:r>
    </w:p>
    <w:p w14:paraId="49B3622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contribution;</w:t>
      </w:r>
    </w:p>
    <w:p w14:paraId="01C9970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recognition;</w:t>
      </w:r>
    </w:p>
    <w:p w14:paraId="2DB318F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settlement;</w:t>
      </w:r>
    </w:p>
    <w:p w14:paraId="4AD0C10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governance participation;</w:t>
      </w:r>
    </w:p>
    <w:p w14:paraId="4588F99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utility;</w:t>
      </w:r>
    </w:p>
    <w:p w14:paraId="32DCC2F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accounting;</w:t>
      </w:r>
    </w:p>
    <w:p w14:paraId="5A3164A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reward;</w:t>
      </w:r>
    </w:p>
    <w:p w14:paraId="33EE9D4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investment exposure;</w:t>
      </w:r>
    </w:p>
    <w:p w14:paraId="641575E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PRU reference;</w:t>
      </w:r>
    </w:p>
    <w:p w14:paraId="2658099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RAP exposure;</w:t>
      </w:r>
    </w:p>
    <w:p w14:paraId="1A7498F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legal right;</w:t>
      </w:r>
    </w:p>
    <w:p w14:paraId="061CC43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public benefit claim;</w:t>
      </w:r>
    </w:p>
    <w:p w14:paraId="189FA02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certification status;</w:t>
      </w:r>
    </w:p>
    <w:p w14:paraId="3ED0113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canonical status.</w:t>
      </w:r>
    </w:p>
    <w:p w14:paraId="4F327B3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The following claims require enhanced review:</w:t>
      </w:r>
    </w:p>
    <w:p w14:paraId="5EAF062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backed by PRU;</w:t>
      </w:r>
    </w:p>
    <w:p w14:paraId="7B8C50C5"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linked to verified regeneration;</w:t>
      </w:r>
    </w:p>
    <w:p w14:paraId="51039BC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RAP exposure;</w:t>
      </w:r>
    </w:p>
    <w:p w14:paraId="127B6DF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impact-backed;</w:t>
      </w:r>
    </w:p>
    <w:p w14:paraId="24368CA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yield;</w:t>
      </w:r>
    </w:p>
    <w:p w14:paraId="5BBF8A8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return;</w:t>
      </w:r>
    </w:p>
    <w:p w14:paraId="5E33754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revenue share;</w:t>
      </w:r>
    </w:p>
    <w:p w14:paraId="7726084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ownership;</w:t>
      </w:r>
    </w:p>
    <w:p w14:paraId="091807C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real asset;</w:t>
      </w:r>
    </w:p>
    <w:p w14:paraId="79EE0BB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security;</w:t>
      </w:r>
    </w:p>
    <w:p w14:paraId="3C4469C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credit;</w:t>
      </w:r>
    </w:p>
    <w:p w14:paraId="279C0DA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offset;</w:t>
      </w:r>
    </w:p>
    <w:p w14:paraId="28C3B4C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guaranteed;</w:t>
      </w:r>
    </w:p>
    <w:p w14:paraId="76FA0CB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certified;</w:t>
      </w:r>
    </w:p>
    <w:p w14:paraId="71C739B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MRV-verified;</w:t>
      </w:r>
    </w:p>
    <w:p w14:paraId="02FF501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Prometheus-approved;</w:t>
      </w:r>
    </w:p>
    <w:p w14:paraId="17B07E5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Prometheus-canonical;</w:t>
      </w:r>
    </w:p>
    <w:p w14:paraId="68EC80D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Holochain-native value;</w:t>
      </w:r>
    </w:p>
    <w:p w14:paraId="54188F4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AI-validated impact;</w:t>
      </w:r>
    </w:p>
    <w:p w14:paraId="4D3D6D5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regenerative asset-backed.</w:t>
      </w:r>
    </w:p>
    <w:p w14:paraId="48984E3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Such language should not be used unless the relevant evidence, legal structure, disclosures, methodology, governance authorization, and jurisdictional review exist.</w:t>
      </w:r>
    </w:p>
    <w:p w14:paraId="15FD62E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Token language is powerful because markets can move faster than truth.</w:t>
      </w:r>
    </w:p>
    <w:p w14:paraId="34C735D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Prometheus therefore makes token language reviewable.</w:t>
      </w:r>
    </w:p>
    <w:p w14:paraId="59696CB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 public-claim rule is:</w:t>
      </w:r>
    </w:p>
    <w:p w14:paraId="3C7CB31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if token language can influence capital, governance, public trust, ecological claims, or community expectations, it belongs in a review pathway.</w:t>
      </w:r>
    </w:p>
    <w:p w14:paraId="16EFA146" w14:textId="77777777" w:rsidR="002602C5" w:rsidRPr="00B479AE" w:rsidRDefault="002602C5" w:rsidP="002602C5">
      <w:pPr>
        <w:spacing w:line="360" w:lineRule="auto"/>
        <w:rPr>
          <w:rFonts w:ascii="Baskerville Old Face" w:hAnsi="Baskerville Old Face"/>
          <w:b/>
          <w:bCs/>
          <w:i/>
          <w:iCs/>
        </w:rPr>
      </w:pPr>
      <w:r w:rsidRPr="00B479AE">
        <w:rPr>
          <w:rFonts w:ascii="Baskerville Old Face" w:hAnsi="Baskerville Old Face"/>
          <w:b/>
          <w:bCs/>
          <w:i/>
          <w:iCs/>
        </w:rPr>
        <w:t>Q.10 PRU, RAP, TRBK, HoloFuel, and Token Separation</w:t>
      </w:r>
    </w:p>
    <w:p w14:paraId="020AB015"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PRU, RAP, TRBK, HoloFuel, settlement rails, access credentials, and legally structured instruments must remain functionally distinct.</w:t>
      </w:r>
    </w:p>
    <w:p w14:paraId="6F11CB3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PRU is evidence-derived analysis.</w:t>
      </w:r>
    </w:p>
    <w:p w14:paraId="18AD5ED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RAP is portfolio logic.</w:t>
      </w:r>
    </w:p>
    <w:p w14:paraId="4E1D0E1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TRBK may support coordination, access, contribution, participation, or governance within defined boundaries.</w:t>
      </w:r>
    </w:p>
    <w:p w14:paraId="4BB25EF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HoloFuel-related infrastructure may support Holochain ecosystem hosting or transaction capacity.</w:t>
      </w:r>
    </w:p>
    <w:p w14:paraId="14F24F6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settlement rail moves payment or value.</w:t>
      </w:r>
    </w:p>
    <w:p w14:paraId="2EDCC6D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is a technical, legal, or economic instrument.</w:t>
      </w:r>
    </w:p>
    <w:p w14:paraId="66C4BDD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legal instrument creates rights.</w:t>
      </w:r>
    </w:p>
    <w:p w14:paraId="24B46AA7" w14:textId="427CEA6A"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These may interact only through defined pathways.</w:t>
      </w:r>
      <w:r w:rsidR="00716126" w:rsidRPr="00B479AE">
        <w:rPr>
          <w:rFonts w:ascii="Baskerville Old Face" w:hAnsi="Baskerville Old Face"/>
          <w:i/>
          <w:iCs/>
        </w:rPr>
        <w:t xml:space="preserve"> </w:t>
      </w:r>
    </w:p>
    <w:p w14:paraId="3CD207C0" w14:textId="77777777" w:rsidR="00716126" w:rsidRPr="00B479AE" w:rsidRDefault="00716126" w:rsidP="002602C5">
      <w:pPr>
        <w:spacing w:line="360" w:lineRule="auto"/>
        <w:rPr>
          <w:rFonts w:ascii="Baskerville Old Face" w:hAnsi="Baskerville Old Face"/>
          <w:i/>
          <w:iCs/>
        </w:rPr>
      </w:pPr>
    </w:p>
    <w:p w14:paraId="304AB064" w14:textId="77777777" w:rsidR="00716126" w:rsidRPr="00B479AE" w:rsidRDefault="00716126" w:rsidP="002602C5">
      <w:pPr>
        <w:spacing w:line="360" w:lineRule="auto"/>
        <w:rPr>
          <w:rFonts w:ascii="Baskerville Old Face" w:hAnsi="Baskerville Old Face"/>
          <w:i/>
          <w:iCs/>
        </w:rPr>
      </w:pPr>
    </w:p>
    <w:p w14:paraId="71F30F09" w14:textId="77777777" w:rsidR="00716126" w:rsidRPr="00B479AE" w:rsidRDefault="00716126" w:rsidP="002602C5">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5"/>
        <w:gridCol w:w="6593"/>
      </w:tblGrid>
      <w:tr w:rsidR="002602C5" w:rsidRPr="00B479AE" w14:paraId="1B3D9DD1" w14:textId="77777777" w:rsidTr="002602C5">
        <w:trPr>
          <w:tblHeader/>
          <w:tblCellSpacing w:w="15" w:type="dxa"/>
        </w:trPr>
        <w:tc>
          <w:tcPr>
            <w:tcW w:w="0" w:type="auto"/>
            <w:vAlign w:val="center"/>
            <w:hideMark/>
          </w:tcPr>
          <w:p w14:paraId="386C5851" w14:textId="77777777" w:rsidR="002602C5" w:rsidRPr="00B479AE" w:rsidRDefault="002602C5" w:rsidP="002602C5">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lastRenderedPageBreak/>
              <w:t>Interaction</w:t>
            </w:r>
          </w:p>
        </w:tc>
        <w:tc>
          <w:tcPr>
            <w:tcW w:w="0" w:type="auto"/>
            <w:vAlign w:val="center"/>
            <w:hideMark/>
          </w:tcPr>
          <w:p w14:paraId="2F84F87D" w14:textId="77777777" w:rsidR="002602C5" w:rsidRPr="00B479AE" w:rsidRDefault="002602C5" w:rsidP="002602C5">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Permitted only if</w:t>
            </w:r>
          </w:p>
        </w:tc>
      </w:tr>
      <w:tr w:rsidR="002602C5" w:rsidRPr="00B479AE" w14:paraId="32131415" w14:textId="77777777" w:rsidTr="002602C5">
        <w:trPr>
          <w:tblCellSpacing w:w="15" w:type="dxa"/>
        </w:trPr>
        <w:tc>
          <w:tcPr>
            <w:tcW w:w="0" w:type="auto"/>
            <w:vAlign w:val="center"/>
            <w:hideMark/>
          </w:tcPr>
          <w:p w14:paraId="25DC1C91"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references PRU</w:t>
            </w:r>
          </w:p>
        </w:tc>
        <w:tc>
          <w:tcPr>
            <w:tcW w:w="0" w:type="auto"/>
            <w:vAlign w:val="center"/>
            <w:hideMark/>
          </w:tcPr>
          <w:p w14:paraId="08409EA7"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PRU methodology exists, evidence is admissible, claim is reviewed, and public language is bounded</w:t>
            </w:r>
          </w:p>
        </w:tc>
      </w:tr>
      <w:tr w:rsidR="002602C5" w:rsidRPr="00B479AE" w14:paraId="692A53AD" w14:textId="77777777" w:rsidTr="002602C5">
        <w:trPr>
          <w:tblCellSpacing w:w="15" w:type="dxa"/>
        </w:trPr>
        <w:tc>
          <w:tcPr>
            <w:tcW w:w="0" w:type="auto"/>
            <w:vAlign w:val="center"/>
            <w:hideMark/>
          </w:tcPr>
          <w:p w14:paraId="20F631F0"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references RAP</w:t>
            </w:r>
          </w:p>
        </w:tc>
        <w:tc>
          <w:tcPr>
            <w:tcW w:w="0" w:type="auto"/>
            <w:vAlign w:val="center"/>
            <w:hideMark/>
          </w:tcPr>
          <w:p w14:paraId="1FE68288"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RAP structure exists, underlying units are eligible, legal wrapper exists, and disclosures are reviewed</w:t>
            </w:r>
          </w:p>
        </w:tc>
      </w:tr>
      <w:tr w:rsidR="002602C5" w:rsidRPr="00B479AE" w14:paraId="60FB62FD" w14:textId="77777777" w:rsidTr="002602C5">
        <w:trPr>
          <w:tblCellSpacing w:w="15" w:type="dxa"/>
        </w:trPr>
        <w:tc>
          <w:tcPr>
            <w:tcW w:w="0" w:type="auto"/>
            <w:vAlign w:val="center"/>
            <w:hideMark/>
          </w:tcPr>
          <w:p w14:paraId="17D8FD80"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represents investor exposure</w:t>
            </w:r>
          </w:p>
        </w:tc>
        <w:tc>
          <w:tcPr>
            <w:tcW w:w="0" w:type="auto"/>
            <w:vAlign w:val="center"/>
            <w:hideMark/>
          </w:tcPr>
          <w:p w14:paraId="7A81CF51"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Securities, fund, debt, equity, revenue-right, note, or legally structured framework exists and is disclosed</w:t>
            </w:r>
          </w:p>
        </w:tc>
      </w:tr>
      <w:tr w:rsidR="002602C5" w:rsidRPr="00B479AE" w14:paraId="29A66634" w14:textId="77777777" w:rsidTr="002602C5">
        <w:trPr>
          <w:tblCellSpacing w:w="15" w:type="dxa"/>
        </w:trPr>
        <w:tc>
          <w:tcPr>
            <w:tcW w:w="0" w:type="auto"/>
            <w:vAlign w:val="center"/>
            <w:hideMark/>
          </w:tcPr>
          <w:p w14:paraId="27117AD3"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participates in governance</w:t>
            </w:r>
          </w:p>
        </w:tc>
        <w:tc>
          <w:tcPr>
            <w:tcW w:w="0" w:type="auto"/>
            <w:vAlign w:val="center"/>
            <w:hideMark/>
          </w:tcPr>
          <w:p w14:paraId="64A1AE3E"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Governance domain is defined and bounded by source-layer constraints</w:t>
            </w:r>
          </w:p>
        </w:tc>
      </w:tr>
      <w:tr w:rsidR="002602C5" w:rsidRPr="00B479AE" w14:paraId="7CC62786" w14:textId="77777777" w:rsidTr="002602C5">
        <w:trPr>
          <w:tblCellSpacing w:w="15" w:type="dxa"/>
        </w:trPr>
        <w:tc>
          <w:tcPr>
            <w:tcW w:w="0" w:type="auto"/>
            <w:vAlign w:val="center"/>
            <w:hideMark/>
          </w:tcPr>
          <w:p w14:paraId="6FAB9F05"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grants access</w:t>
            </w:r>
          </w:p>
        </w:tc>
        <w:tc>
          <w:tcPr>
            <w:tcW w:w="0" w:type="auto"/>
            <w:vAlign w:val="center"/>
            <w:hideMark/>
          </w:tcPr>
          <w:p w14:paraId="2600839F"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Access scope is defined and does not imply ownership, PRU value, or investor rights</w:t>
            </w:r>
          </w:p>
        </w:tc>
      </w:tr>
      <w:tr w:rsidR="002602C5" w:rsidRPr="00B479AE" w14:paraId="6EEF13AC" w14:textId="77777777" w:rsidTr="002602C5">
        <w:trPr>
          <w:tblCellSpacing w:w="15" w:type="dxa"/>
        </w:trPr>
        <w:tc>
          <w:tcPr>
            <w:tcW w:w="0" w:type="auto"/>
            <w:vAlign w:val="center"/>
            <w:hideMark/>
          </w:tcPr>
          <w:p w14:paraId="58E74BCB"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rewards contribution</w:t>
            </w:r>
          </w:p>
        </w:tc>
        <w:tc>
          <w:tcPr>
            <w:tcW w:w="0" w:type="auto"/>
            <w:vAlign w:val="center"/>
            <w:hideMark/>
          </w:tcPr>
          <w:p w14:paraId="3C539E5C"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Labor, tax, securities, consumer, and community-governance issues are reviewed</w:t>
            </w:r>
          </w:p>
        </w:tc>
      </w:tr>
      <w:tr w:rsidR="002602C5" w:rsidRPr="00B479AE" w14:paraId="50C02DF7" w14:textId="77777777" w:rsidTr="002602C5">
        <w:trPr>
          <w:tblCellSpacing w:w="15" w:type="dxa"/>
        </w:trPr>
        <w:tc>
          <w:tcPr>
            <w:tcW w:w="0" w:type="auto"/>
            <w:vAlign w:val="center"/>
            <w:hideMark/>
          </w:tcPr>
          <w:p w14:paraId="64D2AF09"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supports settlement</w:t>
            </w:r>
          </w:p>
        </w:tc>
        <w:tc>
          <w:tcPr>
            <w:tcW w:w="0" w:type="auto"/>
            <w:vAlign w:val="center"/>
            <w:hideMark/>
          </w:tcPr>
          <w:p w14:paraId="0191C85C"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Payment, custody, AML/KYC, tax, sanctions, and operational issues are reviewed where applicable</w:t>
            </w:r>
          </w:p>
        </w:tc>
      </w:tr>
      <w:tr w:rsidR="002602C5" w:rsidRPr="00B479AE" w14:paraId="491D58EA" w14:textId="77777777" w:rsidTr="002602C5">
        <w:trPr>
          <w:tblCellSpacing w:w="15" w:type="dxa"/>
        </w:trPr>
        <w:tc>
          <w:tcPr>
            <w:tcW w:w="0" w:type="auto"/>
            <w:vAlign w:val="center"/>
            <w:hideMark/>
          </w:tcPr>
          <w:p w14:paraId="77B02D94"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Token uses Holochain-related infrastructure</w:t>
            </w:r>
          </w:p>
        </w:tc>
        <w:tc>
          <w:tcPr>
            <w:tcW w:w="0" w:type="auto"/>
            <w:vAlign w:val="center"/>
            <w:hideMark/>
          </w:tcPr>
          <w:p w14:paraId="3CD16BB2" w14:textId="77777777" w:rsidR="002602C5" w:rsidRPr="00B479AE" w:rsidRDefault="002602C5" w:rsidP="002602C5">
            <w:pPr>
              <w:spacing w:line="360" w:lineRule="auto"/>
              <w:rPr>
                <w:rFonts w:ascii="Baskerville Old Face" w:hAnsi="Baskerville Old Face"/>
                <w:i/>
                <w:iCs/>
                <w:sz w:val="20"/>
                <w:szCs w:val="20"/>
              </w:rPr>
            </w:pPr>
            <w:r w:rsidRPr="00B479AE">
              <w:rPr>
                <w:rFonts w:ascii="Baskerville Old Face" w:hAnsi="Baskerville Old Face"/>
                <w:i/>
                <w:iCs/>
                <w:sz w:val="20"/>
                <w:szCs w:val="20"/>
              </w:rPr>
              <w:t>Operational function is defined and does not imply ecological value, PRU status, or investor exposure</w:t>
            </w:r>
          </w:p>
        </w:tc>
      </w:tr>
    </w:tbl>
    <w:p w14:paraId="05E8ED4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 separation rule is:</w:t>
      </w:r>
    </w:p>
    <w:p w14:paraId="53E2FE8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PRU may inform value;</w:t>
      </w:r>
    </w:p>
    <w:p w14:paraId="464B5D0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RAP may aggregate eligible units;</w:t>
      </w:r>
    </w:p>
    <w:p w14:paraId="543DBE0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TRBK may support bounded ecosystem functions;</w:t>
      </w:r>
    </w:p>
    <w:p w14:paraId="5FAFC12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HoloFuel-related infrastructure may support operational capacity;</w:t>
      </w:r>
    </w:p>
    <w:p w14:paraId="7491A7E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settlement rails may move payment;</w:t>
      </w:r>
    </w:p>
    <w:p w14:paraId="12E2D4E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tokens may represent legally and technically defined functions;</w:t>
      </w:r>
    </w:p>
    <w:p w14:paraId="230EA485"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none of them may impersonate the others.</w:t>
      </w:r>
    </w:p>
    <w:p w14:paraId="29B4A3E1" w14:textId="77777777" w:rsidR="00716126" w:rsidRPr="00B479AE" w:rsidRDefault="00716126" w:rsidP="002602C5">
      <w:pPr>
        <w:spacing w:line="360" w:lineRule="auto"/>
        <w:rPr>
          <w:rFonts w:ascii="Baskerville Old Face" w:hAnsi="Baskerville Old Face"/>
          <w:b/>
          <w:bCs/>
          <w:i/>
          <w:iCs/>
        </w:rPr>
      </w:pPr>
    </w:p>
    <w:p w14:paraId="03CA4CCD" w14:textId="1494C0C9" w:rsidR="002602C5" w:rsidRPr="00B479AE" w:rsidRDefault="002602C5" w:rsidP="002602C5">
      <w:pPr>
        <w:spacing w:line="360" w:lineRule="auto"/>
        <w:rPr>
          <w:rFonts w:ascii="Baskerville Old Face" w:hAnsi="Baskerville Old Face"/>
          <w:b/>
          <w:bCs/>
          <w:i/>
          <w:iCs/>
        </w:rPr>
      </w:pPr>
      <w:r w:rsidRPr="00B479AE">
        <w:rPr>
          <w:rFonts w:ascii="Baskerville Old Face" w:hAnsi="Baskerville Old Face"/>
          <w:b/>
          <w:bCs/>
          <w:i/>
          <w:iCs/>
        </w:rPr>
        <w:lastRenderedPageBreak/>
        <w:t>Q.11 Token Boundary and Legal Wrapper Function</w:t>
      </w:r>
    </w:p>
    <w:p w14:paraId="02F0F6B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Prometheus may interact with tokens, digital credentials, access systems, governance signals, contribution records, settlement rails, or future legally structured digital instruments.</w:t>
      </w:r>
    </w:p>
    <w:p w14:paraId="7135A4B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However, token representation must remain downstream from evidence, methodology, governance, legal structure, disclosure, and jurisdictional review.</w:t>
      </w:r>
    </w:p>
    <w:p w14:paraId="31FC0ED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 token boundary may be expressed as:</w:t>
      </w:r>
    </w:p>
    <w:p w14:paraId="2DD143B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Token ≠ Value</w:t>
      </w:r>
    </w:p>
    <w:p w14:paraId="501F8A8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does not create ecological value.</w:t>
      </w:r>
    </w:p>
    <w:p w14:paraId="6511A4E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does not create PRU value.</w:t>
      </w:r>
    </w:p>
    <w:p w14:paraId="70F0C9B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does not create RAP exposure.</w:t>
      </w:r>
    </w:p>
    <w:p w14:paraId="6076BB4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does not create land ownership.</w:t>
      </w:r>
    </w:p>
    <w:p w14:paraId="45FC931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does not create investor rights.</w:t>
      </w:r>
    </w:p>
    <w:p w14:paraId="05A4184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does not create constitutional authority.</w:t>
      </w:r>
    </w:p>
    <w:p w14:paraId="0344086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does not create human worth.</w:t>
      </w:r>
    </w:p>
    <w:p w14:paraId="640227A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may represent a defined function only when that function already exists through evidence, governance, legal structure, contract, disclosure, or technical authorization.</w:t>
      </w:r>
    </w:p>
    <w:p w14:paraId="41B76D1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 correct Prometheus sequence is:</w:t>
      </w:r>
    </w:p>
    <w:p w14:paraId="34E1B44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xml:space="preserve">Evidence </w:t>
      </w:r>
      <w:r w:rsidRPr="00B479AE">
        <w:rPr>
          <w:rFonts w:ascii="Times New Roman" w:hAnsi="Times New Roman" w:cs="Times New Roman"/>
          <w:i/>
          <w:iCs/>
        </w:rPr>
        <w:t>→</w:t>
      </w:r>
      <w:r w:rsidRPr="00B479AE">
        <w:rPr>
          <w:rFonts w:ascii="Baskerville Old Face" w:hAnsi="Baskerville Old Face"/>
          <w:i/>
          <w:iCs/>
        </w:rPr>
        <w:t xml:space="preserve"> Methodology </w:t>
      </w:r>
      <w:r w:rsidRPr="00B479AE">
        <w:rPr>
          <w:rFonts w:ascii="Times New Roman" w:hAnsi="Times New Roman" w:cs="Times New Roman"/>
          <w:i/>
          <w:iCs/>
        </w:rPr>
        <w:t>→</w:t>
      </w:r>
      <w:r w:rsidRPr="00B479AE">
        <w:rPr>
          <w:rFonts w:ascii="Baskerville Old Face" w:hAnsi="Baskerville Old Face"/>
          <w:i/>
          <w:iCs/>
        </w:rPr>
        <w:t xml:space="preserve"> Admissibility </w:t>
      </w:r>
      <w:r w:rsidRPr="00B479AE">
        <w:rPr>
          <w:rFonts w:ascii="Times New Roman" w:hAnsi="Times New Roman" w:cs="Times New Roman"/>
          <w:i/>
          <w:iCs/>
        </w:rPr>
        <w:t>→</w:t>
      </w:r>
      <w:r w:rsidRPr="00B479AE">
        <w:rPr>
          <w:rFonts w:ascii="Baskerville Old Face" w:hAnsi="Baskerville Old Face"/>
          <w:i/>
          <w:iCs/>
        </w:rPr>
        <w:t xml:space="preserve"> Legal Wrapper </w:t>
      </w:r>
      <w:r w:rsidRPr="00B479AE">
        <w:rPr>
          <w:rFonts w:ascii="Times New Roman" w:hAnsi="Times New Roman" w:cs="Times New Roman"/>
          <w:i/>
          <w:iCs/>
        </w:rPr>
        <w:t>→</w:t>
      </w:r>
      <w:r w:rsidRPr="00B479AE">
        <w:rPr>
          <w:rFonts w:ascii="Baskerville Old Face" w:hAnsi="Baskerville Old Face"/>
          <w:i/>
          <w:iCs/>
        </w:rPr>
        <w:t xml:space="preserve"> Defined Rights </w:t>
      </w:r>
      <w:r w:rsidRPr="00B479AE">
        <w:rPr>
          <w:rFonts w:ascii="Times New Roman" w:hAnsi="Times New Roman" w:cs="Times New Roman"/>
          <w:i/>
          <w:iCs/>
        </w:rPr>
        <w:t>→</w:t>
      </w:r>
      <w:r w:rsidRPr="00B479AE">
        <w:rPr>
          <w:rFonts w:ascii="Baskerville Old Face" w:hAnsi="Baskerville Old Face"/>
          <w:i/>
          <w:iCs/>
        </w:rPr>
        <w:t xml:space="preserve"> Possible Compliant Representation</w:t>
      </w:r>
    </w:p>
    <w:p w14:paraId="51CE9B6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This sequence protects the system from premature tokenization.</w:t>
      </w:r>
    </w:p>
    <w:p w14:paraId="7E2BB4E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compliant representation may be considered only when:</w:t>
      </w:r>
    </w:p>
    <w:p w14:paraId="6DC8B605"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xml:space="preserve">T_valid = E_v </w:t>
      </w:r>
      <w:r w:rsidRPr="00B479AE">
        <w:rPr>
          <w:rFonts w:ascii="Cambria" w:hAnsi="Cambria" w:cs="Cambria"/>
          <w:i/>
          <w:iCs/>
        </w:rPr>
        <w:t>·</w:t>
      </w:r>
      <w:r w:rsidRPr="00B479AE">
        <w:rPr>
          <w:rFonts w:ascii="Baskerville Old Face" w:hAnsi="Baskerville Old Face"/>
          <w:i/>
          <w:iCs/>
        </w:rPr>
        <w:t xml:space="preserve"> M_a </w:t>
      </w:r>
      <w:r w:rsidRPr="00B479AE">
        <w:rPr>
          <w:rFonts w:ascii="Cambria" w:hAnsi="Cambria" w:cs="Cambria"/>
          <w:i/>
          <w:iCs/>
        </w:rPr>
        <w:t>·</w:t>
      </w:r>
      <w:r w:rsidRPr="00B479AE">
        <w:rPr>
          <w:rFonts w:ascii="Baskerville Old Face" w:hAnsi="Baskerville Old Face"/>
          <w:i/>
          <w:iCs/>
        </w:rPr>
        <w:t xml:space="preserve"> A_r </w:t>
      </w:r>
      <w:r w:rsidRPr="00B479AE">
        <w:rPr>
          <w:rFonts w:ascii="Cambria" w:hAnsi="Cambria" w:cs="Cambria"/>
          <w:i/>
          <w:iCs/>
        </w:rPr>
        <w:t>·</w:t>
      </w:r>
      <w:r w:rsidRPr="00B479AE">
        <w:rPr>
          <w:rFonts w:ascii="Baskerville Old Face" w:hAnsi="Baskerville Old Face"/>
          <w:i/>
          <w:iCs/>
        </w:rPr>
        <w:t xml:space="preserve"> L_w </w:t>
      </w:r>
      <w:r w:rsidRPr="00B479AE">
        <w:rPr>
          <w:rFonts w:ascii="Cambria" w:hAnsi="Cambria" w:cs="Cambria"/>
          <w:i/>
          <w:iCs/>
        </w:rPr>
        <w:t>·</w:t>
      </w:r>
      <w:r w:rsidRPr="00B479AE">
        <w:rPr>
          <w:rFonts w:ascii="Baskerville Old Face" w:hAnsi="Baskerville Old Face"/>
          <w:i/>
          <w:iCs/>
        </w:rPr>
        <w:t xml:space="preserve"> D_s </w:t>
      </w:r>
      <w:r w:rsidRPr="00B479AE">
        <w:rPr>
          <w:rFonts w:ascii="Cambria" w:hAnsi="Cambria" w:cs="Cambria"/>
          <w:i/>
          <w:iCs/>
        </w:rPr>
        <w:t>·</w:t>
      </w:r>
      <w:r w:rsidRPr="00B479AE">
        <w:rPr>
          <w:rFonts w:ascii="Baskerville Old Face" w:hAnsi="Baskerville Old Face"/>
          <w:i/>
          <w:iCs/>
        </w:rPr>
        <w:t xml:space="preserve"> C_j</w:t>
      </w:r>
    </w:p>
    <w:p w14:paraId="47FBDA6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Where:</w:t>
      </w:r>
    </w:p>
    <w:p w14:paraId="23F73DC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 T_valid = representation-validity condition;</w:t>
      </w:r>
    </w:p>
    <w:p w14:paraId="5F0994E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E_v = evidence verified;</w:t>
      </w:r>
    </w:p>
    <w:p w14:paraId="0DA2D9D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M_a = methodology approved or applicable;</w:t>
      </w:r>
    </w:p>
    <w:p w14:paraId="3B8C8245"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A_r = admissibility reviewed;</w:t>
      </w:r>
    </w:p>
    <w:p w14:paraId="186E777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L_w = legal wrapper established;</w:t>
      </w:r>
    </w:p>
    <w:p w14:paraId="60EB023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D_s = disclosure satisfied;</w:t>
      </w:r>
    </w:p>
    <w:p w14:paraId="32C142A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C_j = jurisdiction-specific compliance reviewed.</w:t>
      </w:r>
    </w:p>
    <w:p w14:paraId="3B27343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If any required factor is zero, the representation is not valid for protected Prometheus pathways.</w:t>
      </w:r>
    </w:p>
    <w:p w14:paraId="6A0A441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If T_valid = 0, representation is non-admissible for financial, PRU, RAP, investor-facing, or rights-bearing use.</w:t>
      </w:r>
    </w:p>
    <w:p w14:paraId="26E3361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This does not prevent research.</w:t>
      </w:r>
    </w:p>
    <w:p w14:paraId="759E12D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does not prevent sandbox testing.</w:t>
      </w:r>
    </w:p>
    <w:p w14:paraId="4C460585"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does not prevent community discussion.</w:t>
      </w:r>
    </w:p>
    <w:p w14:paraId="354E8E5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does not prevent technical experimentation.</w:t>
      </w:r>
    </w:p>
    <w:p w14:paraId="21B877D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prevents premature claims.</w:t>
      </w:r>
    </w:p>
    <w:p w14:paraId="3CD9C50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 relationship among PRU, RAP, TRBK, HoloFuel, legal instruments, and land rights may be expressed as:</w:t>
      </w:r>
    </w:p>
    <w:p w14:paraId="09685C3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PRU ≠ TRBK ≠ HoloFuel ≠ RAP ≠ Security ≠ Land Right ≠ Governance Authority</w:t>
      </w:r>
    </w:p>
    <w:p w14:paraId="03A54B3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Each layer has a distinct function.</w:t>
      </w:r>
    </w:p>
    <w:p w14:paraId="77437C8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PRU represents methodology-bound verified regenerative performance.</w:t>
      </w:r>
    </w:p>
    <w:p w14:paraId="730C66E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RAP represents portfolio aggregation logic.</w:t>
      </w:r>
    </w:p>
    <w:p w14:paraId="3DD4D0D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TRBK may represent governance, coordination, access, contribution, or participation functions within defined boundaries.</w:t>
      </w:r>
    </w:p>
    <w:p w14:paraId="285C73A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HoloFuel-related infrastructure may support Holochain ecosystem hosting or operational transaction capacity.</w:t>
      </w:r>
    </w:p>
    <w:p w14:paraId="7DCD228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security, note, fund interest, revenue right, debt instrument, equity interest, or investment instrument exists only where a legal structure expressly creates it.</w:t>
      </w:r>
    </w:p>
    <w:p w14:paraId="41B1BD7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Land rights arise from property law, contracts, trusts, titles, leases, easements, licenses, or other legal instruments.</w:t>
      </w:r>
    </w:p>
    <w:p w14:paraId="5ABDD81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Governance authority arises from role, mandate, process, source-layer constraints, and governance rules.</w:t>
      </w:r>
    </w:p>
    <w:p w14:paraId="4017D91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No token may impersonate all of these layers.</w:t>
      </w:r>
    </w:p>
    <w:p w14:paraId="6DF07FC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 token boundary rule is:</w:t>
      </w:r>
    </w:p>
    <w:p w14:paraId="3E61E9A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tokens may represent defined functions;</w:t>
      </w:r>
    </w:p>
    <w:p w14:paraId="4D4C892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they may not manufacture the underlying right.</w:t>
      </w:r>
    </w:p>
    <w:p w14:paraId="0C36517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may reference a PRU only if the PRU exists under methodology and evidence.</w:t>
      </w:r>
    </w:p>
    <w:p w14:paraId="1AE03A3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may reference RAP exposure only if a RAP has been legally and institutionally structured.</w:t>
      </w:r>
    </w:p>
    <w:p w14:paraId="27253C3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may support governance only within defined and bounded governance scope.</w:t>
      </w:r>
    </w:p>
    <w:p w14:paraId="5A84290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may support contribution records only under contribution-policy rules.</w:t>
      </w:r>
    </w:p>
    <w:p w14:paraId="1B27C97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may support access only within defined access conditions.</w:t>
      </w:r>
    </w:p>
    <w:p w14:paraId="6068A9B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may support investor exposure only where a legally compliant instrument creates such exposure.</w:t>
      </w:r>
    </w:p>
    <w:p w14:paraId="2A443A0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 operational pathway is:</w:t>
      </w:r>
    </w:p>
    <w:p w14:paraId="1674241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xml:space="preserve">claim </w:t>
      </w:r>
      <w:r w:rsidRPr="00B479AE">
        <w:rPr>
          <w:rFonts w:ascii="Times New Roman" w:hAnsi="Times New Roman" w:cs="Times New Roman"/>
          <w:i/>
          <w:iCs/>
        </w:rPr>
        <w:t>→</w:t>
      </w:r>
      <w:r w:rsidRPr="00B479AE">
        <w:rPr>
          <w:rFonts w:ascii="Baskerville Old Face" w:hAnsi="Baskerville Old Face"/>
          <w:i/>
          <w:iCs/>
        </w:rPr>
        <w:t xml:space="preserve"> evidence </w:t>
      </w:r>
      <w:r w:rsidRPr="00B479AE">
        <w:rPr>
          <w:rFonts w:ascii="Times New Roman" w:hAnsi="Times New Roman" w:cs="Times New Roman"/>
          <w:i/>
          <w:iCs/>
        </w:rPr>
        <w:t>→</w:t>
      </w:r>
      <w:r w:rsidRPr="00B479AE">
        <w:rPr>
          <w:rFonts w:ascii="Baskerville Old Face" w:hAnsi="Baskerville Old Face"/>
          <w:i/>
          <w:iCs/>
        </w:rPr>
        <w:t xml:space="preserve"> review </w:t>
      </w:r>
      <w:r w:rsidRPr="00B479AE">
        <w:rPr>
          <w:rFonts w:ascii="Times New Roman" w:hAnsi="Times New Roman" w:cs="Times New Roman"/>
          <w:i/>
          <w:iCs/>
        </w:rPr>
        <w:t>→</w:t>
      </w:r>
      <w:r w:rsidRPr="00B479AE">
        <w:rPr>
          <w:rFonts w:ascii="Baskerville Old Face" w:hAnsi="Baskerville Old Face"/>
          <w:i/>
          <w:iCs/>
        </w:rPr>
        <w:t xml:space="preserve"> legal meaning </w:t>
      </w:r>
      <w:r w:rsidRPr="00B479AE">
        <w:rPr>
          <w:rFonts w:ascii="Times New Roman" w:hAnsi="Times New Roman" w:cs="Times New Roman"/>
          <w:i/>
          <w:iCs/>
        </w:rPr>
        <w:t>→</w:t>
      </w:r>
      <w:r w:rsidRPr="00B479AE">
        <w:rPr>
          <w:rFonts w:ascii="Baskerville Old Face" w:hAnsi="Baskerville Old Face"/>
          <w:i/>
          <w:iCs/>
        </w:rPr>
        <w:t xml:space="preserve"> disclosure </w:t>
      </w:r>
      <w:r w:rsidRPr="00B479AE">
        <w:rPr>
          <w:rFonts w:ascii="Times New Roman" w:hAnsi="Times New Roman" w:cs="Times New Roman"/>
          <w:i/>
          <w:iCs/>
        </w:rPr>
        <w:t>→</w:t>
      </w:r>
      <w:r w:rsidRPr="00B479AE">
        <w:rPr>
          <w:rFonts w:ascii="Baskerville Old Face" w:hAnsi="Baskerville Old Face"/>
          <w:i/>
          <w:iCs/>
        </w:rPr>
        <w:t xml:space="preserve"> representation</w:t>
      </w:r>
    </w:p>
    <w:p w14:paraId="009993F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not:</w:t>
      </w:r>
    </w:p>
    <w:p w14:paraId="1ECE767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xml:space="preserve">token </w:t>
      </w:r>
      <w:r w:rsidRPr="00B479AE">
        <w:rPr>
          <w:rFonts w:ascii="Times New Roman" w:hAnsi="Times New Roman" w:cs="Times New Roman"/>
          <w:i/>
          <w:iCs/>
        </w:rPr>
        <w:t>→</w:t>
      </w:r>
      <w:r w:rsidRPr="00B479AE">
        <w:rPr>
          <w:rFonts w:ascii="Baskerville Old Face" w:hAnsi="Baskerville Old Face"/>
          <w:i/>
          <w:iCs/>
        </w:rPr>
        <w:t xml:space="preserve"> value </w:t>
      </w:r>
      <w:r w:rsidRPr="00B479AE">
        <w:rPr>
          <w:rFonts w:ascii="Times New Roman" w:hAnsi="Times New Roman" w:cs="Times New Roman"/>
          <w:i/>
          <w:iCs/>
        </w:rPr>
        <w:t>→</w:t>
      </w:r>
      <w:r w:rsidRPr="00B479AE">
        <w:rPr>
          <w:rFonts w:ascii="Baskerville Old Face" w:hAnsi="Baskerville Old Face"/>
          <w:i/>
          <w:iCs/>
        </w:rPr>
        <w:t xml:space="preserve"> legitimacy.</w:t>
      </w:r>
    </w:p>
    <w:p w14:paraId="71A3D09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Prometheus therefore separates:</w:t>
      </w:r>
    </w:p>
    <w:p w14:paraId="3485B43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symbol from substance;</w:t>
      </w:r>
    </w:p>
    <w:p w14:paraId="085E85C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record from right;</w:t>
      </w:r>
    </w:p>
    <w:p w14:paraId="2D3E21A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access from ownership;</w:t>
      </w:r>
    </w:p>
    <w:p w14:paraId="439E6DD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governance signal from constitutional authority;</w:t>
      </w:r>
    </w:p>
    <w:p w14:paraId="2FE7DCD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community participation from investor exposure;</w:t>
      </w:r>
    </w:p>
    <w:p w14:paraId="6D0F1B5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verified regeneration from speculative token value.</w:t>
      </w:r>
    </w:p>
    <w:p w14:paraId="779985A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This separation protects Prometheus, Tribeke, future partners, investors, communities, and stewards from category collapse.</w:t>
      </w:r>
    </w:p>
    <w:p w14:paraId="57A9C4A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Formula boundary.</w:t>
      </w:r>
    </w:p>
    <w:p w14:paraId="26EA9BF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T_valid is a methodological and legal-readiness condition.</w:t>
      </w:r>
    </w:p>
    <w:p w14:paraId="116EA715"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does not create automatic token issuance, investor rights, securities, legal enforceability, governance authority, PRU value, RAP exposure, land rights, or market price.</w:t>
      </w:r>
    </w:p>
    <w:p w14:paraId="5D0C7B4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defines the internal Prometheus boundary for evaluating whether a representation may enter protected pathways.</w:t>
      </w:r>
    </w:p>
    <w:p w14:paraId="42E1A0B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Formal consequences require the relevant legal, governance, technical, MRV, token, and source-layer review pathway.</w:t>
      </w:r>
    </w:p>
    <w:p w14:paraId="64E065F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Operational rule.</w:t>
      </w:r>
    </w:p>
    <w:p w14:paraId="0FB4F03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No legal wrapper, no rights-bearing token.</w:t>
      </w:r>
    </w:p>
    <w:p w14:paraId="2B6FC03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No MRV admissibility, no PRU-backed claim.</w:t>
      </w:r>
    </w:p>
    <w:p w14:paraId="792D3F0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No source-layer fidelity, no Prometheus token legitimacy.</w:t>
      </w:r>
    </w:p>
    <w:p w14:paraId="57D84CA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Prometheus may use tokens.</w:t>
      </w:r>
    </w:p>
    <w:p w14:paraId="2001A3C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Prometheus may interoperate with token ecosystems.</w:t>
      </w:r>
    </w:p>
    <w:p w14:paraId="79F4952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Prometheus may collaborate with Tribeke.</w:t>
      </w:r>
    </w:p>
    <w:p w14:paraId="370A07A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Prometheus may support future compliant digital instruments.</w:t>
      </w:r>
    </w:p>
    <w:p w14:paraId="16D4647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But tokens remain instruments.</w:t>
      </w:r>
    </w:p>
    <w:p w14:paraId="6D1EF80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They do not become the source of truth.</w:t>
      </w:r>
    </w:p>
    <w:p w14:paraId="581F0E3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They do not become the source of value.</w:t>
      </w:r>
    </w:p>
    <w:p w14:paraId="3A717228" w14:textId="60973A9B"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xml:space="preserve">They do not become Prometheus. </w:t>
      </w:r>
    </w:p>
    <w:p w14:paraId="2D352D04" w14:textId="77777777" w:rsidR="002602C5" w:rsidRPr="00B479AE" w:rsidRDefault="002602C5" w:rsidP="002602C5">
      <w:pPr>
        <w:spacing w:line="360" w:lineRule="auto"/>
        <w:rPr>
          <w:rFonts w:ascii="Baskerville Old Face" w:hAnsi="Baskerville Old Face"/>
          <w:b/>
          <w:bCs/>
          <w:i/>
          <w:iCs/>
        </w:rPr>
      </w:pPr>
      <w:r w:rsidRPr="00B479AE">
        <w:rPr>
          <w:rFonts w:ascii="Baskerville Old Face" w:hAnsi="Baskerville Old Face"/>
          <w:b/>
          <w:bCs/>
          <w:i/>
          <w:iCs/>
        </w:rPr>
        <w:t>Q.12 TRBK Boundary</w:t>
      </w:r>
    </w:p>
    <w:p w14:paraId="6C0CCD0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TRBK may be relevant to Tribeke, community coordination, governance, access, contribution, or ecosystem participation depending on its actual legal, technical, and governance structure.</w:t>
      </w:r>
    </w:p>
    <w:p w14:paraId="4222E9A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Prometheus may interact with TRBK only through sovereign alignment and clearly scoped interoperability.</w:t>
      </w:r>
    </w:p>
    <w:p w14:paraId="506975A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TRBK should not be presumed to represent:</w:t>
      </w:r>
    </w:p>
    <w:p w14:paraId="78D3F31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Prometheus constitutional authority;</w:t>
      </w:r>
    </w:p>
    <w:p w14:paraId="7621AE9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PRU value;</w:t>
      </w:r>
    </w:p>
    <w:p w14:paraId="0534C795"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RAP exposure;</w:t>
      </w:r>
    </w:p>
    <w:p w14:paraId="54D94D0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land ownership;</w:t>
      </w:r>
    </w:p>
    <w:p w14:paraId="2F6E1F8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investor rights;</w:t>
      </w:r>
    </w:p>
    <w:p w14:paraId="2EBD3BA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securities exposure;</w:t>
      </w:r>
    </w:p>
    <w:p w14:paraId="2CA6C1A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human worth;</w:t>
      </w:r>
    </w:p>
    <w:p w14:paraId="145EDAF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MRV validity;</w:t>
      </w:r>
    </w:p>
    <w:p w14:paraId="1601EB6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HSI status;</w:t>
      </w:r>
    </w:p>
    <w:p w14:paraId="62B17DF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automatic governance power over Prometheus.</w:t>
      </w:r>
    </w:p>
    <w:p w14:paraId="4E39CCC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Prometheus should respect Tribeke’s own governance and token architecture.</w:t>
      </w:r>
    </w:p>
    <w:p w14:paraId="1A7312D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 correct relationship is not absorption.</w:t>
      </w:r>
    </w:p>
    <w:p w14:paraId="4BA7972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is interoperability with source-layer boundaries.</w:t>
      </w:r>
    </w:p>
    <w:p w14:paraId="775F92F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Possible TRBK-Prometheus interfaces may include:</w:t>
      </w:r>
    </w:p>
    <w:p w14:paraId="2895934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access or coordination functions;</w:t>
      </w:r>
    </w:p>
    <w:p w14:paraId="0D3FCF5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contribution records;</w:t>
      </w:r>
    </w:p>
    <w:p w14:paraId="6402914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community participation pathways;</w:t>
      </w:r>
    </w:p>
    <w:p w14:paraId="518B311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role-based permissions where legally and technically appropriate;</w:t>
      </w:r>
    </w:p>
    <w:p w14:paraId="63E8492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governance signaling within defined scope;</w:t>
      </w:r>
    </w:p>
    <w:p w14:paraId="614C382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non-binding community sentiment;</w:t>
      </w:r>
    </w:p>
    <w:p w14:paraId="44135D8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settlement or reward mechanisms where legally reviewed;</w:t>
      </w:r>
    </w:p>
    <w:p w14:paraId="35F8D03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future structured integration through legal and governance review.</w:t>
      </w:r>
    </w:p>
    <w:p w14:paraId="2558168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 TRBK principle is:</w:t>
      </w:r>
    </w:p>
    <w:p w14:paraId="3F654FB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Tribeke may remain sovereign;</w:t>
      </w:r>
    </w:p>
    <w:p w14:paraId="2CB050C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Prometheus may remain sovereign;</w:t>
      </w:r>
    </w:p>
    <w:p w14:paraId="0317198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interoperability may occur through alignment, not collapse.</w:t>
      </w:r>
    </w:p>
    <w:p w14:paraId="283B8EAA" w14:textId="77777777" w:rsidR="002602C5" w:rsidRPr="00B479AE" w:rsidRDefault="002602C5" w:rsidP="002602C5">
      <w:pPr>
        <w:spacing w:line="360" w:lineRule="auto"/>
        <w:rPr>
          <w:rFonts w:ascii="Baskerville Old Face" w:hAnsi="Baskerville Old Face"/>
          <w:b/>
          <w:bCs/>
          <w:i/>
          <w:iCs/>
        </w:rPr>
      </w:pPr>
      <w:r w:rsidRPr="00B479AE">
        <w:rPr>
          <w:rFonts w:ascii="Baskerville Old Face" w:hAnsi="Baskerville Old Face"/>
          <w:b/>
          <w:bCs/>
          <w:i/>
          <w:iCs/>
        </w:rPr>
        <w:t>Q.13 Governance Token Boundary</w:t>
      </w:r>
    </w:p>
    <w:p w14:paraId="0FDCC6D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Token-mediated governance may exist only within defined domains.</w:t>
      </w:r>
    </w:p>
    <w:p w14:paraId="23C4B74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governance token may support:</w:t>
      </w:r>
    </w:p>
    <w:p w14:paraId="4CB7760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signaling;</w:t>
      </w:r>
    </w:p>
    <w:p w14:paraId="3537F1F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proposal prioritization;</w:t>
      </w:r>
    </w:p>
    <w:p w14:paraId="3E4966A5"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access to forums;</w:t>
      </w:r>
    </w:p>
    <w:p w14:paraId="20F3955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 role nomination;</w:t>
      </w:r>
    </w:p>
    <w:p w14:paraId="3BB51CC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non-binding sentiment;</w:t>
      </w:r>
    </w:p>
    <w:p w14:paraId="2E1E910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bounded decision processes;</w:t>
      </w:r>
    </w:p>
    <w:p w14:paraId="65AFA2D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treasury or community processes within legal limits;</w:t>
      </w:r>
    </w:p>
    <w:p w14:paraId="1E0733B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contribution recognition where legally reviewed.</w:t>
      </w:r>
    </w:p>
    <w:p w14:paraId="155838B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governance token may not override:</w:t>
      </w:r>
    </w:p>
    <w:p w14:paraId="7483BB2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foundational articles;</w:t>
      </w:r>
    </w:p>
    <w:p w14:paraId="7CAF099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Eternity Clauses;</w:t>
      </w:r>
    </w:p>
    <w:p w14:paraId="620F40E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Access Covenant;</w:t>
      </w:r>
    </w:p>
    <w:p w14:paraId="7E3A3C3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human dignity;</w:t>
      </w:r>
    </w:p>
    <w:p w14:paraId="1B257A8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MRV methodology;</w:t>
      </w:r>
    </w:p>
    <w:p w14:paraId="07D95D0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PRU admissibility;</w:t>
      </w:r>
    </w:p>
    <w:p w14:paraId="38D3089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RAP eligibility;</w:t>
      </w:r>
    </w:p>
    <w:p w14:paraId="12FE9A4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legal requirements;</w:t>
      </w:r>
    </w:p>
    <w:p w14:paraId="4C703E9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HSI privacy and consent;</w:t>
      </w:r>
    </w:p>
    <w:p w14:paraId="091E5A0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constitutional interpretation;</w:t>
      </w:r>
    </w:p>
    <w:p w14:paraId="6C6FE42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source-layer non-bypassability;</w:t>
      </w:r>
    </w:p>
    <w:p w14:paraId="1B91904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protected-domain review.</w:t>
      </w:r>
    </w:p>
    <w:p w14:paraId="3A59C0D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 correct governance-token principle is:</w:t>
      </w:r>
    </w:p>
    <w:p w14:paraId="20482DB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token governance may coordinate participation;</w:t>
      </w:r>
    </w:p>
    <w:p w14:paraId="0C0F442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constitutional governance preserves the source layer.</w:t>
      </w:r>
    </w:p>
    <w:p w14:paraId="1C544C3A" w14:textId="77777777" w:rsidR="00716126" w:rsidRPr="00B479AE" w:rsidRDefault="00716126" w:rsidP="002602C5">
      <w:pPr>
        <w:spacing w:line="360" w:lineRule="auto"/>
        <w:rPr>
          <w:rFonts w:ascii="Baskerville Old Face" w:hAnsi="Baskerville Old Face"/>
          <w:b/>
          <w:bCs/>
          <w:i/>
          <w:iCs/>
        </w:rPr>
      </w:pPr>
    </w:p>
    <w:p w14:paraId="40B6C1F2" w14:textId="11FFC5CF" w:rsidR="002602C5" w:rsidRPr="00B479AE" w:rsidRDefault="002602C5" w:rsidP="002602C5">
      <w:pPr>
        <w:spacing w:line="360" w:lineRule="auto"/>
        <w:rPr>
          <w:rFonts w:ascii="Baskerville Old Face" w:hAnsi="Baskerville Old Face"/>
          <w:b/>
          <w:bCs/>
          <w:i/>
          <w:iCs/>
        </w:rPr>
      </w:pPr>
      <w:r w:rsidRPr="00B479AE">
        <w:rPr>
          <w:rFonts w:ascii="Baskerville Old Face" w:hAnsi="Baskerville Old Face"/>
          <w:b/>
          <w:bCs/>
          <w:i/>
          <w:iCs/>
        </w:rPr>
        <w:lastRenderedPageBreak/>
        <w:t>Q.14 Verification-Network Terminology</w:t>
      </w:r>
    </w:p>
    <w:p w14:paraId="3E3B2DB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Prometheus should avoid casual reliance on the term oracle where it implies that truth is delivered automatically by a technical feed.</w:t>
      </w:r>
    </w:p>
    <w:p w14:paraId="13D93270" w14:textId="26959D7B"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 stronger language is verification network, review network, evidence source, data provider, or methodology reviewer, depending on context.</w:t>
      </w:r>
      <w:r w:rsidR="00F93F8B">
        <w:rPr>
          <w:rFonts w:ascii="Baskerville Old Face" w:hAnsi="Baskerville Old Face"/>
          <w:i/>
          <w:iCs/>
        </w:rPr>
        <w:t xml:space="preserve"> </w:t>
      </w:r>
      <w:r w:rsidRPr="00B479AE">
        <w:rPr>
          <w:rFonts w:ascii="Baskerville Old Face" w:hAnsi="Baskerville Old Face"/>
          <w:i/>
          <w:iCs/>
        </w:rPr>
        <w:t>A verification network may include:</w:t>
      </w:r>
    </w:p>
    <w:p w14:paraId="0E70A62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field stewards;</w:t>
      </w:r>
    </w:p>
    <w:p w14:paraId="12A36AE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scientists;</w:t>
      </w:r>
    </w:p>
    <w:p w14:paraId="224A05D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auditors;</w:t>
      </w:r>
    </w:p>
    <w:p w14:paraId="0CCF4A6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laboratories;</w:t>
      </w:r>
    </w:p>
    <w:p w14:paraId="0766DCF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remote-sensing analysts;</w:t>
      </w:r>
    </w:p>
    <w:p w14:paraId="1038A1E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local ecological knowledge holders;</w:t>
      </w:r>
    </w:p>
    <w:p w14:paraId="67A7625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community observers;</w:t>
      </w:r>
    </w:p>
    <w:p w14:paraId="1B74C4D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methodology reviewers;</w:t>
      </w:r>
    </w:p>
    <w:p w14:paraId="69B0B4D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technical reviewers;</w:t>
      </w:r>
    </w:p>
    <w:p w14:paraId="3B16672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legal or reporting reviewers where necessary.</w:t>
      </w:r>
    </w:p>
    <w:p w14:paraId="6581501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 network does not declare truth magically.</w:t>
      </w:r>
    </w:p>
    <w:p w14:paraId="2CE9556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reviews evidence.</w:t>
      </w:r>
    </w:p>
    <w:p w14:paraId="0E7EE16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validates methods.</w:t>
      </w:r>
    </w:p>
    <w:p w14:paraId="34993B9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assesses confidence.</w:t>
      </w:r>
    </w:p>
    <w:p w14:paraId="758F617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identifies uncertainty.</w:t>
      </w:r>
    </w:p>
    <w:p w14:paraId="189B4E7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supports admissibility.</w:t>
      </w:r>
    </w:p>
    <w:p w14:paraId="191D766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This language is scientifically and institutionally stronger.</w:t>
      </w:r>
    </w:p>
    <w:p w14:paraId="1A544B7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Prometheus does not need oracles.</w:t>
      </w:r>
    </w:p>
    <w:p w14:paraId="2EDF422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needs accountable verification.</w:t>
      </w:r>
    </w:p>
    <w:p w14:paraId="45FAE2E2" w14:textId="77777777" w:rsidR="002602C5" w:rsidRPr="00B479AE" w:rsidRDefault="002602C5" w:rsidP="002602C5">
      <w:pPr>
        <w:spacing w:line="360" w:lineRule="auto"/>
        <w:rPr>
          <w:rFonts w:ascii="Baskerville Old Face" w:hAnsi="Baskerville Old Face"/>
          <w:b/>
          <w:bCs/>
          <w:i/>
          <w:iCs/>
        </w:rPr>
      </w:pPr>
      <w:r w:rsidRPr="00B479AE">
        <w:rPr>
          <w:rFonts w:ascii="Baskerville Old Face" w:hAnsi="Baskerville Old Face"/>
          <w:b/>
          <w:bCs/>
          <w:i/>
          <w:iCs/>
        </w:rPr>
        <w:t>Q.15 Token Penalty and Slashing Terminology</w:t>
      </w:r>
    </w:p>
    <w:p w14:paraId="44DEE1D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Prometheus should avoid casual use of slashing, forfeiture, automatic token loss, or automatic economic penalties.</w:t>
      </w:r>
    </w:p>
    <w:p w14:paraId="358A40C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Such terms may be appropriate only where:</w:t>
      </w:r>
    </w:p>
    <w:p w14:paraId="13E500E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a legally structured staking mechanism exists;</w:t>
      </w:r>
    </w:p>
    <w:p w14:paraId="5361084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rights and risks are clearly disclosed;</w:t>
      </w:r>
    </w:p>
    <w:p w14:paraId="4C8805A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participants expressly agree;</w:t>
      </w:r>
    </w:p>
    <w:p w14:paraId="194EB54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jurisdictional review has occurred;</w:t>
      </w:r>
    </w:p>
    <w:p w14:paraId="7B8D798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due process or review pathway is defined;</w:t>
      </w:r>
    </w:p>
    <w:p w14:paraId="7D7BF8D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the technical system is implemented and audited;</w:t>
      </w:r>
    </w:p>
    <w:p w14:paraId="1807722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the consequence is proportionate;</w:t>
      </w:r>
    </w:p>
    <w:p w14:paraId="70B2443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appeal or dispute process exists where appropriate.</w:t>
      </w:r>
    </w:p>
    <w:p w14:paraId="01EFBED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In ordinary Prometheus governance, the preferred consequence vocabulary is:</w:t>
      </w:r>
    </w:p>
    <w:p w14:paraId="6579BF7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review-required;</w:t>
      </w:r>
    </w:p>
    <w:p w14:paraId="0AB3CF6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restricted;</w:t>
      </w:r>
    </w:p>
    <w:p w14:paraId="2F28FE6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suspended pending review;</w:t>
      </w:r>
    </w:p>
    <w:p w14:paraId="52B4C10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non-admissible;</w:t>
      </w:r>
    </w:p>
    <w:p w14:paraId="7B5D52C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quarantined;</w:t>
      </w:r>
    </w:p>
    <w:p w14:paraId="463D691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access-limited;</w:t>
      </w:r>
    </w:p>
    <w:p w14:paraId="3CF59E9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certification revoked;</w:t>
      </w:r>
    </w:p>
    <w:p w14:paraId="35D24E7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 compatibility revoked;</w:t>
      </w:r>
    </w:p>
    <w:p w14:paraId="601900D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public correction required;</w:t>
      </w:r>
    </w:p>
    <w:p w14:paraId="3A435C7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legal escalation where necessary.</w:t>
      </w:r>
    </w:p>
    <w:p w14:paraId="453EA82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 token consequence principle is:</w:t>
      </w:r>
    </w:p>
    <w:p w14:paraId="0FC4D99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economic penalties require legal structure;</w:t>
      </w:r>
    </w:p>
    <w:p w14:paraId="0DDC93B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governance consequences require due process;</w:t>
      </w:r>
    </w:p>
    <w:p w14:paraId="621C3BE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source-layer violations require canonical response.</w:t>
      </w:r>
    </w:p>
    <w:p w14:paraId="70331E5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No section, appendix, technical example, API specification, governance model, token model, or implementation note should imply automatic TRBK slashing, forfeiture, token loss, or economic penalty unless a separate legally reviewed instrument expressly creates such a mechanism, with disclosure, consent, due process, technical audit, and jurisdiction-specific compliance.</w:t>
      </w:r>
    </w:p>
    <w:p w14:paraId="74205230" w14:textId="77777777" w:rsidR="002602C5" w:rsidRPr="00B479AE" w:rsidRDefault="002602C5" w:rsidP="002602C5">
      <w:pPr>
        <w:spacing w:line="360" w:lineRule="auto"/>
        <w:rPr>
          <w:rFonts w:ascii="Baskerville Old Face" w:hAnsi="Baskerville Old Face"/>
          <w:b/>
          <w:bCs/>
          <w:i/>
          <w:iCs/>
        </w:rPr>
      </w:pPr>
      <w:r w:rsidRPr="00B479AE">
        <w:rPr>
          <w:rFonts w:ascii="Baskerville Old Face" w:hAnsi="Baskerville Old Face"/>
          <w:b/>
          <w:bCs/>
          <w:i/>
          <w:iCs/>
        </w:rPr>
        <w:t>Q.16 AI and Token Systems</w:t>
      </w:r>
    </w:p>
    <w:p w14:paraId="16FDE01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AI or ASI systems may assist with token-risk review, classification, anomaly detection, compliance issue spotting, bridge-risk analysis, public-claim review, and registry consistency checks.</w:t>
      </w:r>
    </w:p>
    <w:p w14:paraId="2489C3E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AI may not autonomously:</w:t>
      </w:r>
    </w:p>
    <w:p w14:paraId="542DDCB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issue tokens;</w:t>
      </w:r>
    </w:p>
    <w:p w14:paraId="7E7A651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mint tokens;</w:t>
      </w:r>
    </w:p>
    <w:p w14:paraId="3884740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burn tokens;</w:t>
      </w:r>
    </w:p>
    <w:p w14:paraId="4C6305A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slash tokens;</w:t>
      </w:r>
    </w:p>
    <w:p w14:paraId="0DDBE555"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modify token rights;</w:t>
      </w:r>
    </w:p>
    <w:p w14:paraId="47F99A5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certify token compatibility;</w:t>
      </w:r>
    </w:p>
    <w:p w14:paraId="4DA1BDE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approve token governance participation;</w:t>
      </w:r>
    </w:p>
    <w:p w14:paraId="50FE8A9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authorize PRU or RAP linkage;</w:t>
      </w:r>
    </w:p>
    <w:p w14:paraId="5018075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 approve investor-facing token language;</w:t>
      </w:r>
    </w:p>
    <w:p w14:paraId="44DD924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classify a token as legally compliant;</w:t>
      </w:r>
    </w:p>
    <w:p w14:paraId="0342990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determine human eligibility through token data;</w:t>
      </w:r>
    </w:p>
    <w:p w14:paraId="2CF62B9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change registry status;</w:t>
      </w:r>
    </w:p>
    <w:p w14:paraId="7AF4001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create legal rights.</w:t>
      </w:r>
    </w:p>
    <w:p w14:paraId="7DB4BCA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AI-generated token analysis should be classified as:</w:t>
      </w:r>
    </w:p>
    <w:p w14:paraId="19B689B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draft;</w:t>
      </w:r>
    </w:p>
    <w:p w14:paraId="0ACE281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analysis;</w:t>
      </w:r>
    </w:p>
    <w:p w14:paraId="21E4E8C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risk flag;</w:t>
      </w:r>
    </w:p>
    <w:p w14:paraId="65C3D045"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review-required;</w:t>
      </w:r>
    </w:p>
    <w:p w14:paraId="2419D21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non-admissible;</w:t>
      </w:r>
    </w:p>
    <w:p w14:paraId="0D9C9857"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recommendation.</w:t>
      </w:r>
    </w:p>
    <w:p w14:paraId="4B8D03F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Protected-domain token decisions require legal, governance, technical, MRV, token, and source-layer review.</w:t>
      </w:r>
    </w:p>
    <w:p w14:paraId="7BDEFE9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superintelligence may produce excellent analysis.</w:t>
      </w:r>
    </w:p>
    <w:p w14:paraId="34D8CB9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may not manufacture authorization.</w:t>
      </w:r>
    </w:p>
    <w:p w14:paraId="7C07C55C" w14:textId="77777777" w:rsidR="002602C5" w:rsidRPr="00B479AE" w:rsidRDefault="002602C5" w:rsidP="002602C5">
      <w:pPr>
        <w:spacing w:line="360" w:lineRule="auto"/>
        <w:rPr>
          <w:rFonts w:ascii="Baskerville Old Face" w:hAnsi="Baskerville Old Face"/>
          <w:b/>
          <w:bCs/>
          <w:i/>
          <w:iCs/>
        </w:rPr>
      </w:pPr>
      <w:r w:rsidRPr="00B479AE">
        <w:rPr>
          <w:rFonts w:ascii="Baskerville Old Face" w:hAnsi="Baskerville Old Face"/>
          <w:b/>
          <w:bCs/>
          <w:i/>
          <w:iCs/>
        </w:rPr>
        <w:t>Q.17 Token Security and Custody</w:t>
      </w:r>
    </w:p>
    <w:p w14:paraId="512B424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Any token integration should consider:</w:t>
      </w:r>
    </w:p>
    <w:p w14:paraId="039A47F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key management;</w:t>
      </w:r>
    </w:p>
    <w:p w14:paraId="50C825C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custody model;</w:t>
      </w:r>
    </w:p>
    <w:p w14:paraId="295E029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multi-signature requirements;</w:t>
      </w:r>
    </w:p>
    <w:p w14:paraId="1696E0C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threshold signing;</w:t>
      </w:r>
    </w:p>
    <w:p w14:paraId="353B1946"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 hardware security modules where appropriate;</w:t>
      </w:r>
    </w:p>
    <w:p w14:paraId="3745757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key rotation;</w:t>
      </w:r>
    </w:p>
    <w:p w14:paraId="7EB8F4D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compromised-key response;</w:t>
      </w:r>
    </w:p>
    <w:p w14:paraId="1895609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treasury controls;</w:t>
      </w:r>
    </w:p>
    <w:p w14:paraId="35A7C9E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smart contract audit;</w:t>
      </w:r>
    </w:p>
    <w:p w14:paraId="00F8F06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bridge audit;</w:t>
      </w:r>
    </w:p>
    <w:p w14:paraId="692C026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permissions;</w:t>
      </w:r>
    </w:p>
    <w:p w14:paraId="5863FDF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admin keys;</w:t>
      </w:r>
    </w:p>
    <w:p w14:paraId="0F137B1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emergency pause function;</w:t>
      </w:r>
    </w:p>
    <w:p w14:paraId="7965492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insider risk;</w:t>
      </w:r>
    </w:p>
    <w:p w14:paraId="3DB4B21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user protection;</w:t>
      </w:r>
    </w:p>
    <w:p w14:paraId="5821E51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incident response;</w:t>
      </w:r>
    </w:p>
    <w:p w14:paraId="275D918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insurance where available;</w:t>
      </w:r>
    </w:p>
    <w:p w14:paraId="4BA56F9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public disclosure of material risks.</w:t>
      </w:r>
    </w:p>
    <w:p w14:paraId="24B5E0F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Token systems often fail through operational control, not philosophy.</w:t>
      </w:r>
    </w:p>
    <w:p w14:paraId="70856FE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Prometheus therefore treats custody and administration as governance-critical infrastructure.</w:t>
      </w:r>
    </w:p>
    <w:p w14:paraId="4A21CB07" w14:textId="77777777" w:rsidR="002602C5" w:rsidRPr="00B479AE" w:rsidRDefault="002602C5" w:rsidP="002602C5">
      <w:pPr>
        <w:spacing w:line="360" w:lineRule="auto"/>
        <w:rPr>
          <w:rFonts w:ascii="Baskerville Old Face" w:hAnsi="Baskerville Old Face"/>
          <w:b/>
          <w:bCs/>
          <w:i/>
          <w:iCs/>
        </w:rPr>
      </w:pPr>
      <w:r w:rsidRPr="00B479AE">
        <w:rPr>
          <w:rFonts w:ascii="Baskerville Old Face" w:hAnsi="Baskerville Old Face"/>
          <w:b/>
          <w:bCs/>
          <w:i/>
          <w:iCs/>
        </w:rPr>
        <w:t>Q.18 Token Data Privacy</w:t>
      </w:r>
    </w:p>
    <w:p w14:paraId="1AD8FC1B" w14:textId="1B4E2AC1"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Token data may appear public, but interpretation of token data can still create privacy and profiling risks.</w:t>
      </w:r>
      <w:r w:rsidR="00F93F8B">
        <w:rPr>
          <w:rFonts w:ascii="Baskerville Old Face" w:hAnsi="Baskerville Old Face"/>
          <w:i/>
          <w:iCs/>
        </w:rPr>
        <w:t xml:space="preserve"> </w:t>
      </w:r>
      <w:r w:rsidRPr="00B479AE">
        <w:rPr>
          <w:rFonts w:ascii="Baskerville Old Face" w:hAnsi="Baskerville Old Face"/>
          <w:i/>
          <w:iCs/>
        </w:rPr>
        <w:t>Prometheus should avoid:</w:t>
      </w:r>
    </w:p>
    <w:p w14:paraId="114C512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behavioral profiling without consent;</w:t>
      </w:r>
    </w:p>
    <w:p w14:paraId="37D1371B"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wallet wealth as trust proxy;</w:t>
      </w:r>
    </w:p>
    <w:p w14:paraId="703BD1A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transaction history as moral rank;</w:t>
      </w:r>
    </w:p>
    <w:p w14:paraId="41E72BD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 automated access decisions based only on wallet data;</w:t>
      </w:r>
    </w:p>
    <w:p w14:paraId="5C89C33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doxxing;</w:t>
      </w:r>
    </w:p>
    <w:p w14:paraId="2C13660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unnecessary identity cross-linking;</w:t>
      </w:r>
    </w:p>
    <w:p w14:paraId="7F3E123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 using token history to infer political, spiritual, medical, financial, behavioral, or personal attributes.</w:t>
      </w:r>
    </w:p>
    <w:p w14:paraId="2B7C684E" w14:textId="7A33DA04"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Token data should be used with purpose limitation.</w:t>
      </w:r>
      <w:r w:rsidR="00F93F8B">
        <w:rPr>
          <w:rFonts w:ascii="Baskerville Old Face" w:hAnsi="Baskerville Old Face"/>
          <w:i/>
          <w:iCs/>
        </w:rPr>
        <w:t xml:space="preserve"> </w:t>
      </w:r>
      <w:r w:rsidRPr="00B479AE">
        <w:rPr>
          <w:rFonts w:ascii="Baskerville Old Face" w:hAnsi="Baskerville Old Face"/>
          <w:i/>
          <w:iCs/>
        </w:rPr>
        <w:t>Wallets are not souls with addresses.</w:t>
      </w:r>
    </w:p>
    <w:p w14:paraId="5EBA4237" w14:textId="77777777" w:rsidR="002602C5" w:rsidRPr="00B479AE" w:rsidRDefault="002602C5" w:rsidP="002602C5">
      <w:pPr>
        <w:spacing w:line="360" w:lineRule="auto"/>
        <w:rPr>
          <w:rFonts w:ascii="Baskerville Old Face" w:hAnsi="Baskerville Old Face"/>
          <w:b/>
          <w:bCs/>
          <w:i/>
          <w:iCs/>
        </w:rPr>
      </w:pPr>
      <w:r w:rsidRPr="00B479AE">
        <w:rPr>
          <w:rFonts w:ascii="Baskerville Old Face" w:hAnsi="Baskerville Old Face"/>
          <w:b/>
          <w:bCs/>
          <w:i/>
          <w:iCs/>
        </w:rPr>
        <w:t>Q.19 Future Token Integration Pathway</w:t>
      </w:r>
    </w:p>
    <w:p w14:paraId="2A8B159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future token integration should follow a controlled sequence.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1"/>
        <w:gridCol w:w="1776"/>
        <w:gridCol w:w="7441"/>
      </w:tblGrid>
      <w:tr w:rsidR="002602C5" w:rsidRPr="00F93F8B" w14:paraId="6EB36997" w14:textId="77777777" w:rsidTr="002602C5">
        <w:trPr>
          <w:tblHeader/>
          <w:tblCellSpacing w:w="15" w:type="dxa"/>
        </w:trPr>
        <w:tc>
          <w:tcPr>
            <w:tcW w:w="0" w:type="auto"/>
            <w:vAlign w:val="center"/>
            <w:hideMark/>
          </w:tcPr>
          <w:p w14:paraId="34C7307F" w14:textId="77777777" w:rsidR="002602C5" w:rsidRPr="00F93F8B" w:rsidRDefault="002602C5" w:rsidP="002602C5">
            <w:pPr>
              <w:spacing w:line="360" w:lineRule="auto"/>
              <w:rPr>
                <w:rFonts w:ascii="Baskerville Old Face" w:hAnsi="Baskerville Old Face"/>
                <w:b/>
                <w:bCs/>
                <w:i/>
                <w:iCs/>
                <w:sz w:val="18"/>
                <w:szCs w:val="18"/>
              </w:rPr>
            </w:pPr>
            <w:r w:rsidRPr="00F93F8B">
              <w:rPr>
                <w:rFonts w:ascii="Baskerville Old Face" w:hAnsi="Baskerville Old Face"/>
                <w:b/>
                <w:bCs/>
                <w:i/>
                <w:iCs/>
                <w:sz w:val="18"/>
                <w:szCs w:val="18"/>
              </w:rPr>
              <w:t>Step</w:t>
            </w:r>
          </w:p>
        </w:tc>
        <w:tc>
          <w:tcPr>
            <w:tcW w:w="0" w:type="auto"/>
            <w:vAlign w:val="center"/>
            <w:hideMark/>
          </w:tcPr>
          <w:p w14:paraId="589C434A" w14:textId="77777777" w:rsidR="002602C5" w:rsidRPr="00F93F8B" w:rsidRDefault="002602C5" w:rsidP="002602C5">
            <w:pPr>
              <w:spacing w:line="360" w:lineRule="auto"/>
              <w:rPr>
                <w:rFonts w:ascii="Baskerville Old Face" w:hAnsi="Baskerville Old Face"/>
                <w:b/>
                <w:bCs/>
                <w:i/>
                <w:iCs/>
                <w:sz w:val="18"/>
                <w:szCs w:val="18"/>
              </w:rPr>
            </w:pPr>
            <w:r w:rsidRPr="00F93F8B">
              <w:rPr>
                <w:rFonts w:ascii="Baskerville Old Face" w:hAnsi="Baskerville Old Face"/>
                <w:b/>
                <w:bCs/>
                <w:i/>
                <w:iCs/>
                <w:sz w:val="18"/>
                <w:szCs w:val="18"/>
              </w:rPr>
              <w:t>Action</w:t>
            </w:r>
          </w:p>
        </w:tc>
        <w:tc>
          <w:tcPr>
            <w:tcW w:w="0" w:type="auto"/>
            <w:vAlign w:val="center"/>
            <w:hideMark/>
          </w:tcPr>
          <w:p w14:paraId="7DCE4ED6" w14:textId="77777777" w:rsidR="002602C5" w:rsidRPr="00F93F8B" w:rsidRDefault="002602C5" w:rsidP="002602C5">
            <w:pPr>
              <w:spacing w:line="360" w:lineRule="auto"/>
              <w:rPr>
                <w:rFonts w:ascii="Baskerville Old Face" w:hAnsi="Baskerville Old Face"/>
                <w:b/>
                <w:bCs/>
                <w:i/>
                <w:iCs/>
                <w:sz w:val="18"/>
                <w:szCs w:val="18"/>
              </w:rPr>
            </w:pPr>
            <w:r w:rsidRPr="00F93F8B">
              <w:rPr>
                <w:rFonts w:ascii="Baskerville Old Face" w:hAnsi="Baskerville Old Face"/>
                <w:b/>
                <w:bCs/>
                <w:i/>
                <w:iCs/>
                <w:sz w:val="18"/>
                <w:szCs w:val="18"/>
              </w:rPr>
              <w:t>Purpose</w:t>
            </w:r>
          </w:p>
        </w:tc>
      </w:tr>
      <w:tr w:rsidR="002602C5" w:rsidRPr="00F93F8B" w14:paraId="5A46A56C" w14:textId="77777777" w:rsidTr="002602C5">
        <w:trPr>
          <w:tblCellSpacing w:w="15" w:type="dxa"/>
        </w:trPr>
        <w:tc>
          <w:tcPr>
            <w:tcW w:w="0" w:type="auto"/>
            <w:vAlign w:val="center"/>
            <w:hideMark/>
          </w:tcPr>
          <w:p w14:paraId="73E6BDD0"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1</w:t>
            </w:r>
          </w:p>
        </w:tc>
        <w:tc>
          <w:tcPr>
            <w:tcW w:w="0" w:type="auto"/>
            <w:vAlign w:val="center"/>
            <w:hideMark/>
          </w:tcPr>
          <w:p w14:paraId="760CCD6B"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Intake</w:t>
            </w:r>
          </w:p>
        </w:tc>
        <w:tc>
          <w:tcPr>
            <w:tcW w:w="0" w:type="auto"/>
            <w:vAlign w:val="center"/>
            <w:hideMark/>
          </w:tcPr>
          <w:p w14:paraId="6431819F"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Token project or proposed integration is described</w:t>
            </w:r>
          </w:p>
        </w:tc>
      </w:tr>
      <w:tr w:rsidR="002602C5" w:rsidRPr="00F93F8B" w14:paraId="0ADC9AAE" w14:textId="77777777" w:rsidTr="002602C5">
        <w:trPr>
          <w:tblCellSpacing w:w="15" w:type="dxa"/>
        </w:trPr>
        <w:tc>
          <w:tcPr>
            <w:tcW w:w="0" w:type="auto"/>
            <w:vAlign w:val="center"/>
            <w:hideMark/>
          </w:tcPr>
          <w:p w14:paraId="63451951"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2</w:t>
            </w:r>
          </w:p>
        </w:tc>
        <w:tc>
          <w:tcPr>
            <w:tcW w:w="0" w:type="auto"/>
            <w:vAlign w:val="center"/>
            <w:hideMark/>
          </w:tcPr>
          <w:p w14:paraId="6CE926A5"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Classification</w:t>
            </w:r>
          </w:p>
        </w:tc>
        <w:tc>
          <w:tcPr>
            <w:tcW w:w="0" w:type="auto"/>
            <w:vAlign w:val="center"/>
            <w:hideMark/>
          </w:tcPr>
          <w:p w14:paraId="477C6933"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Token function, rights, claims, and status are classified</w:t>
            </w:r>
          </w:p>
        </w:tc>
      </w:tr>
      <w:tr w:rsidR="002602C5" w:rsidRPr="00F93F8B" w14:paraId="2E0EE9A4" w14:textId="77777777" w:rsidTr="002602C5">
        <w:trPr>
          <w:tblCellSpacing w:w="15" w:type="dxa"/>
        </w:trPr>
        <w:tc>
          <w:tcPr>
            <w:tcW w:w="0" w:type="auto"/>
            <w:vAlign w:val="center"/>
            <w:hideMark/>
          </w:tcPr>
          <w:p w14:paraId="4C26ADD2"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3</w:t>
            </w:r>
          </w:p>
        </w:tc>
        <w:tc>
          <w:tcPr>
            <w:tcW w:w="0" w:type="auto"/>
            <w:vAlign w:val="center"/>
            <w:hideMark/>
          </w:tcPr>
          <w:p w14:paraId="02E73C5E"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Source-layer check</w:t>
            </w:r>
          </w:p>
        </w:tc>
        <w:tc>
          <w:tcPr>
            <w:tcW w:w="0" w:type="auto"/>
            <w:vAlign w:val="center"/>
            <w:hideMark/>
          </w:tcPr>
          <w:p w14:paraId="7C0384E9"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Compatibility with foundational articles, Eternity Clauses, Access Covenant, and canonical glossary is assessed</w:t>
            </w:r>
          </w:p>
        </w:tc>
      </w:tr>
      <w:tr w:rsidR="002602C5" w:rsidRPr="00F93F8B" w14:paraId="04BEE03F" w14:textId="77777777" w:rsidTr="002602C5">
        <w:trPr>
          <w:tblCellSpacing w:w="15" w:type="dxa"/>
        </w:trPr>
        <w:tc>
          <w:tcPr>
            <w:tcW w:w="0" w:type="auto"/>
            <w:vAlign w:val="center"/>
            <w:hideMark/>
          </w:tcPr>
          <w:p w14:paraId="0D2600E3"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4</w:t>
            </w:r>
          </w:p>
        </w:tc>
        <w:tc>
          <w:tcPr>
            <w:tcW w:w="0" w:type="auto"/>
            <w:vAlign w:val="center"/>
            <w:hideMark/>
          </w:tcPr>
          <w:p w14:paraId="05FCC2CF"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Legal review</w:t>
            </w:r>
          </w:p>
        </w:tc>
        <w:tc>
          <w:tcPr>
            <w:tcW w:w="0" w:type="auto"/>
            <w:vAlign w:val="center"/>
            <w:hideMark/>
          </w:tcPr>
          <w:p w14:paraId="4CCA3778"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Jurisdictional, securities, tax, consumer, data, AML/KYC, sanctions, and contractual implications are reviewed where relevant</w:t>
            </w:r>
          </w:p>
        </w:tc>
      </w:tr>
      <w:tr w:rsidR="002602C5" w:rsidRPr="00F93F8B" w14:paraId="69EAA52D" w14:textId="77777777" w:rsidTr="002602C5">
        <w:trPr>
          <w:tblCellSpacing w:w="15" w:type="dxa"/>
        </w:trPr>
        <w:tc>
          <w:tcPr>
            <w:tcW w:w="0" w:type="auto"/>
            <w:vAlign w:val="center"/>
            <w:hideMark/>
          </w:tcPr>
          <w:p w14:paraId="29AD88B6"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5</w:t>
            </w:r>
          </w:p>
        </w:tc>
        <w:tc>
          <w:tcPr>
            <w:tcW w:w="0" w:type="auto"/>
            <w:vAlign w:val="center"/>
            <w:hideMark/>
          </w:tcPr>
          <w:p w14:paraId="01626DF6"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Technical review</w:t>
            </w:r>
          </w:p>
        </w:tc>
        <w:tc>
          <w:tcPr>
            <w:tcW w:w="0" w:type="auto"/>
            <w:vAlign w:val="center"/>
            <w:hideMark/>
          </w:tcPr>
          <w:p w14:paraId="3821208D"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Infrastructure, bridge, custody, security, and implementation risks are reviewed</w:t>
            </w:r>
          </w:p>
        </w:tc>
      </w:tr>
      <w:tr w:rsidR="002602C5" w:rsidRPr="00F93F8B" w14:paraId="5EADD899" w14:textId="77777777" w:rsidTr="002602C5">
        <w:trPr>
          <w:tblCellSpacing w:w="15" w:type="dxa"/>
        </w:trPr>
        <w:tc>
          <w:tcPr>
            <w:tcW w:w="0" w:type="auto"/>
            <w:vAlign w:val="center"/>
            <w:hideMark/>
          </w:tcPr>
          <w:p w14:paraId="69CFA07D"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6</w:t>
            </w:r>
          </w:p>
        </w:tc>
        <w:tc>
          <w:tcPr>
            <w:tcW w:w="0" w:type="auto"/>
            <w:vAlign w:val="center"/>
            <w:hideMark/>
          </w:tcPr>
          <w:p w14:paraId="5D4CBFE3"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MRV / PRU / RAP review</w:t>
            </w:r>
          </w:p>
        </w:tc>
        <w:tc>
          <w:tcPr>
            <w:tcW w:w="0" w:type="auto"/>
            <w:vAlign w:val="center"/>
            <w:hideMark/>
          </w:tcPr>
          <w:p w14:paraId="646A578E"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Any ecological, PRU, RAP, or impact claims are assessed</w:t>
            </w:r>
          </w:p>
        </w:tc>
      </w:tr>
      <w:tr w:rsidR="002602C5" w:rsidRPr="00F93F8B" w14:paraId="0B57516F" w14:textId="77777777" w:rsidTr="002602C5">
        <w:trPr>
          <w:tblCellSpacing w:w="15" w:type="dxa"/>
        </w:trPr>
        <w:tc>
          <w:tcPr>
            <w:tcW w:w="0" w:type="auto"/>
            <w:vAlign w:val="center"/>
            <w:hideMark/>
          </w:tcPr>
          <w:p w14:paraId="4E5B42A4"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7</w:t>
            </w:r>
          </w:p>
        </w:tc>
        <w:tc>
          <w:tcPr>
            <w:tcW w:w="0" w:type="auto"/>
            <w:vAlign w:val="center"/>
            <w:hideMark/>
          </w:tcPr>
          <w:p w14:paraId="1E187E59"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Governance review</w:t>
            </w:r>
          </w:p>
        </w:tc>
        <w:tc>
          <w:tcPr>
            <w:tcW w:w="0" w:type="auto"/>
            <w:vAlign w:val="center"/>
            <w:hideMark/>
          </w:tcPr>
          <w:p w14:paraId="2CB3DDF9"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Governance implications and anti-capture risks are assessed</w:t>
            </w:r>
          </w:p>
        </w:tc>
      </w:tr>
      <w:tr w:rsidR="002602C5" w:rsidRPr="00F93F8B" w14:paraId="0DA0C0F6" w14:textId="77777777" w:rsidTr="002602C5">
        <w:trPr>
          <w:tblCellSpacing w:w="15" w:type="dxa"/>
        </w:trPr>
        <w:tc>
          <w:tcPr>
            <w:tcW w:w="0" w:type="auto"/>
            <w:vAlign w:val="center"/>
            <w:hideMark/>
          </w:tcPr>
          <w:p w14:paraId="2FDBB6BD"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8</w:t>
            </w:r>
          </w:p>
        </w:tc>
        <w:tc>
          <w:tcPr>
            <w:tcW w:w="0" w:type="auto"/>
            <w:vAlign w:val="center"/>
            <w:hideMark/>
          </w:tcPr>
          <w:p w14:paraId="1AFE38F8"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Disclosure drafting</w:t>
            </w:r>
          </w:p>
        </w:tc>
        <w:tc>
          <w:tcPr>
            <w:tcW w:w="0" w:type="auto"/>
            <w:vAlign w:val="center"/>
            <w:hideMark/>
          </w:tcPr>
          <w:p w14:paraId="25DC4070"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Public language, limitations, and risks are drafted</w:t>
            </w:r>
          </w:p>
        </w:tc>
      </w:tr>
      <w:tr w:rsidR="002602C5" w:rsidRPr="00F93F8B" w14:paraId="1EBB8A8D" w14:textId="77777777" w:rsidTr="002602C5">
        <w:trPr>
          <w:tblCellSpacing w:w="15" w:type="dxa"/>
        </w:trPr>
        <w:tc>
          <w:tcPr>
            <w:tcW w:w="0" w:type="auto"/>
            <w:vAlign w:val="center"/>
            <w:hideMark/>
          </w:tcPr>
          <w:p w14:paraId="6B1760A7"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9</w:t>
            </w:r>
          </w:p>
        </w:tc>
        <w:tc>
          <w:tcPr>
            <w:tcW w:w="0" w:type="auto"/>
            <w:vAlign w:val="center"/>
            <w:hideMark/>
          </w:tcPr>
          <w:p w14:paraId="7AE3C4D9"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Sandbox</w:t>
            </w:r>
          </w:p>
        </w:tc>
        <w:tc>
          <w:tcPr>
            <w:tcW w:w="0" w:type="auto"/>
            <w:vAlign w:val="center"/>
            <w:hideMark/>
          </w:tcPr>
          <w:p w14:paraId="0F03C57A"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Integration is tested in limited, non-sensitive scope</w:t>
            </w:r>
          </w:p>
        </w:tc>
      </w:tr>
      <w:tr w:rsidR="002602C5" w:rsidRPr="00F93F8B" w14:paraId="05BF182E" w14:textId="77777777" w:rsidTr="002602C5">
        <w:trPr>
          <w:tblCellSpacing w:w="15" w:type="dxa"/>
        </w:trPr>
        <w:tc>
          <w:tcPr>
            <w:tcW w:w="0" w:type="auto"/>
            <w:vAlign w:val="center"/>
            <w:hideMark/>
          </w:tcPr>
          <w:p w14:paraId="1BBF03AA"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10</w:t>
            </w:r>
          </w:p>
        </w:tc>
        <w:tc>
          <w:tcPr>
            <w:tcW w:w="0" w:type="auto"/>
            <w:vAlign w:val="center"/>
            <w:hideMark/>
          </w:tcPr>
          <w:p w14:paraId="09FC4C54"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Decision</w:t>
            </w:r>
          </w:p>
        </w:tc>
        <w:tc>
          <w:tcPr>
            <w:tcW w:w="0" w:type="auto"/>
            <w:vAlign w:val="center"/>
            <w:hideMark/>
          </w:tcPr>
          <w:p w14:paraId="2F08F581"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Status is assigned, limited, operational, rejected, non-admissible, quarantined, or review-required</w:t>
            </w:r>
          </w:p>
        </w:tc>
      </w:tr>
      <w:tr w:rsidR="002602C5" w:rsidRPr="00F93F8B" w14:paraId="4CD382C9" w14:textId="77777777" w:rsidTr="002602C5">
        <w:trPr>
          <w:tblCellSpacing w:w="15" w:type="dxa"/>
        </w:trPr>
        <w:tc>
          <w:tcPr>
            <w:tcW w:w="0" w:type="auto"/>
            <w:vAlign w:val="center"/>
            <w:hideMark/>
          </w:tcPr>
          <w:p w14:paraId="0F0F46AD"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11</w:t>
            </w:r>
          </w:p>
        </w:tc>
        <w:tc>
          <w:tcPr>
            <w:tcW w:w="0" w:type="auto"/>
            <w:vAlign w:val="center"/>
            <w:hideMark/>
          </w:tcPr>
          <w:p w14:paraId="58170388"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Registry entry</w:t>
            </w:r>
          </w:p>
        </w:tc>
        <w:tc>
          <w:tcPr>
            <w:tcW w:w="0" w:type="auto"/>
            <w:vAlign w:val="center"/>
            <w:hideMark/>
          </w:tcPr>
          <w:p w14:paraId="05EF6A73"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Token status is published or recorded where appropriate</w:t>
            </w:r>
          </w:p>
        </w:tc>
      </w:tr>
      <w:tr w:rsidR="002602C5" w:rsidRPr="00F93F8B" w14:paraId="5B29C81C" w14:textId="77777777" w:rsidTr="002602C5">
        <w:trPr>
          <w:tblCellSpacing w:w="15" w:type="dxa"/>
        </w:trPr>
        <w:tc>
          <w:tcPr>
            <w:tcW w:w="0" w:type="auto"/>
            <w:vAlign w:val="center"/>
            <w:hideMark/>
          </w:tcPr>
          <w:p w14:paraId="694D3E05"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12</w:t>
            </w:r>
          </w:p>
        </w:tc>
        <w:tc>
          <w:tcPr>
            <w:tcW w:w="0" w:type="auto"/>
            <w:vAlign w:val="center"/>
            <w:hideMark/>
          </w:tcPr>
          <w:p w14:paraId="53514053"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Monitoring</w:t>
            </w:r>
          </w:p>
        </w:tc>
        <w:tc>
          <w:tcPr>
            <w:tcW w:w="0" w:type="auto"/>
            <w:vAlign w:val="center"/>
            <w:hideMark/>
          </w:tcPr>
          <w:p w14:paraId="6F1D8951" w14:textId="77777777" w:rsidR="002602C5" w:rsidRPr="00F93F8B" w:rsidRDefault="002602C5" w:rsidP="002602C5">
            <w:pPr>
              <w:spacing w:line="360" w:lineRule="auto"/>
              <w:rPr>
                <w:rFonts w:ascii="Baskerville Old Face" w:hAnsi="Baskerville Old Face"/>
                <w:i/>
                <w:iCs/>
                <w:sz w:val="18"/>
                <w:szCs w:val="18"/>
              </w:rPr>
            </w:pPr>
            <w:r w:rsidRPr="00F93F8B">
              <w:rPr>
                <w:rFonts w:ascii="Baskerville Old Face" w:hAnsi="Baskerville Old Face"/>
                <w:i/>
                <w:iCs/>
                <w:sz w:val="18"/>
                <w:szCs w:val="18"/>
              </w:rPr>
              <w:t>Integration is reviewed periodically</w:t>
            </w:r>
          </w:p>
        </w:tc>
      </w:tr>
    </w:tbl>
    <w:p w14:paraId="6CEEB25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This pathway preserves innovation without letting token complexity outrun constitutional clarity.</w:t>
      </w:r>
    </w:p>
    <w:p w14:paraId="1C3D6B9C" w14:textId="77777777" w:rsidR="002602C5" w:rsidRPr="00B479AE" w:rsidRDefault="002602C5" w:rsidP="002602C5">
      <w:pPr>
        <w:spacing w:line="360" w:lineRule="auto"/>
        <w:rPr>
          <w:rFonts w:ascii="Baskerville Old Face" w:hAnsi="Baskerville Old Face"/>
          <w:b/>
          <w:bCs/>
          <w:i/>
          <w:iCs/>
        </w:rPr>
      </w:pPr>
      <w:r w:rsidRPr="00B479AE">
        <w:rPr>
          <w:rFonts w:ascii="Baskerville Old Face" w:hAnsi="Baskerville Old Face"/>
          <w:b/>
          <w:bCs/>
          <w:i/>
          <w:iCs/>
        </w:rPr>
        <w:lastRenderedPageBreak/>
        <w:t>Q.20 Minimal Token Integration Registry Schema</w:t>
      </w:r>
    </w:p>
    <w:p w14:paraId="7B5600A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 Token Integration Registry entry may include the following illustrative structure:</w:t>
      </w:r>
    </w:p>
    <w:p w14:paraId="2D63333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json</w:t>
      </w:r>
      <w:r w:rsidRPr="00B479AE">
        <w:rPr>
          <w:rFonts w:ascii="Baskerville Old Face" w:hAnsi="Baskerville Old Face"/>
          <w:i/>
          <w:iCs/>
        </w:rPr>
        <w:br/>
        <w:t>{</w:t>
      </w:r>
      <w:r w:rsidRPr="00B479AE">
        <w:rPr>
          <w:rFonts w:ascii="Baskerville Old Face" w:hAnsi="Baskerville Old Face"/>
          <w:i/>
          <w:iCs/>
        </w:rPr>
        <w:br/>
        <w:t>"token_id": "token_registry_entry_0001",</w:t>
      </w:r>
      <w:r w:rsidRPr="00B479AE">
        <w:rPr>
          <w:rFonts w:ascii="Baskerville Old Face" w:hAnsi="Baskerville Old Face"/>
          <w:i/>
          <w:iCs/>
        </w:rPr>
        <w:br/>
        <w:t>"name": "Token Name",</w:t>
      </w:r>
      <w:r w:rsidRPr="00B479AE">
        <w:rPr>
          <w:rFonts w:ascii="Baskerville Old Face" w:hAnsi="Baskerville Old Face"/>
          <w:i/>
          <w:iCs/>
        </w:rPr>
        <w:br/>
        <w:t>"symbol": "TKN",</w:t>
      </w:r>
      <w:r w:rsidRPr="00B479AE">
        <w:rPr>
          <w:rFonts w:ascii="Baskerville Old Face" w:hAnsi="Baskerville Old Face"/>
          <w:i/>
          <w:iCs/>
        </w:rPr>
        <w:br/>
        <w:t>"issuer_or_controller": "entity_or_protocol_reference",</w:t>
      </w:r>
      <w:r w:rsidRPr="00B479AE">
        <w:rPr>
          <w:rFonts w:ascii="Baskerville Old Face" w:hAnsi="Baskerville Old Face"/>
          <w:i/>
          <w:iCs/>
        </w:rPr>
        <w:br/>
        <w:t>"network": "network_or_infrastructure_reference",</w:t>
      </w:r>
      <w:r w:rsidRPr="00B479AE">
        <w:rPr>
          <w:rFonts w:ascii="Baskerville Old Face" w:hAnsi="Baskerville Old Face"/>
          <w:i/>
          <w:iCs/>
        </w:rPr>
        <w:br/>
        <w:t>"classification": "utility | governance | contribution | settlement | security | credential | other",</w:t>
      </w:r>
      <w:r w:rsidRPr="00B479AE">
        <w:rPr>
          <w:rFonts w:ascii="Baskerville Old Face" w:hAnsi="Baskerville Old Face"/>
          <w:i/>
          <w:iCs/>
        </w:rPr>
        <w:br/>
        <w:t>"prometheus_status": "observed | research_sandbox | limited | operational | review_required | non_admissible | quarantined | revoked",</w:t>
      </w:r>
      <w:r w:rsidRPr="00B479AE">
        <w:rPr>
          <w:rFonts w:ascii="Baskerville Old Face" w:hAnsi="Baskerville Old Face"/>
          <w:i/>
          <w:iCs/>
        </w:rPr>
        <w:br/>
        <w:t>"approved_uses": [</w:t>
      </w:r>
      <w:r w:rsidRPr="00B479AE">
        <w:rPr>
          <w:rFonts w:ascii="Baskerville Old Face" w:hAnsi="Baskerville Old Face"/>
          <w:i/>
          <w:iCs/>
        </w:rPr>
        <w:br/>
        <w:t>"defined_use_1"</w:t>
      </w:r>
      <w:r w:rsidRPr="00B479AE">
        <w:rPr>
          <w:rFonts w:ascii="Baskerville Old Face" w:hAnsi="Baskerville Old Face"/>
          <w:i/>
          <w:iCs/>
        </w:rPr>
        <w:br/>
        <w:t>],</w:t>
      </w:r>
      <w:r w:rsidRPr="00B479AE">
        <w:rPr>
          <w:rFonts w:ascii="Baskerville Old Face" w:hAnsi="Baskerville Old Face"/>
          <w:i/>
          <w:iCs/>
        </w:rPr>
        <w:br/>
        <w:t>"prohibited_uses": [</w:t>
      </w:r>
      <w:r w:rsidRPr="00B479AE">
        <w:rPr>
          <w:rFonts w:ascii="Baskerville Old Face" w:hAnsi="Baskerville Old Face"/>
          <w:i/>
          <w:iCs/>
        </w:rPr>
        <w:br/>
        <w:t>"PRU value claim without admissibility",</w:t>
      </w:r>
      <w:r w:rsidRPr="00B479AE">
        <w:rPr>
          <w:rFonts w:ascii="Baskerville Old Face" w:hAnsi="Baskerville Old Face"/>
          <w:i/>
          <w:iCs/>
        </w:rPr>
        <w:br/>
        <w:t>"investor rights without legal wrapper"</w:t>
      </w:r>
      <w:r w:rsidRPr="00B479AE">
        <w:rPr>
          <w:rFonts w:ascii="Baskerville Old Face" w:hAnsi="Baskerville Old Face"/>
          <w:i/>
          <w:iCs/>
        </w:rPr>
        <w:br/>
        <w:t>],</w:t>
      </w:r>
      <w:r w:rsidRPr="00B479AE">
        <w:rPr>
          <w:rFonts w:ascii="Baskerville Old Face" w:hAnsi="Baskerville Old Face"/>
          <w:i/>
          <w:iCs/>
        </w:rPr>
        <w:br/>
        <w:t>"legal_review": {</w:t>
      </w:r>
      <w:r w:rsidRPr="00B479AE">
        <w:rPr>
          <w:rFonts w:ascii="Baskerville Old Face" w:hAnsi="Baskerville Old Face"/>
          <w:i/>
          <w:iCs/>
        </w:rPr>
        <w:br/>
        <w:t>"status": "not_started | pending | completed | jurisdiction_specific",</w:t>
      </w:r>
      <w:r w:rsidRPr="00B479AE">
        <w:rPr>
          <w:rFonts w:ascii="Baskerville Old Face" w:hAnsi="Baskerville Old Face"/>
          <w:i/>
          <w:iCs/>
        </w:rPr>
        <w:br/>
        <w:t>"jurisdictions": []</w:t>
      </w:r>
      <w:r w:rsidRPr="00B479AE">
        <w:rPr>
          <w:rFonts w:ascii="Baskerville Old Face" w:hAnsi="Baskerville Old Face"/>
          <w:i/>
          <w:iCs/>
        </w:rPr>
        <w:br/>
        <w:t>},</w:t>
      </w:r>
      <w:r w:rsidRPr="00B479AE">
        <w:rPr>
          <w:rFonts w:ascii="Baskerville Old Face" w:hAnsi="Baskerville Old Face"/>
          <w:i/>
          <w:iCs/>
        </w:rPr>
        <w:br/>
        <w:t>"mrv_pru_rap_relationship": {</w:t>
      </w:r>
      <w:r w:rsidRPr="00B479AE">
        <w:rPr>
          <w:rFonts w:ascii="Baskerville Old Face" w:hAnsi="Baskerville Old Face"/>
          <w:i/>
          <w:iCs/>
        </w:rPr>
        <w:br/>
        <w:t>"may_reference_mrv": false,</w:t>
      </w:r>
      <w:r w:rsidRPr="00B479AE">
        <w:rPr>
          <w:rFonts w:ascii="Baskerville Old Face" w:hAnsi="Baskerville Old Face"/>
          <w:i/>
          <w:iCs/>
        </w:rPr>
        <w:br/>
        <w:t>"may_reference_pru": false,</w:t>
      </w:r>
      <w:r w:rsidRPr="00B479AE">
        <w:rPr>
          <w:rFonts w:ascii="Baskerville Old Face" w:hAnsi="Baskerville Old Face"/>
          <w:i/>
          <w:iCs/>
        </w:rPr>
        <w:br/>
        <w:t>"may_reference_rap": false,</w:t>
      </w:r>
      <w:r w:rsidRPr="00B479AE">
        <w:rPr>
          <w:rFonts w:ascii="Baskerville Old Face" w:hAnsi="Baskerville Old Face"/>
          <w:i/>
          <w:iCs/>
        </w:rPr>
        <w:br/>
        <w:t>"conditions": []</w:t>
      </w:r>
      <w:r w:rsidRPr="00B479AE">
        <w:rPr>
          <w:rFonts w:ascii="Baskerville Old Face" w:hAnsi="Baskerville Old Face"/>
          <w:i/>
          <w:iCs/>
        </w:rPr>
        <w:br/>
        <w:t>},</w:t>
      </w:r>
      <w:r w:rsidRPr="00B479AE">
        <w:rPr>
          <w:rFonts w:ascii="Baskerville Old Face" w:hAnsi="Baskerville Old Face"/>
          <w:i/>
          <w:iCs/>
        </w:rPr>
        <w:br/>
        <w:t>"governance_relationship": {</w:t>
      </w:r>
      <w:r w:rsidRPr="00B479AE">
        <w:rPr>
          <w:rFonts w:ascii="Baskerville Old Face" w:hAnsi="Baskerville Old Face"/>
          <w:i/>
          <w:iCs/>
        </w:rPr>
        <w:br/>
        <w:t>"may_signal": false,</w:t>
      </w:r>
      <w:r w:rsidRPr="00B479AE">
        <w:rPr>
          <w:rFonts w:ascii="Baskerville Old Face" w:hAnsi="Baskerville Old Face"/>
          <w:i/>
          <w:iCs/>
        </w:rPr>
        <w:br/>
        <w:t>"may_vote": false,</w:t>
      </w:r>
      <w:r w:rsidRPr="00B479AE">
        <w:rPr>
          <w:rFonts w:ascii="Baskerville Old Face" w:hAnsi="Baskerville Old Face"/>
          <w:i/>
          <w:iCs/>
        </w:rPr>
        <w:br/>
        <w:t>"scope": "none_or_defined_scope"</w:t>
      </w:r>
      <w:r w:rsidRPr="00B479AE">
        <w:rPr>
          <w:rFonts w:ascii="Baskerville Old Face" w:hAnsi="Baskerville Old Face"/>
          <w:i/>
          <w:iCs/>
        </w:rPr>
        <w:br/>
      </w:r>
      <w:r w:rsidRPr="00B479AE">
        <w:rPr>
          <w:rFonts w:ascii="Baskerville Old Face" w:hAnsi="Baskerville Old Face"/>
          <w:i/>
          <w:iCs/>
        </w:rPr>
        <w:lastRenderedPageBreak/>
        <w:t>},</w:t>
      </w:r>
      <w:r w:rsidRPr="00B479AE">
        <w:rPr>
          <w:rFonts w:ascii="Baskerville Old Face" w:hAnsi="Baskerville Old Face"/>
          <w:i/>
          <w:iCs/>
        </w:rPr>
        <w:br/>
        <w:t>"bridge_exposure": {</w:t>
      </w:r>
      <w:r w:rsidRPr="00B479AE">
        <w:rPr>
          <w:rFonts w:ascii="Baskerville Old Face" w:hAnsi="Baskerville Old Face"/>
          <w:i/>
          <w:iCs/>
        </w:rPr>
        <w:br/>
        <w:t>"has_bridge": false,</w:t>
      </w:r>
      <w:r w:rsidRPr="00B479AE">
        <w:rPr>
          <w:rFonts w:ascii="Baskerville Old Face" w:hAnsi="Baskerville Old Face"/>
          <w:i/>
          <w:iCs/>
        </w:rPr>
        <w:br/>
        <w:t>"bridge_type": "none_or_defined_type",</w:t>
      </w:r>
      <w:r w:rsidRPr="00B479AE">
        <w:rPr>
          <w:rFonts w:ascii="Baskerville Old Face" w:hAnsi="Baskerville Old Face"/>
          <w:i/>
          <w:iCs/>
        </w:rPr>
        <w:br/>
        <w:t>"bridge_review_status": "not_applicable | pending | completed"</w:t>
      </w:r>
      <w:r w:rsidRPr="00B479AE">
        <w:rPr>
          <w:rFonts w:ascii="Baskerville Old Face" w:hAnsi="Baskerville Old Face"/>
          <w:i/>
          <w:iCs/>
        </w:rPr>
        <w:br/>
        <w:t>},</w:t>
      </w:r>
      <w:r w:rsidRPr="00B479AE">
        <w:rPr>
          <w:rFonts w:ascii="Baskerville Old Face" w:hAnsi="Baskerville Old Face"/>
          <w:i/>
          <w:iCs/>
        </w:rPr>
        <w:br/>
        <w:t>"ai_automation_exposure": {</w:t>
      </w:r>
      <w:r w:rsidRPr="00B479AE">
        <w:rPr>
          <w:rFonts w:ascii="Baskerville Old Face" w:hAnsi="Baskerville Old Face"/>
          <w:i/>
          <w:iCs/>
        </w:rPr>
        <w:br/>
        <w:t>"ai_can_allocate": false,</w:t>
      </w:r>
      <w:r w:rsidRPr="00B479AE">
        <w:rPr>
          <w:rFonts w:ascii="Baskerville Old Face" w:hAnsi="Baskerville Old Face"/>
          <w:i/>
          <w:iCs/>
        </w:rPr>
        <w:br/>
        <w:t>"ai_can_change_status": false,</w:t>
      </w:r>
      <w:r w:rsidRPr="00B479AE">
        <w:rPr>
          <w:rFonts w:ascii="Baskerville Old Face" w:hAnsi="Baskerville Old Face"/>
          <w:i/>
          <w:iCs/>
        </w:rPr>
        <w:br/>
        <w:t>"ai_can_modify_rights": false</w:t>
      </w:r>
      <w:r w:rsidRPr="00B479AE">
        <w:rPr>
          <w:rFonts w:ascii="Baskerville Old Face" w:hAnsi="Baskerville Old Face"/>
          <w:i/>
          <w:iCs/>
        </w:rPr>
        <w:br/>
        <w:t>},</w:t>
      </w:r>
      <w:r w:rsidRPr="00B479AE">
        <w:rPr>
          <w:rFonts w:ascii="Baskerville Old Face" w:hAnsi="Baskerville Old Face"/>
          <w:i/>
          <w:iCs/>
        </w:rPr>
        <w:br/>
        <w:t>"risk_class": "low | moderate | high | critical",</w:t>
      </w:r>
      <w:r w:rsidRPr="00B479AE">
        <w:rPr>
          <w:rFonts w:ascii="Baskerville Old Face" w:hAnsi="Baskerville Old Face"/>
          <w:i/>
          <w:iCs/>
        </w:rPr>
        <w:br/>
        <w:t>"review_date": "YYYY-MM-DD",</w:t>
      </w:r>
      <w:r w:rsidRPr="00B479AE">
        <w:rPr>
          <w:rFonts w:ascii="Baskerville Old Face" w:hAnsi="Baskerville Old Face"/>
          <w:i/>
          <w:iCs/>
        </w:rPr>
        <w:br/>
        <w:t>"canonical_registry_reference": "registry_url_or_hash"</w:t>
      </w:r>
      <w:r w:rsidRPr="00B479AE">
        <w:rPr>
          <w:rFonts w:ascii="Baskerville Old Face" w:hAnsi="Baskerville Old Face"/>
          <w:i/>
          <w:iCs/>
        </w:rPr>
        <w:br/>
        <w:t>}</w:t>
      </w:r>
    </w:p>
    <w:p w14:paraId="66D0CF94" w14:textId="77FE66C8"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This schema is illustrative.</w:t>
      </w:r>
      <w:r w:rsidR="00F93F8B">
        <w:rPr>
          <w:rFonts w:ascii="Baskerville Old Face" w:hAnsi="Baskerville Old Face"/>
          <w:i/>
          <w:iCs/>
        </w:rPr>
        <w:t xml:space="preserve"> </w:t>
      </w:r>
      <w:r w:rsidRPr="00B479AE">
        <w:rPr>
          <w:rFonts w:ascii="Baskerville Old Face" w:hAnsi="Baskerville Old Face"/>
          <w:i/>
          <w:iCs/>
        </w:rPr>
        <w:t>The operative schema should be versioned, reviewed, tested, and aligned with the canonical registry before implementation.</w:t>
      </w:r>
    </w:p>
    <w:p w14:paraId="73B85CEB" w14:textId="77777777" w:rsidR="002602C5" w:rsidRPr="00B479AE" w:rsidRDefault="002602C5" w:rsidP="002602C5">
      <w:pPr>
        <w:spacing w:line="360" w:lineRule="auto"/>
        <w:rPr>
          <w:rFonts w:ascii="Baskerville Old Face" w:hAnsi="Baskerville Old Face"/>
          <w:b/>
          <w:bCs/>
          <w:i/>
          <w:iCs/>
        </w:rPr>
      </w:pPr>
      <w:r w:rsidRPr="00B479AE">
        <w:rPr>
          <w:rFonts w:ascii="Baskerville Old Face" w:hAnsi="Baskerville Old Face"/>
          <w:b/>
          <w:bCs/>
          <w:i/>
          <w:iCs/>
        </w:rPr>
        <w:t>Q.21 Final Token Boundary Principle</w:t>
      </w:r>
    </w:p>
    <w:p w14:paraId="02D1A2C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Prometheus can interoperate with tokens.</w:t>
      </w:r>
    </w:p>
    <w:p w14:paraId="3F5D717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can learn from token communities.</w:t>
      </w:r>
    </w:p>
    <w:p w14:paraId="7ED7F57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can collaborate with DAOs.</w:t>
      </w:r>
    </w:p>
    <w:p w14:paraId="3DF1EA3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can recognize contribution.</w:t>
      </w:r>
    </w:p>
    <w:p w14:paraId="04B435F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can use settlement rails.</w:t>
      </w:r>
    </w:p>
    <w:p w14:paraId="1086748F"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can support future legally structured instruments.</w:t>
      </w:r>
    </w:p>
    <w:p w14:paraId="11325E2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can connect with Tribeke through sovereign alignment.</w:t>
      </w:r>
    </w:p>
    <w:p w14:paraId="07A60861" w14:textId="3A301232"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It can design future token-aware infrastructure.</w:t>
      </w:r>
      <w:r w:rsidR="00F93F8B">
        <w:rPr>
          <w:rFonts w:ascii="Baskerville Old Face" w:hAnsi="Baskerville Old Face"/>
          <w:i/>
          <w:iCs/>
        </w:rPr>
        <w:t xml:space="preserve"> </w:t>
      </w:r>
      <w:r w:rsidRPr="00B479AE">
        <w:rPr>
          <w:rFonts w:ascii="Baskerville Old Face" w:hAnsi="Baskerville Old Face"/>
          <w:i/>
          <w:iCs/>
        </w:rPr>
        <w:t>But the final boundary remains:</w:t>
      </w:r>
    </w:p>
    <w:p w14:paraId="079C21A5"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life is not a token;</w:t>
      </w:r>
    </w:p>
    <w:p w14:paraId="0BC37775"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lastRenderedPageBreak/>
        <w:t>dignity is not a token;</w:t>
      </w:r>
    </w:p>
    <w:p w14:paraId="64CA860A"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evidence is not a token;</w:t>
      </w:r>
    </w:p>
    <w:p w14:paraId="488512D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regeneration is not a token;</w:t>
      </w:r>
    </w:p>
    <w:p w14:paraId="34316AF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MRV is not a token;</w:t>
      </w:r>
    </w:p>
    <w:p w14:paraId="66E19F4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PRU is not automatically a token;</w:t>
      </w:r>
    </w:p>
    <w:p w14:paraId="78A787C8"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RAP is not automatically a token;</w:t>
      </w:r>
    </w:p>
    <w:p w14:paraId="4E10F792"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governance is not reducible to token weight;</w:t>
      </w:r>
    </w:p>
    <w:p w14:paraId="7BF675E0"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human continuity is not negotiable through market mechanics.</w:t>
      </w:r>
    </w:p>
    <w:p w14:paraId="39150A69"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Tokens may serve Prometheus.</w:t>
      </w:r>
    </w:p>
    <w:p w14:paraId="773D37AE"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They may not become Prometheus.</w:t>
      </w:r>
    </w:p>
    <w:p w14:paraId="028E10B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The final principle is:</w:t>
      </w:r>
    </w:p>
    <w:p w14:paraId="1F24E653"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symbols may move faster than life;</w:t>
      </w:r>
    </w:p>
    <w:p w14:paraId="65A4B274"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markets may move faster than evidence;</w:t>
      </w:r>
    </w:p>
    <w:p w14:paraId="7A5EF4BD"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code may move faster than law;</w:t>
      </w:r>
    </w:p>
    <w:p w14:paraId="27DFE661"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AI may move faster than governance;</w:t>
      </w:r>
    </w:p>
    <w:p w14:paraId="5395EA7C" w14:textId="77777777" w:rsidR="002602C5" w:rsidRPr="00B479AE" w:rsidRDefault="002602C5" w:rsidP="002602C5">
      <w:pPr>
        <w:spacing w:line="360" w:lineRule="auto"/>
        <w:rPr>
          <w:rFonts w:ascii="Baskerville Old Face" w:hAnsi="Baskerville Old Face"/>
          <w:i/>
          <w:iCs/>
        </w:rPr>
      </w:pPr>
      <w:r w:rsidRPr="00B479AE">
        <w:rPr>
          <w:rFonts w:ascii="Baskerville Old Face" w:hAnsi="Baskerville Old Face"/>
          <w:i/>
          <w:iCs/>
        </w:rPr>
        <w:t>but Prometheus must move only as fast as its source-layer fidelity, evidence discipline, legal structure, and living purpose allow.</w:t>
      </w:r>
    </w:p>
    <w:p w14:paraId="7ECE4574" w14:textId="1775E0AB" w:rsidR="009F54BC" w:rsidRPr="00ED0D46" w:rsidRDefault="009F54BC" w:rsidP="00ED0D46">
      <w:pPr>
        <w:pStyle w:val="Titolo1"/>
        <w:rPr>
          <w:rFonts w:ascii="Baskerville Old Face" w:hAnsi="Baskerville Old Face"/>
          <w:b/>
          <w:bCs/>
          <w:i/>
          <w:iCs/>
          <w:sz w:val="24"/>
          <w:szCs w:val="24"/>
        </w:rPr>
      </w:pPr>
      <w:r w:rsidRPr="00ED0D46">
        <w:rPr>
          <w:rFonts w:ascii="Baskerville Old Face" w:hAnsi="Baskerville Old Face"/>
          <w:b/>
          <w:bCs/>
          <w:i/>
          <w:iCs/>
          <w:sz w:val="24"/>
          <w:szCs w:val="24"/>
        </w:rPr>
        <w:t>Appendix R: Mathematical Formalization of PRU Value Analysis, Maturity Classification, and Capital-Readiness</w:t>
      </w:r>
    </w:p>
    <w:p w14:paraId="2A344FF3" w14:textId="37EF9FB2" w:rsidR="00A8129F" w:rsidRPr="00B479AE" w:rsidRDefault="00A8129F" w:rsidP="00A8129F">
      <w:pPr>
        <w:spacing w:line="360" w:lineRule="auto"/>
        <w:rPr>
          <w:rFonts w:ascii="Baskerville Old Face" w:hAnsi="Baskerville Old Face"/>
          <w:b/>
          <w:bCs/>
          <w:i/>
          <w:iCs/>
        </w:rPr>
      </w:pPr>
      <w:r w:rsidRPr="00B479AE">
        <w:rPr>
          <w:rFonts w:ascii="Baskerville Old Face" w:hAnsi="Baskerville Old Face"/>
          <w:b/>
          <w:bCs/>
          <w:i/>
          <w:iCs/>
        </w:rPr>
        <w:t>R.1 Purpose and Boundary</w:t>
      </w:r>
    </w:p>
    <w:p w14:paraId="6A392AD0" w14:textId="77777777" w:rsidR="00A3082F" w:rsidRPr="00B479AE" w:rsidRDefault="00A3082F" w:rsidP="00A3082F">
      <w:pPr>
        <w:spacing w:line="360" w:lineRule="auto"/>
        <w:rPr>
          <w:rFonts w:ascii="Baskerville Old Face" w:hAnsi="Baskerville Old Face"/>
          <w:i/>
          <w:iCs/>
        </w:rPr>
      </w:pPr>
      <w:r w:rsidRPr="00B479AE">
        <w:rPr>
          <w:rFonts w:ascii="Baskerville Old Face" w:hAnsi="Baskerville Old Face"/>
          <w:i/>
          <w:iCs/>
        </w:rPr>
        <w:t>This appendix formalizes the mathematical structure of the Prometheus Regenerative Unit, or PRU.</w:t>
      </w:r>
    </w:p>
    <w:p w14:paraId="777C20E4" w14:textId="77777777" w:rsidR="00A3082F" w:rsidRPr="00B479AE" w:rsidRDefault="00A3082F" w:rsidP="00A3082F">
      <w:pPr>
        <w:spacing w:line="360" w:lineRule="auto"/>
        <w:rPr>
          <w:rFonts w:ascii="Baskerville Old Face" w:hAnsi="Baskerville Old Face"/>
          <w:i/>
          <w:iCs/>
        </w:rPr>
      </w:pPr>
      <w:r w:rsidRPr="00B479AE">
        <w:rPr>
          <w:rFonts w:ascii="Baskerville Old Face" w:hAnsi="Baskerville Old Face"/>
          <w:i/>
          <w:iCs/>
        </w:rPr>
        <w:lastRenderedPageBreak/>
        <w:t>Its purpose is to define how verified regenerative performance may be translated into PRU value analysis, maturity classification, confidence adjustment, admissibility review, portfolio-readiness, and capital-readiness logic.</w:t>
      </w:r>
    </w:p>
    <w:p w14:paraId="5048BC69" w14:textId="77777777" w:rsidR="00A3082F" w:rsidRPr="00B479AE" w:rsidRDefault="00A3082F" w:rsidP="00A3082F">
      <w:pPr>
        <w:spacing w:line="360" w:lineRule="auto"/>
        <w:rPr>
          <w:rFonts w:ascii="Baskerville Old Face" w:hAnsi="Baskerville Old Face"/>
          <w:i/>
          <w:iCs/>
        </w:rPr>
      </w:pPr>
      <w:r w:rsidRPr="00B479AE">
        <w:rPr>
          <w:rFonts w:ascii="Baskerville Old Face" w:hAnsi="Baskerville Old Face"/>
          <w:i/>
          <w:iCs/>
        </w:rPr>
        <w:t>This appendix does not create automatic financial valuation, token issuance, investor entitlement, credit rating, securities rating, legal enforceability, market price, or financial instrument status.</w:t>
      </w:r>
    </w:p>
    <w:p w14:paraId="338047E0" w14:textId="77777777" w:rsidR="00A3082F" w:rsidRPr="00B479AE" w:rsidRDefault="00A3082F" w:rsidP="00A3082F">
      <w:pPr>
        <w:spacing w:line="360" w:lineRule="auto"/>
        <w:rPr>
          <w:rFonts w:ascii="Baskerville Old Face" w:hAnsi="Baskerville Old Face"/>
          <w:i/>
          <w:iCs/>
        </w:rPr>
      </w:pPr>
      <w:r w:rsidRPr="00B479AE">
        <w:rPr>
          <w:rFonts w:ascii="Baskerville Old Face" w:hAnsi="Baskerville Old Face"/>
          <w:i/>
          <w:iCs/>
        </w:rPr>
        <w:t>It provides a methodological language for interpreting regenerative performance only where evidence, MRV confidence, admissibility, governance review, legal boundaries, and anti-double-counting discipline support such interpretation.</w:t>
      </w:r>
    </w:p>
    <w:p w14:paraId="787B95BD" w14:textId="77777777" w:rsidR="00A3082F" w:rsidRPr="00B479AE" w:rsidRDefault="00A3082F" w:rsidP="00A3082F">
      <w:pPr>
        <w:spacing w:line="360" w:lineRule="auto"/>
        <w:rPr>
          <w:rFonts w:ascii="Baskerville Old Face" w:hAnsi="Baskerville Old Face"/>
          <w:i/>
          <w:iCs/>
        </w:rPr>
      </w:pPr>
      <w:r w:rsidRPr="00B479AE">
        <w:rPr>
          <w:rFonts w:ascii="Baskerville Old Face" w:hAnsi="Baskerville Old Face"/>
          <w:i/>
          <w:iCs/>
        </w:rPr>
        <w:t>The purpose of the mathematical framework is not to let formulas replace judgment.</w:t>
      </w:r>
    </w:p>
    <w:p w14:paraId="1E0F23E5" w14:textId="77777777" w:rsidR="00A3082F" w:rsidRPr="00B479AE" w:rsidRDefault="00A3082F" w:rsidP="00A3082F">
      <w:pPr>
        <w:spacing w:line="360" w:lineRule="auto"/>
        <w:rPr>
          <w:rFonts w:ascii="Baskerville Old Face" w:hAnsi="Baskerville Old Face"/>
          <w:i/>
          <w:iCs/>
        </w:rPr>
      </w:pPr>
      <w:r w:rsidRPr="00B479AE">
        <w:rPr>
          <w:rFonts w:ascii="Baskerville Old Face" w:hAnsi="Baskerville Old Face"/>
          <w:i/>
          <w:iCs/>
        </w:rPr>
        <w:t>The purpose is to make judgment more disciplined.</w:t>
      </w:r>
    </w:p>
    <w:p w14:paraId="5B1BEED1" w14:textId="77777777" w:rsidR="00A3082F" w:rsidRPr="00B479AE" w:rsidRDefault="00A3082F" w:rsidP="00A3082F">
      <w:pPr>
        <w:spacing w:line="360" w:lineRule="auto"/>
        <w:rPr>
          <w:rFonts w:ascii="Baskerville Old Face" w:hAnsi="Baskerville Old Face"/>
          <w:i/>
          <w:iCs/>
        </w:rPr>
      </w:pPr>
      <w:r w:rsidRPr="00B479AE">
        <w:rPr>
          <w:rFonts w:ascii="Baskerville Old Face" w:hAnsi="Baskerville Old Face"/>
          <w:i/>
          <w:iCs/>
        </w:rPr>
        <w:t>The core principle is:</w:t>
      </w:r>
    </w:p>
    <w:p w14:paraId="428F0A20" w14:textId="77777777" w:rsidR="00A3082F" w:rsidRPr="00B479AE" w:rsidRDefault="00A3082F" w:rsidP="00A3082F">
      <w:pPr>
        <w:spacing w:line="360" w:lineRule="auto"/>
        <w:rPr>
          <w:rFonts w:ascii="Baskerville Old Face" w:hAnsi="Baskerville Old Face"/>
          <w:i/>
          <w:iCs/>
        </w:rPr>
      </w:pPr>
      <w:r w:rsidRPr="00B479AE">
        <w:rPr>
          <w:rFonts w:ascii="Baskerville Old Face" w:hAnsi="Baskerville Old Face"/>
          <w:i/>
          <w:iCs/>
        </w:rPr>
        <w:t>verified regeneration may inform value;</w:t>
      </w:r>
    </w:p>
    <w:p w14:paraId="60FB9A4F" w14:textId="77777777" w:rsidR="00A3082F" w:rsidRPr="00B479AE" w:rsidRDefault="00A3082F" w:rsidP="00A3082F">
      <w:pPr>
        <w:spacing w:line="360" w:lineRule="auto"/>
        <w:rPr>
          <w:rFonts w:ascii="Baskerville Old Face" w:hAnsi="Baskerville Old Face"/>
          <w:i/>
          <w:iCs/>
        </w:rPr>
      </w:pPr>
      <w:r w:rsidRPr="00B479AE">
        <w:rPr>
          <w:rFonts w:ascii="Baskerville Old Face" w:hAnsi="Baskerville Old Face"/>
          <w:i/>
          <w:iCs/>
        </w:rPr>
        <w:t>value may inform capital;</w:t>
      </w:r>
    </w:p>
    <w:p w14:paraId="694C3BBE" w14:textId="77777777" w:rsidR="00A3082F" w:rsidRPr="00B479AE" w:rsidRDefault="00A3082F" w:rsidP="00A3082F">
      <w:pPr>
        <w:spacing w:line="360" w:lineRule="auto"/>
        <w:rPr>
          <w:rFonts w:ascii="Baskerville Old Face" w:hAnsi="Baskerville Old Face"/>
          <w:i/>
          <w:iCs/>
        </w:rPr>
      </w:pPr>
      <w:r w:rsidRPr="00B479AE">
        <w:rPr>
          <w:rFonts w:ascii="Baskerville Old Face" w:hAnsi="Baskerville Old Face"/>
          <w:i/>
          <w:iCs/>
        </w:rPr>
        <w:t>capital may scale regeneration;</w:t>
      </w:r>
    </w:p>
    <w:p w14:paraId="57D72B73" w14:textId="18388542" w:rsidR="00A3082F" w:rsidRPr="00B479AE" w:rsidRDefault="00A3082F" w:rsidP="00A3082F">
      <w:pPr>
        <w:spacing w:line="360" w:lineRule="auto"/>
        <w:rPr>
          <w:rFonts w:ascii="Baskerville Old Face" w:hAnsi="Baskerville Old Face"/>
          <w:i/>
          <w:iCs/>
        </w:rPr>
      </w:pPr>
      <w:r w:rsidRPr="00B479AE">
        <w:rPr>
          <w:rFonts w:ascii="Baskerville Old Face" w:hAnsi="Baskerville Old Face"/>
          <w:i/>
          <w:iCs/>
        </w:rPr>
        <w:t>but financial meaning remains downstream from evidence, law, governance, and admissibility.</w:t>
      </w:r>
    </w:p>
    <w:p w14:paraId="1AF27960" w14:textId="77777777" w:rsidR="00AD18E9" w:rsidRPr="00B479AE" w:rsidRDefault="00AD18E9" w:rsidP="00AD18E9">
      <w:pPr>
        <w:spacing w:line="360" w:lineRule="auto"/>
        <w:rPr>
          <w:rFonts w:ascii="Baskerville Old Face" w:hAnsi="Baskerville Old Face"/>
          <w:b/>
          <w:bCs/>
          <w:i/>
          <w:iCs/>
        </w:rPr>
      </w:pPr>
      <w:r w:rsidRPr="00B479AE">
        <w:rPr>
          <w:rFonts w:ascii="Baskerville Old Face" w:hAnsi="Baskerville Old Face"/>
          <w:b/>
          <w:bCs/>
          <w:i/>
          <w:iCs/>
        </w:rPr>
        <w:t>R.2 PRU as Verified Regenerative Performance Logic</w:t>
      </w:r>
    </w:p>
    <w:p w14:paraId="632720DA"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The Prometheus Regenerative Unit, or PRU, is the analytical representation of verified regenerative performance under an approved or applicable methodology.</w:t>
      </w:r>
    </w:p>
    <w:p w14:paraId="6F244840"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A PRU is not land.</w:t>
      </w:r>
    </w:p>
    <w:p w14:paraId="5DF49F28"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A PRU is not a speculative token.</w:t>
      </w:r>
    </w:p>
    <w:p w14:paraId="0C8AAE8E"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A PRU is not an automatic asset.</w:t>
      </w:r>
    </w:p>
    <w:p w14:paraId="3F573C14"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A PRU is not a security by itself.</w:t>
      </w:r>
    </w:p>
    <w:p w14:paraId="10A8917A"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A PRU is not a carbon credit by default.</w:t>
      </w:r>
    </w:p>
    <w:p w14:paraId="2DE1B05E"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A PRU is not a public investment product.</w:t>
      </w:r>
    </w:p>
    <w:p w14:paraId="4637BEB8"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lastRenderedPageBreak/>
        <w:t>A PRU is not automatically tradable, pledgeable, securitizable, tokenizable, investor-facing, or rights-bearing.</w:t>
      </w:r>
    </w:p>
    <w:p w14:paraId="639C7800"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A PRU becomes relevant to value only through evidence, methodology, confidence, governance review, legal structure where required, and admissibility.</w:t>
      </w:r>
    </w:p>
    <w:p w14:paraId="04B48C11"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The PRU may be expressed conceptually as:</w:t>
      </w:r>
    </w:p>
    <w:p w14:paraId="1D6E2984" w14:textId="77777777" w:rsidR="00AD18E9" w:rsidRPr="005907F1" w:rsidRDefault="00AD18E9" w:rsidP="00AD18E9">
      <w:pPr>
        <w:spacing w:line="360" w:lineRule="auto"/>
        <w:rPr>
          <w:rFonts w:ascii="Baskerville Old Face" w:hAnsi="Baskerville Old Face"/>
          <w:i/>
          <w:iCs/>
          <w:lang w:val="it-IT"/>
        </w:rPr>
      </w:pPr>
      <w:r w:rsidRPr="005907F1">
        <w:rPr>
          <w:rFonts w:ascii="Baskerville Old Face" w:hAnsi="Baskerville Old Face"/>
          <w:i/>
          <w:iCs/>
          <w:lang w:val="it-IT"/>
        </w:rPr>
        <w:t>PRU = f(MRV, OHE, SRI, RPI, CESI, C)</w:t>
      </w:r>
    </w:p>
    <w:p w14:paraId="263B6F6B"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where:</w:t>
      </w:r>
    </w:p>
    <w:p w14:paraId="512E13C4"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MRV = Measurement, Reporting, and Verification layer.</w:t>
      </w:r>
    </w:p>
    <w:p w14:paraId="6FB9335F"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OHE = One Human Ecosystem or OHE-compatible regenerative unit.</w:t>
      </w:r>
    </w:p>
    <w:p w14:paraId="2EF4B64E"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SRI = Syntropic Resilience Index.</w:t>
      </w:r>
    </w:p>
    <w:p w14:paraId="7D028C4C"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RPI = Regenerative Productivity Index.</w:t>
      </w:r>
    </w:p>
    <w:p w14:paraId="65CD4820"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CESI = Cooperative Ecological Surplus Index.</w:t>
      </w:r>
    </w:p>
    <w:p w14:paraId="0F54F208"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C = confidence, admissibility, legal-boundary, and no-double-counting constraints.</w:t>
      </w:r>
    </w:p>
    <w:p w14:paraId="501D94F3" w14:textId="71BDA19C"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The PRU does not represent land, biomass, yield, token rights, governance rights, investor exposure, or legal entitlement in isolation.</w:t>
      </w:r>
      <w:r w:rsidR="00F93F8B">
        <w:rPr>
          <w:rFonts w:ascii="Baskerville Old Face" w:hAnsi="Baskerville Old Face"/>
          <w:i/>
          <w:iCs/>
        </w:rPr>
        <w:t xml:space="preserve"> </w:t>
      </w:r>
      <w:r w:rsidRPr="00B479AE">
        <w:rPr>
          <w:rFonts w:ascii="Baskerville Old Face" w:hAnsi="Baskerville Old Face"/>
          <w:i/>
          <w:iCs/>
        </w:rPr>
        <w:t>It represents verified regenerative performance translated into structured analytical value under defined methodology.</w:t>
      </w:r>
    </w:p>
    <w:p w14:paraId="783579EB" w14:textId="7A898FFB"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PRU logic becomes financially relevant only where evidence, admissibility, legal structure, governance review, and jurisdiction-specific boundaries support such use.</w:t>
      </w:r>
      <w:r w:rsidR="00F93F8B">
        <w:rPr>
          <w:rFonts w:ascii="Baskerville Old Face" w:hAnsi="Baskerville Old Face"/>
          <w:i/>
          <w:iCs/>
        </w:rPr>
        <w:t xml:space="preserve"> </w:t>
      </w:r>
      <w:r w:rsidRPr="00B479AE">
        <w:rPr>
          <w:rFonts w:ascii="Baskerville Old Face" w:hAnsi="Baskerville Old Face"/>
          <w:i/>
          <w:iCs/>
        </w:rPr>
        <w:t>The correct sequence is:</w:t>
      </w:r>
    </w:p>
    <w:p w14:paraId="36931A84"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 xml:space="preserve">living system </w:t>
      </w:r>
      <w:r w:rsidRPr="00B479AE">
        <w:rPr>
          <w:rFonts w:ascii="Times New Roman" w:hAnsi="Times New Roman" w:cs="Times New Roman"/>
          <w:i/>
          <w:iCs/>
        </w:rPr>
        <w:t>→</w:t>
      </w:r>
      <w:r w:rsidRPr="00B479AE">
        <w:rPr>
          <w:rFonts w:ascii="Baskerville Old Face" w:hAnsi="Baskerville Old Face"/>
          <w:i/>
          <w:iCs/>
        </w:rPr>
        <w:t xml:space="preserve"> MRV evidence </w:t>
      </w:r>
      <w:r w:rsidRPr="00B479AE">
        <w:rPr>
          <w:rFonts w:ascii="Times New Roman" w:hAnsi="Times New Roman" w:cs="Times New Roman"/>
          <w:i/>
          <w:iCs/>
        </w:rPr>
        <w:t>→</w:t>
      </w:r>
      <w:r w:rsidRPr="00B479AE">
        <w:rPr>
          <w:rFonts w:ascii="Baskerville Old Face" w:hAnsi="Baskerville Old Face"/>
          <w:i/>
          <w:iCs/>
        </w:rPr>
        <w:t xml:space="preserve"> verified indicator </w:t>
      </w:r>
      <w:r w:rsidRPr="00B479AE">
        <w:rPr>
          <w:rFonts w:ascii="Times New Roman" w:hAnsi="Times New Roman" w:cs="Times New Roman"/>
          <w:i/>
          <w:iCs/>
        </w:rPr>
        <w:t>→</w:t>
      </w:r>
      <w:r w:rsidRPr="00B479AE">
        <w:rPr>
          <w:rFonts w:ascii="Baskerville Old Face" w:hAnsi="Baskerville Old Face"/>
          <w:i/>
          <w:iCs/>
        </w:rPr>
        <w:t xml:space="preserve"> admissibility review </w:t>
      </w:r>
      <w:r w:rsidRPr="00B479AE">
        <w:rPr>
          <w:rFonts w:ascii="Times New Roman" w:hAnsi="Times New Roman" w:cs="Times New Roman"/>
          <w:i/>
          <w:iCs/>
        </w:rPr>
        <w:t>→</w:t>
      </w:r>
      <w:r w:rsidRPr="00B479AE">
        <w:rPr>
          <w:rFonts w:ascii="Baskerville Old Face" w:hAnsi="Baskerville Old Face"/>
          <w:i/>
          <w:iCs/>
        </w:rPr>
        <w:t xml:space="preserve"> PRU value analysis </w:t>
      </w:r>
      <w:r w:rsidRPr="00B479AE">
        <w:rPr>
          <w:rFonts w:ascii="Times New Roman" w:hAnsi="Times New Roman" w:cs="Times New Roman"/>
          <w:i/>
          <w:iCs/>
        </w:rPr>
        <w:t>→</w:t>
      </w:r>
      <w:r w:rsidRPr="00B479AE">
        <w:rPr>
          <w:rFonts w:ascii="Baskerville Old Face" w:hAnsi="Baskerville Old Face"/>
          <w:i/>
          <w:iCs/>
        </w:rPr>
        <w:t xml:space="preserve"> maturity classification </w:t>
      </w:r>
      <w:r w:rsidRPr="00B479AE">
        <w:rPr>
          <w:rFonts w:ascii="Times New Roman" w:hAnsi="Times New Roman" w:cs="Times New Roman"/>
          <w:i/>
          <w:iCs/>
        </w:rPr>
        <w:t>→</w:t>
      </w:r>
      <w:r w:rsidRPr="00B479AE">
        <w:rPr>
          <w:rFonts w:ascii="Baskerville Old Face" w:hAnsi="Baskerville Old Face"/>
          <w:i/>
          <w:iCs/>
        </w:rPr>
        <w:t xml:space="preserve"> capital-readiness review </w:t>
      </w:r>
      <w:r w:rsidRPr="00B479AE">
        <w:rPr>
          <w:rFonts w:ascii="Times New Roman" w:hAnsi="Times New Roman" w:cs="Times New Roman"/>
          <w:i/>
          <w:iCs/>
        </w:rPr>
        <w:t>→</w:t>
      </w:r>
      <w:r w:rsidRPr="00B479AE">
        <w:rPr>
          <w:rFonts w:ascii="Baskerville Old Face" w:hAnsi="Baskerville Old Face"/>
          <w:i/>
          <w:iCs/>
        </w:rPr>
        <w:t xml:space="preserve"> possible compliant representation.</w:t>
      </w:r>
    </w:p>
    <w:p w14:paraId="446D1464"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This sequence prevents Prometheus from moving directly from ecological evidence to financial instrument status.</w:t>
      </w:r>
    </w:p>
    <w:p w14:paraId="27B42363"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A PRU is therefore not the source of regenerative value.</w:t>
      </w:r>
    </w:p>
    <w:p w14:paraId="44BE4563"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The living system generates regenerative performance.</w:t>
      </w:r>
    </w:p>
    <w:p w14:paraId="5278B830"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lastRenderedPageBreak/>
        <w:t>MRV makes that performance observable.</w:t>
      </w:r>
    </w:p>
    <w:p w14:paraId="7C3EDF60"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Methodology makes it interpretable.</w:t>
      </w:r>
    </w:p>
    <w:p w14:paraId="130C7331"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Admissibility makes it usable.</w:t>
      </w:r>
    </w:p>
    <w:p w14:paraId="5FABE874"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PRU logic makes it analytically comparable.</w:t>
      </w:r>
    </w:p>
    <w:p w14:paraId="6101992F" w14:textId="77777777" w:rsidR="00AD18E9" w:rsidRPr="00B479AE" w:rsidRDefault="00AD18E9" w:rsidP="00AD18E9">
      <w:pPr>
        <w:spacing w:line="360" w:lineRule="auto"/>
        <w:rPr>
          <w:rFonts w:ascii="Baskerville Old Face" w:hAnsi="Baskerville Old Face"/>
          <w:i/>
          <w:iCs/>
        </w:rPr>
      </w:pPr>
      <w:r w:rsidRPr="00B479AE">
        <w:rPr>
          <w:rFonts w:ascii="Baskerville Old Face" w:hAnsi="Baskerville Old Face"/>
          <w:i/>
          <w:iCs/>
        </w:rPr>
        <w:t>Legal structure, where required, determines whether and how any capital-facing right or instrument may exist.</w:t>
      </w:r>
    </w:p>
    <w:p w14:paraId="7B4AEF9A"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R.3 PRU maturity stages</w:t>
      </w:r>
    </w:p>
    <w:p w14:paraId="04D6DFA9" w14:textId="57666122"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PRU should mature through explicit stages.</w:t>
      </w:r>
      <w:r w:rsidR="00417105" w:rsidRPr="00B479AE">
        <w:rPr>
          <w:rFonts w:ascii="Baskerville Old Face" w:hAnsi="Baskerville Old Face"/>
          <w:i/>
          <w:iCs/>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0"/>
        <w:gridCol w:w="4024"/>
        <w:gridCol w:w="3374"/>
      </w:tblGrid>
      <w:tr w:rsidR="00B961DF" w:rsidRPr="00F93F8B" w14:paraId="7EFF7E19" w14:textId="77777777" w:rsidTr="00B961DF">
        <w:trPr>
          <w:tblHeader/>
          <w:tblCellSpacing w:w="15" w:type="dxa"/>
        </w:trPr>
        <w:tc>
          <w:tcPr>
            <w:tcW w:w="0" w:type="auto"/>
            <w:vAlign w:val="center"/>
            <w:hideMark/>
          </w:tcPr>
          <w:p w14:paraId="424EFB7C" w14:textId="77777777" w:rsidR="00B961DF" w:rsidRPr="00F93F8B" w:rsidRDefault="00B961DF" w:rsidP="00B961DF">
            <w:pPr>
              <w:spacing w:line="360" w:lineRule="auto"/>
              <w:rPr>
                <w:rFonts w:ascii="Baskerville Old Face" w:hAnsi="Baskerville Old Face"/>
                <w:b/>
                <w:bCs/>
                <w:i/>
                <w:iCs/>
                <w:sz w:val="20"/>
                <w:szCs w:val="20"/>
              </w:rPr>
            </w:pPr>
            <w:r w:rsidRPr="00F93F8B">
              <w:rPr>
                <w:rFonts w:ascii="Baskerville Old Face" w:hAnsi="Baskerville Old Face"/>
                <w:b/>
                <w:bCs/>
                <w:i/>
                <w:iCs/>
                <w:sz w:val="20"/>
                <w:szCs w:val="20"/>
              </w:rPr>
              <w:t>Stage</w:t>
            </w:r>
          </w:p>
        </w:tc>
        <w:tc>
          <w:tcPr>
            <w:tcW w:w="0" w:type="auto"/>
            <w:vAlign w:val="center"/>
            <w:hideMark/>
          </w:tcPr>
          <w:p w14:paraId="6B129A83" w14:textId="77777777" w:rsidR="00B961DF" w:rsidRPr="00F93F8B" w:rsidRDefault="00B961DF" w:rsidP="00B961DF">
            <w:pPr>
              <w:spacing w:line="360" w:lineRule="auto"/>
              <w:rPr>
                <w:rFonts w:ascii="Baskerville Old Face" w:hAnsi="Baskerville Old Face"/>
                <w:b/>
                <w:bCs/>
                <w:i/>
                <w:iCs/>
                <w:sz w:val="20"/>
                <w:szCs w:val="20"/>
              </w:rPr>
            </w:pPr>
            <w:r w:rsidRPr="00F93F8B">
              <w:rPr>
                <w:rFonts w:ascii="Baskerville Old Face" w:hAnsi="Baskerville Old Face"/>
                <w:b/>
                <w:bCs/>
                <w:i/>
                <w:iCs/>
                <w:sz w:val="20"/>
                <w:szCs w:val="20"/>
              </w:rPr>
              <w:t>Meaning</w:t>
            </w:r>
          </w:p>
        </w:tc>
        <w:tc>
          <w:tcPr>
            <w:tcW w:w="0" w:type="auto"/>
            <w:vAlign w:val="center"/>
            <w:hideMark/>
          </w:tcPr>
          <w:p w14:paraId="43BE84F5" w14:textId="77777777" w:rsidR="00B961DF" w:rsidRPr="00F93F8B" w:rsidRDefault="00B961DF" w:rsidP="00B961DF">
            <w:pPr>
              <w:spacing w:line="360" w:lineRule="auto"/>
              <w:rPr>
                <w:rFonts w:ascii="Baskerville Old Face" w:hAnsi="Baskerville Old Face"/>
                <w:b/>
                <w:bCs/>
                <w:i/>
                <w:iCs/>
                <w:sz w:val="20"/>
                <w:szCs w:val="20"/>
              </w:rPr>
            </w:pPr>
            <w:r w:rsidRPr="00F93F8B">
              <w:rPr>
                <w:rFonts w:ascii="Baskerville Old Face" w:hAnsi="Baskerville Old Face"/>
                <w:b/>
                <w:bCs/>
                <w:i/>
                <w:iCs/>
                <w:sz w:val="20"/>
                <w:szCs w:val="20"/>
              </w:rPr>
              <w:t>Permitted use</w:t>
            </w:r>
          </w:p>
        </w:tc>
      </w:tr>
      <w:tr w:rsidR="00B961DF" w:rsidRPr="00F93F8B" w14:paraId="0FD6F3D6" w14:textId="77777777" w:rsidTr="00B961DF">
        <w:trPr>
          <w:tblCellSpacing w:w="15" w:type="dxa"/>
        </w:trPr>
        <w:tc>
          <w:tcPr>
            <w:tcW w:w="0" w:type="auto"/>
            <w:vAlign w:val="center"/>
            <w:hideMark/>
          </w:tcPr>
          <w:p w14:paraId="2A956FC8"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b/>
                <w:bCs/>
                <w:i/>
                <w:iCs/>
                <w:sz w:val="20"/>
                <w:szCs w:val="20"/>
              </w:rPr>
              <w:t>PRU concept</w:t>
            </w:r>
          </w:p>
        </w:tc>
        <w:tc>
          <w:tcPr>
            <w:tcW w:w="0" w:type="auto"/>
            <w:vAlign w:val="center"/>
            <w:hideMark/>
          </w:tcPr>
          <w:p w14:paraId="41EE184F"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i/>
                <w:iCs/>
                <w:sz w:val="20"/>
                <w:szCs w:val="20"/>
              </w:rPr>
              <w:t>Theoretical structure for representing regenerative performance.</w:t>
            </w:r>
          </w:p>
        </w:tc>
        <w:tc>
          <w:tcPr>
            <w:tcW w:w="0" w:type="auto"/>
            <w:vAlign w:val="center"/>
            <w:hideMark/>
          </w:tcPr>
          <w:p w14:paraId="66276191"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i/>
                <w:iCs/>
                <w:sz w:val="20"/>
                <w:szCs w:val="20"/>
              </w:rPr>
              <w:t>White Paper, research, design discussion.</w:t>
            </w:r>
          </w:p>
        </w:tc>
      </w:tr>
      <w:tr w:rsidR="00B961DF" w:rsidRPr="00F93F8B" w14:paraId="2B42C677" w14:textId="77777777" w:rsidTr="00B961DF">
        <w:trPr>
          <w:tblCellSpacing w:w="15" w:type="dxa"/>
        </w:trPr>
        <w:tc>
          <w:tcPr>
            <w:tcW w:w="0" w:type="auto"/>
            <w:vAlign w:val="center"/>
            <w:hideMark/>
          </w:tcPr>
          <w:p w14:paraId="44550B65"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b/>
                <w:bCs/>
                <w:i/>
                <w:iCs/>
                <w:sz w:val="20"/>
                <w:szCs w:val="20"/>
              </w:rPr>
              <w:t>PRU methodology draft</w:t>
            </w:r>
          </w:p>
        </w:tc>
        <w:tc>
          <w:tcPr>
            <w:tcW w:w="0" w:type="auto"/>
            <w:vAlign w:val="center"/>
            <w:hideMark/>
          </w:tcPr>
          <w:p w14:paraId="0DA2F371"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i/>
                <w:iCs/>
                <w:sz w:val="20"/>
                <w:szCs w:val="20"/>
              </w:rPr>
              <w:t>Preliminary method defining indicators, evidence, confidence, and scoring logic.</w:t>
            </w:r>
          </w:p>
        </w:tc>
        <w:tc>
          <w:tcPr>
            <w:tcW w:w="0" w:type="auto"/>
            <w:vAlign w:val="center"/>
            <w:hideMark/>
          </w:tcPr>
          <w:p w14:paraId="3F61F00C"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i/>
                <w:iCs/>
                <w:sz w:val="20"/>
                <w:szCs w:val="20"/>
              </w:rPr>
              <w:t>Internal review, expert feedback, pilot design.</w:t>
            </w:r>
          </w:p>
        </w:tc>
      </w:tr>
      <w:tr w:rsidR="00B961DF" w:rsidRPr="00F93F8B" w14:paraId="0E030800" w14:textId="77777777" w:rsidTr="00B961DF">
        <w:trPr>
          <w:tblCellSpacing w:w="15" w:type="dxa"/>
        </w:trPr>
        <w:tc>
          <w:tcPr>
            <w:tcW w:w="0" w:type="auto"/>
            <w:vAlign w:val="center"/>
            <w:hideMark/>
          </w:tcPr>
          <w:p w14:paraId="3BC48F5C"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b/>
                <w:bCs/>
                <w:i/>
                <w:iCs/>
                <w:sz w:val="20"/>
                <w:szCs w:val="20"/>
              </w:rPr>
              <w:t>Pilot PRU assessment</w:t>
            </w:r>
          </w:p>
        </w:tc>
        <w:tc>
          <w:tcPr>
            <w:tcW w:w="0" w:type="auto"/>
            <w:vAlign w:val="center"/>
            <w:hideMark/>
          </w:tcPr>
          <w:p w14:paraId="7EBC84E0"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i/>
                <w:iCs/>
                <w:sz w:val="20"/>
                <w:szCs w:val="20"/>
              </w:rPr>
              <w:t>Application of draft methodology to a pilot.</w:t>
            </w:r>
          </w:p>
        </w:tc>
        <w:tc>
          <w:tcPr>
            <w:tcW w:w="0" w:type="auto"/>
            <w:vAlign w:val="center"/>
            <w:hideMark/>
          </w:tcPr>
          <w:p w14:paraId="21427804"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i/>
                <w:iCs/>
                <w:sz w:val="20"/>
                <w:szCs w:val="20"/>
              </w:rPr>
              <w:t>Learning, MRV refinement, non-financial reporting.</w:t>
            </w:r>
          </w:p>
        </w:tc>
      </w:tr>
      <w:tr w:rsidR="00B961DF" w:rsidRPr="00F93F8B" w14:paraId="3D96AFB1" w14:textId="77777777" w:rsidTr="00B961DF">
        <w:trPr>
          <w:tblCellSpacing w:w="15" w:type="dxa"/>
        </w:trPr>
        <w:tc>
          <w:tcPr>
            <w:tcW w:w="0" w:type="auto"/>
            <w:vAlign w:val="center"/>
            <w:hideMark/>
          </w:tcPr>
          <w:p w14:paraId="2556939C"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b/>
                <w:bCs/>
                <w:i/>
                <w:iCs/>
                <w:sz w:val="20"/>
                <w:szCs w:val="20"/>
              </w:rPr>
              <w:t>Confidence-scored PRU analysis</w:t>
            </w:r>
          </w:p>
        </w:tc>
        <w:tc>
          <w:tcPr>
            <w:tcW w:w="0" w:type="auto"/>
            <w:vAlign w:val="center"/>
            <w:hideMark/>
          </w:tcPr>
          <w:p w14:paraId="05699693"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i/>
                <w:iCs/>
                <w:sz w:val="20"/>
                <w:szCs w:val="20"/>
              </w:rPr>
              <w:t>PRU-relevant evidence assessed with confidence and limitations.</w:t>
            </w:r>
          </w:p>
        </w:tc>
        <w:tc>
          <w:tcPr>
            <w:tcW w:w="0" w:type="auto"/>
            <w:vAlign w:val="center"/>
            <w:hideMark/>
          </w:tcPr>
          <w:p w14:paraId="3EC24325"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i/>
                <w:iCs/>
                <w:sz w:val="20"/>
                <w:szCs w:val="20"/>
              </w:rPr>
              <w:t>Governance review, data-room context, capital-readiness analysis.</w:t>
            </w:r>
          </w:p>
        </w:tc>
      </w:tr>
      <w:tr w:rsidR="00B961DF" w:rsidRPr="00F93F8B" w14:paraId="2197A77D" w14:textId="77777777" w:rsidTr="00B961DF">
        <w:trPr>
          <w:tblCellSpacing w:w="15" w:type="dxa"/>
        </w:trPr>
        <w:tc>
          <w:tcPr>
            <w:tcW w:w="0" w:type="auto"/>
            <w:vAlign w:val="center"/>
            <w:hideMark/>
          </w:tcPr>
          <w:p w14:paraId="58DEFD8E"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b/>
                <w:bCs/>
                <w:i/>
                <w:iCs/>
                <w:sz w:val="20"/>
                <w:szCs w:val="20"/>
              </w:rPr>
              <w:t>Reviewed PRU report</w:t>
            </w:r>
          </w:p>
        </w:tc>
        <w:tc>
          <w:tcPr>
            <w:tcW w:w="0" w:type="auto"/>
            <w:vAlign w:val="center"/>
            <w:hideMark/>
          </w:tcPr>
          <w:p w14:paraId="7DB20BC5"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i/>
                <w:iCs/>
                <w:sz w:val="20"/>
                <w:szCs w:val="20"/>
              </w:rPr>
              <w:t>PRU analysis reviewed under defined methodology.</w:t>
            </w:r>
          </w:p>
        </w:tc>
        <w:tc>
          <w:tcPr>
            <w:tcW w:w="0" w:type="auto"/>
            <w:vAlign w:val="center"/>
            <w:hideMark/>
          </w:tcPr>
          <w:p w14:paraId="327A86F1"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i/>
                <w:iCs/>
                <w:sz w:val="20"/>
                <w:szCs w:val="20"/>
              </w:rPr>
              <w:t>Institutional diligence, controlled reporting, underwriting support.</w:t>
            </w:r>
          </w:p>
        </w:tc>
      </w:tr>
      <w:tr w:rsidR="00B961DF" w:rsidRPr="00F93F8B" w14:paraId="08C51FAD" w14:textId="77777777" w:rsidTr="00B961DF">
        <w:trPr>
          <w:tblCellSpacing w:w="15" w:type="dxa"/>
        </w:trPr>
        <w:tc>
          <w:tcPr>
            <w:tcW w:w="0" w:type="auto"/>
            <w:vAlign w:val="center"/>
            <w:hideMark/>
          </w:tcPr>
          <w:p w14:paraId="52013B61" w14:textId="62FB9B13" w:rsidR="00B961DF" w:rsidRPr="00F93F8B" w:rsidRDefault="00193796" w:rsidP="00B961DF">
            <w:pPr>
              <w:spacing w:line="360" w:lineRule="auto"/>
              <w:rPr>
                <w:rFonts w:ascii="Baskerville Old Face" w:hAnsi="Baskerville Old Face"/>
                <w:i/>
                <w:iCs/>
                <w:sz w:val="20"/>
                <w:szCs w:val="20"/>
              </w:rPr>
            </w:pPr>
            <w:r w:rsidRPr="00F93F8B">
              <w:rPr>
                <w:rFonts w:ascii="Baskerville Old Face" w:hAnsi="Baskerville Old Face"/>
                <w:b/>
                <w:bCs/>
                <w:i/>
                <w:iCs/>
                <w:sz w:val="20"/>
                <w:szCs w:val="20"/>
              </w:rPr>
              <w:t xml:space="preserve">PRU maturity classification </w:t>
            </w:r>
            <w:r w:rsidR="00B961DF" w:rsidRPr="00F93F8B">
              <w:rPr>
                <w:rFonts w:ascii="Baskerville Old Face" w:hAnsi="Baskerville Old Face"/>
                <w:b/>
                <w:bCs/>
                <w:i/>
                <w:iCs/>
                <w:sz w:val="20"/>
                <w:szCs w:val="20"/>
              </w:rPr>
              <w:t>framework</w:t>
            </w:r>
          </w:p>
        </w:tc>
        <w:tc>
          <w:tcPr>
            <w:tcW w:w="0" w:type="auto"/>
            <w:vAlign w:val="center"/>
            <w:hideMark/>
          </w:tcPr>
          <w:p w14:paraId="144FD155"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i/>
                <w:iCs/>
                <w:sz w:val="20"/>
                <w:szCs w:val="20"/>
              </w:rPr>
              <w:t>Comparative analytical classification of PRU maturity and reliability.</w:t>
            </w:r>
          </w:p>
        </w:tc>
        <w:tc>
          <w:tcPr>
            <w:tcW w:w="0" w:type="auto"/>
            <w:vAlign w:val="center"/>
            <w:hideMark/>
          </w:tcPr>
          <w:p w14:paraId="551E5C3B"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i/>
                <w:iCs/>
                <w:sz w:val="20"/>
                <w:szCs w:val="20"/>
              </w:rPr>
              <w:t>Portfolio screening, capital-readiness discussion, risk review.</w:t>
            </w:r>
          </w:p>
        </w:tc>
      </w:tr>
      <w:tr w:rsidR="00B961DF" w:rsidRPr="00F93F8B" w14:paraId="47E34AA7" w14:textId="77777777" w:rsidTr="00B961DF">
        <w:trPr>
          <w:tblCellSpacing w:w="15" w:type="dxa"/>
        </w:trPr>
        <w:tc>
          <w:tcPr>
            <w:tcW w:w="0" w:type="auto"/>
            <w:vAlign w:val="center"/>
            <w:hideMark/>
          </w:tcPr>
          <w:p w14:paraId="0D5CD3F7"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b/>
                <w:bCs/>
                <w:i/>
                <w:iCs/>
                <w:sz w:val="20"/>
                <w:szCs w:val="20"/>
              </w:rPr>
              <w:t>PRU-linked legal structure</w:t>
            </w:r>
          </w:p>
        </w:tc>
        <w:tc>
          <w:tcPr>
            <w:tcW w:w="0" w:type="auto"/>
            <w:vAlign w:val="center"/>
            <w:hideMark/>
          </w:tcPr>
          <w:p w14:paraId="3D3C7356"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i/>
                <w:iCs/>
                <w:sz w:val="20"/>
                <w:szCs w:val="20"/>
              </w:rPr>
              <w:t>PRU logic connected to rights through a legal instrument.</w:t>
            </w:r>
          </w:p>
        </w:tc>
        <w:tc>
          <w:tcPr>
            <w:tcW w:w="0" w:type="auto"/>
            <w:vAlign w:val="center"/>
            <w:hideMark/>
          </w:tcPr>
          <w:p w14:paraId="53218474"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i/>
                <w:iCs/>
                <w:sz w:val="20"/>
                <w:szCs w:val="20"/>
              </w:rPr>
              <w:t>Future regulated or contractually defined use.</w:t>
            </w:r>
          </w:p>
        </w:tc>
      </w:tr>
      <w:tr w:rsidR="00B961DF" w:rsidRPr="00F93F8B" w14:paraId="75AAD6D9" w14:textId="77777777" w:rsidTr="00B961DF">
        <w:trPr>
          <w:tblCellSpacing w:w="15" w:type="dxa"/>
        </w:trPr>
        <w:tc>
          <w:tcPr>
            <w:tcW w:w="0" w:type="auto"/>
            <w:vAlign w:val="center"/>
            <w:hideMark/>
          </w:tcPr>
          <w:p w14:paraId="75B3D3D0"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b/>
                <w:bCs/>
                <w:i/>
                <w:iCs/>
                <w:sz w:val="20"/>
                <w:szCs w:val="20"/>
              </w:rPr>
              <w:t>PRU-based instrument</w:t>
            </w:r>
          </w:p>
        </w:tc>
        <w:tc>
          <w:tcPr>
            <w:tcW w:w="0" w:type="auto"/>
            <w:vAlign w:val="center"/>
            <w:hideMark/>
          </w:tcPr>
          <w:p w14:paraId="0ED1C907"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i/>
                <w:iCs/>
                <w:sz w:val="20"/>
                <w:szCs w:val="20"/>
              </w:rPr>
              <w:t>Legally structured product, note, security, fund interest, or other instrument.</w:t>
            </w:r>
          </w:p>
        </w:tc>
        <w:tc>
          <w:tcPr>
            <w:tcW w:w="0" w:type="auto"/>
            <w:vAlign w:val="center"/>
            <w:hideMark/>
          </w:tcPr>
          <w:p w14:paraId="2119CBC4" w14:textId="77777777" w:rsidR="00B961DF" w:rsidRPr="00F93F8B" w:rsidRDefault="00B961DF" w:rsidP="00B961DF">
            <w:pPr>
              <w:spacing w:line="360" w:lineRule="auto"/>
              <w:rPr>
                <w:rFonts w:ascii="Baskerville Old Face" w:hAnsi="Baskerville Old Face"/>
                <w:i/>
                <w:iCs/>
                <w:sz w:val="20"/>
                <w:szCs w:val="20"/>
              </w:rPr>
            </w:pPr>
            <w:r w:rsidRPr="00F93F8B">
              <w:rPr>
                <w:rFonts w:ascii="Baskerville Old Face" w:hAnsi="Baskerville Old Face"/>
                <w:i/>
                <w:iCs/>
                <w:sz w:val="20"/>
                <w:szCs w:val="20"/>
              </w:rPr>
              <w:t>Only where legally reviewed, disclosed, and compliant.</w:t>
            </w:r>
          </w:p>
        </w:tc>
      </w:tr>
    </w:tbl>
    <w:p w14:paraId="360128F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lastRenderedPageBreak/>
        <w:t>This stage discipline prevents a pilot signal from being represented as an investable asset before maturity.</w:t>
      </w:r>
    </w:p>
    <w:p w14:paraId="7451C1DB"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R.4 Evidence inputs</w:t>
      </w:r>
    </w:p>
    <w:p w14:paraId="7F86F61A" w14:textId="7DE0E446"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PRU analysis may use evidence from multiple domains.</w:t>
      </w:r>
      <w:r w:rsidR="00417105" w:rsidRPr="00B479AE">
        <w:rPr>
          <w:rFonts w:ascii="Baskerville Old Face" w:hAnsi="Baskerville Old Face"/>
          <w:i/>
          <w:iCs/>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6"/>
        <w:gridCol w:w="4872"/>
        <w:gridCol w:w="3120"/>
      </w:tblGrid>
      <w:tr w:rsidR="00B961DF" w:rsidRPr="00B479AE" w14:paraId="0495BD07" w14:textId="77777777" w:rsidTr="00B961DF">
        <w:trPr>
          <w:tblHeader/>
          <w:tblCellSpacing w:w="15" w:type="dxa"/>
        </w:trPr>
        <w:tc>
          <w:tcPr>
            <w:tcW w:w="0" w:type="auto"/>
            <w:vAlign w:val="center"/>
            <w:hideMark/>
          </w:tcPr>
          <w:p w14:paraId="779C33E9" w14:textId="77777777" w:rsidR="00B961DF" w:rsidRPr="00B479AE" w:rsidRDefault="00B961DF" w:rsidP="00B961DF">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Evidence domain</w:t>
            </w:r>
          </w:p>
        </w:tc>
        <w:tc>
          <w:tcPr>
            <w:tcW w:w="0" w:type="auto"/>
            <w:vAlign w:val="center"/>
            <w:hideMark/>
          </w:tcPr>
          <w:p w14:paraId="3E806436" w14:textId="77777777" w:rsidR="00B961DF" w:rsidRPr="00B479AE" w:rsidRDefault="00B961DF" w:rsidP="00B961DF">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Examples</w:t>
            </w:r>
          </w:p>
        </w:tc>
        <w:tc>
          <w:tcPr>
            <w:tcW w:w="0" w:type="auto"/>
            <w:vAlign w:val="center"/>
            <w:hideMark/>
          </w:tcPr>
          <w:p w14:paraId="5E913B1D" w14:textId="77777777" w:rsidR="00B961DF" w:rsidRPr="00B479AE" w:rsidRDefault="00B961DF" w:rsidP="00B961DF">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Role in PRU analysis</w:t>
            </w:r>
          </w:p>
        </w:tc>
      </w:tr>
      <w:tr w:rsidR="00B961DF" w:rsidRPr="00B479AE" w14:paraId="7C46DCF8" w14:textId="77777777" w:rsidTr="00B961DF">
        <w:trPr>
          <w:tblCellSpacing w:w="15" w:type="dxa"/>
        </w:trPr>
        <w:tc>
          <w:tcPr>
            <w:tcW w:w="0" w:type="auto"/>
            <w:vAlign w:val="center"/>
            <w:hideMark/>
          </w:tcPr>
          <w:p w14:paraId="7F8161D2"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Soil function</w:t>
            </w:r>
          </w:p>
        </w:tc>
        <w:tc>
          <w:tcPr>
            <w:tcW w:w="0" w:type="auto"/>
            <w:vAlign w:val="center"/>
            <w:hideMark/>
          </w:tcPr>
          <w:p w14:paraId="2192C2E8"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i/>
                <w:iCs/>
                <w:sz w:val="22"/>
                <w:szCs w:val="22"/>
              </w:rPr>
              <w:t>Soil organic matter, organic carbon, infiltration, aggregate stability, microbial indicators.</w:t>
            </w:r>
          </w:p>
        </w:tc>
        <w:tc>
          <w:tcPr>
            <w:tcW w:w="0" w:type="auto"/>
            <w:vAlign w:val="center"/>
            <w:hideMark/>
          </w:tcPr>
          <w:p w14:paraId="164BFD73"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i/>
                <w:iCs/>
                <w:sz w:val="22"/>
                <w:szCs w:val="22"/>
              </w:rPr>
              <w:t>Regenerative fertility and carbon-related capacity.</w:t>
            </w:r>
          </w:p>
        </w:tc>
      </w:tr>
      <w:tr w:rsidR="00B961DF" w:rsidRPr="00B479AE" w14:paraId="67A86CE6" w14:textId="77777777" w:rsidTr="00B961DF">
        <w:trPr>
          <w:tblCellSpacing w:w="15" w:type="dxa"/>
        </w:trPr>
        <w:tc>
          <w:tcPr>
            <w:tcW w:w="0" w:type="auto"/>
            <w:vAlign w:val="center"/>
            <w:hideMark/>
          </w:tcPr>
          <w:p w14:paraId="45981F23"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Water resilience</w:t>
            </w:r>
          </w:p>
        </w:tc>
        <w:tc>
          <w:tcPr>
            <w:tcW w:w="0" w:type="auto"/>
            <w:vAlign w:val="center"/>
            <w:hideMark/>
          </w:tcPr>
          <w:p w14:paraId="77EF6418"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i/>
                <w:iCs/>
                <w:sz w:val="22"/>
                <w:szCs w:val="22"/>
              </w:rPr>
              <w:t>Retention, infiltration, irrigation reduction, runoff reduction, soil moisture stability.</w:t>
            </w:r>
          </w:p>
        </w:tc>
        <w:tc>
          <w:tcPr>
            <w:tcW w:w="0" w:type="auto"/>
            <w:vAlign w:val="center"/>
            <w:hideMark/>
          </w:tcPr>
          <w:p w14:paraId="35DFD984"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i/>
                <w:iCs/>
                <w:sz w:val="22"/>
                <w:szCs w:val="22"/>
              </w:rPr>
              <w:t>Hydrological resilience and risk reduction.</w:t>
            </w:r>
          </w:p>
        </w:tc>
      </w:tr>
      <w:tr w:rsidR="00B961DF" w:rsidRPr="00B479AE" w14:paraId="6499EAB8" w14:textId="77777777" w:rsidTr="00B961DF">
        <w:trPr>
          <w:tblCellSpacing w:w="15" w:type="dxa"/>
        </w:trPr>
        <w:tc>
          <w:tcPr>
            <w:tcW w:w="0" w:type="auto"/>
            <w:vAlign w:val="center"/>
            <w:hideMark/>
          </w:tcPr>
          <w:p w14:paraId="4366AC7D"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Biodiversity</w:t>
            </w:r>
          </w:p>
        </w:tc>
        <w:tc>
          <w:tcPr>
            <w:tcW w:w="0" w:type="auto"/>
            <w:vAlign w:val="center"/>
            <w:hideMark/>
          </w:tcPr>
          <w:p w14:paraId="54F417B1"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i/>
                <w:iCs/>
                <w:sz w:val="22"/>
                <w:szCs w:val="22"/>
              </w:rPr>
              <w:t>Species richness, pollinators, functional diversity, habitat structure.</w:t>
            </w:r>
          </w:p>
        </w:tc>
        <w:tc>
          <w:tcPr>
            <w:tcW w:w="0" w:type="auto"/>
            <w:vAlign w:val="center"/>
            <w:hideMark/>
          </w:tcPr>
          <w:p w14:paraId="333DCACD"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i/>
                <w:iCs/>
                <w:sz w:val="22"/>
                <w:szCs w:val="22"/>
              </w:rPr>
              <w:t>Ecological function and resilience.</w:t>
            </w:r>
          </w:p>
        </w:tc>
      </w:tr>
      <w:tr w:rsidR="00B961DF" w:rsidRPr="00B479AE" w14:paraId="14E824A7" w14:textId="77777777" w:rsidTr="00B961DF">
        <w:trPr>
          <w:tblCellSpacing w:w="15" w:type="dxa"/>
        </w:trPr>
        <w:tc>
          <w:tcPr>
            <w:tcW w:w="0" w:type="auto"/>
            <w:vAlign w:val="center"/>
            <w:hideMark/>
          </w:tcPr>
          <w:p w14:paraId="7FCE8349"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Productivity</w:t>
            </w:r>
          </w:p>
        </w:tc>
        <w:tc>
          <w:tcPr>
            <w:tcW w:w="0" w:type="auto"/>
            <w:vAlign w:val="center"/>
            <w:hideMark/>
          </w:tcPr>
          <w:p w14:paraId="308F7DAF"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i/>
                <w:iCs/>
                <w:sz w:val="22"/>
                <w:szCs w:val="22"/>
              </w:rPr>
              <w:t>Yield diversity, edible biomass, useful biomass, seasonal stability.</w:t>
            </w:r>
          </w:p>
        </w:tc>
        <w:tc>
          <w:tcPr>
            <w:tcW w:w="0" w:type="auto"/>
            <w:vAlign w:val="center"/>
            <w:hideMark/>
          </w:tcPr>
          <w:p w14:paraId="0BD56749"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i/>
                <w:iCs/>
                <w:sz w:val="22"/>
                <w:szCs w:val="22"/>
              </w:rPr>
              <w:t>Productive viability and regenerative economics.</w:t>
            </w:r>
          </w:p>
        </w:tc>
      </w:tr>
      <w:tr w:rsidR="00B961DF" w:rsidRPr="00B479AE" w14:paraId="52C44785" w14:textId="77777777" w:rsidTr="00B961DF">
        <w:trPr>
          <w:tblCellSpacing w:w="15" w:type="dxa"/>
        </w:trPr>
        <w:tc>
          <w:tcPr>
            <w:tcW w:w="0" w:type="auto"/>
            <w:vAlign w:val="center"/>
            <w:hideMark/>
          </w:tcPr>
          <w:p w14:paraId="28D2D8EF"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Input dependency</w:t>
            </w:r>
          </w:p>
        </w:tc>
        <w:tc>
          <w:tcPr>
            <w:tcW w:w="0" w:type="auto"/>
            <w:vAlign w:val="center"/>
            <w:hideMark/>
          </w:tcPr>
          <w:p w14:paraId="3BD9207E"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i/>
                <w:iCs/>
                <w:sz w:val="22"/>
                <w:szCs w:val="22"/>
              </w:rPr>
              <w:t>Fertilizer, irrigation, pesticides, external amendments, purchased inputs, energy.</w:t>
            </w:r>
          </w:p>
        </w:tc>
        <w:tc>
          <w:tcPr>
            <w:tcW w:w="0" w:type="auto"/>
            <w:vAlign w:val="center"/>
            <w:hideMark/>
          </w:tcPr>
          <w:p w14:paraId="13C0492F"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i/>
                <w:iCs/>
                <w:sz w:val="22"/>
                <w:szCs w:val="22"/>
              </w:rPr>
              <w:t>System autonomy and risk compression.</w:t>
            </w:r>
          </w:p>
        </w:tc>
      </w:tr>
      <w:tr w:rsidR="00B961DF" w:rsidRPr="00B479AE" w14:paraId="7929C65D" w14:textId="77777777" w:rsidTr="00B961DF">
        <w:trPr>
          <w:tblCellSpacing w:w="15" w:type="dxa"/>
        </w:trPr>
        <w:tc>
          <w:tcPr>
            <w:tcW w:w="0" w:type="auto"/>
            <w:vAlign w:val="center"/>
            <w:hideMark/>
          </w:tcPr>
          <w:p w14:paraId="4EF8A30A"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Operational reliability</w:t>
            </w:r>
          </w:p>
        </w:tc>
        <w:tc>
          <w:tcPr>
            <w:tcW w:w="0" w:type="auto"/>
            <w:vAlign w:val="center"/>
            <w:hideMark/>
          </w:tcPr>
          <w:p w14:paraId="33939BC9"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i/>
                <w:iCs/>
                <w:sz w:val="22"/>
                <w:szCs w:val="22"/>
              </w:rPr>
              <w:t>Maintenance records, field logs, intervention execution, mortality rates.</w:t>
            </w:r>
          </w:p>
        </w:tc>
        <w:tc>
          <w:tcPr>
            <w:tcW w:w="0" w:type="auto"/>
            <w:vAlign w:val="center"/>
            <w:hideMark/>
          </w:tcPr>
          <w:p w14:paraId="40CC501A"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i/>
                <w:iCs/>
                <w:sz w:val="22"/>
                <w:szCs w:val="22"/>
              </w:rPr>
              <w:t>Implementation credibility.</w:t>
            </w:r>
          </w:p>
        </w:tc>
      </w:tr>
      <w:tr w:rsidR="00B961DF" w:rsidRPr="00B479AE" w14:paraId="1CFF3547" w14:textId="77777777" w:rsidTr="00B961DF">
        <w:trPr>
          <w:tblCellSpacing w:w="15" w:type="dxa"/>
        </w:trPr>
        <w:tc>
          <w:tcPr>
            <w:tcW w:w="0" w:type="auto"/>
            <w:vAlign w:val="center"/>
            <w:hideMark/>
          </w:tcPr>
          <w:p w14:paraId="52ABE495"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Governance maturity</w:t>
            </w:r>
          </w:p>
        </w:tc>
        <w:tc>
          <w:tcPr>
            <w:tcW w:w="0" w:type="auto"/>
            <w:vAlign w:val="center"/>
            <w:hideMark/>
          </w:tcPr>
          <w:p w14:paraId="276CF947"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i/>
                <w:iCs/>
                <w:sz w:val="22"/>
                <w:szCs w:val="22"/>
              </w:rPr>
              <w:t>Role clarity, decision logs, review pathways, conflict handling.</w:t>
            </w:r>
          </w:p>
        </w:tc>
        <w:tc>
          <w:tcPr>
            <w:tcW w:w="0" w:type="auto"/>
            <w:vAlign w:val="center"/>
            <w:hideMark/>
          </w:tcPr>
          <w:p w14:paraId="1AA3E7C5"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i/>
                <w:iCs/>
                <w:sz w:val="22"/>
                <w:szCs w:val="22"/>
              </w:rPr>
              <w:t>Institutional reliability.</w:t>
            </w:r>
          </w:p>
        </w:tc>
      </w:tr>
      <w:tr w:rsidR="00B961DF" w:rsidRPr="00B479AE" w14:paraId="7782A78B" w14:textId="77777777" w:rsidTr="00B961DF">
        <w:trPr>
          <w:tblCellSpacing w:w="15" w:type="dxa"/>
        </w:trPr>
        <w:tc>
          <w:tcPr>
            <w:tcW w:w="0" w:type="auto"/>
            <w:vAlign w:val="center"/>
            <w:hideMark/>
          </w:tcPr>
          <w:p w14:paraId="05ABADED"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Legal readiness</w:t>
            </w:r>
          </w:p>
        </w:tc>
        <w:tc>
          <w:tcPr>
            <w:tcW w:w="0" w:type="auto"/>
            <w:vAlign w:val="center"/>
            <w:hideMark/>
          </w:tcPr>
          <w:p w14:paraId="263C1B5D"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i/>
                <w:iCs/>
                <w:sz w:val="22"/>
                <w:szCs w:val="22"/>
              </w:rPr>
              <w:t>Land rights, contracts, data rights, investor boundary, token boundary.</w:t>
            </w:r>
          </w:p>
        </w:tc>
        <w:tc>
          <w:tcPr>
            <w:tcW w:w="0" w:type="auto"/>
            <w:vAlign w:val="center"/>
            <w:hideMark/>
          </w:tcPr>
          <w:p w14:paraId="6AF29673"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i/>
                <w:iCs/>
                <w:sz w:val="22"/>
                <w:szCs w:val="22"/>
              </w:rPr>
              <w:t>Enforceability and capital readiness.</w:t>
            </w:r>
          </w:p>
        </w:tc>
      </w:tr>
      <w:tr w:rsidR="00B961DF" w:rsidRPr="00B479AE" w14:paraId="22C5E6F0" w14:textId="77777777" w:rsidTr="00B961DF">
        <w:trPr>
          <w:tblCellSpacing w:w="15" w:type="dxa"/>
        </w:trPr>
        <w:tc>
          <w:tcPr>
            <w:tcW w:w="0" w:type="auto"/>
            <w:vAlign w:val="center"/>
            <w:hideMark/>
          </w:tcPr>
          <w:p w14:paraId="6A6283BE"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Continuity resilience</w:t>
            </w:r>
          </w:p>
        </w:tc>
        <w:tc>
          <w:tcPr>
            <w:tcW w:w="0" w:type="auto"/>
            <w:vAlign w:val="center"/>
            <w:hideMark/>
          </w:tcPr>
          <w:p w14:paraId="606500CA"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i/>
                <w:iCs/>
                <w:sz w:val="22"/>
                <w:szCs w:val="22"/>
              </w:rPr>
              <w:t>Canonical records, offline archives, signed releases, repository integrity.</w:t>
            </w:r>
          </w:p>
        </w:tc>
        <w:tc>
          <w:tcPr>
            <w:tcW w:w="0" w:type="auto"/>
            <w:vAlign w:val="center"/>
            <w:hideMark/>
          </w:tcPr>
          <w:p w14:paraId="1DDC2D63"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i/>
                <w:iCs/>
                <w:sz w:val="22"/>
                <w:szCs w:val="22"/>
              </w:rPr>
              <w:t>Long-term trust and institutional continuity.</w:t>
            </w:r>
          </w:p>
        </w:tc>
      </w:tr>
      <w:tr w:rsidR="00B961DF" w:rsidRPr="00B479AE" w14:paraId="4E501E17" w14:textId="77777777" w:rsidTr="00B961DF">
        <w:trPr>
          <w:tblCellSpacing w:w="15" w:type="dxa"/>
        </w:trPr>
        <w:tc>
          <w:tcPr>
            <w:tcW w:w="0" w:type="auto"/>
            <w:vAlign w:val="center"/>
            <w:hideMark/>
          </w:tcPr>
          <w:p w14:paraId="1D3952F7"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b/>
                <w:bCs/>
                <w:i/>
                <w:iCs/>
                <w:sz w:val="22"/>
                <w:szCs w:val="22"/>
              </w:rPr>
              <w:t>MRV confidence</w:t>
            </w:r>
          </w:p>
        </w:tc>
        <w:tc>
          <w:tcPr>
            <w:tcW w:w="0" w:type="auto"/>
            <w:vAlign w:val="center"/>
            <w:hideMark/>
          </w:tcPr>
          <w:p w14:paraId="3B309609"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i/>
                <w:iCs/>
                <w:sz w:val="22"/>
                <w:szCs w:val="22"/>
              </w:rPr>
              <w:t>Provenance, sampling, cross-source validation, third-party review.</w:t>
            </w:r>
          </w:p>
        </w:tc>
        <w:tc>
          <w:tcPr>
            <w:tcW w:w="0" w:type="auto"/>
            <w:vAlign w:val="center"/>
            <w:hideMark/>
          </w:tcPr>
          <w:p w14:paraId="51F8BBF9" w14:textId="77777777" w:rsidR="00B961DF" w:rsidRPr="00B479AE" w:rsidRDefault="00B961DF" w:rsidP="00B961DF">
            <w:pPr>
              <w:spacing w:line="360" w:lineRule="auto"/>
              <w:rPr>
                <w:rFonts w:ascii="Baskerville Old Face" w:hAnsi="Baskerville Old Face"/>
                <w:i/>
                <w:iCs/>
                <w:sz w:val="22"/>
                <w:szCs w:val="22"/>
              </w:rPr>
            </w:pPr>
            <w:r w:rsidRPr="00B479AE">
              <w:rPr>
                <w:rFonts w:ascii="Baskerville Old Face" w:hAnsi="Baskerville Old Face"/>
                <w:i/>
                <w:iCs/>
                <w:sz w:val="22"/>
                <w:szCs w:val="22"/>
              </w:rPr>
              <w:t>Reliability of the entire PRU analysis.</w:t>
            </w:r>
          </w:p>
        </w:tc>
      </w:tr>
    </w:tbl>
    <w:p w14:paraId="729F420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lastRenderedPageBreak/>
        <w:t>The quality of PRU analysis depends on the weakest material evidence layer.</w:t>
      </w:r>
    </w:p>
    <w:p w14:paraId="62B3FE8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sophisticated model cannot compensate for poor provenance.</w:t>
      </w:r>
    </w:p>
    <w:p w14:paraId="619F413B"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R.5 Base value function</w:t>
      </w:r>
    </w:p>
    <w:p w14:paraId="35965445"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PRU base value may be organized as:</w:t>
      </w:r>
    </w:p>
    <w:p w14:paraId="632B9AC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V_base = V_prod + V_ecosystem + V_human</w:t>
      </w:r>
    </w:p>
    <w:p w14:paraId="1ADCC717"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where:</w:t>
      </w:r>
    </w:p>
    <w:p w14:paraId="22CE8331" w14:textId="0EDF41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V_prod</w:t>
      </w:r>
      <w:r w:rsidR="00417105" w:rsidRPr="00B479AE">
        <w:rPr>
          <w:rFonts w:ascii="Baskerville Old Face" w:hAnsi="Baskerville Old Face"/>
          <w:i/>
          <w:iCs/>
        </w:rPr>
        <w:t xml:space="preserve"> </w:t>
      </w:r>
      <w:r w:rsidRPr="00B479AE">
        <w:rPr>
          <w:rFonts w:ascii="Baskerville Old Face" w:hAnsi="Baskerville Old Face"/>
          <w:i/>
          <w:iCs/>
        </w:rPr>
        <w:t>= direct productive value</w:t>
      </w:r>
    </w:p>
    <w:p w14:paraId="678BAD5D"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V_ecosystem = ecosystem-service or ecological-performance value where admissible</w:t>
      </w:r>
    </w:p>
    <w:p w14:paraId="7486BC52" w14:textId="360028D6"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V_human</w:t>
      </w:r>
      <w:r w:rsidR="00417105" w:rsidRPr="00B479AE">
        <w:rPr>
          <w:rFonts w:ascii="Baskerville Old Face" w:hAnsi="Baskerville Old Face"/>
          <w:i/>
          <w:iCs/>
        </w:rPr>
        <w:t xml:space="preserve"> </w:t>
      </w:r>
      <w:r w:rsidRPr="00B479AE">
        <w:rPr>
          <w:rFonts w:ascii="Baskerville Old Face" w:hAnsi="Baskerville Old Face"/>
          <w:i/>
          <w:iCs/>
        </w:rPr>
        <w:t>= human-system or systemic value, conditionally admissible only where supported by methodology, evidence, legal review, and institutional pathway</w:t>
      </w:r>
    </w:p>
    <w:p w14:paraId="6FF3996F"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base value function is not an automatic monetization formula.</w:t>
      </w:r>
    </w:p>
    <w:p w14:paraId="6F523D12"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is a classification structure.</w:t>
      </w:r>
    </w:p>
    <w:p w14:paraId="40FDBE38"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separates productive, ecological, and systemic value so that Prometheus can prevent indiscriminate aggregation, double counting, or premature financial claims.</w:t>
      </w:r>
    </w:p>
    <w:p w14:paraId="61774CB9"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Layer 1 — Core productive value</w:t>
      </w:r>
    </w:p>
    <w:p w14:paraId="38C7420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Core productive value is the most directly observable and cash-relevant layer.</w:t>
      </w:r>
    </w:p>
    <w:p w14:paraId="4F3BF05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may include:</w:t>
      </w:r>
    </w:p>
    <w:p w14:paraId="497EFFA2"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food production;</w:t>
      </w:r>
      <w:r w:rsidRPr="00B479AE">
        <w:rPr>
          <w:rFonts w:ascii="Baskerville Old Face" w:hAnsi="Baskerville Old Face"/>
          <w:i/>
          <w:iCs/>
        </w:rPr>
        <w:br/>
        <w:t>• hospitality revenues;</w:t>
      </w:r>
      <w:r w:rsidRPr="00B479AE">
        <w:rPr>
          <w:rFonts w:ascii="Baskerville Old Face" w:hAnsi="Baskerville Old Face"/>
          <w:i/>
          <w:iCs/>
        </w:rPr>
        <w:br/>
        <w:t>• agroforestry products;</w:t>
      </w:r>
      <w:r w:rsidRPr="00B479AE">
        <w:rPr>
          <w:rFonts w:ascii="Baskerville Old Face" w:hAnsi="Baskerville Old Face"/>
          <w:i/>
          <w:iCs/>
        </w:rPr>
        <w:br/>
        <w:t>• biomass outputs;</w:t>
      </w:r>
      <w:r w:rsidRPr="00B479AE">
        <w:rPr>
          <w:rFonts w:ascii="Baskerville Old Face" w:hAnsi="Baskerville Old Face"/>
          <w:i/>
          <w:iCs/>
        </w:rPr>
        <w:br/>
        <w:t>• education and training services;</w:t>
      </w:r>
      <w:r w:rsidRPr="00B479AE">
        <w:rPr>
          <w:rFonts w:ascii="Baskerville Old Face" w:hAnsi="Baskerville Old Face"/>
          <w:i/>
          <w:iCs/>
        </w:rPr>
        <w:br/>
        <w:t>• regenerative experiences;</w:t>
      </w:r>
      <w:r w:rsidRPr="00B479AE">
        <w:rPr>
          <w:rFonts w:ascii="Baskerville Old Face" w:hAnsi="Baskerville Old Face"/>
          <w:i/>
          <w:iCs/>
        </w:rPr>
        <w:br/>
        <w:t>• local market sales;</w:t>
      </w:r>
      <w:r w:rsidRPr="00B479AE">
        <w:rPr>
          <w:rFonts w:ascii="Baskerville Old Face" w:hAnsi="Baskerville Old Face"/>
          <w:i/>
          <w:iCs/>
        </w:rPr>
        <w:br/>
      </w:r>
      <w:r w:rsidRPr="00B479AE">
        <w:rPr>
          <w:rFonts w:ascii="Baskerville Old Face" w:hAnsi="Baskerville Old Face"/>
          <w:i/>
          <w:iCs/>
        </w:rPr>
        <w:lastRenderedPageBreak/>
        <w:t>• operational cost reduction;</w:t>
      </w:r>
      <w:r w:rsidRPr="00B479AE">
        <w:rPr>
          <w:rFonts w:ascii="Baskerville Old Face" w:hAnsi="Baskerville Old Face"/>
          <w:i/>
          <w:iCs/>
        </w:rPr>
        <w:br/>
        <w:t>• household food substitution where measurable.</w:t>
      </w:r>
    </w:p>
    <w:p w14:paraId="2821CA23"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layer is closest to ordinary financial underwriting because it can be linked to actual or projected cash flows.</w:t>
      </w:r>
    </w:p>
    <w:p w14:paraId="335463D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forms the base of financial modeling.</w:t>
      </w:r>
    </w:p>
    <w:p w14:paraId="47877272"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Layer 2 — Ecological performance value</w:t>
      </w:r>
    </w:p>
    <w:p w14:paraId="323E477F"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Ecological performance value derives from verified improvements in living-system function.</w:t>
      </w:r>
    </w:p>
    <w:p w14:paraId="1A49A2F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may include:</w:t>
      </w:r>
    </w:p>
    <w:p w14:paraId="15FC95D3"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soil organic carbon improvement;</w:t>
      </w:r>
      <w:r w:rsidRPr="00B479AE">
        <w:rPr>
          <w:rFonts w:ascii="Baskerville Old Face" w:hAnsi="Baskerville Old Face"/>
          <w:i/>
          <w:iCs/>
        </w:rPr>
        <w:br/>
        <w:t>• water retention;</w:t>
      </w:r>
      <w:r w:rsidRPr="00B479AE">
        <w:rPr>
          <w:rFonts w:ascii="Baskerville Old Face" w:hAnsi="Baskerville Old Face"/>
          <w:i/>
          <w:iCs/>
        </w:rPr>
        <w:br/>
        <w:t>• infiltration gains;</w:t>
      </w:r>
      <w:r w:rsidRPr="00B479AE">
        <w:rPr>
          <w:rFonts w:ascii="Baskerville Old Face" w:hAnsi="Baskerville Old Face"/>
          <w:i/>
          <w:iCs/>
        </w:rPr>
        <w:br/>
        <w:t>• biodiversity enhancement;</w:t>
      </w:r>
      <w:r w:rsidRPr="00B479AE">
        <w:rPr>
          <w:rFonts w:ascii="Baskerville Old Face" w:hAnsi="Baskerville Old Face"/>
          <w:i/>
          <w:iCs/>
        </w:rPr>
        <w:br/>
        <w:t>• input dependency reduction;</w:t>
      </w:r>
      <w:r w:rsidRPr="00B479AE">
        <w:rPr>
          <w:rFonts w:ascii="Baskerville Old Face" w:hAnsi="Baskerville Old Face"/>
          <w:i/>
          <w:iCs/>
        </w:rPr>
        <w:br/>
        <w:t>• productive stability;</w:t>
      </w:r>
      <w:r w:rsidRPr="00B479AE">
        <w:rPr>
          <w:rFonts w:ascii="Baskerville Old Face" w:hAnsi="Baskerville Old Face"/>
          <w:i/>
          <w:iCs/>
        </w:rPr>
        <w:br/>
        <w:t>• resilience under stress;</w:t>
      </w:r>
      <w:r w:rsidRPr="00B479AE">
        <w:rPr>
          <w:rFonts w:ascii="Baskerville Old Face" w:hAnsi="Baskerville Old Face"/>
          <w:i/>
          <w:iCs/>
        </w:rPr>
        <w:br/>
        <w:t>• biomass cycling;</w:t>
      </w:r>
      <w:r w:rsidRPr="00B479AE">
        <w:rPr>
          <w:rFonts w:ascii="Baskerville Old Face" w:hAnsi="Baskerville Old Face"/>
          <w:i/>
          <w:iCs/>
        </w:rPr>
        <w:br/>
        <w:t>• microclimate effects;</w:t>
      </w:r>
      <w:r w:rsidRPr="00B479AE">
        <w:rPr>
          <w:rFonts w:ascii="Baskerville Old Face" w:hAnsi="Baskerville Old Face"/>
          <w:i/>
          <w:iCs/>
        </w:rPr>
        <w:br/>
        <w:t>• reduced erosion;</w:t>
      </w:r>
      <w:r w:rsidRPr="00B479AE">
        <w:rPr>
          <w:rFonts w:ascii="Baskerville Old Face" w:hAnsi="Baskerville Old Face"/>
          <w:i/>
          <w:iCs/>
        </w:rPr>
        <w:br/>
        <w:t>• ecosystem-service potential.</w:t>
      </w:r>
    </w:p>
    <w:p w14:paraId="160C81D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layer becomes financially relevant only when linked to MRV, confidence scoring, recognized methodologies, contracts, crediting pathways, avoided-cost pathways, insurance logic, procurement logic, or investment underwriting criteria.</w:t>
      </w:r>
    </w:p>
    <w:p w14:paraId="78DCF14F"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Its value is significant, but it remains evidence-constrained.</w:t>
      </w:r>
    </w:p>
    <w:p w14:paraId="4F22615A"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Layer 3 — Systemic and health-related value</w:t>
      </w:r>
    </w:p>
    <w:p w14:paraId="74FDAB0F"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Systemic value includes broader effects such as improved nutritional quality, human movement, nature exposure, social coherence, preventive health potential, and territorial resilience.</w:t>
      </w:r>
    </w:p>
    <w:p w14:paraId="429857D5"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lastRenderedPageBreak/>
        <w:t>This layer may be strategically powerful, especially through SyntroGIFT, public-health partnerships, food-as-medicine programs, insurer collaboration, education, hospitality, research, or public procurement.</w:t>
      </w:r>
    </w:p>
    <w:p w14:paraId="696E6A1B"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However, it should remain outside base-case financial cash flows unless a contractual, institutional, measurable, and legally reviewed monetization pathway exists.</w:t>
      </w:r>
    </w:p>
    <w:p w14:paraId="4BE984F2"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discipline protects credibility.</w:t>
      </w:r>
    </w:p>
    <w:p w14:paraId="589E0A69"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Prometheus can recognize systemic value without overstating liquidity.</w:t>
      </w:r>
    </w:p>
    <w:p w14:paraId="6A16711F"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R.6 PRU adjusted value function</w:t>
      </w:r>
    </w:p>
    <w:p w14:paraId="79FEA87F"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conceptual PRU value function may be expressed as:</w:t>
      </w:r>
    </w:p>
    <w:p w14:paraId="3993021A" w14:textId="77777777" w:rsidR="00B961DF" w:rsidRPr="005907F1" w:rsidRDefault="00B961DF" w:rsidP="00B961DF">
      <w:pPr>
        <w:spacing w:line="360" w:lineRule="auto"/>
        <w:rPr>
          <w:rFonts w:ascii="Baskerville Old Face" w:hAnsi="Baskerville Old Face"/>
          <w:i/>
          <w:iCs/>
          <w:lang w:val="it-IT"/>
        </w:rPr>
      </w:pPr>
      <w:r w:rsidRPr="005907F1">
        <w:rPr>
          <w:rFonts w:ascii="Baskerville Old Face" w:hAnsi="Baskerville Old Face"/>
          <w:i/>
          <w:iCs/>
          <w:lang w:val="it-IT"/>
        </w:rPr>
        <w:t xml:space="preserve">V_PRU = V_base × (1 + </w:t>
      </w:r>
      <w:r w:rsidRPr="00B479AE">
        <w:rPr>
          <w:rFonts w:ascii="Cambria" w:hAnsi="Cambria" w:cs="Cambria"/>
          <w:i/>
          <w:iCs/>
        </w:rPr>
        <w:t>λ</w:t>
      </w:r>
      <w:r w:rsidRPr="005907F1">
        <w:rPr>
          <w:rFonts w:ascii="Cambria" w:hAnsi="Cambria" w:cs="Cambria"/>
          <w:i/>
          <w:iCs/>
          <w:lang w:val="it-IT"/>
        </w:rPr>
        <w:t>₁</w:t>
      </w:r>
      <w:r w:rsidRPr="005907F1">
        <w:rPr>
          <w:rFonts w:ascii="Baskerville Old Face" w:hAnsi="Baskerville Old Face"/>
          <w:i/>
          <w:iCs/>
          <w:lang w:val="it-IT"/>
        </w:rPr>
        <w:t xml:space="preserve">SRI + </w:t>
      </w:r>
      <w:r w:rsidRPr="00B479AE">
        <w:rPr>
          <w:rFonts w:ascii="Cambria" w:hAnsi="Cambria" w:cs="Cambria"/>
          <w:i/>
          <w:iCs/>
        </w:rPr>
        <w:t>λ</w:t>
      </w:r>
      <w:r w:rsidRPr="005907F1">
        <w:rPr>
          <w:rFonts w:ascii="Cambria" w:hAnsi="Cambria" w:cs="Cambria"/>
          <w:i/>
          <w:iCs/>
          <w:lang w:val="it-IT"/>
        </w:rPr>
        <w:t>₂</w:t>
      </w:r>
      <w:r w:rsidRPr="005907F1">
        <w:rPr>
          <w:rFonts w:ascii="Baskerville Old Face" w:hAnsi="Baskerville Old Face"/>
          <w:i/>
          <w:iCs/>
          <w:lang w:val="it-IT"/>
        </w:rPr>
        <w:t xml:space="preserve">RPI + </w:t>
      </w:r>
      <w:r w:rsidRPr="00B479AE">
        <w:rPr>
          <w:rFonts w:ascii="Cambria" w:hAnsi="Cambria" w:cs="Cambria"/>
          <w:i/>
          <w:iCs/>
        </w:rPr>
        <w:t>λ</w:t>
      </w:r>
      <w:r w:rsidRPr="005907F1">
        <w:rPr>
          <w:rFonts w:ascii="Cambria" w:hAnsi="Cambria" w:cs="Cambria"/>
          <w:i/>
          <w:iCs/>
          <w:lang w:val="it-IT"/>
        </w:rPr>
        <w:t>₃</w:t>
      </w:r>
      <w:r w:rsidRPr="005907F1">
        <w:rPr>
          <w:rFonts w:ascii="Baskerville Old Face" w:hAnsi="Baskerville Old Face"/>
          <w:i/>
          <w:iCs/>
          <w:lang w:val="it-IT"/>
        </w:rPr>
        <w:t xml:space="preserve">CESI) </w:t>
      </w:r>
      <w:r w:rsidRPr="005907F1">
        <w:rPr>
          <w:rFonts w:ascii="Baskerville Old Face" w:hAnsi="Baskerville Old Face" w:cs="Baskerville Old Face"/>
          <w:i/>
          <w:iCs/>
          <w:lang w:val="it-IT"/>
        </w:rPr>
        <w:t>×</w:t>
      </w:r>
      <w:r w:rsidRPr="005907F1">
        <w:rPr>
          <w:rFonts w:ascii="Baskerville Old Face" w:hAnsi="Baskerville Old Face"/>
          <w:i/>
          <w:iCs/>
          <w:lang w:val="it-IT"/>
        </w:rPr>
        <w:t xml:space="preserve"> C</w:t>
      </w:r>
    </w:p>
    <w:p w14:paraId="57C483E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where:</w:t>
      </w:r>
    </w:p>
    <w:p w14:paraId="2905E4D4" w14:textId="77777777" w:rsidR="00B961DF" w:rsidRPr="00B479AE" w:rsidRDefault="00B961DF" w:rsidP="00B961DF">
      <w:pPr>
        <w:spacing w:line="360" w:lineRule="auto"/>
        <w:rPr>
          <w:rFonts w:ascii="Baskerville Old Face" w:hAnsi="Baskerville Old Face"/>
          <w:i/>
          <w:iCs/>
        </w:rPr>
      </w:pPr>
      <w:r w:rsidRPr="00B479AE">
        <w:rPr>
          <w:rFonts w:ascii="Cambria" w:hAnsi="Cambria" w:cs="Cambria"/>
          <w:i/>
          <w:iCs/>
        </w:rPr>
        <w:t>λ₁</w:t>
      </w:r>
      <w:r w:rsidRPr="00B479AE">
        <w:rPr>
          <w:rFonts w:ascii="Baskerville Old Face" w:hAnsi="Baskerville Old Face"/>
          <w:i/>
          <w:iCs/>
        </w:rPr>
        <w:t xml:space="preserve">, </w:t>
      </w:r>
      <w:r w:rsidRPr="00B479AE">
        <w:rPr>
          <w:rFonts w:ascii="Cambria" w:hAnsi="Cambria" w:cs="Cambria"/>
          <w:i/>
          <w:iCs/>
        </w:rPr>
        <w:t>λ₂</w:t>
      </w:r>
      <w:r w:rsidRPr="00B479AE">
        <w:rPr>
          <w:rFonts w:ascii="Baskerville Old Face" w:hAnsi="Baskerville Old Face"/>
          <w:i/>
          <w:iCs/>
        </w:rPr>
        <w:t xml:space="preserve">, </w:t>
      </w:r>
      <w:r w:rsidRPr="00B479AE">
        <w:rPr>
          <w:rFonts w:ascii="Cambria" w:hAnsi="Cambria" w:cs="Cambria"/>
          <w:i/>
          <w:iCs/>
        </w:rPr>
        <w:t>λ₃</w:t>
      </w:r>
      <w:r w:rsidRPr="00B479AE">
        <w:rPr>
          <w:rFonts w:ascii="Baskerville Old Face" w:hAnsi="Baskerville Old Face"/>
          <w:i/>
          <w:iCs/>
        </w:rPr>
        <w:t xml:space="preserve"> = methodology-defined weights</w:t>
      </w:r>
    </w:p>
    <w:p w14:paraId="622868A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xml:space="preserve">SRI, RPI, CESI </w:t>
      </w:r>
      <w:r w:rsidRPr="00B479AE">
        <w:rPr>
          <w:rFonts w:ascii="Cambria Math" w:hAnsi="Cambria Math" w:cs="Cambria Math"/>
          <w:i/>
          <w:iCs/>
        </w:rPr>
        <w:t>∈</w:t>
      </w:r>
      <w:r w:rsidRPr="00B479AE">
        <w:rPr>
          <w:rFonts w:ascii="Baskerville Old Face" w:hAnsi="Baskerville Old Face"/>
          <w:i/>
          <w:iCs/>
        </w:rPr>
        <w:t xml:space="preserve"> [0,1]</w:t>
      </w:r>
    </w:p>
    <w:p w14:paraId="43441ED2"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xml:space="preserve">C </w:t>
      </w:r>
      <w:r w:rsidRPr="00B479AE">
        <w:rPr>
          <w:rFonts w:ascii="Cambria Math" w:hAnsi="Cambria Math" w:cs="Cambria Math"/>
          <w:i/>
          <w:iCs/>
        </w:rPr>
        <w:t>∈</w:t>
      </w:r>
      <w:r w:rsidRPr="00B479AE">
        <w:rPr>
          <w:rFonts w:ascii="Baskerville Old Face" w:hAnsi="Baskerville Old Face"/>
          <w:i/>
          <w:iCs/>
        </w:rPr>
        <w:t xml:space="preserve"> [0,1]</w:t>
      </w:r>
    </w:p>
    <w:p w14:paraId="275F28B2"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SRI contributes resilience and risk-compression logic.</w:t>
      </w:r>
    </w:p>
    <w:p w14:paraId="08A8F64E"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RPI contributes regenerative productivity logic.</w:t>
      </w:r>
    </w:p>
    <w:p w14:paraId="54FDC64E"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CESI contributes cooperative ecological surplus logic.</w:t>
      </w:r>
    </w:p>
    <w:p w14:paraId="26AD927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C prevents weak evidence from producing inflated value.</w:t>
      </w:r>
    </w:p>
    <w:p w14:paraId="6BD91AA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formula is valid only as a methodology-bound analytical structure.</w:t>
      </w:r>
    </w:p>
    <w:p w14:paraId="02DF50D5"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does not create market price, investment value, token value, or legal entitlement by itself.</w:t>
      </w:r>
    </w:p>
    <w:p w14:paraId="4C2CB3A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operative methodology must define:</w:t>
      </w:r>
    </w:p>
    <w:p w14:paraId="69F4D0F4"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indicator families;</w:t>
      </w:r>
      <w:r w:rsidRPr="00B479AE">
        <w:rPr>
          <w:rFonts w:ascii="Baskerville Old Face" w:hAnsi="Baskerville Old Face"/>
          <w:i/>
          <w:iCs/>
        </w:rPr>
        <w:br/>
        <w:t>• measurement units;</w:t>
      </w:r>
      <w:r w:rsidRPr="00B479AE">
        <w:rPr>
          <w:rFonts w:ascii="Baskerville Old Face" w:hAnsi="Baskerville Old Face"/>
          <w:i/>
          <w:iCs/>
        </w:rPr>
        <w:br/>
      </w:r>
      <w:r w:rsidRPr="00B479AE">
        <w:rPr>
          <w:rFonts w:ascii="Baskerville Old Face" w:hAnsi="Baskerville Old Face"/>
          <w:i/>
          <w:iCs/>
        </w:rPr>
        <w:lastRenderedPageBreak/>
        <w:t>• baselines;</w:t>
      </w:r>
      <w:r w:rsidRPr="00B479AE">
        <w:rPr>
          <w:rFonts w:ascii="Baskerville Old Face" w:hAnsi="Baskerville Old Face"/>
          <w:i/>
          <w:iCs/>
        </w:rPr>
        <w:br/>
        <w:t>• time horizons;</w:t>
      </w:r>
      <w:r w:rsidRPr="00B479AE">
        <w:rPr>
          <w:rFonts w:ascii="Baskerville Old Face" w:hAnsi="Baskerville Old Face"/>
          <w:i/>
          <w:iCs/>
        </w:rPr>
        <w:br/>
        <w:t>• weights;</w:t>
      </w:r>
      <w:r w:rsidRPr="00B479AE">
        <w:rPr>
          <w:rFonts w:ascii="Baskerville Old Face" w:hAnsi="Baskerville Old Face"/>
          <w:i/>
          <w:iCs/>
        </w:rPr>
        <w:br/>
        <w:t>• confidence adjustments;</w:t>
      </w:r>
      <w:r w:rsidRPr="00B479AE">
        <w:rPr>
          <w:rFonts w:ascii="Baskerville Old Face" w:hAnsi="Baskerville Old Face"/>
          <w:i/>
          <w:iCs/>
        </w:rPr>
        <w:br/>
        <w:t>• admissibility thresholds;</w:t>
      </w:r>
      <w:r w:rsidRPr="00B479AE">
        <w:rPr>
          <w:rFonts w:ascii="Baskerville Old Face" w:hAnsi="Baskerville Old Face"/>
          <w:i/>
          <w:iCs/>
        </w:rPr>
        <w:br/>
        <w:t>• review pathways;</w:t>
      </w:r>
      <w:r w:rsidRPr="00B479AE">
        <w:rPr>
          <w:rFonts w:ascii="Baskerville Old Face" w:hAnsi="Baskerville Old Face"/>
          <w:i/>
          <w:iCs/>
        </w:rPr>
        <w:br/>
        <w:t>• limitations;</w:t>
      </w:r>
      <w:r w:rsidRPr="00B479AE">
        <w:rPr>
          <w:rFonts w:ascii="Baskerville Old Face" w:hAnsi="Baskerville Old Face"/>
          <w:i/>
          <w:iCs/>
        </w:rPr>
        <w:br/>
        <w:t>• update frequency.</w:t>
      </w:r>
    </w:p>
    <w:p w14:paraId="700115D3"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No PRU score or PRU value estimate should be used without its methodology version and evidence profile.</w:t>
      </w:r>
    </w:p>
    <w:p w14:paraId="74AF432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score is only as strong as the evidence beneath it.</w:t>
      </w:r>
    </w:p>
    <w:p w14:paraId="351471F5"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R.7 Syntropic Resilience Index</w:t>
      </w:r>
    </w:p>
    <w:p w14:paraId="6C64A58F"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Syntropic Resilience Index, or SRI, measures the internal adaptive capacity of a regenerative unit.</w:t>
      </w:r>
    </w:p>
    <w:p w14:paraId="6C3062D2"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may be expressed as:</w:t>
      </w:r>
    </w:p>
    <w:p w14:paraId="174C068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SRI = w_HH + w_SS + w_FF + w_BB</w:t>
      </w:r>
    </w:p>
    <w:p w14:paraId="5AA2523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subject to:</w:t>
      </w:r>
    </w:p>
    <w:p w14:paraId="2038C92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w_H + w_S + w_F + w_B = 1</w:t>
      </w:r>
    </w:p>
    <w:p w14:paraId="3D8A5182"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where:</w:t>
      </w:r>
    </w:p>
    <w:p w14:paraId="7E65CEB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H = hydrological intelligence block</w:t>
      </w:r>
    </w:p>
    <w:p w14:paraId="22B8A1FE"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S = soil metabolic block</w:t>
      </w:r>
    </w:p>
    <w:p w14:paraId="202B60D2"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F = mycorrhizal and network block</w:t>
      </w:r>
    </w:p>
    <w:p w14:paraId="3B2E2012"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B = biochemical and defensive intelligence block</w:t>
      </w:r>
    </w:p>
    <w:p w14:paraId="73912CD3"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SRI may include:</w:t>
      </w:r>
    </w:p>
    <w:p w14:paraId="23719623"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lastRenderedPageBreak/>
        <w:t>• soil organic matter;</w:t>
      </w:r>
      <w:r w:rsidRPr="00B479AE">
        <w:rPr>
          <w:rFonts w:ascii="Baskerville Old Face" w:hAnsi="Baskerville Old Face"/>
          <w:i/>
          <w:iCs/>
        </w:rPr>
        <w:br/>
        <w:t>• soil structure;</w:t>
      </w:r>
      <w:r w:rsidRPr="00B479AE">
        <w:rPr>
          <w:rFonts w:ascii="Baskerville Old Face" w:hAnsi="Baskerville Old Face"/>
          <w:i/>
          <w:iCs/>
        </w:rPr>
        <w:br/>
        <w:t>• microbial activity;</w:t>
      </w:r>
      <w:r w:rsidRPr="00B479AE">
        <w:rPr>
          <w:rFonts w:ascii="Baskerville Old Face" w:hAnsi="Baskerville Old Face"/>
          <w:i/>
          <w:iCs/>
        </w:rPr>
        <w:br/>
        <w:t>• earthworm activity;</w:t>
      </w:r>
      <w:r w:rsidRPr="00B479AE">
        <w:rPr>
          <w:rFonts w:ascii="Baskerville Old Face" w:hAnsi="Baskerville Old Face"/>
          <w:i/>
          <w:iCs/>
        </w:rPr>
        <w:br/>
        <w:t>• infiltration rate;</w:t>
      </w:r>
      <w:r w:rsidRPr="00B479AE">
        <w:rPr>
          <w:rFonts w:ascii="Baskerville Old Face" w:hAnsi="Baskerville Old Face"/>
          <w:i/>
          <w:iCs/>
        </w:rPr>
        <w:br/>
        <w:t>• water retention;</w:t>
      </w:r>
      <w:r w:rsidRPr="00B479AE">
        <w:rPr>
          <w:rFonts w:ascii="Baskerville Old Face" w:hAnsi="Baskerville Old Face"/>
          <w:i/>
          <w:iCs/>
        </w:rPr>
        <w:br/>
        <w:t>• vegetation structure;</w:t>
      </w:r>
      <w:r w:rsidRPr="00B479AE">
        <w:rPr>
          <w:rFonts w:ascii="Baskerville Old Face" w:hAnsi="Baskerville Old Face"/>
          <w:i/>
          <w:iCs/>
        </w:rPr>
        <w:br/>
        <w:t>• biomass cycling;</w:t>
      </w:r>
      <w:r w:rsidRPr="00B479AE">
        <w:rPr>
          <w:rFonts w:ascii="Baskerville Old Face" w:hAnsi="Baskerville Old Face"/>
          <w:i/>
          <w:iCs/>
        </w:rPr>
        <w:br/>
        <w:t>• species diversity;</w:t>
      </w:r>
      <w:r w:rsidRPr="00B479AE">
        <w:rPr>
          <w:rFonts w:ascii="Baskerville Old Face" w:hAnsi="Baskerville Old Face"/>
          <w:i/>
          <w:iCs/>
        </w:rPr>
        <w:br/>
        <w:t>• drought response;</w:t>
      </w:r>
      <w:r w:rsidRPr="00B479AE">
        <w:rPr>
          <w:rFonts w:ascii="Baskerville Old Face" w:hAnsi="Baskerville Old Face"/>
          <w:i/>
          <w:iCs/>
        </w:rPr>
        <w:br/>
        <w:t>• recovery after disturbance.</w:t>
      </w:r>
    </w:p>
    <w:p w14:paraId="57997D6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SRI captures shock absorption, structural stability, adaptive capacity, water resilience, soil vitality, and biological network maturity.</w:t>
      </w:r>
    </w:p>
    <w:p w14:paraId="366BC2B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Its financial relevance lies in risk compression.</w:t>
      </w:r>
    </w:p>
    <w:p w14:paraId="5F199D1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more resilient system may show lower variance, lower input dependency, and greater operational stability.</w:t>
      </w:r>
    </w:p>
    <w:p w14:paraId="74ACD83E"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SRI should be calculated only from indicators with defined evidence status and confidence level.</w:t>
      </w:r>
    </w:p>
    <w:p w14:paraId="1D68CDFB"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R.8 Regenerative Productivity Index</w:t>
      </w:r>
    </w:p>
    <w:p w14:paraId="58B2C81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Regenerative Productivity Index, or RPI, measures productive performance adjusted for ecological quality.</w:t>
      </w:r>
    </w:p>
    <w:p w14:paraId="5DB2CCC8"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may be expressed as:</w:t>
      </w:r>
    </w:p>
    <w:p w14:paraId="2F66F7DD"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RPI = a</w:t>
      </w:r>
      <w:r w:rsidRPr="00B479AE">
        <w:rPr>
          <w:rFonts w:ascii="Cambria Math" w:hAnsi="Cambria Math" w:cs="Cambria Math"/>
          <w:i/>
          <w:iCs/>
        </w:rPr>
        <w:t>₁</w:t>
      </w:r>
      <w:r w:rsidRPr="00B479AE">
        <w:rPr>
          <w:rFonts w:ascii="Baskerville Old Face" w:hAnsi="Baskerville Old Face"/>
          <w:i/>
          <w:iCs/>
        </w:rPr>
        <w:t>Y</w:t>
      </w:r>
      <w:r w:rsidRPr="00B479AE">
        <w:rPr>
          <w:rFonts w:ascii="Cambria Math" w:hAnsi="Cambria Math" w:cs="Cambria Math"/>
          <w:i/>
          <w:iCs/>
        </w:rPr>
        <w:t>₁</w:t>
      </w:r>
      <w:r w:rsidRPr="00B479AE">
        <w:rPr>
          <w:rFonts w:ascii="Baskerville Old Face" w:hAnsi="Baskerville Old Face"/>
          <w:i/>
          <w:iCs/>
        </w:rPr>
        <w:t xml:space="preserve"> + a</w:t>
      </w:r>
      <w:r w:rsidRPr="00B479AE">
        <w:rPr>
          <w:rFonts w:ascii="Cambria Math" w:hAnsi="Cambria Math" w:cs="Cambria Math"/>
          <w:i/>
          <w:iCs/>
        </w:rPr>
        <w:t>₂</w:t>
      </w:r>
      <w:r w:rsidRPr="00B479AE">
        <w:rPr>
          <w:rFonts w:ascii="Baskerville Old Face" w:hAnsi="Baskerville Old Face"/>
          <w:i/>
          <w:iCs/>
        </w:rPr>
        <w:t>Y</w:t>
      </w:r>
      <w:r w:rsidRPr="00B479AE">
        <w:rPr>
          <w:rFonts w:ascii="Cambria Math" w:hAnsi="Cambria Math" w:cs="Cambria Math"/>
          <w:i/>
          <w:iCs/>
        </w:rPr>
        <w:t>₂</w:t>
      </w:r>
      <w:r w:rsidRPr="00B479AE">
        <w:rPr>
          <w:rFonts w:ascii="Baskerville Old Face" w:hAnsi="Baskerville Old Face"/>
          <w:i/>
          <w:iCs/>
        </w:rPr>
        <w:t xml:space="preserve"> + a</w:t>
      </w:r>
      <w:r w:rsidRPr="00B479AE">
        <w:rPr>
          <w:rFonts w:ascii="Cambria Math" w:hAnsi="Cambria Math" w:cs="Cambria Math"/>
          <w:i/>
          <w:iCs/>
        </w:rPr>
        <w:t>₃</w:t>
      </w:r>
      <w:r w:rsidRPr="00B479AE">
        <w:rPr>
          <w:rFonts w:ascii="Baskerville Old Face" w:hAnsi="Baskerville Old Face"/>
          <w:i/>
          <w:iCs/>
        </w:rPr>
        <w:t>Y</w:t>
      </w:r>
      <w:r w:rsidRPr="00B479AE">
        <w:rPr>
          <w:rFonts w:ascii="Cambria Math" w:hAnsi="Cambria Math" w:cs="Cambria Math"/>
          <w:i/>
          <w:iCs/>
        </w:rPr>
        <w:t>₃</w:t>
      </w:r>
      <w:r w:rsidRPr="00B479AE">
        <w:rPr>
          <w:rFonts w:ascii="Baskerville Old Face" w:hAnsi="Baskerville Old Face"/>
          <w:i/>
          <w:iCs/>
        </w:rPr>
        <w:t xml:space="preserve"> + a</w:t>
      </w:r>
      <w:r w:rsidRPr="00B479AE">
        <w:rPr>
          <w:rFonts w:ascii="Cambria Math" w:hAnsi="Cambria Math" w:cs="Cambria Math"/>
          <w:i/>
          <w:iCs/>
        </w:rPr>
        <w:t>₄</w:t>
      </w:r>
      <w:r w:rsidRPr="00B479AE">
        <w:rPr>
          <w:rFonts w:ascii="Baskerville Old Face" w:hAnsi="Baskerville Old Face"/>
          <w:i/>
          <w:iCs/>
        </w:rPr>
        <w:t>Y</w:t>
      </w:r>
      <w:r w:rsidRPr="00B479AE">
        <w:rPr>
          <w:rFonts w:ascii="Cambria Math" w:hAnsi="Cambria Math" w:cs="Cambria Math"/>
          <w:i/>
          <w:iCs/>
        </w:rPr>
        <w:t>₄</w:t>
      </w:r>
    </w:p>
    <w:p w14:paraId="1C3F9FA5"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where:</w:t>
      </w:r>
    </w:p>
    <w:p w14:paraId="4FDC45E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Y</w:t>
      </w:r>
      <w:r w:rsidRPr="00B479AE">
        <w:rPr>
          <w:rFonts w:ascii="Cambria Math" w:hAnsi="Cambria Math" w:cs="Cambria Math"/>
          <w:i/>
          <w:iCs/>
        </w:rPr>
        <w:t>₁</w:t>
      </w:r>
      <w:r w:rsidRPr="00B479AE">
        <w:rPr>
          <w:rFonts w:ascii="Baskerville Old Face" w:hAnsi="Baskerville Old Face"/>
          <w:i/>
          <w:iCs/>
        </w:rPr>
        <w:t xml:space="preserve"> = edible or useful yield</w:t>
      </w:r>
    </w:p>
    <w:p w14:paraId="5073456D"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Y</w:t>
      </w:r>
      <w:r w:rsidRPr="00B479AE">
        <w:rPr>
          <w:rFonts w:ascii="Cambria Math" w:hAnsi="Cambria Math" w:cs="Cambria Math"/>
          <w:i/>
          <w:iCs/>
        </w:rPr>
        <w:t>₂</w:t>
      </w:r>
      <w:r w:rsidRPr="00B479AE">
        <w:rPr>
          <w:rFonts w:ascii="Baskerville Old Face" w:hAnsi="Baskerville Old Face"/>
          <w:i/>
          <w:iCs/>
        </w:rPr>
        <w:t xml:space="preserve"> = diversity-adjusted yield</w:t>
      </w:r>
    </w:p>
    <w:p w14:paraId="713B468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Y</w:t>
      </w:r>
      <w:r w:rsidRPr="00B479AE">
        <w:rPr>
          <w:rFonts w:ascii="Cambria Math" w:hAnsi="Cambria Math" w:cs="Cambria Math"/>
          <w:i/>
          <w:iCs/>
        </w:rPr>
        <w:t>₃</w:t>
      </w:r>
      <w:r w:rsidRPr="00B479AE">
        <w:rPr>
          <w:rFonts w:ascii="Baskerville Old Face" w:hAnsi="Baskerville Old Face"/>
          <w:i/>
          <w:iCs/>
        </w:rPr>
        <w:t xml:space="preserve"> = yield stability</w:t>
      </w:r>
    </w:p>
    <w:p w14:paraId="0A0CAFE3"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lastRenderedPageBreak/>
        <w:t>Y</w:t>
      </w:r>
      <w:r w:rsidRPr="00B479AE">
        <w:rPr>
          <w:rFonts w:ascii="Cambria Math" w:hAnsi="Cambria Math" w:cs="Cambria Math"/>
          <w:i/>
          <w:iCs/>
        </w:rPr>
        <w:t>₄</w:t>
      </w:r>
      <w:r w:rsidRPr="00B479AE">
        <w:rPr>
          <w:rFonts w:ascii="Baskerville Old Face" w:hAnsi="Baskerville Old Face"/>
          <w:i/>
          <w:iCs/>
        </w:rPr>
        <w:t xml:space="preserve"> = input independence score</w:t>
      </w:r>
    </w:p>
    <w:p w14:paraId="23C45608"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subject to:</w:t>
      </w:r>
    </w:p>
    <w:p w14:paraId="3E253E15"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w:t>
      </w:r>
      <w:r w:rsidRPr="00B479AE">
        <w:rPr>
          <w:rFonts w:ascii="Cambria Math" w:hAnsi="Cambria Math" w:cs="Cambria Math"/>
          <w:i/>
          <w:iCs/>
        </w:rPr>
        <w:t>₁</w:t>
      </w:r>
      <w:r w:rsidRPr="00B479AE">
        <w:rPr>
          <w:rFonts w:ascii="Baskerville Old Face" w:hAnsi="Baskerville Old Face"/>
          <w:i/>
          <w:iCs/>
        </w:rPr>
        <w:t xml:space="preserve"> + a</w:t>
      </w:r>
      <w:r w:rsidRPr="00B479AE">
        <w:rPr>
          <w:rFonts w:ascii="Cambria Math" w:hAnsi="Cambria Math" w:cs="Cambria Math"/>
          <w:i/>
          <w:iCs/>
        </w:rPr>
        <w:t>₂</w:t>
      </w:r>
      <w:r w:rsidRPr="00B479AE">
        <w:rPr>
          <w:rFonts w:ascii="Baskerville Old Face" w:hAnsi="Baskerville Old Face"/>
          <w:i/>
          <w:iCs/>
        </w:rPr>
        <w:t xml:space="preserve"> + a</w:t>
      </w:r>
      <w:r w:rsidRPr="00B479AE">
        <w:rPr>
          <w:rFonts w:ascii="Cambria Math" w:hAnsi="Cambria Math" w:cs="Cambria Math"/>
          <w:i/>
          <w:iCs/>
        </w:rPr>
        <w:t>₃</w:t>
      </w:r>
      <w:r w:rsidRPr="00B479AE">
        <w:rPr>
          <w:rFonts w:ascii="Baskerville Old Face" w:hAnsi="Baskerville Old Face"/>
          <w:i/>
          <w:iCs/>
        </w:rPr>
        <w:t xml:space="preserve"> + a</w:t>
      </w:r>
      <w:r w:rsidRPr="00B479AE">
        <w:rPr>
          <w:rFonts w:ascii="Cambria Math" w:hAnsi="Cambria Math" w:cs="Cambria Math"/>
          <w:i/>
          <w:iCs/>
        </w:rPr>
        <w:t>₄</w:t>
      </w:r>
      <w:r w:rsidRPr="00B479AE">
        <w:rPr>
          <w:rFonts w:ascii="Baskerville Old Face" w:hAnsi="Baskerville Old Face"/>
          <w:i/>
          <w:iCs/>
        </w:rPr>
        <w:t xml:space="preserve"> = 1</w:t>
      </w:r>
    </w:p>
    <w:p w14:paraId="35CB88E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RPI may include:</w:t>
      </w:r>
    </w:p>
    <w:p w14:paraId="5C50585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edible biomass output;</w:t>
      </w:r>
      <w:r w:rsidRPr="00B479AE">
        <w:rPr>
          <w:rFonts w:ascii="Baskerville Old Face" w:hAnsi="Baskerville Old Face"/>
          <w:i/>
          <w:iCs/>
        </w:rPr>
        <w:br/>
        <w:t>• crop diversity;</w:t>
      </w:r>
      <w:r w:rsidRPr="00B479AE">
        <w:rPr>
          <w:rFonts w:ascii="Baskerville Old Face" w:hAnsi="Baskerville Old Face"/>
          <w:i/>
          <w:iCs/>
        </w:rPr>
        <w:br/>
        <w:t>• seasonal yield distribution;</w:t>
      </w:r>
      <w:r w:rsidRPr="00B479AE">
        <w:rPr>
          <w:rFonts w:ascii="Baskerville Old Face" w:hAnsi="Baskerville Old Face"/>
          <w:i/>
          <w:iCs/>
        </w:rPr>
        <w:br/>
        <w:t>• yield stability;</w:t>
      </w:r>
      <w:r w:rsidRPr="00B479AE">
        <w:rPr>
          <w:rFonts w:ascii="Baskerville Old Face" w:hAnsi="Baskerville Old Face"/>
          <w:i/>
          <w:iCs/>
        </w:rPr>
        <w:br/>
        <w:t>• nutritional potential;</w:t>
      </w:r>
      <w:r w:rsidRPr="00B479AE">
        <w:rPr>
          <w:rFonts w:ascii="Baskerville Old Face" w:hAnsi="Baskerville Old Face"/>
          <w:i/>
          <w:iCs/>
        </w:rPr>
        <w:br/>
        <w:t>• input efficiency;</w:t>
      </w:r>
      <w:r w:rsidRPr="00B479AE">
        <w:rPr>
          <w:rFonts w:ascii="Baskerville Old Face" w:hAnsi="Baskerville Old Face"/>
          <w:i/>
          <w:iCs/>
        </w:rPr>
        <w:br/>
        <w:t>• productivity per unit of water;</w:t>
      </w:r>
      <w:r w:rsidRPr="00B479AE">
        <w:rPr>
          <w:rFonts w:ascii="Baskerville Old Face" w:hAnsi="Baskerville Old Face"/>
          <w:i/>
          <w:iCs/>
        </w:rPr>
        <w:br/>
        <w:t>• productivity per unit of external input;</w:t>
      </w:r>
      <w:r w:rsidRPr="00B479AE">
        <w:rPr>
          <w:rFonts w:ascii="Baskerville Old Face" w:hAnsi="Baskerville Old Face"/>
          <w:i/>
          <w:iCs/>
        </w:rPr>
        <w:br/>
        <w:t>• productive maturation over time.</w:t>
      </w:r>
    </w:p>
    <w:p w14:paraId="1158F71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RPI measures productivity under ecological constraints.</w:t>
      </w:r>
    </w:p>
    <w:p w14:paraId="1D0B004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rewards output quality, diversity, temporal stability, and reduced dependency on external inputs.</w:t>
      </w:r>
    </w:p>
    <w:p w14:paraId="4A1640A4"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does not reward extractive yield that degrades the system.</w:t>
      </w:r>
    </w:p>
    <w:p w14:paraId="52BAAACB"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system that produces while degrading itself is not regenerative.</w:t>
      </w:r>
    </w:p>
    <w:p w14:paraId="5E37181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system that produces while strengthening its foundations is.</w:t>
      </w:r>
    </w:p>
    <w:p w14:paraId="4B103F98"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R.9 Cooperative Ecological Surplus Index</w:t>
      </w:r>
    </w:p>
    <w:p w14:paraId="49647E24"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Cooperative Ecological Surplus Index, or CESI, measures the surplus generated by biological relationships.</w:t>
      </w:r>
    </w:p>
    <w:p w14:paraId="2F480658"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may be expressed as:</w:t>
      </w:r>
    </w:p>
    <w:p w14:paraId="79281A95"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CESI = b</w:t>
      </w:r>
      <w:r w:rsidRPr="00B479AE">
        <w:rPr>
          <w:rFonts w:ascii="Cambria Math" w:hAnsi="Cambria Math" w:cs="Cambria Math"/>
          <w:i/>
          <w:iCs/>
        </w:rPr>
        <w:t>₁</w:t>
      </w:r>
      <w:r w:rsidRPr="00B479AE">
        <w:rPr>
          <w:rFonts w:ascii="Baskerville Old Face" w:hAnsi="Baskerville Old Face"/>
          <w:i/>
          <w:iCs/>
        </w:rPr>
        <w:t>F</w:t>
      </w:r>
      <w:r w:rsidRPr="00B479AE">
        <w:rPr>
          <w:rFonts w:ascii="Cambria Math" w:hAnsi="Cambria Math" w:cs="Cambria Math"/>
          <w:i/>
          <w:iCs/>
        </w:rPr>
        <w:t>₂</w:t>
      </w:r>
      <w:r w:rsidRPr="00B479AE">
        <w:rPr>
          <w:rFonts w:ascii="Baskerville Old Face" w:hAnsi="Baskerville Old Face"/>
          <w:i/>
          <w:iCs/>
        </w:rPr>
        <w:t xml:space="preserve"> + b</w:t>
      </w:r>
      <w:r w:rsidRPr="00B479AE">
        <w:rPr>
          <w:rFonts w:ascii="Cambria Math" w:hAnsi="Cambria Math" w:cs="Cambria Math"/>
          <w:i/>
          <w:iCs/>
        </w:rPr>
        <w:t>₂</w:t>
      </w:r>
      <w:r w:rsidRPr="00B479AE">
        <w:rPr>
          <w:rFonts w:ascii="Baskerville Old Face" w:hAnsi="Baskerville Old Face"/>
          <w:i/>
          <w:iCs/>
        </w:rPr>
        <w:t>B</w:t>
      </w:r>
      <w:r w:rsidRPr="00B479AE">
        <w:rPr>
          <w:rFonts w:ascii="Cambria Math" w:hAnsi="Cambria Math" w:cs="Cambria Math"/>
          <w:i/>
          <w:iCs/>
        </w:rPr>
        <w:t>₃</w:t>
      </w:r>
      <w:r w:rsidRPr="00B479AE">
        <w:rPr>
          <w:rFonts w:ascii="Baskerville Old Face" w:hAnsi="Baskerville Old Face"/>
          <w:i/>
          <w:iCs/>
        </w:rPr>
        <w:t xml:space="preserve"> + b</w:t>
      </w:r>
      <w:r w:rsidRPr="00B479AE">
        <w:rPr>
          <w:rFonts w:ascii="Cambria Math" w:hAnsi="Cambria Math" w:cs="Cambria Math"/>
          <w:i/>
          <w:iCs/>
        </w:rPr>
        <w:t>₃</w:t>
      </w:r>
      <w:r w:rsidRPr="00B479AE">
        <w:rPr>
          <w:rFonts w:ascii="Baskerville Old Face" w:hAnsi="Baskerville Old Face"/>
          <w:i/>
          <w:iCs/>
        </w:rPr>
        <w:t>S</w:t>
      </w:r>
      <w:r w:rsidRPr="00B479AE">
        <w:rPr>
          <w:rFonts w:ascii="Cambria Math" w:hAnsi="Cambria Math" w:cs="Cambria Math"/>
          <w:i/>
          <w:iCs/>
        </w:rPr>
        <w:t>₃</w:t>
      </w:r>
      <w:r w:rsidRPr="00B479AE">
        <w:rPr>
          <w:rFonts w:ascii="Baskerville Old Face" w:hAnsi="Baskerville Old Face"/>
          <w:i/>
          <w:iCs/>
        </w:rPr>
        <w:t xml:space="preserve"> + b</w:t>
      </w:r>
      <w:r w:rsidRPr="00B479AE">
        <w:rPr>
          <w:rFonts w:ascii="Cambria Math" w:hAnsi="Cambria Math" w:cs="Cambria Math"/>
          <w:i/>
          <w:iCs/>
        </w:rPr>
        <w:t>₄Δ</w:t>
      </w:r>
      <w:r w:rsidRPr="00B479AE">
        <w:rPr>
          <w:rFonts w:ascii="Baskerville Old Face" w:hAnsi="Baskerville Old Face"/>
          <w:i/>
          <w:iCs/>
        </w:rPr>
        <w:t>Y_network</w:t>
      </w:r>
    </w:p>
    <w:p w14:paraId="1290C45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where:</w:t>
      </w:r>
    </w:p>
    <w:p w14:paraId="56C7E00B" w14:textId="5E9E1A7E"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F</w:t>
      </w:r>
      <w:r w:rsidRPr="00B479AE">
        <w:rPr>
          <w:rFonts w:ascii="Cambria Math" w:hAnsi="Cambria Math" w:cs="Cambria Math"/>
          <w:i/>
          <w:iCs/>
        </w:rPr>
        <w:t>₂</w:t>
      </w:r>
      <w:r w:rsidR="00417105" w:rsidRPr="00B479AE">
        <w:rPr>
          <w:rFonts w:ascii="Baskerville Old Face" w:hAnsi="Baskerville Old Face"/>
          <w:i/>
          <w:iCs/>
        </w:rPr>
        <w:t xml:space="preserve"> </w:t>
      </w:r>
      <w:r w:rsidRPr="00B479AE">
        <w:rPr>
          <w:rFonts w:ascii="Baskerville Old Face" w:hAnsi="Baskerville Old Face"/>
          <w:i/>
          <w:iCs/>
        </w:rPr>
        <w:t>= network support index</w:t>
      </w:r>
    </w:p>
    <w:p w14:paraId="4CEADB90" w14:textId="1C85D291"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lastRenderedPageBreak/>
        <w:t>B</w:t>
      </w:r>
      <w:r w:rsidRPr="00B479AE">
        <w:rPr>
          <w:rFonts w:ascii="Cambria Math" w:hAnsi="Cambria Math" w:cs="Cambria Math"/>
          <w:i/>
          <w:iCs/>
        </w:rPr>
        <w:t>₃</w:t>
      </w:r>
      <w:r w:rsidR="00417105" w:rsidRPr="00B479AE">
        <w:rPr>
          <w:rFonts w:ascii="Cambria Math" w:hAnsi="Cambria Math" w:cs="Cambria Math"/>
          <w:i/>
          <w:iCs/>
        </w:rPr>
        <w:t xml:space="preserve"> </w:t>
      </w:r>
      <w:r w:rsidRPr="00B479AE">
        <w:rPr>
          <w:rFonts w:ascii="Baskerville Old Face" w:hAnsi="Baskerville Old Face"/>
          <w:i/>
          <w:iCs/>
        </w:rPr>
        <w:t>= defense coordination proxy</w:t>
      </w:r>
    </w:p>
    <w:p w14:paraId="68F60DC9" w14:textId="4216E1F3"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S</w:t>
      </w:r>
      <w:r w:rsidRPr="00B479AE">
        <w:rPr>
          <w:rFonts w:ascii="Cambria Math" w:hAnsi="Cambria Math" w:cs="Cambria Math"/>
          <w:i/>
          <w:iCs/>
        </w:rPr>
        <w:t>₃</w:t>
      </w:r>
      <w:r w:rsidRPr="00B479AE">
        <w:rPr>
          <w:rFonts w:ascii="Baskerville Old Face" w:hAnsi="Baskerville Old Face"/>
          <w:i/>
          <w:iCs/>
        </w:rPr>
        <w:t xml:space="preserve"> = earthworm or soil-fauna activity</w:t>
      </w:r>
    </w:p>
    <w:p w14:paraId="427BB621" w14:textId="77777777" w:rsidR="00B961DF" w:rsidRPr="00B479AE" w:rsidRDefault="00B961DF" w:rsidP="00B961DF">
      <w:pPr>
        <w:spacing w:line="360" w:lineRule="auto"/>
        <w:rPr>
          <w:rFonts w:ascii="Baskerville Old Face" w:hAnsi="Baskerville Old Face"/>
          <w:i/>
          <w:iCs/>
        </w:rPr>
      </w:pPr>
      <w:r w:rsidRPr="00B479AE">
        <w:rPr>
          <w:rFonts w:ascii="Cambria" w:hAnsi="Cambria" w:cs="Cambria"/>
          <w:i/>
          <w:iCs/>
        </w:rPr>
        <w:t>Δ</w:t>
      </w:r>
      <w:r w:rsidRPr="00B479AE">
        <w:rPr>
          <w:rFonts w:ascii="Baskerville Old Face" w:hAnsi="Baskerville Old Face"/>
          <w:i/>
          <w:iCs/>
        </w:rPr>
        <w:t>Y_network  = measured surplus over isolated or simplified comparison systems</w:t>
      </w:r>
    </w:p>
    <w:p w14:paraId="1F06EF39"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subject to:</w:t>
      </w:r>
    </w:p>
    <w:p w14:paraId="6814326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b</w:t>
      </w:r>
      <w:r w:rsidRPr="00B479AE">
        <w:rPr>
          <w:rFonts w:ascii="Cambria Math" w:hAnsi="Cambria Math" w:cs="Cambria Math"/>
          <w:i/>
          <w:iCs/>
        </w:rPr>
        <w:t>₁</w:t>
      </w:r>
      <w:r w:rsidRPr="00B479AE">
        <w:rPr>
          <w:rFonts w:ascii="Baskerville Old Face" w:hAnsi="Baskerville Old Face"/>
          <w:i/>
          <w:iCs/>
        </w:rPr>
        <w:t xml:space="preserve"> + b</w:t>
      </w:r>
      <w:r w:rsidRPr="00B479AE">
        <w:rPr>
          <w:rFonts w:ascii="Cambria Math" w:hAnsi="Cambria Math" w:cs="Cambria Math"/>
          <w:i/>
          <w:iCs/>
        </w:rPr>
        <w:t>₂</w:t>
      </w:r>
      <w:r w:rsidRPr="00B479AE">
        <w:rPr>
          <w:rFonts w:ascii="Baskerville Old Face" w:hAnsi="Baskerville Old Face"/>
          <w:i/>
          <w:iCs/>
        </w:rPr>
        <w:t xml:space="preserve"> + b</w:t>
      </w:r>
      <w:r w:rsidRPr="00B479AE">
        <w:rPr>
          <w:rFonts w:ascii="Cambria Math" w:hAnsi="Cambria Math" w:cs="Cambria Math"/>
          <w:i/>
          <w:iCs/>
        </w:rPr>
        <w:t>₃</w:t>
      </w:r>
      <w:r w:rsidRPr="00B479AE">
        <w:rPr>
          <w:rFonts w:ascii="Baskerville Old Face" w:hAnsi="Baskerville Old Face"/>
          <w:i/>
          <w:iCs/>
        </w:rPr>
        <w:t xml:space="preserve"> + b</w:t>
      </w:r>
      <w:r w:rsidRPr="00B479AE">
        <w:rPr>
          <w:rFonts w:ascii="Cambria Math" w:hAnsi="Cambria Math" w:cs="Cambria Math"/>
          <w:i/>
          <w:iCs/>
        </w:rPr>
        <w:t>₄</w:t>
      </w:r>
      <w:r w:rsidRPr="00B479AE">
        <w:rPr>
          <w:rFonts w:ascii="Baskerville Old Face" w:hAnsi="Baskerville Old Face"/>
          <w:i/>
          <w:iCs/>
        </w:rPr>
        <w:t xml:space="preserve"> = 1</w:t>
      </w:r>
    </w:p>
    <w:p w14:paraId="69DD7074"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CESI may include value created through:</w:t>
      </w:r>
    </w:p>
    <w:p w14:paraId="6F2FFB5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mycorrhizal networks;</w:t>
      </w:r>
      <w:r w:rsidRPr="00B479AE">
        <w:rPr>
          <w:rFonts w:ascii="Baskerville Old Face" w:hAnsi="Baskerville Old Face"/>
          <w:i/>
          <w:iCs/>
        </w:rPr>
        <w:br/>
        <w:t>• stratification;</w:t>
      </w:r>
      <w:r w:rsidRPr="00B479AE">
        <w:rPr>
          <w:rFonts w:ascii="Baskerville Old Face" w:hAnsi="Baskerville Old Face"/>
          <w:i/>
          <w:iCs/>
        </w:rPr>
        <w:br/>
        <w:t>• complementary root systems;</w:t>
      </w:r>
      <w:r w:rsidRPr="00B479AE">
        <w:rPr>
          <w:rFonts w:ascii="Baskerville Old Face" w:hAnsi="Baskerville Old Face"/>
          <w:i/>
          <w:iCs/>
        </w:rPr>
        <w:br/>
        <w:t>• biodiversity;</w:t>
      </w:r>
      <w:r w:rsidRPr="00B479AE">
        <w:rPr>
          <w:rFonts w:ascii="Baskerville Old Face" w:hAnsi="Baskerville Old Face"/>
          <w:i/>
          <w:iCs/>
        </w:rPr>
        <w:br/>
        <w:t>• pollination;</w:t>
      </w:r>
      <w:r w:rsidRPr="00B479AE">
        <w:rPr>
          <w:rFonts w:ascii="Baskerville Old Face" w:hAnsi="Baskerville Old Face"/>
          <w:i/>
          <w:iCs/>
        </w:rPr>
        <w:br/>
        <w:t>• pest regulation;</w:t>
      </w:r>
      <w:r w:rsidRPr="00B479AE">
        <w:rPr>
          <w:rFonts w:ascii="Baskerville Old Face" w:hAnsi="Baskerville Old Face"/>
          <w:i/>
          <w:iCs/>
        </w:rPr>
        <w:br/>
        <w:t>• biomass cycling;</w:t>
      </w:r>
      <w:r w:rsidRPr="00B479AE">
        <w:rPr>
          <w:rFonts w:ascii="Baskerville Old Face" w:hAnsi="Baskerville Old Face"/>
          <w:i/>
          <w:iCs/>
        </w:rPr>
        <w:br/>
        <w:t>• microclimate buffering;</w:t>
      </w:r>
      <w:r w:rsidRPr="00B479AE">
        <w:rPr>
          <w:rFonts w:ascii="Baskerville Old Face" w:hAnsi="Baskerville Old Face"/>
          <w:i/>
          <w:iCs/>
        </w:rPr>
        <w:br/>
        <w:t>• cooperative plant guilds;</w:t>
      </w:r>
      <w:r w:rsidRPr="00B479AE">
        <w:rPr>
          <w:rFonts w:ascii="Baskerville Old Face" w:hAnsi="Baskerville Old Face"/>
          <w:i/>
          <w:iCs/>
        </w:rPr>
        <w:br/>
        <w:t>• reduced competition for external inputs.</w:t>
      </w:r>
    </w:p>
    <w:p w14:paraId="1ECA1359"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CESI is one of the most distinctive Prometheus indices.</w:t>
      </w:r>
    </w:p>
    <w:p w14:paraId="4954EF9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attempts to capture cooperation-derived value: the surplus generated by ecological relationships, not merely by isolated components.</w:t>
      </w:r>
    </w:p>
    <w:p w14:paraId="5A7908F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key question is whether the system generates more stability, resilience, or productive capacity than simplified isolated components would suggest.</w:t>
      </w:r>
    </w:p>
    <w:p w14:paraId="7058D42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CESI should be treated conservatively because cooperative surplus is powerful but methodologically demanding.</w:t>
      </w:r>
    </w:p>
    <w:p w14:paraId="2AE2BACB"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R.10 MRV Integrity Score</w:t>
      </w:r>
    </w:p>
    <w:p w14:paraId="5724BA23"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MRV Integrity Score measures the strength of the evidence architecture supporting PRU claims.</w:t>
      </w:r>
    </w:p>
    <w:p w14:paraId="3705B9FD"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may consider:</w:t>
      </w:r>
    </w:p>
    <w:p w14:paraId="71BD009D"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lastRenderedPageBreak/>
        <w:t>• baseline quality;</w:t>
      </w:r>
      <w:r w:rsidRPr="00B479AE">
        <w:rPr>
          <w:rFonts w:ascii="Baskerville Old Face" w:hAnsi="Baskerville Old Face"/>
          <w:i/>
          <w:iCs/>
        </w:rPr>
        <w:br/>
        <w:t>• sampling consistency;</w:t>
      </w:r>
      <w:r w:rsidRPr="00B479AE">
        <w:rPr>
          <w:rFonts w:ascii="Baskerville Old Face" w:hAnsi="Baskerville Old Face"/>
          <w:i/>
          <w:iCs/>
        </w:rPr>
        <w:br/>
        <w:t>• sensor reliability;</w:t>
      </w:r>
      <w:r w:rsidRPr="00B479AE">
        <w:rPr>
          <w:rFonts w:ascii="Baskerville Old Face" w:hAnsi="Baskerville Old Face"/>
          <w:i/>
          <w:iCs/>
        </w:rPr>
        <w:br/>
        <w:t>• laboratory documentation;</w:t>
      </w:r>
      <w:r w:rsidRPr="00B479AE">
        <w:rPr>
          <w:rFonts w:ascii="Baskerville Old Face" w:hAnsi="Baskerville Old Face"/>
          <w:i/>
          <w:iCs/>
        </w:rPr>
        <w:br/>
        <w:t>• remote-sensing continuity;</w:t>
      </w:r>
      <w:r w:rsidRPr="00B479AE">
        <w:rPr>
          <w:rFonts w:ascii="Baskerville Old Face" w:hAnsi="Baskerville Old Face"/>
          <w:i/>
          <w:iCs/>
        </w:rPr>
        <w:br/>
        <w:t>• field-audit quality;</w:t>
      </w:r>
      <w:r w:rsidRPr="00B479AE">
        <w:rPr>
          <w:rFonts w:ascii="Baskerville Old Face" w:hAnsi="Baskerville Old Face"/>
          <w:i/>
          <w:iCs/>
        </w:rPr>
        <w:br/>
        <w:t>• data lineage;</w:t>
      </w:r>
      <w:r w:rsidRPr="00B479AE">
        <w:rPr>
          <w:rFonts w:ascii="Baskerville Old Face" w:hAnsi="Baskerville Old Face"/>
          <w:i/>
          <w:iCs/>
        </w:rPr>
        <w:br/>
        <w:t>• methodology versioning;</w:t>
      </w:r>
      <w:r w:rsidRPr="00B479AE">
        <w:rPr>
          <w:rFonts w:ascii="Baskerville Old Face" w:hAnsi="Baskerville Old Face"/>
          <w:i/>
          <w:iCs/>
        </w:rPr>
        <w:br/>
        <w:t>• confidence scoring;</w:t>
      </w:r>
      <w:r w:rsidRPr="00B479AE">
        <w:rPr>
          <w:rFonts w:ascii="Baskerville Old Face" w:hAnsi="Baskerville Old Face"/>
          <w:i/>
          <w:iCs/>
        </w:rPr>
        <w:br/>
        <w:t>• third-party verification;</w:t>
      </w:r>
      <w:r w:rsidRPr="00B479AE">
        <w:rPr>
          <w:rFonts w:ascii="Baskerville Old Face" w:hAnsi="Baskerville Old Face"/>
          <w:i/>
          <w:iCs/>
        </w:rPr>
        <w:br/>
        <w:t>• provenance integrity;</w:t>
      </w:r>
      <w:r w:rsidRPr="00B479AE">
        <w:rPr>
          <w:rFonts w:ascii="Baskerville Old Face" w:hAnsi="Baskerville Old Face"/>
          <w:i/>
          <w:iCs/>
        </w:rPr>
        <w:br/>
        <w:t>• no-double-counting safeguards.</w:t>
      </w:r>
    </w:p>
    <w:p w14:paraId="7ACD81D7"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conceptual MRV integrity expression may be:</w:t>
      </w:r>
    </w:p>
    <w:p w14:paraId="38FB0A38"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MRV_integrity = f(B, P, Q, X, T, A)</w:t>
      </w:r>
    </w:p>
    <w:p w14:paraId="11C3DC97"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where:</w:t>
      </w:r>
    </w:p>
    <w:p w14:paraId="21F242F5"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B = baseline quality</w:t>
      </w:r>
    </w:p>
    <w:p w14:paraId="65FF6A0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P = provenance strength</w:t>
      </w:r>
    </w:p>
    <w:p w14:paraId="12934AC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Q = measurement quality</w:t>
      </w:r>
    </w:p>
    <w:p w14:paraId="37A8DC5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X = cross-source consistency</w:t>
      </w:r>
    </w:p>
    <w:p w14:paraId="641A790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 = temporal continuity</w:t>
      </w:r>
    </w:p>
    <w:p w14:paraId="66A1156B"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 audit or review status</w:t>
      </w:r>
    </w:p>
    <w:p w14:paraId="4CBFA5F4"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score is fundamental because capital should not rely only on ecological promise.</w:t>
      </w:r>
    </w:p>
    <w:p w14:paraId="6F4E53AF"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should rely on the quality of evidence.</w:t>
      </w:r>
    </w:p>
    <w:p w14:paraId="2AED5CCF"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MRV integrity does not create value by itself.</w:t>
      </w:r>
    </w:p>
    <w:p w14:paraId="6F0E2AF7"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determines how much trust may be placed in value-relevant claims.</w:t>
      </w:r>
    </w:p>
    <w:p w14:paraId="2090A47B" w14:textId="77777777" w:rsidR="00F93F8B" w:rsidRDefault="00F93F8B" w:rsidP="00B961DF">
      <w:pPr>
        <w:spacing w:line="360" w:lineRule="auto"/>
        <w:rPr>
          <w:rFonts w:ascii="Baskerville Old Face" w:hAnsi="Baskerville Old Face"/>
          <w:b/>
          <w:bCs/>
          <w:i/>
          <w:iCs/>
        </w:rPr>
      </w:pPr>
    </w:p>
    <w:p w14:paraId="6630D0AB" w14:textId="05EAECF2"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lastRenderedPageBreak/>
        <w:t>R.11 Confidence adjustment</w:t>
      </w:r>
    </w:p>
    <w:p w14:paraId="79C22BC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Confidence adjustment is central to PRU discipline.</w:t>
      </w:r>
    </w:p>
    <w:p w14:paraId="291559B7"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Each indicator should receive a confidence score.</w:t>
      </w:r>
    </w:p>
    <w:p w14:paraId="331F89C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simplified confidence expression may be:</w:t>
      </w:r>
    </w:p>
    <w:p w14:paraId="5BF5C8B9"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xml:space="preserve">Conf_k = q_k </w:t>
      </w:r>
      <w:r w:rsidRPr="00B479AE">
        <w:rPr>
          <w:rFonts w:ascii="Cambria" w:hAnsi="Cambria" w:cs="Cambria"/>
          <w:i/>
          <w:iCs/>
        </w:rPr>
        <w:t>·</w:t>
      </w:r>
      <w:r w:rsidRPr="00B479AE">
        <w:rPr>
          <w:rFonts w:ascii="Baskerville Old Face" w:hAnsi="Baskerville Old Face"/>
          <w:i/>
          <w:iCs/>
        </w:rPr>
        <w:t xml:space="preserve"> f_k </w:t>
      </w:r>
      <w:r w:rsidRPr="00B479AE">
        <w:rPr>
          <w:rFonts w:ascii="Cambria" w:hAnsi="Cambria" w:cs="Cambria"/>
          <w:i/>
          <w:iCs/>
        </w:rPr>
        <w:t>·</w:t>
      </w:r>
      <w:r w:rsidRPr="00B479AE">
        <w:rPr>
          <w:rFonts w:ascii="Baskerville Old Face" w:hAnsi="Baskerville Old Face"/>
          <w:i/>
          <w:iCs/>
        </w:rPr>
        <w:t xml:space="preserve"> r_k</w:t>
      </w:r>
    </w:p>
    <w:p w14:paraId="7F223FD7"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where:</w:t>
      </w:r>
    </w:p>
    <w:p w14:paraId="5FF804C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q_k = measurement quality</w:t>
      </w:r>
    </w:p>
    <w:p w14:paraId="48DB3E73"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f_k = sampling frequency or temporal continuity</w:t>
      </w:r>
    </w:p>
    <w:p w14:paraId="1DF78F8E"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r_k = replication, robustness, or cross-source confirmation</w:t>
      </w:r>
    </w:p>
    <w:p w14:paraId="3D4B02E4"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Each composite indicator can then be adjusted:</w:t>
      </w:r>
    </w:p>
    <w:p w14:paraId="01BAC989"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Index_adj = Index × Conf</w:t>
      </w:r>
    </w:p>
    <w:p w14:paraId="75D2450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PRU value may also be confidence-adjusted:</w:t>
      </w:r>
    </w:p>
    <w:p w14:paraId="1EAF7A49"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V_PRU_adj = V_PRU × Conf_total</w:t>
      </w:r>
    </w:p>
    <w:p w14:paraId="4CF3116B"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Confidence adjustment is the anti-overclaiming mechanism.</w:t>
      </w:r>
    </w:p>
    <w:p w14:paraId="23F019F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When confidence decreases, admissible value must decrease or remain limited.</w:t>
      </w:r>
    </w:p>
    <w:p w14:paraId="4D215912"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prevents beautiful narratives from becoming inflated financial claims.</w:t>
      </w:r>
    </w:p>
    <w:p w14:paraId="1362EBC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high ecological claim with low confidence should remain analytically limited.</w:t>
      </w:r>
    </w:p>
    <w:p w14:paraId="54FCA5EF"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moderate ecological improvement with strong confidence may be more capital-ready than a dramatic claim with weak evidence.</w:t>
      </w:r>
    </w:p>
    <w:p w14:paraId="7B769DD5"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Prometheus values disciplined truth more than spectacular uncertainty.</w:t>
      </w:r>
    </w:p>
    <w:p w14:paraId="4AB14641"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R.12 Admissibility constraints</w:t>
      </w:r>
    </w:p>
    <w:p w14:paraId="0DE10BAD"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PRU value does not aggregate every attractive claim.</w:t>
      </w:r>
    </w:p>
    <w:p w14:paraId="0D899A15"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lastRenderedPageBreak/>
        <w:t>It admits value only when defined conditions are satisfied.</w:t>
      </w:r>
    </w:p>
    <w:p w14:paraId="72E8CDE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simplified admissibility expression may be:</w:t>
      </w:r>
    </w:p>
    <w:p w14:paraId="682EF7B1" w14:textId="77777777" w:rsidR="00B961DF" w:rsidRPr="005907F1" w:rsidRDefault="00B961DF" w:rsidP="00B961DF">
      <w:pPr>
        <w:spacing w:line="360" w:lineRule="auto"/>
        <w:rPr>
          <w:rFonts w:ascii="Baskerville Old Face" w:hAnsi="Baskerville Old Face"/>
          <w:i/>
          <w:iCs/>
          <w:lang w:val="it-IT"/>
        </w:rPr>
      </w:pPr>
      <w:r w:rsidRPr="005907F1">
        <w:rPr>
          <w:rFonts w:ascii="Baskerville Old Face" w:hAnsi="Baskerville Old Face"/>
          <w:i/>
          <w:iCs/>
          <w:lang w:val="it-IT"/>
        </w:rPr>
        <w:t xml:space="preserve">A_i = M_i </w:t>
      </w:r>
      <w:r w:rsidRPr="005907F1">
        <w:rPr>
          <w:rFonts w:ascii="Cambria" w:hAnsi="Cambria" w:cs="Cambria"/>
          <w:i/>
          <w:iCs/>
          <w:lang w:val="it-IT"/>
        </w:rPr>
        <w:t>·</w:t>
      </w:r>
      <w:r w:rsidRPr="005907F1">
        <w:rPr>
          <w:rFonts w:ascii="Baskerville Old Face" w:hAnsi="Baskerville Old Face"/>
          <w:i/>
          <w:iCs/>
          <w:lang w:val="it-IT"/>
        </w:rPr>
        <w:t xml:space="preserve"> V_i </w:t>
      </w:r>
      <w:r w:rsidRPr="005907F1">
        <w:rPr>
          <w:rFonts w:ascii="Cambria" w:hAnsi="Cambria" w:cs="Cambria"/>
          <w:i/>
          <w:iCs/>
          <w:lang w:val="it-IT"/>
        </w:rPr>
        <w:t>·</w:t>
      </w:r>
      <w:r w:rsidRPr="005907F1">
        <w:rPr>
          <w:rFonts w:ascii="Baskerville Old Face" w:hAnsi="Baskerville Old Face"/>
          <w:i/>
          <w:iCs/>
          <w:lang w:val="it-IT"/>
        </w:rPr>
        <w:t xml:space="preserve"> T_i </w:t>
      </w:r>
      <w:r w:rsidRPr="005907F1">
        <w:rPr>
          <w:rFonts w:ascii="Cambria" w:hAnsi="Cambria" w:cs="Cambria"/>
          <w:i/>
          <w:iCs/>
          <w:lang w:val="it-IT"/>
        </w:rPr>
        <w:t>·</w:t>
      </w:r>
      <w:r w:rsidRPr="005907F1">
        <w:rPr>
          <w:rFonts w:ascii="Baskerville Old Face" w:hAnsi="Baskerville Old Face"/>
          <w:i/>
          <w:iCs/>
          <w:lang w:val="it-IT"/>
        </w:rPr>
        <w:t xml:space="preserve"> L_i</w:t>
      </w:r>
    </w:p>
    <w:p w14:paraId="6CE1421A" w14:textId="77777777" w:rsidR="00B961DF" w:rsidRPr="005907F1" w:rsidRDefault="00B961DF" w:rsidP="00B961DF">
      <w:pPr>
        <w:spacing w:line="360" w:lineRule="auto"/>
        <w:rPr>
          <w:rFonts w:ascii="Baskerville Old Face" w:hAnsi="Baskerville Old Face"/>
          <w:i/>
          <w:iCs/>
          <w:lang w:val="it-IT"/>
        </w:rPr>
      </w:pPr>
      <w:r w:rsidRPr="005907F1">
        <w:rPr>
          <w:rFonts w:ascii="Baskerville Old Face" w:hAnsi="Baskerville Old Face"/>
          <w:i/>
          <w:iCs/>
          <w:lang w:val="it-IT"/>
        </w:rPr>
        <w:t>where:</w:t>
      </w:r>
    </w:p>
    <w:p w14:paraId="18B1C28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M_i = measurable</w:t>
      </w:r>
    </w:p>
    <w:p w14:paraId="767F876E"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V_i = verifiable</w:t>
      </w:r>
    </w:p>
    <w:p w14:paraId="157B8C7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T_i = threshold satisfied</w:t>
      </w:r>
    </w:p>
    <w:p w14:paraId="3FC93EE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L_i = legally and methodologically admissible</w:t>
      </w:r>
    </w:p>
    <w:p w14:paraId="267ECCD5"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value component may enter included PRU analysis only if:</w:t>
      </w:r>
    </w:p>
    <w:p w14:paraId="6984C199"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V_included = V_i only if A_i = 1</w:t>
      </w:r>
    </w:p>
    <w:p w14:paraId="2503E998"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Only evidence-backed and admissible value enters PRU analysis.</w:t>
      </w:r>
    </w:p>
    <w:p w14:paraId="22252BF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value component may be strategically meaningful and still remain non-admissible for financial use.</w:t>
      </w:r>
    </w:p>
    <w:p w14:paraId="07152C2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Each PRU-relevant component must satisfy:</w:t>
      </w:r>
    </w:p>
    <w:p w14:paraId="524AAFB3"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measurability;</w:t>
      </w:r>
      <w:r w:rsidRPr="00B479AE">
        <w:rPr>
          <w:rFonts w:ascii="Baskerville Old Face" w:hAnsi="Baskerville Old Face"/>
          <w:i/>
          <w:iCs/>
        </w:rPr>
        <w:br/>
        <w:t>• provenance;</w:t>
      </w:r>
      <w:r w:rsidRPr="00B479AE">
        <w:rPr>
          <w:rFonts w:ascii="Baskerville Old Face" w:hAnsi="Baskerville Old Face"/>
          <w:i/>
          <w:iCs/>
        </w:rPr>
        <w:br/>
        <w:t>• verification;</w:t>
      </w:r>
      <w:r w:rsidRPr="00B479AE">
        <w:rPr>
          <w:rFonts w:ascii="Baskerville Old Face" w:hAnsi="Baskerville Old Face"/>
          <w:i/>
          <w:iCs/>
        </w:rPr>
        <w:br/>
        <w:t>• confidence scoring;</w:t>
      </w:r>
      <w:r w:rsidRPr="00B479AE">
        <w:rPr>
          <w:rFonts w:ascii="Baskerville Old Face" w:hAnsi="Baskerville Old Face"/>
          <w:i/>
          <w:iCs/>
        </w:rPr>
        <w:br/>
        <w:t>• methodology alignment;</w:t>
      </w:r>
      <w:r w:rsidRPr="00B479AE">
        <w:rPr>
          <w:rFonts w:ascii="Baskerville Old Face" w:hAnsi="Baskerville Old Face"/>
          <w:i/>
          <w:iCs/>
        </w:rPr>
        <w:br/>
        <w:t>• no-double-counting;</w:t>
      </w:r>
      <w:r w:rsidRPr="00B479AE">
        <w:rPr>
          <w:rFonts w:ascii="Baskerville Old Face" w:hAnsi="Baskerville Old Face"/>
          <w:i/>
          <w:iCs/>
        </w:rPr>
        <w:br/>
        <w:t>• legal clarity;</w:t>
      </w:r>
      <w:r w:rsidRPr="00B479AE">
        <w:rPr>
          <w:rFonts w:ascii="Baskerville Old Face" w:hAnsi="Baskerville Old Face"/>
          <w:i/>
          <w:iCs/>
        </w:rPr>
        <w:br/>
        <w:t>• financial relevance;</w:t>
      </w:r>
      <w:r w:rsidRPr="00B479AE">
        <w:rPr>
          <w:rFonts w:ascii="Baskerville Old Face" w:hAnsi="Baskerville Old Face"/>
          <w:i/>
          <w:iCs/>
        </w:rPr>
        <w:br/>
        <w:t>• reporting discipline;</w:t>
      </w:r>
      <w:r w:rsidRPr="00B479AE">
        <w:rPr>
          <w:rFonts w:ascii="Baskerville Old Face" w:hAnsi="Baskerville Old Face"/>
          <w:i/>
          <w:iCs/>
        </w:rPr>
        <w:br/>
        <w:t>• reviewability.</w:t>
      </w:r>
    </w:p>
    <w:p w14:paraId="16434B55"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value component that cannot meet these conditions may remain relevant to narrative, strategy, research, appendix parking, or future development.</w:t>
      </w:r>
    </w:p>
    <w:p w14:paraId="2EADC589"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lastRenderedPageBreak/>
        <w:t>It should not be treated as financially admissible PRU value.</w:t>
      </w:r>
    </w:p>
    <w:p w14:paraId="5B7FE173"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is the line between vision and underwriting.</w:t>
      </w:r>
    </w:p>
    <w:p w14:paraId="1462D912" w14:textId="77777777" w:rsidR="001A7A01" w:rsidRPr="00B479AE" w:rsidRDefault="001A7A01" w:rsidP="001A7A01">
      <w:pPr>
        <w:spacing w:line="360" w:lineRule="auto"/>
        <w:rPr>
          <w:rFonts w:ascii="Baskerville Old Face" w:hAnsi="Baskerville Old Face"/>
          <w:b/>
          <w:bCs/>
          <w:i/>
          <w:iCs/>
        </w:rPr>
      </w:pPr>
      <w:r w:rsidRPr="00B479AE">
        <w:rPr>
          <w:rFonts w:ascii="Baskerville Old Face" w:hAnsi="Baskerville Old Face"/>
          <w:b/>
          <w:bCs/>
          <w:i/>
          <w:iCs/>
        </w:rPr>
        <w:t>MRV-to-Value Admissibility Function</w:t>
      </w:r>
    </w:p>
    <w:p w14:paraId="2F2E49DA"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Prometheus distinguishes between ecological observation and financially admissible value.</w:t>
      </w:r>
    </w:p>
    <w:p w14:paraId="1DD40085"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A living system may generate many meaningful signals.</w:t>
      </w:r>
    </w:p>
    <w:p w14:paraId="6924BD5D"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Some signals may be scientifically interesting.</w:t>
      </w:r>
    </w:p>
    <w:p w14:paraId="41818AD4"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Some may be operationally useful.</w:t>
      </w:r>
    </w:p>
    <w:p w14:paraId="21B7AC07"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Some may be strategically important.</w:t>
      </w:r>
    </w:p>
    <w:p w14:paraId="1E4F472F"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Only some may become admissible for PRU analysis, investor review, RAP aggregation, or capital-readiness assessment.</w:t>
      </w:r>
    </w:p>
    <w:p w14:paraId="626AAA38"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This transition may be expressed as:</w:t>
      </w:r>
    </w:p>
    <w:p w14:paraId="3110FF82"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 xml:space="preserve">V_admissible = </w:t>
      </w:r>
      <w:r w:rsidRPr="00B479AE">
        <w:rPr>
          <w:rFonts w:ascii="Cambria" w:hAnsi="Cambria" w:cs="Cambria"/>
          <w:i/>
          <w:iCs/>
        </w:rPr>
        <w:t>Σ</w:t>
      </w:r>
      <w:r w:rsidRPr="00B479AE">
        <w:rPr>
          <w:rFonts w:ascii="Baskerville Old Face" w:hAnsi="Baskerville Old Face"/>
          <w:i/>
          <w:iCs/>
        </w:rPr>
        <w:t xml:space="preserve">_i V_i </w:t>
      </w:r>
      <w:r w:rsidRPr="00B479AE">
        <w:rPr>
          <w:rFonts w:ascii="Cambria" w:hAnsi="Cambria" w:cs="Cambria"/>
          <w:i/>
          <w:iCs/>
        </w:rPr>
        <w:t>·</w:t>
      </w:r>
      <w:r w:rsidRPr="00B479AE">
        <w:rPr>
          <w:rFonts w:ascii="Baskerville Old Face" w:hAnsi="Baskerville Old Face"/>
          <w:i/>
          <w:iCs/>
        </w:rPr>
        <w:t xml:space="preserve"> A_i </w:t>
      </w:r>
      <w:r w:rsidRPr="00B479AE">
        <w:rPr>
          <w:rFonts w:ascii="Cambria" w:hAnsi="Cambria" w:cs="Cambria"/>
          <w:i/>
          <w:iCs/>
        </w:rPr>
        <w:t>·</w:t>
      </w:r>
      <w:r w:rsidRPr="00B479AE">
        <w:rPr>
          <w:rFonts w:ascii="Baskerville Old Face" w:hAnsi="Baskerville Old Face"/>
          <w:i/>
          <w:iCs/>
        </w:rPr>
        <w:t xml:space="preserve"> Conf_i</w:t>
      </w:r>
    </w:p>
    <w:p w14:paraId="7426FDE8"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Where:</w:t>
      </w:r>
    </w:p>
    <w:p w14:paraId="16E7ABC3"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V_admissible = total value component admitted into PRU-relevant analysis.</w:t>
      </w:r>
    </w:p>
    <w:p w14:paraId="50B522B1" w14:textId="77777777" w:rsidR="001A7A01" w:rsidRPr="005907F1" w:rsidRDefault="001A7A01" w:rsidP="001A7A01">
      <w:pPr>
        <w:spacing w:line="360" w:lineRule="auto"/>
        <w:rPr>
          <w:rFonts w:ascii="Baskerville Old Face" w:hAnsi="Baskerville Old Face"/>
          <w:i/>
          <w:iCs/>
          <w:lang w:val="it-IT"/>
        </w:rPr>
      </w:pPr>
      <w:r w:rsidRPr="005907F1">
        <w:rPr>
          <w:rFonts w:ascii="Baskerville Old Face" w:hAnsi="Baskerville Old Face"/>
          <w:i/>
          <w:iCs/>
          <w:lang w:val="it-IT"/>
        </w:rPr>
        <w:t>V_i = candidate value component i.</w:t>
      </w:r>
    </w:p>
    <w:p w14:paraId="5000CBBF"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A_i = admissibility condition for component i.</w:t>
      </w:r>
    </w:p>
    <w:p w14:paraId="49954A5C"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Conf_i = confidence score for component i.</w:t>
      </w:r>
    </w:p>
    <w:p w14:paraId="7F527B71"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The admissibility condition may be expressed as:</w:t>
      </w:r>
    </w:p>
    <w:p w14:paraId="1A569DF5" w14:textId="77777777" w:rsidR="001A7A01" w:rsidRPr="005907F1" w:rsidRDefault="001A7A01" w:rsidP="001A7A01">
      <w:pPr>
        <w:spacing w:line="360" w:lineRule="auto"/>
        <w:rPr>
          <w:rFonts w:ascii="Baskerville Old Face" w:hAnsi="Baskerville Old Face"/>
          <w:i/>
          <w:iCs/>
          <w:lang w:val="it-IT"/>
        </w:rPr>
      </w:pPr>
      <w:r w:rsidRPr="005907F1">
        <w:rPr>
          <w:rFonts w:ascii="Baskerville Old Face" w:hAnsi="Baskerville Old Face"/>
          <w:i/>
          <w:iCs/>
          <w:lang w:val="it-IT"/>
        </w:rPr>
        <w:t xml:space="preserve">A_i = M_i </w:t>
      </w:r>
      <w:r w:rsidRPr="005907F1">
        <w:rPr>
          <w:rFonts w:ascii="Cambria" w:hAnsi="Cambria" w:cs="Cambria"/>
          <w:i/>
          <w:iCs/>
          <w:lang w:val="it-IT"/>
        </w:rPr>
        <w:t>·</w:t>
      </w:r>
      <w:r w:rsidRPr="005907F1">
        <w:rPr>
          <w:rFonts w:ascii="Baskerville Old Face" w:hAnsi="Baskerville Old Face"/>
          <w:i/>
          <w:iCs/>
          <w:lang w:val="it-IT"/>
        </w:rPr>
        <w:t xml:space="preserve"> P_i </w:t>
      </w:r>
      <w:r w:rsidRPr="005907F1">
        <w:rPr>
          <w:rFonts w:ascii="Cambria" w:hAnsi="Cambria" w:cs="Cambria"/>
          <w:i/>
          <w:iCs/>
          <w:lang w:val="it-IT"/>
        </w:rPr>
        <w:t>·</w:t>
      </w:r>
      <w:r w:rsidRPr="005907F1">
        <w:rPr>
          <w:rFonts w:ascii="Baskerville Old Face" w:hAnsi="Baskerville Old Face"/>
          <w:i/>
          <w:iCs/>
          <w:lang w:val="it-IT"/>
        </w:rPr>
        <w:t xml:space="preserve"> Vfy_i </w:t>
      </w:r>
      <w:r w:rsidRPr="005907F1">
        <w:rPr>
          <w:rFonts w:ascii="Cambria" w:hAnsi="Cambria" w:cs="Cambria"/>
          <w:i/>
          <w:iCs/>
          <w:lang w:val="it-IT"/>
        </w:rPr>
        <w:t>·</w:t>
      </w:r>
      <w:r w:rsidRPr="005907F1">
        <w:rPr>
          <w:rFonts w:ascii="Baskerville Old Face" w:hAnsi="Baskerville Old Face"/>
          <w:i/>
          <w:iCs/>
          <w:lang w:val="it-IT"/>
        </w:rPr>
        <w:t xml:space="preserve"> T_i </w:t>
      </w:r>
      <w:r w:rsidRPr="005907F1">
        <w:rPr>
          <w:rFonts w:ascii="Cambria" w:hAnsi="Cambria" w:cs="Cambria"/>
          <w:i/>
          <w:iCs/>
          <w:lang w:val="it-IT"/>
        </w:rPr>
        <w:t>·</w:t>
      </w:r>
      <w:r w:rsidRPr="005907F1">
        <w:rPr>
          <w:rFonts w:ascii="Baskerville Old Face" w:hAnsi="Baskerville Old Face"/>
          <w:i/>
          <w:iCs/>
          <w:lang w:val="it-IT"/>
        </w:rPr>
        <w:t xml:space="preserve"> L_i </w:t>
      </w:r>
      <w:r w:rsidRPr="005907F1">
        <w:rPr>
          <w:rFonts w:ascii="Cambria" w:hAnsi="Cambria" w:cs="Cambria"/>
          <w:i/>
          <w:iCs/>
          <w:lang w:val="it-IT"/>
        </w:rPr>
        <w:t>·</w:t>
      </w:r>
      <w:r w:rsidRPr="005907F1">
        <w:rPr>
          <w:rFonts w:ascii="Baskerville Old Face" w:hAnsi="Baskerville Old Face"/>
          <w:i/>
          <w:iCs/>
          <w:lang w:val="it-IT"/>
        </w:rPr>
        <w:t xml:space="preserve"> D_i</w:t>
      </w:r>
    </w:p>
    <w:p w14:paraId="07F675E2"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Where:</w:t>
      </w:r>
    </w:p>
    <w:p w14:paraId="15150338"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M_i = measurable.</w:t>
      </w:r>
      <w:r w:rsidRPr="00B479AE">
        <w:rPr>
          <w:rFonts w:ascii="Baskerville Old Face" w:hAnsi="Baskerville Old Face"/>
          <w:i/>
          <w:iCs/>
        </w:rPr>
        <w:br/>
        <w:t>P_i = provenance-established.</w:t>
      </w:r>
      <w:r w:rsidRPr="00B479AE">
        <w:rPr>
          <w:rFonts w:ascii="Baskerville Old Face" w:hAnsi="Baskerville Old Face"/>
          <w:i/>
          <w:iCs/>
        </w:rPr>
        <w:br/>
        <w:t>Vfy_i = verified or reviewable under MRV methodology.</w:t>
      </w:r>
      <w:r w:rsidRPr="00B479AE">
        <w:rPr>
          <w:rFonts w:ascii="Baskerville Old Face" w:hAnsi="Baskerville Old Face"/>
          <w:i/>
          <w:iCs/>
        </w:rPr>
        <w:br/>
      </w:r>
      <w:r w:rsidRPr="00B479AE">
        <w:rPr>
          <w:rFonts w:ascii="Baskerville Old Face" w:hAnsi="Baskerville Old Face"/>
          <w:i/>
          <w:iCs/>
        </w:rPr>
        <w:lastRenderedPageBreak/>
        <w:t>T_i = threshold satisfied.</w:t>
      </w:r>
      <w:r w:rsidRPr="00B479AE">
        <w:rPr>
          <w:rFonts w:ascii="Baskerville Old Face" w:hAnsi="Baskerville Old Face"/>
          <w:i/>
          <w:iCs/>
        </w:rPr>
        <w:br/>
        <w:t>L_i = legally and methodologically admissible.</w:t>
      </w:r>
      <w:r w:rsidRPr="00B479AE">
        <w:rPr>
          <w:rFonts w:ascii="Baskerville Old Face" w:hAnsi="Baskerville Old Face"/>
          <w:i/>
          <w:iCs/>
        </w:rPr>
        <w:br/>
        <w:t>D_i = no-double-counting discipline satisfied.</w:t>
      </w:r>
    </w:p>
    <w:p w14:paraId="622943F3"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If any required condition is zero, the component does not enter financially admissible PRU analysis:</w:t>
      </w:r>
    </w:p>
    <w:p w14:paraId="64209B7D"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if A_i = 0, then V_i is non-admissible for financial use</w:t>
      </w:r>
    </w:p>
    <w:p w14:paraId="51F9FEEC"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This does not mean that the component has no meaning.</w:t>
      </w:r>
    </w:p>
    <w:p w14:paraId="7EB58EE1"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A non-admissible component may still be:</w:t>
      </w:r>
    </w:p>
    <w:p w14:paraId="16374434"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scientifically interesting;</w:t>
      </w:r>
      <w:r w:rsidRPr="00B479AE">
        <w:rPr>
          <w:rFonts w:ascii="Baskerville Old Face" w:hAnsi="Baskerville Old Face"/>
          <w:i/>
          <w:iCs/>
        </w:rPr>
        <w:br/>
        <w:t>ecologically relevant;</w:t>
      </w:r>
      <w:r w:rsidRPr="00B479AE">
        <w:rPr>
          <w:rFonts w:ascii="Baskerville Old Face" w:hAnsi="Baskerville Old Face"/>
          <w:i/>
          <w:iCs/>
        </w:rPr>
        <w:br/>
        <w:t>strategically important;</w:t>
      </w:r>
      <w:r w:rsidRPr="00B479AE">
        <w:rPr>
          <w:rFonts w:ascii="Baskerville Old Face" w:hAnsi="Baskerville Old Face"/>
          <w:i/>
          <w:iCs/>
        </w:rPr>
        <w:br/>
        <w:t>useful for design;</w:t>
      </w:r>
      <w:r w:rsidRPr="00B479AE">
        <w:rPr>
          <w:rFonts w:ascii="Baskerville Old Face" w:hAnsi="Baskerville Old Face"/>
          <w:i/>
          <w:iCs/>
        </w:rPr>
        <w:br/>
        <w:t>useful for research;</w:t>
      </w:r>
      <w:r w:rsidRPr="00B479AE">
        <w:rPr>
          <w:rFonts w:ascii="Baskerville Old Face" w:hAnsi="Baskerville Old Face"/>
          <w:i/>
          <w:iCs/>
        </w:rPr>
        <w:br/>
        <w:t>useful for governance learning;</w:t>
      </w:r>
      <w:r w:rsidRPr="00B479AE">
        <w:rPr>
          <w:rFonts w:ascii="Baskerville Old Face" w:hAnsi="Baskerville Old Face"/>
          <w:i/>
          <w:iCs/>
        </w:rPr>
        <w:br/>
        <w:t>useful for future methodology development.</w:t>
      </w:r>
    </w:p>
    <w:p w14:paraId="6140391C"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But it cannot be used as financially admissible PRU value until the relevant conditions are satisfied.</w:t>
      </w:r>
    </w:p>
    <w:p w14:paraId="77DBC62E"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This is the central anti-overclaiming logic of Prometheus.</w:t>
      </w:r>
    </w:p>
    <w:p w14:paraId="454EB8D7"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It prevents ecological narrative, weak evidence, early-stage indicators, frontier hypotheses, or speculative system benefits from being converted prematurely into capital-facing value.</w:t>
      </w:r>
    </w:p>
    <w:p w14:paraId="7815D9C2"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The sequence is:</w:t>
      </w:r>
    </w:p>
    <w:p w14:paraId="794FD684"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 xml:space="preserve">observation </w:t>
      </w:r>
      <w:r w:rsidRPr="00B479AE">
        <w:rPr>
          <w:rFonts w:ascii="Times New Roman" w:hAnsi="Times New Roman" w:cs="Times New Roman"/>
          <w:i/>
          <w:iCs/>
        </w:rPr>
        <w:t>→</w:t>
      </w:r>
      <w:r w:rsidRPr="00B479AE">
        <w:rPr>
          <w:rFonts w:ascii="Baskerville Old Face" w:hAnsi="Baskerville Old Face"/>
          <w:i/>
          <w:iCs/>
        </w:rPr>
        <w:t xml:space="preserve"> evidence </w:t>
      </w:r>
      <w:r w:rsidRPr="00B479AE">
        <w:rPr>
          <w:rFonts w:ascii="Times New Roman" w:hAnsi="Times New Roman" w:cs="Times New Roman"/>
          <w:i/>
          <w:iCs/>
        </w:rPr>
        <w:t>→</w:t>
      </w:r>
      <w:r w:rsidRPr="00B479AE">
        <w:rPr>
          <w:rFonts w:ascii="Baskerville Old Face" w:hAnsi="Baskerville Old Face"/>
          <w:i/>
          <w:iCs/>
        </w:rPr>
        <w:t xml:space="preserve"> confidence </w:t>
      </w:r>
      <w:r w:rsidRPr="00B479AE">
        <w:rPr>
          <w:rFonts w:ascii="Times New Roman" w:hAnsi="Times New Roman" w:cs="Times New Roman"/>
          <w:i/>
          <w:iCs/>
        </w:rPr>
        <w:t>→</w:t>
      </w:r>
      <w:r w:rsidRPr="00B479AE">
        <w:rPr>
          <w:rFonts w:ascii="Baskerville Old Face" w:hAnsi="Baskerville Old Face"/>
          <w:i/>
          <w:iCs/>
        </w:rPr>
        <w:t xml:space="preserve"> admissibility </w:t>
      </w:r>
      <w:r w:rsidRPr="00B479AE">
        <w:rPr>
          <w:rFonts w:ascii="Times New Roman" w:hAnsi="Times New Roman" w:cs="Times New Roman"/>
          <w:i/>
          <w:iCs/>
        </w:rPr>
        <w:t>→</w:t>
      </w:r>
      <w:r w:rsidRPr="00B479AE">
        <w:rPr>
          <w:rFonts w:ascii="Baskerville Old Face" w:hAnsi="Baskerville Old Face"/>
          <w:i/>
          <w:iCs/>
        </w:rPr>
        <w:t xml:space="preserve"> value relevance</w:t>
      </w:r>
    </w:p>
    <w:p w14:paraId="06E58DA7"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This formula protects the institutional credibility of Prometheus.</w:t>
      </w:r>
    </w:p>
    <w:p w14:paraId="2F77F159"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It allows the system to remain visionary without becoming loose.</w:t>
      </w:r>
    </w:p>
    <w:p w14:paraId="2772A738"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It allows Prometheus to recognize emerging value without monetizing uncertainty.</w:t>
      </w:r>
    </w:p>
    <w:p w14:paraId="7485D88C"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The operational rule is:</w:t>
      </w:r>
    </w:p>
    <w:p w14:paraId="4DD15E75"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lastRenderedPageBreak/>
        <w:t>what is meaningful may be studied;</w:t>
      </w:r>
      <w:r w:rsidRPr="00B479AE">
        <w:rPr>
          <w:rFonts w:ascii="Baskerville Old Face" w:hAnsi="Baskerville Old Face"/>
          <w:i/>
          <w:iCs/>
        </w:rPr>
        <w:br/>
        <w:t>what is evidenced may be reviewed;</w:t>
      </w:r>
      <w:r w:rsidRPr="00B479AE">
        <w:rPr>
          <w:rFonts w:ascii="Baskerville Old Face" w:hAnsi="Baskerville Old Face"/>
          <w:i/>
          <w:iCs/>
        </w:rPr>
        <w:br/>
        <w:t>what is admissible may enter value logic.</w:t>
      </w:r>
    </w:p>
    <w:p w14:paraId="4486F481" w14:textId="77777777" w:rsidR="001A7A01" w:rsidRPr="00B479AE" w:rsidRDefault="001A7A01" w:rsidP="001A7A01">
      <w:pPr>
        <w:spacing w:line="360" w:lineRule="auto"/>
        <w:rPr>
          <w:rFonts w:ascii="Baskerville Old Face" w:hAnsi="Baskerville Old Face"/>
          <w:b/>
          <w:bCs/>
          <w:i/>
          <w:iCs/>
        </w:rPr>
      </w:pPr>
      <w:r w:rsidRPr="00B479AE">
        <w:rPr>
          <w:rFonts w:ascii="Baskerville Old Face" w:hAnsi="Baskerville Old Face"/>
          <w:b/>
          <w:bCs/>
          <w:i/>
          <w:iCs/>
        </w:rPr>
        <w:t>Formula boundary</w:t>
      </w:r>
    </w:p>
    <w:p w14:paraId="085ED34E"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V_admissible is a methodological admissibility function.</w:t>
      </w:r>
    </w:p>
    <w:p w14:paraId="38DD1407"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It does not create automatic financial value, token value, investor entitlement, credit issuance, rating upgrade, legal enforceability, or market price.</w:t>
      </w:r>
    </w:p>
    <w:p w14:paraId="14562F55" w14:textId="77777777" w:rsidR="001A7A01" w:rsidRPr="00B479AE" w:rsidRDefault="001A7A01" w:rsidP="001A7A01">
      <w:pPr>
        <w:spacing w:line="360" w:lineRule="auto"/>
        <w:rPr>
          <w:rFonts w:ascii="Baskerville Old Face" w:hAnsi="Baskerville Old Face"/>
          <w:i/>
          <w:iCs/>
        </w:rPr>
      </w:pPr>
      <w:r w:rsidRPr="00B479AE">
        <w:rPr>
          <w:rFonts w:ascii="Baskerville Old Face" w:hAnsi="Baskerville Old Face"/>
          <w:i/>
          <w:iCs/>
        </w:rPr>
        <w:t>It may support PRU analysis only where MRV evidence, confidence scoring, methodology, governance review, legal review where relevant, and anti-double-counting controls are present.</w:t>
      </w:r>
    </w:p>
    <w:p w14:paraId="55EED68E" w14:textId="77777777" w:rsidR="0091235E" w:rsidRPr="00B479AE" w:rsidRDefault="0091235E" w:rsidP="0091235E">
      <w:pPr>
        <w:spacing w:line="360" w:lineRule="auto"/>
        <w:rPr>
          <w:rFonts w:ascii="Baskerville Old Face" w:hAnsi="Baskerville Old Face"/>
          <w:b/>
          <w:bCs/>
          <w:i/>
          <w:iCs/>
        </w:rPr>
      </w:pPr>
      <w:r w:rsidRPr="00B479AE">
        <w:rPr>
          <w:rFonts w:ascii="Baskerville Old Face" w:hAnsi="Baskerville Old Face"/>
          <w:b/>
          <w:bCs/>
          <w:i/>
          <w:iCs/>
        </w:rPr>
        <w:t>No-Double-Counting and Claim Integrity Function</w:t>
      </w:r>
    </w:p>
    <w:p w14:paraId="46A9E8DE"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Prometheus must preserve claim integrity across MRV, PRU analysis, RAP aggregation, investor reporting, ecological credits, public communication, and any future legally structured instrument.</w:t>
      </w:r>
    </w:p>
    <w:p w14:paraId="7F5759F9"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A regenerative outcome may be meaningful in more than one context.</w:t>
      </w:r>
    </w:p>
    <w:p w14:paraId="552390AE"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For example, improved soil organic matter may support soil fertility, water retention, carbon dynamics, biodiversity function, productive stability, and resilience.</w:t>
      </w:r>
    </w:p>
    <w:p w14:paraId="50723A5A"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However, the same underlying ecological improvement must not be counted multiple times as if it were multiple independent value sources.</w:t>
      </w:r>
    </w:p>
    <w:p w14:paraId="4935720D"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This is the no-double-counting discipline.</w:t>
      </w:r>
    </w:p>
    <w:p w14:paraId="22653105"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A simplified claim-integrity condition may be expressed as:</w:t>
      </w:r>
    </w:p>
    <w:p w14:paraId="1F164D8F"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 xml:space="preserve">Claim_i </w:t>
      </w:r>
      <w:r w:rsidRPr="00B479AE">
        <w:rPr>
          <w:rFonts w:ascii="Cambria Math" w:hAnsi="Cambria Math" w:cs="Cambria Math"/>
          <w:i/>
          <w:iCs/>
        </w:rPr>
        <w:t>∩</w:t>
      </w:r>
      <w:r w:rsidRPr="00B479AE">
        <w:rPr>
          <w:rFonts w:ascii="Baskerville Old Face" w:hAnsi="Baskerville Old Face"/>
          <w:i/>
          <w:iCs/>
        </w:rPr>
        <w:t xml:space="preserve"> Claim_j = </w:t>
      </w:r>
      <w:r w:rsidRPr="00B479AE">
        <w:rPr>
          <w:rFonts w:ascii="Cambria Math" w:hAnsi="Cambria Math" w:cs="Cambria Math"/>
          <w:i/>
          <w:iCs/>
        </w:rPr>
        <w:t>∅</w:t>
      </w:r>
    </w:p>
    <w:p w14:paraId="35AA1807"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where two claims are presented as independent value claims.</w:t>
      </w:r>
    </w:p>
    <w:p w14:paraId="59689D68"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If two claims derive from the same underlying evidence source, ecological process, indicator, credit, contract, legal right, or verified outcome, then independence must not be assumed.</w:t>
      </w:r>
    </w:p>
    <w:p w14:paraId="1D6B88F5"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The relationship must be disclosed.</w:t>
      </w:r>
    </w:p>
    <w:p w14:paraId="4171E13E"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A more practical formulation is:</w:t>
      </w:r>
    </w:p>
    <w:p w14:paraId="48DAD0E1"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lastRenderedPageBreak/>
        <w:t xml:space="preserve">V_total_admissible ≤ </w:t>
      </w:r>
      <w:r w:rsidRPr="00B479AE">
        <w:rPr>
          <w:rFonts w:ascii="Cambria" w:hAnsi="Cambria" w:cs="Cambria"/>
          <w:i/>
          <w:iCs/>
        </w:rPr>
        <w:t>Σ</w:t>
      </w:r>
      <w:r w:rsidRPr="00B479AE">
        <w:rPr>
          <w:rFonts w:ascii="Baskerville Old Face" w:hAnsi="Baskerville Old Face"/>
          <w:i/>
          <w:iCs/>
        </w:rPr>
        <w:t xml:space="preserve"> V_i only where each V_i is independently evidenced, non-overlapping, and legally claimable</w:t>
      </w:r>
    </w:p>
    <w:p w14:paraId="0D8C1AE9"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This means that total admissible value cannot be inflated by stacking overlapping claims without methodological separation.</w:t>
      </w:r>
    </w:p>
    <w:p w14:paraId="52F127F2"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Prometheus should therefore classify each value claim according to:</w:t>
      </w:r>
    </w:p>
    <w:p w14:paraId="08965DD0"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evidence source;</w:t>
      </w:r>
      <w:r w:rsidRPr="00B479AE">
        <w:rPr>
          <w:rFonts w:ascii="Baskerville Old Face" w:hAnsi="Baskerville Old Face"/>
          <w:i/>
          <w:iCs/>
        </w:rPr>
        <w:br/>
        <w:t>indicator family;</w:t>
      </w:r>
      <w:r w:rsidRPr="00B479AE">
        <w:rPr>
          <w:rFonts w:ascii="Baskerville Old Face" w:hAnsi="Baskerville Old Face"/>
          <w:i/>
          <w:iCs/>
        </w:rPr>
        <w:br/>
        <w:t>ecological process;</w:t>
      </w:r>
      <w:r w:rsidRPr="00B479AE">
        <w:rPr>
          <w:rFonts w:ascii="Baskerville Old Face" w:hAnsi="Baskerville Old Face"/>
          <w:i/>
          <w:iCs/>
        </w:rPr>
        <w:br/>
        <w:t>methodology;</w:t>
      </w:r>
      <w:r w:rsidRPr="00B479AE">
        <w:rPr>
          <w:rFonts w:ascii="Baskerville Old Face" w:hAnsi="Baskerville Old Face"/>
          <w:i/>
          <w:iCs/>
        </w:rPr>
        <w:br/>
        <w:t>legal right;</w:t>
      </w:r>
      <w:r w:rsidRPr="00B479AE">
        <w:rPr>
          <w:rFonts w:ascii="Baskerville Old Face" w:hAnsi="Baskerville Old Face"/>
          <w:i/>
          <w:iCs/>
        </w:rPr>
        <w:br/>
        <w:t>reporting boundary;</w:t>
      </w:r>
      <w:r w:rsidRPr="00B479AE">
        <w:rPr>
          <w:rFonts w:ascii="Baskerville Old Face" w:hAnsi="Baskerville Old Face"/>
          <w:i/>
          <w:iCs/>
        </w:rPr>
        <w:br/>
        <w:t>claim owner;</w:t>
      </w:r>
      <w:r w:rsidRPr="00B479AE">
        <w:rPr>
          <w:rFonts w:ascii="Baskerville Old Face" w:hAnsi="Baskerville Old Face"/>
          <w:i/>
          <w:iCs/>
        </w:rPr>
        <w:br/>
        <w:t>time period;</w:t>
      </w:r>
      <w:r w:rsidRPr="00B479AE">
        <w:rPr>
          <w:rFonts w:ascii="Baskerville Old Face" w:hAnsi="Baskerville Old Face"/>
          <w:i/>
          <w:iCs/>
        </w:rPr>
        <w:br/>
        <w:t>geographic boundary;</w:t>
      </w:r>
      <w:r w:rsidRPr="00B479AE">
        <w:rPr>
          <w:rFonts w:ascii="Baskerville Old Face" w:hAnsi="Baskerville Old Face"/>
          <w:i/>
          <w:iCs/>
        </w:rPr>
        <w:br/>
        <w:t>registry status where applicable;</w:t>
      </w:r>
      <w:r w:rsidRPr="00B479AE">
        <w:rPr>
          <w:rFonts w:ascii="Baskerville Old Face" w:hAnsi="Baskerville Old Face"/>
          <w:i/>
          <w:iCs/>
        </w:rPr>
        <w:br/>
        <w:t>crediting pathway where applicable;</w:t>
      </w:r>
      <w:r w:rsidRPr="00B479AE">
        <w:rPr>
          <w:rFonts w:ascii="Baskerville Old Face" w:hAnsi="Baskerville Old Face"/>
          <w:i/>
          <w:iCs/>
        </w:rPr>
        <w:br/>
        <w:t>investor-use status.</w:t>
      </w:r>
    </w:p>
    <w:p w14:paraId="0B99A173"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A no-double-counting condition may be expressed as:</w:t>
      </w:r>
    </w:p>
    <w:p w14:paraId="1FD364B0" w14:textId="77777777" w:rsidR="0091235E" w:rsidRPr="005907F1" w:rsidRDefault="0091235E" w:rsidP="0091235E">
      <w:pPr>
        <w:spacing w:line="360" w:lineRule="auto"/>
        <w:rPr>
          <w:rFonts w:ascii="Baskerville Old Face" w:hAnsi="Baskerville Old Face"/>
          <w:i/>
          <w:iCs/>
          <w:lang w:val="it-IT"/>
        </w:rPr>
      </w:pPr>
      <w:r w:rsidRPr="005907F1">
        <w:rPr>
          <w:rFonts w:ascii="Baskerville Old Face" w:hAnsi="Baskerville Old Face"/>
          <w:i/>
          <w:iCs/>
          <w:lang w:val="it-IT"/>
        </w:rPr>
        <w:t xml:space="preserve">NDC_i = E_i </w:t>
      </w:r>
      <w:r w:rsidRPr="005907F1">
        <w:rPr>
          <w:rFonts w:ascii="Cambria" w:hAnsi="Cambria" w:cs="Cambria"/>
          <w:i/>
          <w:iCs/>
          <w:lang w:val="it-IT"/>
        </w:rPr>
        <w:t>·</w:t>
      </w:r>
      <w:r w:rsidRPr="005907F1">
        <w:rPr>
          <w:rFonts w:ascii="Baskerville Old Face" w:hAnsi="Baskerville Old Face"/>
          <w:i/>
          <w:iCs/>
          <w:lang w:val="it-IT"/>
        </w:rPr>
        <w:t xml:space="preserve"> B_i </w:t>
      </w:r>
      <w:r w:rsidRPr="005907F1">
        <w:rPr>
          <w:rFonts w:ascii="Cambria" w:hAnsi="Cambria" w:cs="Cambria"/>
          <w:i/>
          <w:iCs/>
          <w:lang w:val="it-IT"/>
        </w:rPr>
        <w:t>·</w:t>
      </w:r>
      <w:r w:rsidRPr="005907F1">
        <w:rPr>
          <w:rFonts w:ascii="Baskerville Old Face" w:hAnsi="Baskerville Old Face"/>
          <w:i/>
          <w:iCs/>
          <w:lang w:val="it-IT"/>
        </w:rPr>
        <w:t xml:space="preserve"> T_i </w:t>
      </w:r>
      <w:r w:rsidRPr="005907F1">
        <w:rPr>
          <w:rFonts w:ascii="Cambria" w:hAnsi="Cambria" w:cs="Cambria"/>
          <w:i/>
          <w:iCs/>
          <w:lang w:val="it-IT"/>
        </w:rPr>
        <w:t>·</w:t>
      </w:r>
      <w:r w:rsidRPr="005907F1">
        <w:rPr>
          <w:rFonts w:ascii="Baskerville Old Face" w:hAnsi="Baskerville Old Face"/>
          <w:i/>
          <w:iCs/>
          <w:lang w:val="it-IT"/>
        </w:rPr>
        <w:t xml:space="preserve"> R_i </w:t>
      </w:r>
      <w:r w:rsidRPr="005907F1">
        <w:rPr>
          <w:rFonts w:ascii="Cambria" w:hAnsi="Cambria" w:cs="Cambria"/>
          <w:i/>
          <w:iCs/>
          <w:lang w:val="it-IT"/>
        </w:rPr>
        <w:t>·</w:t>
      </w:r>
      <w:r w:rsidRPr="005907F1">
        <w:rPr>
          <w:rFonts w:ascii="Baskerville Old Face" w:hAnsi="Baskerville Old Face"/>
          <w:i/>
          <w:iCs/>
          <w:lang w:val="it-IT"/>
        </w:rPr>
        <w:t xml:space="preserve"> L_i </w:t>
      </w:r>
      <w:r w:rsidRPr="005907F1">
        <w:rPr>
          <w:rFonts w:ascii="Cambria" w:hAnsi="Cambria" w:cs="Cambria"/>
          <w:i/>
          <w:iCs/>
          <w:lang w:val="it-IT"/>
        </w:rPr>
        <w:t>·</w:t>
      </w:r>
      <w:r w:rsidRPr="005907F1">
        <w:rPr>
          <w:rFonts w:ascii="Baskerville Old Face" w:hAnsi="Baskerville Old Face"/>
          <w:i/>
          <w:iCs/>
          <w:lang w:val="it-IT"/>
        </w:rPr>
        <w:t xml:space="preserve"> O_i</w:t>
      </w:r>
    </w:p>
    <w:p w14:paraId="0BCA785A"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Where:</w:t>
      </w:r>
    </w:p>
    <w:p w14:paraId="7177C1F3"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NDC_i = no-double-counting eligibility for claim i.</w:t>
      </w:r>
      <w:r w:rsidRPr="00B479AE">
        <w:rPr>
          <w:rFonts w:ascii="Baskerville Old Face" w:hAnsi="Baskerville Old Face"/>
          <w:i/>
          <w:iCs/>
        </w:rPr>
        <w:br/>
        <w:t>E_i = evidence uniqueness.</w:t>
      </w:r>
      <w:r w:rsidRPr="00B479AE">
        <w:rPr>
          <w:rFonts w:ascii="Baskerville Old Face" w:hAnsi="Baskerville Old Face"/>
          <w:i/>
          <w:iCs/>
        </w:rPr>
        <w:br/>
        <w:t>B_i = boundary uniqueness, including spatial and ecological boundary.</w:t>
      </w:r>
      <w:r w:rsidRPr="00B479AE">
        <w:rPr>
          <w:rFonts w:ascii="Baskerville Old Face" w:hAnsi="Baskerville Old Face"/>
          <w:i/>
          <w:iCs/>
        </w:rPr>
        <w:br/>
        <w:t>T_i = time-period uniqueness.</w:t>
      </w:r>
      <w:r w:rsidRPr="00B479AE">
        <w:rPr>
          <w:rFonts w:ascii="Baskerville Old Face" w:hAnsi="Baskerville Old Face"/>
          <w:i/>
          <w:iCs/>
        </w:rPr>
        <w:br/>
        <w:t>R_i = registry or record uniqueness, where applicable.</w:t>
      </w:r>
      <w:r w:rsidRPr="00B479AE">
        <w:rPr>
          <w:rFonts w:ascii="Baskerville Old Face" w:hAnsi="Baskerville Old Face"/>
          <w:i/>
          <w:iCs/>
        </w:rPr>
        <w:br/>
        <w:t>L_i = legal claim uniqueness.</w:t>
      </w:r>
      <w:r w:rsidRPr="00B479AE">
        <w:rPr>
          <w:rFonts w:ascii="Baskerville Old Face" w:hAnsi="Baskerville Old Face"/>
          <w:i/>
          <w:iCs/>
        </w:rPr>
        <w:br/>
        <w:t>O_i = ownership or claim-right clarity.</w:t>
      </w:r>
    </w:p>
    <w:p w14:paraId="1A587C65"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If any required factor is zero, the claim must be marked as overlapping, restricted, non-admissible, or review-required for financial use.</w:t>
      </w:r>
    </w:p>
    <w:p w14:paraId="4FA8DE92"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lastRenderedPageBreak/>
        <w:t>In operational terms:</w:t>
      </w:r>
    </w:p>
    <w:p w14:paraId="1C6F6381"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if NDC_i = 0, then Claim_i cannot be treated as independently financeable</w:t>
      </w:r>
    </w:p>
    <w:p w14:paraId="784904E1"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This does not mean the ecological benefit disappears.</w:t>
      </w:r>
    </w:p>
    <w:p w14:paraId="244D34B6"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It means the benefit cannot be represented twice as independent financial value.</w:t>
      </w:r>
    </w:p>
    <w:p w14:paraId="40EBDF17"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This distinction is essential.</w:t>
      </w:r>
    </w:p>
    <w:p w14:paraId="33DA5F4E"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A regenerative system may generate many co-benefits.</w:t>
      </w:r>
    </w:p>
    <w:p w14:paraId="5B870708"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But co-benefits must not be converted into duplicated claims.</w:t>
      </w:r>
    </w:p>
    <w:p w14:paraId="6625939F"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For example:</w:t>
      </w:r>
    </w:p>
    <w:p w14:paraId="4A9D332C"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soil organic matter improvement may support fertility analysis;</w:t>
      </w:r>
      <w:r w:rsidRPr="00B479AE">
        <w:rPr>
          <w:rFonts w:ascii="Baskerville Old Face" w:hAnsi="Baskerville Old Face"/>
          <w:i/>
          <w:iCs/>
        </w:rPr>
        <w:br/>
        <w:t>the same improvement may support water-retention interpretation;</w:t>
      </w:r>
      <w:r w:rsidRPr="00B479AE">
        <w:rPr>
          <w:rFonts w:ascii="Baskerville Old Face" w:hAnsi="Baskerville Old Face"/>
          <w:i/>
          <w:iCs/>
        </w:rPr>
        <w:br/>
        <w:t>the same improvement may support carbon-related discussion;</w:t>
      </w:r>
      <w:r w:rsidRPr="00B479AE">
        <w:rPr>
          <w:rFonts w:ascii="Baskerville Old Face" w:hAnsi="Baskerville Old Face"/>
          <w:i/>
          <w:iCs/>
        </w:rPr>
        <w:br/>
        <w:t>the same improvement may support resilience analysis.</w:t>
      </w:r>
    </w:p>
    <w:p w14:paraId="0BC0F4DB"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These are interrelated interpretations.</w:t>
      </w:r>
    </w:p>
    <w:p w14:paraId="047E2F2F"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They are not automatically separate monetizable assets.</w:t>
      </w:r>
    </w:p>
    <w:p w14:paraId="77E4C555"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Prometheus should therefore distinguish:</w:t>
      </w:r>
    </w:p>
    <w:p w14:paraId="1E7354FA"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multi-dimensional ecological meaning</w:t>
      </w:r>
      <w:r w:rsidRPr="00B479AE">
        <w:rPr>
          <w:rFonts w:ascii="Baskerville Old Face" w:hAnsi="Baskerville Old Face"/>
          <w:i/>
          <w:iCs/>
        </w:rPr>
        <w:br/>
        <w:t>from</w:t>
      </w:r>
      <w:r w:rsidRPr="00B479AE">
        <w:rPr>
          <w:rFonts w:ascii="Baskerville Old Face" w:hAnsi="Baskerville Old Face"/>
          <w:i/>
          <w:iCs/>
        </w:rPr>
        <w:br/>
        <w:t>independently admissible financial claim</w:t>
      </w:r>
    </w:p>
    <w:p w14:paraId="498FC17A"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The first is allowed.</w:t>
      </w:r>
    </w:p>
    <w:p w14:paraId="2AFE4A2D"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The second requires proof of separation.</w:t>
      </w:r>
    </w:p>
    <w:p w14:paraId="7870668D"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The claim-integrity pathway is:</w:t>
      </w:r>
    </w:p>
    <w:p w14:paraId="0B1B36FF"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 xml:space="preserve">evidence source </w:t>
      </w:r>
      <w:r w:rsidRPr="00B479AE">
        <w:rPr>
          <w:rFonts w:ascii="Times New Roman" w:hAnsi="Times New Roman" w:cs="Times New Roman"/>
          <w:i/>
          <w:iCs/>
        </w:rPr>
        <w:t>→</w:t>
      </w:r>
      <w:r w:rsidRPr="00B479AE">
        <w:rPr>
          <w:rFonts w:ascii="Baskerville Old Face" w:hAnsi="Baskerville Old Face"/>
          <w:i/>
          <w:iCs/>
        </w:rPr>
        <w:t xml:space="preserve"> claim boundary </w:t>
      </w:r>
      <w:r w:rsidRPr="00B479AE">
        <w:rPr>
          <w:rFonts w:ascii="Times New Roman" w:hAnsi="Times New Roman" w:cs="Times New Roman"/>
          <w:i/>
          <w:iCs/>
        </w:rPr>
        <w:t>→</w:t>
      </w:r>
      <w:r w:rsidRPr="00B479AE">
        <w:rPr>
          <w:rFonts w:ascii="Baskerville Old Face" w:hAnsi="Baskerville Old Face"/>
          <w:i/>
          <w:iCs/>
        </w:rPr>
        <w:t xml:space="preserve"> methodology </w:t>
      </w:r>
      <w:r w:rsidRPr="00B479AE">
        <w:rPr>
          <w:rFonts w:ascii="Times New Roman" w:hAnsi="Times New Roman" w:cs="Times New Roman"/>
          <w:i/>
          <w:iCs/>
        </w:rPr>
        <w:t>→</w:t>
      </w:r>
      <w:r w:rsidRPr="00B479AE">
        <w:rPr>
          <w:rFonts w:ascii="Baskerville Old Face" w:hAnsi="Baskerville Old Face"/>
          <w:i/>
          <w:iCs/>
        </w:rPr>
        <w:t xml:space="preserve"> ownership </w:t>
      </w:r>
      <w:r w:rsidRPr="00B479AE">
        <w:rPr>
          <w:rFonts w:ascii="Times New Roman" w:hAnsi="Times New Roman" w:cs="Times New Roman"/>
          <w:i/>
          <w:iCs/>
        </w:rPr>
        <w:t>→</w:t>
      </w:r>
      <w:r w:rsidRPr="00B479AE">
        <w:rPr>
          <w:rFonts w:ascii="Baskerville Old Face" w:hAnsi="Baskerville Old Face"/>
          <w:i/>
          <w:iCs/>
        </w:rPr>
        <w:t xml:space="preserve"> registry / record </w:t>
      </w:r>
      <w:r w:rsidRPr="00B479AE">
        <w:rPr>
          <w:rFonts w:ascii="Times New Roman" w:hAnsi="Times New Roman" w:cs="Times New Roman"/>
          <w:i/>
          <w:iCs/>
        </w:rPr>
        <w:t>→</w:t>
      </w:r>
      <w:r w:rsidRPr="00B479AE">
        <w:rPr>
          <w:rFonts w:ascii="Baskerville Old Face" w:hAnsi="Baskerville Old Face"/>
          <w:i/>
          <w:iCs/>
        </w:rPr>
        <w:t xml:space="preserve"> legal review </w:t>
      </w:r>
      <w:r w:rsidRPr="00B479AE">
        <w:rPr>
          <w:rFonts w:ascii="Times New Roman" w:hAnsi="Times New Roman" w:cs="Times New Roman"/>
          <w:i/>
          <w:iCs/>
        </w:rPr>
        <w:t>→</w:t>
      </w:r>
      <w:r w:rsidRPr="00B479AE">
        <w:rPr>
          <w:rFonts w:ascii="Baskerville Old Face" w:hAnsi="Baskerville Old Face"/>
          <w:i/>
          <w:iCs/>
        </w:rPr>
        <w:t xml:space="preserve"> admissible use</w:t>
      </w:r>
    </w:p>
    <w:p w14:paraId="2E198D36"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lastRenderedPageBreak/>
        <w:t>This protects Prometheus from greenwashing, value inflation, duplicated reporting, overlapping credit claims, investor confusion, and tokenized overrepresentation.</w:t>
      </w:r>
    </w:p>
    <w:p w14:paraId="254B096A"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The system may report co-benefits.</w:t>
      </w:r>
    </w:p>
    <w:p w14:paraId="4AB4F535"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It may not multiply value by relabeling the same underlying ecological improvement.</w:t>
      </w:r>
    </w:p>
    <w:p w14:paraId="15C94E78" w14:textId="77777777" w:rsidR="0091235E" w:rsidRPr="00B479AE" w:rsidRDefault="0091235E" w:rsidP="0091235E">
      <w:pPr>
        <w:spacing w:line="360" w:lineRule="auto"/>
        <w:rPr>
          <w:rFonts w:ascii="Baskerville Old Face" w:hAnsi="Baskerville Old Face"/>
          <w:b/>
          <w:bCs/>
          <w:i/>
          <w:iCs/>
        </w:rPr>
      </w:pPr>
      <w:r w:rsidRPr="00B479AE">
        <w:rPr>
          <w:rFonts w:ascii="Baskerville Old Face" w:hAnsi="Baskerville Old Face"/>
          <w:b/>
          <w:bCs/>
          <w:i/>
          <w:iCs/>
        </w:rPr>
        <w:t>Formula boundary</w:t>
      </w:r>
    </w:p>
    <w:p w14:paraId="66D4097D"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b/>
          <w:bCs/>
          <w:i/>
          <w:iCs/>
        </w:rPr>
        <w:t>NDC_i</w:t>
      </w:r>
      <w:r w:rsidRPr="00B479AE">
        <w:rPr>
          <w:rFonts w:ascii="Baskerville Old Face" w:hAnsi="Baskerville Old Face"/>
          <w:i/>
          <w:iCs/>
        </w:rPr>
        <w:t xml:space="preserve"> and related no-double-counting expressions are methodological claim-integrity functions.</w:t>
      </w:r>
    </w:p>
    <w:p w14:paraId="6F7CED94"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They do not create automatic claim ownership, credit eligibility, investor rights, token issuance, registry approval, legal enforceability, or market value.</w:t>
      </w:r>
    </w:p>
    <w:p w14:paraId="26B3398F"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They support MRV review, PRU analysis, RAP aggregation, investor reporting, and future legal structuring by ensuring that value claims remain unique, traceable, bounded, and non-duplicative.</w:t>
      </w:r>
    </w:p>
    <w:p w14:paraId="43C8532A" w14:textId="77777777" w:rsidR="0091235E" w:rsidRPr="00B479AE" w:rsidRDefault="0091235E" w:rsidP="0091235E">
      <w:pPr>
        <w:spacing w:line="360" w:lineRule="auto"/>
        <w:rPr>
          <w:rFonts w:ascii="Baskerville Old Face" w:hAnsi="Baskerville Old Face"/>
          <w:b/>
          <w:bCs/>
          <w:i/>
          <w:iCs/>
        </w:rPr>
      </w:pPr>
      <w:r w:rsidRPr="00B479AE">
        <w:rPr>
          <w:rFonts w:ascii="Baskerville Old Face" w:hAnsi="Baskerville Old Face"/>
          <w:b/>
          <w:bCs/>
          <w:i/>
          <w:iCs/>
        </w:rPr>
        <w:t>Operational rule</w:t>
      </w:r>
    </w:p>
    <w:p w14:paraId="772B4A25"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The operational rule is:</w:t>
      </w:r>
    </w:p>
    <w:p w14:paraId="52C8701E"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one ecological improvement may generate many interpretations;</w:t>
      </w:r>
      <w:r w:rsidRPr="00B479AE">
        <w:rPr>
          <w:rFonts w:ascii="Baskerville Old Face" w:hAnsi="Baskerville Old Face"/>
          <w:i/>
          <w:iCs/>
        </w:rPr>
        <w:br/>
        <w:t>only independently evidenced, bounded, and legally claimable components may generate separate financial claims.</w:t>
      </w:r>
    </w:p>
    <w:p w14:paraId="6E820058" w14:textId="77777777" w:rsidR="0091235E" w:rsidRPr="00B479AE" w:rsidRDefault="0091235E" w:rsidP="0091235E">
      <w:pPr>
        <w:spacing w:line="360" w:lineRule="auto"/>
        <w:rPr>
          <w:rFonts w:ascii="Baskerville Old Face" w:hAnsi="Baskerville Old Face"/>
          <w:i/>
          <w:iCs/>
        </w:rPr>
      </w:pPr>
      <w:r w:rsidRPr="00B479AE">
        <w:rPr>
          <w:rFonts w:ascii="Baskerville Old Face" w:hAnsi="Baskerville Old Face"/>
          <w:i/>
          <w:iCs/>
        </w:rPr>
        <w:t>Prometheus may recognize ecological richness.</w:t>
      </w:r>
    </w:p>
    <w:p w14:paraId="2355C0F3" w14:textId="2D82001A" w:rsidR="00B047F1" w:rsidRPr="00B047F1" w:rsidRDefault="00B047F1" w:rsidP="009966EC">
      <w:pPr>
        <w:spacing w:line="360" w:lineRule="auto"/>
        <w:rPr>
          <w:rFonts w:ascii="Baskerville Old Face" w:hAnsi="Baskerville Old Face"/>
          <w:i/>
          <w:iCs/>
        </w:rPr>
      </w:pPr>
      <w:r w:rsidRPr="00B047F1">
        <w:rPr>
          <w:rFonts w:ascii="Baskerville Old Face" w:hAnsi="Baskerville Old Face"/>
          <w:i/>
          <w:iCs/>
        </w:rPr>
        <w:t>It may not count the same underlying performance multiple times and present it as diversified value.</w:t>
      </w:r>
    </w:p>
    <w:p w14:paraId="3C9C138D" w14:textId="3DD15925" w:rsidR="009966EC" w:rsidRPr="00B479AE" w:rsidRDefault="009966EC" w:rsidP="009966EC">
      <w:pPr>
        <w:spacing w:line="360" w:lineRule="auto"/>
        <w:rPr>
          <w:rFonts w:ascii="Baskerville Old Face" w:hAnsi="Baskerville Old Face"/>
          <w:b/>
          <w:bCs/>
          <w:i/>
          <w:iCs/>
        </w:rPr>
      </w:pPr>
      <w:r w:rsidRPr="00B479AE">
        <w:rPr>
          <w:rFonts w:ascii="Baskerville Old Face" w:hAnsi="Baskerville Old Face"/>
          <w:b/>
          <w:bCs/>
          <w:i/>
          <w:iCs/>
        </w:rPr>
        <w:t>Source-to-Capital Traceability Function</w:t>
      </w:r>
    </w:p>
    <w:p w14:paraId="4AA6CA62"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Every capital-facing claim inside Prometheus should remain traceable to its living source.</w:t>
      </w:r>
    </w:p>
    <w:p w14:paraId="7BAEFA59"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A PRU-relevant value claim should never appear as a detached financial abstraction.</w:t>
      </w:r>
    </w:p>
    <w:p w14:paraId="02C725FE"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It should be possible to trace each claim backward through the chain of evidence, methodology, review, and legal structure that made the claim admissible.</w:t>
      </w:r>
    </w:p>
    <w:p w14:paraId="2D0925EA"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The source-to-capital traceability pathway may be expressed as:</w:t>
      </w:r>
    </w:p>
    <w:p w14:paraId="53005508"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lastRenderedPageBreak/>
        <w:t xml:space="preserve">Living system </w:t>
      </w:r>
      <w:r w:rsidRPr="00B479AE">
        <w:rPr>
          <w:rFonts w:ascii="Times New Roman" w:hAnsi="Times New Roman" w:cs="Times New Roman"/>
          <w:i/>
          <w:iCs/>
        </w:rPr>
        <w:t>→</w:t>
      </w:r>
      <w:r w:rsidRPr="00B479AE">
        <w:rPr>
          <w:rFonts w:ascii="Baskerville Old Face" w:hAnsi="Baskerville Old Face"/>
          <w:i/>
          <w:iCs/>
        </w:rPr>
        <w:t xml:space="preserve"> observation </w:t>
      </w:r>
      <w:r w:rsidRPr="00B479AE">
        <w:rPr>
          <w:rFonts w:ascii="Times New Roman" w:hAnsi="Times New Roman" w:cs="Times New Roman"/>
          <w:i/>
          <w:iCs/>
        </w:rPr>
        <w:t>→</w:t>
      </w:r>
      <w:r w:rsidRPr="00B479AE">
        <w:rPr>
          <w:rFonts w:ascii="Baskerville Old Face" w:hAnsi="Baskerville Old Face"/>
          <w:i/>
          <w:iCs/>
        </w:rPr>
        <w:t xml:space="preserve"> evidence </w:t>
      </w:r>
      <w:r w:rsidRPr="00B479AE">
        <w:rPr>
          <w:rFonts w:ascii="Times New Roman" w:hAnsi="Times New Roman" w:cs="Times New Roman"/>
          <w:i/>
          <w:iCs/>
        </w:rPr>
        <w:t>→</w:t>
      </w:r>
      <w:r w:rsidRPr="00B479AE">
        <w:rPr>
          <w:rFonts w:ascii="Baskerville Old Face" w:hAnsi="Baskerville Old Face"/>
          <w:i/>
          <w:iCs/>
        </w:rPr>
        <w:t xml:space="preserve"> provenance </w:t>
      </w:r>
      <w:r w:rsidRPr="00B479AE">
        <w:rPr>
          <w:rFonts w:ascii="Times New Roman" w:hAnsi="Times New Roman" w:cs="Times New Roman"/>
          <w:i/>
          <w:iCs/>
        </w:rPr>
        <w:t>→</w:t>
      </w:r>
      <w:r w:rsidRPr="00B479AE">
        <w:rPr>
          <w:rFonts w:ascii="Baskerville Old Face" w:hAnsi="Baskerville Old Face"/>
          <w:i/>
          <w:iCs/>
        </w:rPr>
        <w:t xml:space="preserve"> methodology </w:t>
      </w:r>
      <w:r w:rsidRPr="00B479AE">
        <w:rPr>
          <w:rFonts w:ascii="Times New Roman" w:hAnsi="Times New Roman" w:cs="Times New Roman"/>
          <w:i/>
          <w:iCs/>
        </w:rPr>
        <w:t>→</w:t>
      </w:r>
      <w:r w:rsidRPr="00B479AE">
        <w:rPr>
          <w:rFonts w:ascii="Baskerville Old Face" w:hAnsi="Baskerville Old Face"/>
          <w:i/>
          <w:iCs/>
        </w:rPr>
        <w:t xml:space="preserve"> confidence </w:t>
      </w:r>
      <w:r w:rsidRPr="00B479AE">
        <w:rPr>
          <w:rFonts w:ascii="Times New Roman" w:hAnsi="Times New Roman" w:cs="Times New Roman"/>
          <w:i/>
          <w:iCs/>
        </w:rPr>
        <w:t>→</w:t>
      </w:r>
      <w:r w:rsidRPr="00B479AE">
        <w:rPr>
          <w:rFonts w:ascii="Baskerville Old Face" w:hAnsi="Baskerville Old Face"/>
          <w:i/>
          <w:iCs/>
        </w:rPr>
        <w:t xml:space="preserve"> admissibility </w:t>
      </w:r>
      <w:r w:rsidRPr="00B479AE">
        <w:rPr>
          <w:rFonts w:ascii="Times New Roman" w:hAnsi="Times New Roman" w:cs="Times New Roman"/>
          <w:i/>
          <w:iCs/>
        </w:rPr>
        <w:t>→</w:t>
      </w:r>
      <w:r w:rsidRPr="00B479AE">
        <w:rPr>
          <w:rFonts w:ascii="Baskerville Old Face" w:hAnsi="Baskerville Old Face"/>
          <w:i/>
          <w:iCs/>
        </w:rPr>
        <w:t xml:space="preserve"> legal structure </w:t>
      </w:r>
      <w:r w:rsidRPr="00B479AE">
        <w:rPr>
          <w:rFonts w:ascii="Times New Roman" w:hAnsi="Times New Roman" w:cs="Times New Roman"/>
          <w:i/>
          <w:iCs/>
        </w:rPr>
        <w:t>→</w:t>
      </w:r>
      <w:r w:rsidRPr="00B479AE">
        <w:rPr>
          <w:rFonts w:ascii="Baskerville Old Face" w:hAnsi="Baskerville Old Face"/>
          <w:i/>
          <w:iCs/>
        </w:rPr>
        <w:t xml:space="preserve"> capital use</w:t>
      </w:r>
    </w:p>
    <w:p w14:paraId="4ECAE846"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This sequence defines the evidentiary spine of Prometheus.</w:t>
      </w:r>
    </w:p>
    <w:p w14:paraId="593DB380"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A financial claim is credible only when it can answer the following questions:</w:t>
      </w:r>
    </w:p>
    <w:p w14:paraId="2F1C08D2"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Where did the claim originate?</w:t>
      </w:r>
    </w:p>
    <w:p w14:paraId="618B3987"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Which living system generated the underlying performance?</w:t>
      </w:r>
    </w:p>
    <w:p w14:paraId="352AD6B2"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Which observation captured it?</w:t>
      </w:r>
    </w:p>
    <w:p w14:paraId="477B3EA9"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Which evidence supports it?</w:t>
      </w:r>
    </w:p>
    <w:p w14:paraId="5E1FA49F"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Which provenance record preserves its source?</w:t>
      </w:r>
    </w:p>
    <w:p w14:paraId="7EFB4FAF"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Which methodology interpreted it?</w:t>
      </w:r>
    </w:p>
    <w:p w14:paraId="0A2CEA4F"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Which confidence score was assigned?</w:t>
      </w:r>
    </w:p>
    <w:p w14:paraId="78258461"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Which admissibility threshold was satisfied?</w:t>
      </w:r>
    </w:p>
    <w:p w14:paraId="52547978"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Which review pathway approved its use?</w:t>
      </w:r>
    </w:p>
    <w:p w14:paraId="0DC4D0BB"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Which legal structure defines its rights, limitations, and enforceability?</w:t>
      </w:r>
    </w:p>
    <w:p w14:paraId="52884B22"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Which capital use does it support?</w:t>
      </w:r>
    </w:p>
    <w:p w14:paraId="51B72FD7"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A simplified traceability function may be expressed as:</w:t>
      </w:r>
    </w:p>
    <w:p w14:paraId="7BB338CC" w14:textId="77777777" w:rsidR="009966EC" w:rsidRPr="005907F1" w:rsidRDefault="009966EC" w:rsidP="009966EC">
      <w:pPr>
        <w:spacing w:line="360" w:lineRule="auto"/>
        <w:rPr>
          <w:rFonts w:ascii="Baskerville Old Face" w:hAnsi="Baskerville Old Face"/>
          <w:i/>
          <w:iCs/>
          <w:lang w:val="it-IT"/>
        </w:rPr>
      </w:pPr>
      <w:r w:rsidRPr="005907F1">
        <w:rPr>
          <w:rFonts w:ascii="Baskerville Old Face" w:hAnsi="Baskerville Old Face"/>
          <w:i/>
          <w:iCs/>
          <w:lang w:val="it-IT"/>
        </w:rPr>
        <w:t xml:space="preserve">Trace_i = S_i </w:t>
      </w:r>
      <w:r w:rsidRPr="005907F1">
        <w:rPr>
          <w:rFonts w:ascii="Cambria" w:hAnsi="Cambria" w:cs="Cambria"/>
          <w:i/>
          <w:iCs/>
          <w:lang w:val="it-IT"/>
        </w:rPr>
        <w:t>·</w:t>
      </w:r>
      <w:r w:rsidRPr="005907F1">
        <w:rPr>
          <w:rFonts w:ascii="Baskerville Old Face" w:hAnsi="Baskerville Old Face"/>
          <w:i/>
          <w:iCs/>
          <w:lang w:val="it-IT"/>
        </w:rPr>
        <w:t xml:space="preserve"> O_i </w:t>
      </w:r>
      <w:r w:rsidRPr="005907F1">
        <w:rPr>
          <w:rFonts w:ascii="Cambria" w:hAnsi="Cambria" w:cs="Cambria"/>
          <w:i/>
          <w:iCs/>
          <w:lang w:val="it-IT"/>
        </w:rPr>
        <w:t>·</w:t>
      </w:r>
      <w:r w:rsidRPr="005907F1">
        <w:rPr>
          <w:rFonts w:ascii="Baskerville Old Face" w:hAnsi="Baskerville Old Face"/>
          <w:i/>
          <w:iCs/>
          <w:lang w:val="it-IT"/>
        </w:rPr>
        <w:t xml:space="preserve"> E_i </w:t>
      </w:r>
      <w:r w:rsidRPr="005907F1">
        <w:rPr>
          <w:rFonts w:ascii="Cambria" w:hAnsi="Cambria" w:cs="Cambria"/>
          <w:i/>
          <w:iCs/>
          <w:lang w:val="it-IT"/>
        </w:rPr>
        <w:t>·</w:t>
      </w:r>
      <w:r w:rsidRPr="005907F1">
        <w:rPr>
          <w:rFonts w:ascii="Baskerville Old Face" w:hAnsi="Baskerville Old Face"/>
          <w:i/>
          <w:iCs/>
          <w:lang w:val="it-IT"/>
        </w:rPr>
        <w:t xml:space="preserve"> P_i </w:t>
      </w:r>
      <w:r w:rsidRPr="005907F1">
        <w:rPr>
          <w:rFonts w:ascii="Cambria" w:hAnsi="Cambria" w:cs="Cambria"/>
          <w:i/>
          <w:iCs/>
          <w:lang w:val="it-IT"/>
        </w:rPr>
        <w:t>·</w:t>
      </w:r>
      <w:r w:rsidRPr="005907F1">
        <w:rPr>
          <w:rFonts w:ascii="Baskerville Old Face" w:hAnsi="Baskerville Old Face"/>
          <w:i/>
          <w:iCs/>
          <w:lang w:val="it-IT"/>
        </w:rPr>
        <w:t xml:space="preserve"> M_i </w:t>
      </w:r>
      <w:r w:rsidRPr="005907F1">
        <w:rPr>
          <w:rFonts w:ascii="Cambria" w:hAnsi="Cambria" w:cs="Cambria"/>
          <w:i/>
          <w:iCs/>
          <w:lang w:val="it-IT"/>
        </w:rPr>
        <w:t>·</w:t>
      </w:r>
      <w:r w:rsidRPr="005907F1">
        <w:rPr>
          <w:rFonts w:ascii="Baskerville Old Face" w:hAnsi="Baskerville Old Face"/>
          <w:i/>
          <w:iCs/>
          <w:lang w:val="it-IT"/>
        </w:rPr>
        <w:t xml:space="preserve"> C_i </w:t>
      </w:r>
      <w:r w:rsidRPr="005907F1">
        <w:rPr>
          <w:rFonts w:ascii="Cambria" w:hAnsi="Cambria" w:cs="Cambria"/>
          <w:i/>
          <w:iCs/>
          <w:lang w:val="it-IT"/>
        </w:rPr>
        <w:t>·</w:t>
      </w:r>
      <w:r w:rsidRPr="005907F1">
        <w:rPr>
          <w:rFonts w:ascii="Baskerville Old Face" w:hAnsi="Baskerville Old Face"/>
          <w:i/>
          <w:iCs/>
          <w:lang w:val="it-IT"/>
        </w:rPr>
        <w:t xml:space="preserve"> A_i </w:t>
      </w:r>
      <w:r w:rsidRPr="005907F1">
        <w:rPr>
          <w:rFonts w:ascii="Cambria" w:hAnsi="Cambria" w:cs="Cambria"/>
          <w:i/>
          <w:iCs/>
          <w:lang w:val="it-IT"/>
        </w:rPr>
        <w:t>·</w:t>
      </w:r>
      <w:r w:rsidRPr="005907F1">
        <w:rPr>
          <w:rFonts w:ascii="Baskerville Old Face" w:hAnsi="Baskerville Old Face"/>
          <w:i/>
          <w:iCs/>
          <w:lang w:val="it-IT"/>
        </w:rPr>
        <w:t xml:space="preserve"> L_i </w:t>
      </w:r>
      <w:r w:rsidRPr="005907F1">
        <w:rPr>
          <w:rFonts w:ascii="Cambria" w:hAnsi="Cambria" w:cs="Cambria"/>
          <w:i/>
          <w:iCs/>
          <w:lang w:val="it-IT"/>
        </w:rPr>
        <w:t>·</w:t>
      </w:r>
      <w:r w:rsidRPr="005907F1">
        <w:rPr>
          <w:rFonts w:ascii="Baskerville Old Face" w:hAnsi="Baskerville Old Face"/>
          <w:i/>
          <w:iCs/>
          <w:lang w:val="it-IT"/>
        </w:rPr>
        <w:t xml:space="preserve"> K_i</w:t>
      </w:r>
    </w:p>
    <w:p w14:paraId="2596E751"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Where:</w:t>
      </w:r>
    </w:p>
    <w:p w14:paraId="2934D5FC"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Trace_i = traceability integrity of claim i.</w:t>
      </w:r>
      <w:r w:rsidRPr="00B479AE">
        <w:rPr>
          <w:rFonts w:ascii="Baskerville Old Face" w:hAnsi="Baskerville Old Face"/>
          <w:i/>
          <w:iCs/>
        </w:rPr>
        <w:br/>
        <w:t>S_i = source living system identified.</w:t>
      </w:r>
      <w:r w:rsidRPr="00B479AE">
        <w:rPr>
          <w:rFonts w:ascii="Baskerville Old Face" w:hAnsi="Baskerville Old Face"/>
          <w:i/>
          <w:iCs/>
        </w:rPr>
        <w:br/>
        <w:t>O_i = observation recorded.</w:t>
      </w:r>
      <w:r w:rsidRPr="00B479AE">
        <w:rPr>
          <w:rFonts w:ascii="Baskerville Old Face" w:hAnsi="Baskerville Old Face"/>
          <w:i/>
          <w:iCs/>
        </w:rPr>
        <w:br/>
        <w:t>E_i = evidence available.</w:t>
      </w:r>
      <w:r w:rsidRPr="00B479AE">
        <w:rPr>
          <w:rFonts w:ascii="Baskerville Old Face" w:hAnsi="Baskerville Old Face"/>
          <w:i/>
          <w:iCs/>
        </w:rPr>
        <w:br/>
        <w:t>P_i = provenance preserved.</w:t>
      </w:r>
      <w:r w:rsidRPr="00B479AE">
        <w:rPr>
          <w:rFonts w:ascii="Baskerville Old Face" w:hAnsi="Baskerville Old Face"/>
          <w:i/>
          <w:iCs/>
        </w:rPr>
        <w:br/>
        <w:t>M_i = methodology applied.</w:t>
      </w:r>
      <w:r w:rsidRPr="00B479AE">
        <w:rPr>
          <w:rFonts w:ascii="Baskerville Old Face" w:hAnsi="Baskerville Old Face"/>
          <w:i/>
          <w:iCs/>
        </w:rPr>
        <w:br/>
      </w:r>
      <w:r w:rsidRPr="00B479AE">
        <w:rPr>
          <w:rFonts w:ascii="Baskerville Old Face" w:hAnsi="Baskerville Old Face"/>
          <w:i/>
          <w:iCs/>
        </w:rPr>
        <w:lastRenderedPageBreak/>
        <w:t>C_i = confidence assigned.</w:t>
      </w:r>
      <w:r w:rsidRPr="00B479AE">
        <w:rPr>
          <w:rFonts w:ascii="Baskerville Old Face" w:hAnsi="Baskerville Old Face"/>
          <w:i/>
          <w:iCs/>
        </w:rPr>
        <w:br/>
        <w:t>A_i = admissibility satisfied.</w:t>
      </w:r>
      <w:r w:rsidRPr="00B479AE">
        <w:rPr>
          <w:rFonts w:ascii="Baskerville Old Face" w:hAnsi="Baskerville Old Face"/>
          <w:i/>
          <w:iCs/>
        </w:rPr>
        <w:br/>
        <w:t>L_i = legal structure defined where capital-facing use is involved.</w:t>
      </w:r>
      <w:r w:rsidRPr="00B479AE">
        <w:rPr>
          <w:rFonts w:ascii="Baskerville Old Face" w:hAnsi="Baskerville Old Face"/>
          <w:i/>
          <w:iCs/>
        </w:rPr>
        <w:br/>
        <w:t>K_i = capital-use boundary defined.</w:t>
      </w:r>
    </w:p>
    <w:p w14:paraId="6B01E9EE"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If any required element is missing, the claim should be classified as incomplete, review-required, non-admissible, or non-capital-facing, depending on severity and context.</w:t>
      </w:r>
    </w:p>
    <w:p w14:paraId="437830F1"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The basic rule is:</w:t>
      </w:r>
    </w:p>
    <w:p w14:paraId="74FA7386"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if Trace_i = 0, then Claim_i cannot support capital-facing value</w:t>
      </w:r>
    </w:p>
    <w:p w14:paraId="472EE40D"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This does not mean the underlying ecological event is meaningless.</w:t>
      </w:r>
    </w:p>
    <w:p w14:paraId="6CEF90AD"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It means the claim has not yet matured into capital-admissible evidence.</w:t>
      </w:r>
    </w:p>
    <w:p w14:paraId="3D8E2167"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A tree may have been planted.</w:t>
      </w:r>
    </w:p>
    <w:p w14:paraId="10A43D45"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Soil may have improved.</w:t>
      </w:r>
    </w:p>
    <w:p w14:paraId="07CF332C"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Water may have infiltrated.</w:t>
      </w:r>
    </w:p>
    <w:p w14:paraId="32EACDD1"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Biodiversity may have increased.</w:t>
      </w:r>
    </w:p>
    <w:p w14:paraId="74E6928E"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But if the claim cannot be traced, reviewed, and bounded, it cannot responsibly support PRU value, RAP inclusion, investor reporting, ecological credit language, legal rights, or future tokenized representation.</w:t>
      </w:r>
    </w:p>
    <w:p w14:paraId="4C91444D"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This protects Prometheus from detached abstraction.</w:t>
      </w:r>
    </w:p>
    <w:p w14:paraId="7BF61B68"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It ensures that every financial expression remains accountable to the living system that generated it.</w:t>
      </w:r>
    </w:p>
    <w:p w14:paraId="2B865207"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The forward pathway is:</w:t>
      </w:r>
    </w:p>
    <w:p w14:paraId="5B05AA16"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 xml:space="preserve">living performance </w:t>
      </w:r>
      <w:r w:rsidRPr="00B479AE">
        <w:rPr>
          <w:rFonts w:ascii="Times New Roman" w:hAnsi="Times New Roman" w:cs="Times New Roman"/>
          <w:i/>
          <w:iCs/>
        </w:rPr>
        <w:t>→</w:t>
      </w:r>
      <w:r w:rsidRPr="00B479AE">
        <w:rPr>
          <w:rFonts w:ascii="Baskerville Old Face" w:hAnsi="Baskerville Old Face"/>
          <w:i/>
          <w:iCs/>
        </w:rPr>
        <w:t xml:space="preserve"> verified evidence </w:t>
      </w:r>
      <w:r w:rsidRPr="00B479AE">
        <w:rPr>
          <w:rFonts w:ascii="Times New Roman" w:hAnsi="Times New Roman" w:cs="Times New Roman"/>
          <w:i/>
          <w:iCs/>
        </w:rPr>
        <w:t>→</w:t>
      </w:r>
      <w:r w:rsidRPr="00B479AE">
        <w:rPr>
          <w:rFonts w:ascii="Baskerville Old Face" w:hAnsi="Baskerville Old Face"/>
          <w:i/>
          <w:iCs/>
        </w:rPr>
        <w:t xml:space="preserve"> admissible claim </w:t>
      </w:r>
      <w:r w:rsidRPr="00B479AE">
        <w:rPr>
          <w:rFonts w:ascii="Times New Roman" w:hAnsi="Times New Roman" w:cs="Times New Roman"/>
          <w:i/>
          <w:iCs/>
        </w:rPr>
        <w:t>→</w:t>
      </w:r>
      <w:r w:rsidRPr="00B479AE">
        <w:rPr>
          <w:rFonts w:ascii="Baskerville Old Face" w:hAnsi="Baskerville Old Face"/>
          <w:i/>
          <w:iCs/>
        </w:rPr>
        <w:t xml:space="preserve"> legal meaning </w:t>
      </w:r>
      <w:r w:rsidRPr="00B479AE">
        <w:rPr>
          <w:rFonts w:ascii="Times New Roman" w:hAnsi="Times New Roman" w:cs="Times New Roman"/>
          <w:i/>
          <w:iCs/>
        </w:rPr>
        <w:t>→</w:t>
      </w:r>
      <w:r w:rsidRPr="00B479AE">
        <w:rPr>
          <w:rFonts w:ascii="Baskerville Old Face" w:hAnsi="Baskerville Old Face"/>
          <w:i/>
          <w:iCs/>
        </w:rPr>
        <w:t xml:space="preserve"> capital use</w:t>
      </w:r>
    </w:p>
    <w:p w14:paraId="035AFC24"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The backward audit pathway is:</w:t>
      </w:r>
    </w:p>
    <w:p w14:paraId="5487A501"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 xml:space="preserve">capital claim </w:t>
      </w:r>
      <w:r w:rsidRPr="00B479AE">
        <w:rPr>
          <w:rFonts w:ascii="Times New Roman" w:hAnsi="Times New Roman" w:cs="Times New Roman"/>
          <w:i/>
          <w:iCs/>
        </w:rPr>
        <w:t>→</w:t>
      </w:r>
      <w:r w:rsidRPr="00B479AE">
        <w:rPr>
          <w:rFonts w:ascii="Baskerville Old Face" w:hAnsi="Baskerville Old Face"/>
          <w:i/>
          <w:iCs/>
        </w:rPr>
        <w:t xml:space="preserve"> legal instrument </w:t>
      </w:r>
      <w:r w:rsidRPr="00B479AE">
        <w:rPr>
          <w:rFonts w:ascii="Times New Roman" w:hAnsi="Times New Roman" w:cs="Times New Roman"/>
          <w:i/>
          <w:iCs/>
        </w:rPr>
        <w:t>→</w:t>
      </w:r>
      <w:r w:rsidRPr="00B479AE">
        <w:rPr>
          <w:rFonts w:ascii="Baskerville Old Face" w:hAnsi="Baskerville Old Face"/>
          <w:i/>
          <w:iCs/>
        </w:rPr>
        <w:t xml:space="preserve"> admissibility record </w:t>
      </w:r>
      <w:r w:rsidRPr="00B479AE">
        <w:rPr>
          <w:rFonts w:ascii="Times New Roman" w:hAnsi="Times New Roman" w:cs="Times New Roman"/>
          <w:i/>
          <w:iCs/>
        </w:rPr>
        <w:t>→</w:t>
      </w:r>
      <w:r w:rsidRPr="00B479AE">
        <w:rPr>
          <w:rFonts w:ascii="Baskerville Old Face" w:hAnsi="Baskerville Old Face"/>
          <w:i/>
          <w:iCs/>
        </w:rPr>
        <w:t xml:space="preserve"> confidence score </w:t>
      </w:r>
      <w:r w:rsidRPr="00B479AE">
        <w:rPr>
          <w:rFonts w:ascii="Times New Roman" w:hAnsi="Times New Roman" w:cs="Times New Roman"/>
          <w:i/>
          <w:iCs/>
        </w:rPr>
        <w:t>→</w:t>
      </w:r>
      <w:r w:rsidRPr="00B479AE">
        <w:rPr>
          <w:rFonts w:ascii="Baskerville Old Face" w:hAnsi="Baskerville Old Face"/>
          <w:i/>
          <w:iCs/>
        </w:rPr>
        <w:t xml:space="preserve"> methodology </w:t>
      </w:r>
      <w:r w:rsidRPr="00B479AE">
        <w:rPr>
          <w:rFonts w:ascii="Times New Roman" w:hAnsi="Times New Roman" w:cs="Times New Roman"/>
          <w:i/>
          <w:iCs/>
        </w:rPr>
        <w:t>→</w:t>
      </w:r>
      <w:r w:rsidRPr="00B479AE">
        <w:rPr>
          <w:rFonts w:ascii="Baskerville Old Face" w:hAnsi="Baskerville Old Face"/>
          <w:i/>
          <w:iCs/>
        </w:rPr>
        <w:t xml:space="preserve"> provenance </w:t>
      </w:r>
      <w:r w:rsidRPr="00B479AE">
        <w:rPr>
          <w:rFonts w:ascii="Times New Roman" w:hAnsi="Times New Roman" w:cs="Times New Roman"/>
          <w:i/>
          <w:iCs/>
        </w:rPr>
        <w:t>→</w:t>
      </w:r>
      <w:r w:rsidRPr="00B479AE">
        <w:rPr>
          <w:rFonts w:ascii="Baskerville Old Face" w:hAnsi="Baskerville Old Face"/>
          <w:i/>
          <w:iCs/>
        </w:rPr>
        <w:t xml:space="preserve"> evidence </w:t>
      </w:r>
      <w:r w:rsidRPr="00B479AE">
        <w:rPr>
          <w:rFonts w:ascii="Times New Roman" w:hAnsi="Times New Roman" w:cs="Times New Roman"/>
          <w:i/>
          <w:iCs/>
        </w:rPr>
        <w:t>→</w:t>
      </w:r>
      <w:r w:rsidRPr="00B479AE">
        <w:rPr>
          <w:rFonts w:ascii="Baskerville Old Face" w:hAnsi="Baskerville Old Face"/>
          <w:i/>
          <w:iCs/>
        </w:rPr>
        <w:t xml:space="preserve"> observation </w:t>
      </w:r>
      <w:r w:rsidRPr="00B479AE">
        <w:rPr>
          <w:rFonts w:ascii="Times New Roman" w:hAnsi="Times New Roman" w:cs="Times New Roman"/>
          <w:i/>
          <w:iCs/>
        </w:rPr>
        <w:t>→</w:t>
      </w:r>
      <w:r w:rsidRPr="00B479AE">
        <w:rPr>
          <w:rFonts w:ascii="Baskerville Old Face" w:hAnsi="Baskerville Old Face"/>
          <w:i/>
          <w:iCs/>
        </w:rPr>
        <w:t xml:space="preserve"> living system</w:t>
      </w:r>
    </w:p>
    <w:p w14:paraId="72D1EC7B"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lastRenderedPageBreak/>
        <w:t>Both directions must work.</w:t>
      </w:r>
    </w:p>
    <w:p w14:paraId="7A6A11B5"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If a capital claim cannot be traced backward, it should not move forward.</w:t>
      </w:r>
    </w:p>
    <w:p w14:paraId="06CEB4CA" w14:textId="77777777" w:rsidR="009966EC" w:rsidRPr="00B479AE" w:rsidRDefault="009966EC" w:rsidP="009966EC">
      <w:pPr>
        <w:spacing w:line="360" w:lineRule="auto"/>
        <w:rPr>
          <w:rFonts w:ascii="Baskerville Old Face" w:hAnsi="Baskerville Old Face"/>
          <w:b/>
          <w:bCs/>
          <w:i/>
          <w:iCs/>
        </w:rPr>
      </w:pPr>
      <w:r w:rsidRPr="00B479AE">
        <w:rPr>
          <w:rFonts w:ascii="Baskerville Old Face" w:hAnsi="Baskerville Old Face"/>
          <w:b/>
          <w:bCs/>
          <w:i/>
          <w:iCs/>
        </w:rPr>
        <w:t>Traceability classes</w:t>
      </w:r>
    </w:p>
    <w:p w14:paraId="42FA6FAA"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Prometheus may classify traceability into maturity levels.</w:t>
      </w:r>
    </w:p>
    <w:p w14:paraId="1C9AB523"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b/>
          <w:bCs/>
          <w:i/>
          <w:iCs/>
        </w:rPr>
        <w:t>Trace-T0 — Narrative claim</w:t>
      </w:r>
    </w:p>
    <w:p w14:paraId="7623B429"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A claim exists, but evidence and provenance are not sufficient.</w:t>
      </w:r>
    </w:p>
    <w:p w14:paraId="52C38ECA"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b/>
          <w:bCs/>
          <w:i/>
          <w:iCs/>
        </w:rPr>
        <w:t>Trace-T1 — Observed</w:t>
      </w:r>
    </w:p>
    <w:p w14:paraId="3349CC00"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An event or condition has been observed, but evidence maturity is limited.</w:t>
      </w:r>
    </w:p>
    <w:p w14:paraId="3123F611"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b/>
          <w:bCs/>
          <w:i/>
          <w:iCs/>
        </w:rPr>
        <w:t>Trace-T2 — Evidence-linked</w:t>
      </w:r>
    </w:p>
    <w:p w14:paraId="4BA3AA64"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The claim is linked to evidence with source, time, method, and location.</w:t>
      </w:r>
    </w:p>
    <w:p w14:paraId="60CC8B5A"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b/>
          <w:bCs/>
          <w:i/>
          <w:iCs/>
        </w:rPr>
        <w:t>Trace-T3 — Provenance-preserved</w:t>
      </w:r>
    </w:p>
    <w:p w14:paraId="220AF169"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The evidence has a preserved provenance record, archive reference, hash, source-chain record, or equivalent integrity marker.</w:t>
      </w:r>
    </w:p>
    <w:p w14:paraId="18DC0A56"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b/>
          <w:bCs/>
          <w:i/>
          <w:iCs/>
        </w:rPr>
        <w:t>Trace-T4 — Methodology-interpreted</w:t>
      </w:r>
    </w:p>
    <w:p w14:paraId="4C8539C4"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The evidence has been interpreted through an approved or draft methodology.</w:t>
      </w:r>
    </w:p>
    <w:p w14:paraId="2E05FAB5"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b/>
          <w:bCs/>
          <w:i/>
          <w:iCs/>
        </w:rPr>
        <w:t>Trace-T5 — Confidence-scored</w:t>
      </w:r>
    </w:p>
    <w:p w14:paraId="366FB7D0"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The claim has an assigned confidence level and stated limitations.</w:t>
      </w:r>
    </w:p>
    <w:p w14:paraId="76EB7A08"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b/>
          <w:bCs/>
          <w:i/>
          <w:iCs/>
        </w:rPr>
        <w:t>Trace-T6 — Admissibility-reviewed</w:t>
      </w:r>
    </w:p>
    <w:p w14:paraId="42B56C15"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The claim has passed the relevant MRV, PRU, governance, or scientific review pathway.</w:t>
      </w:r>
    </w:p>
    <w:p w14:paraId="4500401D"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b/>
          <w:bCs/>
          <w:i/>
          <w:iCs/>
        </w:rPr>
        <w:t>Trace-T7 — Legal-structured</w:t>
      </w:r>
    </w:p>
    <w:p w14:paraId="35A87440"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The claim is connected to a legal instrument, disclosure framework, contractual right, reporting boundary, or regulated pathway where capital-facing use is involved.</w:t>
      </w:r>
    </w:p>
    <w:p w14:paraId="1A807B51"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b/>
          <w:bCs/>
          <w:i/>
          <w:iCs/>
        </w:rPr>
        <w:lastRenderedPageBreak/>
        <w:t>Trace-T8 — Capital-usable</w:t>
      </w:r>
    </w:p>
    <w:p w14:paraId="4E079184"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The claim may support defined capital-facing use within its approved boundary.</w:t>
      </w:r>
    </w:p>
    <w:p w14:paraId="13664C8C"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These classes are analytical traceability classes.</w:t>
      </w:r>
    </w:p>
    <w:p w14:paraId="5693574C"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They are not credit ratings.</w:t>
      </w:r>
    </w:p>
    <w:p w14:paraId="6D88E08A"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They are not investment ratings.</w:t>
      </w:r>
    </w:p>
    <w:p w14:paraId="371AF77C"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They do not create rights by themselves.</w:t>
      </w:r>
    </w:p>
    <w:p w14:paraId="20951283"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They define how mature the evidence chain is.</w:t>
      </w:r>
    </w:p>
    <w:p w14:paraId="4CD42EFD" w14:textId="77777777" w:rsidR="00716126" w:rsidRPr="00B479AE" w:rsidRDefault="00716126" w:rsidP="009966EC">
      <w:pPr>
        <w:spacing w:line="360" w:lineRule="auto"/>
        <w:rPr>
          <w:rFonts w:ascii="Baskerville Old Face" w:hAnsi="Baskerville Old Face"/>
          <w:b/>
          <w:bCs/>
          <w:i/>
          <w:iCs/>
        </w:rPr>
      </w:pPr>
    </w:p>
    <w:p w14:paraId="546AF937" w14:textId="68FCFF1F" w:rsidR="009966EC" w:rsidRPr="00B479AE" w:rsidRDefault="009966EC" w:rsidP="009966EC">
      <w:pPr>
        <w:spacing w:line="360" w:lineRule="auto"/>
        <w:rPr>
          <w:rFonts w:ascii="Baskerville Old Face" w:hAnsi="Baskerville Old Face"/>
          <w:b/>
          <w:bCs/>
          <w:i/>
          <w:iCs/>
        </w:rPr>
      </w:pPr>
      <w:r w:rsidRPr="00B479AE">
        <w:rPr>
          <w:rFonts w:ascii="Baskerville Old Face" w:hAnsi="Baskerville Old Face"/>
          <w:b/>
          <w:bCs/>
          <w:i/>
          <w:iCs/>
        </w:rPr>
        <w:t>Capital-facing traceability rule</w:t>
      </w:r>
    </w:p>
    <w:p w14:paraId="26E7A5C6"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A claim may become capital-facing only when:</w:t>
      </w:r>
    </w:p>
    <w:p w14:paraId="1FCF5AE6"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Trace_i ≥ Trace-T6</w:t>
      </w:r>
    </w:p>
    <w:p w14:paraId="70DEE558"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and, where legal or financial rights are involved:</w:t>
      </w:r>
    </w:p>
    <w:p w14:paraId="32115F39"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Trace_i ≥ Trace-T7</w:t>
      </w:r>
    </w:p>
    <w:p w14:paraId="5F7EEA18"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For investor-facing or instrument-linked use, the stronger condition applies:</w:t>
      </w:r>
    </w:p>
    <w:p w14:paraId="22E77323"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Trace_i = Trace-T8</w:t>
      </w:r>
    </w:p>
    <w:p w14:paraId="2438C615"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This creates a simple internal discipline:</w:t>
      </w:r>
    </w:p>
    <w:p w14:paraId="3113C83B"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claims may be discussed early;</w:t>
      </w:r>
      <w:r w:rsidRPr="00B479AE">
        <w:rPr>
          <w:rFonts w:ascii="Baskerville Old Face" w:hAnsi="Baskerville Old Face"/>
          <w:i/>
          <w:iCs/>
        </w:rPr>
        <w:br/>
        <w:t>claims may be studied with evidence;</w:t>
      </w:r>
      <w:r w:rsidRPr="00B479AE">
        <w:rPr>
          <w:rFonts w:ascii="Baskerville Old Face" w:hAnsi="Baskerville Old Face"/>
          <w:i/>
          <w:iCs/>
        </w:rPr>
        <w:br/>
        <w:t>claims may be reported when reviewed;</w:t>
      </w:r>
      <w:r w:rsidRPr="00B479AE">
        <w:rPr>
          <w:rFonts w:ascii="Baskerville Old Face" w:hAnsi="Baskerville Old Face"/>
          <w:i/>
          <w:iCs/>
        </w:rPr>
        <w:br/>
        <w:t>claims may support capital only when legally and methodologically structured.</w:t>
      </w:r>
    </w:p>
    <w:p w14:paraId="5EF5468A"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The rule prevents Prometheus from treating all positive ecological change as immediately financeable.</w:t>
      </w:r>
    </w:p>
    <w:p w14:paraId="02A00470"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It also prevents capital from detaching from evidence.</w:t>
      </w:r>
    </w:p>
    <w:p w14:paraId="02E25748" w14:textId="77777777" w:rsidR="009966EC" w:rsidRPr="00B479AE" w:rsidRDefault="009966EC" w:rsidP="009966EC">
      <w:pPr>
        <w:spacing w:line="360" w:lineRule="auto"/>
        <w:rPr>
          <w:rFonts w:ascii="Baskerville Old Face" w:hAnsi="Baskerville Old Face"/>
          <w:b/>
          <w:bCs/>
          <w:i/>
          <w:iCs/>
        </w:rPr>
      </w:pPr>
      <w:r w:rsidRPr="00B479AE">
        <w:rPr>
          <w:rFonts w:ascii="Baskerville Old Face" w:hAnsi="Baskerville Old Face"/>
          <w:b/>
          <w:bCs/>
          <w:i/>
          <w:iCs/>
        </w:rPr>
        <w:t>Formula boundary</w:t>
      </w:r>
    </w:p>
    <w:p w14:paraId="403B1F9A"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lastRenderedPageBreak/>
        <w:t>Trace_i is a methodological traceability function.</w:t>
      </w:r>
    </w:p>
    <w:p w14:paraId="37382480"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It does not create automatic financial value, token value, investor entitlement, legal enforceability, credit issuance, rating upgrade, market price, or fund eligibility.</w:t>
      </w:r>
    </w:p>
    <w:p w14:paraId="7FDD0CE6"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It supports auditability, data-room discipline, PRU analysis, RAP aggregation, investor reporting, legal structuring, and future compliant digital representation by ensuring that each claim remains connected to its source.</w:t>
      </w:r>
    </w:p>
    <w:p w14:paraId="139BD2B5" w14:textId="77777777" w:rsidR="009966EC" w:rsidRPr="00B479AE" w:rsidRDefault="009966EC" w:rsidP="009966EC">
      <w:pPr>
        <w:spacing w:line="360" w:lineRule="auto"/>
        <w:rPr>
          <w:rFonts w:ascii="Baskerville Old Face" w:hAnsi="Baskerville Old Face"/>
          <w:b/>
          <w:bCs/>
          <w:i/>
          <w:iCs/>
        </w:rPr>
      </w:pPr>
      <w:r w:rsidRPr="00B479AE">
        <w:rPr>
          <w:rFonts w:ascii="Baskerville Old Face" w:hAnsi="Baskerville Old Face"/>
          <w:b/>
          <w:bCs/>
          <w:i/>
          <w:iCs/>
        </w:rPr>
        <w:t>Operational rule</w:t>
      </w:r>
    </w:p>
    <w:p w14:paraId="5BEF3787"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The operational rule is:</w:t>
      </w:r>
    </w:p>
    <w:p w14:paraId="033224B7"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no source, no claim;</w:t>
      </w:r>
      <w:r w:rsidRPr="00B479AE">
        <w:rPr>
          <w:rFonts w:ascii="Baskerville Old Face" w:hAnsi="Baskerville Old Face"/>
          <w:i/>
          <w:iCs/>
        </w:rPr>
        <w:br/>
        <w:t>no evidence, no admissibility;</w:t>
      </w:r>
      <w:r w:rsidRPr="00B479AE">
        <w:rPr>
          <w:rFonts w:ascii="Baskerville Old Face" w:hAnsi="Baskerville Old Face"/>
          <w:i/>
          <w:iCs/>
        </w:rPr>
        <w:br/>
        <w:t>no admissibility, no value;</w:t>
      </w:r>
      <w:r w:rsidRPr="00B479AE">
        <w:rPr>
          <w:rFonts w:ascii="Baskerville Old Face" w:hAnsi="Baskerville Old Face"/>
          <w:i/>
          <w:iCs/>
        </w:rPr>
        <w:br/>
        <w:t>no legal structure, no capital-facing right.</w:t>
      </w:r>
    </w:p>
    <w:p w14:paraId="35B73ED2"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This is the backbone of Prometheus as a verification-first regenerative infrastructure.</w:t>
      </w:r>
    </w:p>
    <w:p w14:paraId="51F1DCED"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Prometheus does not ask capital to trust abstraction.</w:t>
      </w:r>
    </w:p>
    <w:p w14:paraId="46B54A63" w14:textId="77777777" w:rsidR="009966EC" w:rsidRPr="00B479AE" w:rsidRDefault="009966EC" w:rsidP="009966EC">
      <w:pPr>
        <w:spacing w:line="360" w:lineRule="auto"/>
        <w:rPr>
          <w:rFonts w:ascii="Baskerville Old Face" w:hAnsi="Baskerville Old Face"/>
          <w:i/>
          <w:iCs/>
        </w:rPr>
      </w:pPr>
      <w:r w:rsidRPr="00B479AE">
        <w:rPr>
          <w:rFonts w:ascii="Baskerville Old Face" w:hAnsi="Baskerville Old Face"/>
          <w:i/>
          <w:iCs/>
        </w:rPr>
        <w:t>It requires capital to follow the trace back to life.</w:t>
      </w:r>
    </w:p>
    <w:p w14:paraId="0CCE7C66"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R.13 Conservative OHE value uplift</w:t>
      </w:r>
    </w:p>
    <w:p w14:paraId="68871A3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OHE value should not be increased by narrative claims.</w:t>
      </w:r>
    </w:p>
    <w:p w14:paraId="22057C8F"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should increase only when the MRV layer demonstrates that resilience, water performance, soil function, productivity, and network coordination are improving.</w:t>
      </w:r>
    </w:p>
    <w:p w14:paraId="478845D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conservative conceptual formulation is:</w:t>
      </w:r>
    </w:p>
    <w:p w14:paraId="51EC961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xml:space="preserve">V_OHE_adj = V_base </w:t>
      </w:r>
      <w:r w:rsidRPr="00B479AE">
        <w:rPr>
          <w:rFonts w:ascii="Cambria" w:hAnsi="Cambria" w:cs="Cambria"/>
          <w:i/>
          <w:iCs/>
        </w:rPr>
        <w:t>·</w:t>
      </w:r>
      <w:r w:rsidRPr="00B479AE">
        <w:rPr>
          <w:rFonts w:ascii="Baskerville Old Face" w:hAnsi="Baskerville Old Face"/>
          <w:i/>
          <w:iCs/>
        </w:rPr>
        <w:t xml:space="preserve"> (1 + </w:t>
      </w:r>
      <w:r w:rsidRPr="00B479AE">
        <w:rPr>
          <w:rFonts w:ascii="Cambria" w:hAnsi="Cambria" w:cs="Cambria"/>
          <w:i/>
          <w:iCs/>
        </w:rPr>
        <w:t>λ₁</w:t>
      </w:r>
      <w:r w:rsidRPr="00B479AE">
        <w:rPr>
          <w:rFonts w:ascii="Baskerville Old Face" w:hAnsi="Baskerville Old Face"/>
          <w:i/>
          <w:iCs/>
        </w:rPr>
        <w:t xml:space="preserve">SRI + </w:t>
      </w:r>
      <w:r w:rsidRPr="00B479AE">
        <w:rPr>
          <w:rFonts w:ascii="Cambria" w:hAnsi="Cambria" w:cs="Cambria"/>
          <w:i/>
          <w:iCs/>
        </w:rPr>
        <w:t>λ₂</w:t>
      </w:r>
      <w:r w:rsidRPr="00B479AE">
        <w:rPr>
          <w:rFonts w:ascii="Baskerville Old Face" w:hAnsi="Baskerville Old Face"/>
          <w:i/>
          <w:iCs/>
        </w:rPr>
        <w:t xml:space="preserve">RPI + </w:t>
      </w:r>
      <w:r w:rsidRPr="00B479AE">
        <w:rPr>
          <w:rFonts w:ascii="Cambria" w:hAnsi="Cambria" w:cs="Cambria"/>
          <w:i/>
          <w:iCs/>
        </w:rPr>
        <w:t>λ₃</w:t>
      </w:r>
      <w:r w:rsidRPr="00B479AE">
        <w:rPr>
          <w:rFonts w:ascii="Baskerville Old Face" w:hAnsi="Baskerville Old Face"/>
          <w:i/>
          <w:iCs/>
        </w:rPr>
        <w:t>CESI)</w:t>
      </w:r>
    </w:p>
    <w:p w14:paraId="7C4788CF"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subject to:</w:t>
      </w:r>
    </w:p>
    <w:p w14:paraId="5F5868D4"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confidence-score thresholds</w:t>
      </w:r>
    </w:p>
    <w:p w14:paraId="5DBA822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anti-greenwashing rules</w:t>
      </w:r>
    </w:p>
    <w:p w14:paraId="571F0228"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lastRenderedPageBreak/>
        <w:t>no-double-counting controls</w:t>
      </w:r>
    </w:p>
    <w:p w14:paraId="5BA28E0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methodology versioning</w:t>
      </w:r>
    </w:p>
    <w:p w14:paraId="062F5FB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legal and contractual admissibility</w:t>
      </w:r>
    </w:p>
    <w:p w14:paraId="62769ECE"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separation between productive value, ecological value, and systemic value</w:t>
      </w:r>
    </w:p>
    <w:p w14:paraId="7BB723B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Interpretation:</w:t>
      </w:r>
    </w:p>
    <w:p w14:paraId="3BE13BDB"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V_base remains the hard productive or cash-relevant value.</w:t>
      </w:r>
    </w:p>
    <w:p w14:paraId="4AC21274"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SRI, RPI, and CESI may justify resilience or systemic-function premiums only when verified.</w:t>
      </w:r>
    </w:p>
    <w:p w14:paraId="124ADA7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No premium should be recognized merely because a system is called regenerative.</w:t>
      </w:r>
    </w:p>
    <w:p w14:paraId="5CAABC8C" w14:textId="118A6B76" w:rsidR="00B961DF" w:rsidRPr="00B479AE" w:rsidRDefault="00112DE6" w:rsidP="00B961DF">
      <w:pPr>
        <w:spacing w:line="360" w:lineRule="auto"/>
        <w:rPr>
          <w:rFonts w:ascii="Baskerville Old Face" w:hAnsi="Baskerville Old Face"/>
          <w:i/>
          <w:iCs/>
        </w:rPr>
      </w:pPr>
      <w:r w:rsidRPr="00B479AE">
        <w:rPr>
          <w:rFonts w:ascii="Baskerville Old Face" w:hAnsi="Baskerville Old Face"/>
          <w:i/>
          <w:iCs/>
        </w:rPr>
        <w:t>This is the correct bridge toward PRU value analysis and capital-readiness interpretation</w:t>
      </w:r>
      <w:r w:rsidR="00B961DF" w:rsidRPr="00B479AE">
        <w:rPr>
          <w:rFonts w:ascii="Baskerville Old Face" w:hAnsi="Baskerville Old Face"/>
          <w:i/>
          <w:iCs/>
        </w:rPr>
        <w:t>.</w:t>
      </w:r>
    </w:p>
    <w:p w14:paraId="1D103A1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preserves ambition without weakening credibility.</w:t>
      </w:r>
    </w:p>
    <w:p w14:paraId="7B6D9959"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R.14 Normalized PRU value stack</w:t>
      </w:r>
    </w:p>
    <w:p w14:paraId="36A0EBD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PRU value stack should be structured as a hierarchical, admissibility-constrained architecture.</w:t>
      </w:r>
    </w:p>
    <w:p w14:paraId="568437FF"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Layer 1 — Core productive value</w:t>
      </w:r>
    </w:p>
    <w:p w14:paraId="296527E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includes directly observable and cash-relevant outputs, such as:</w:t>
      </w:r>
    </w:p>
    <w:p w14:paraId="28B787FB"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food production;</w:t>
      </w:r>
      <w:r w:rsidRPr="00B479AE">
        <w:rPr>
          <w:rFonts w:ascii="Baskerville Old Face" w:hAnsi="Baskerville Old Face"/>
          <w:i/>
          <w:iCs/>
        </w:rPr>
        <w:br/>
        <w:t>• household food substitution where measurable;</w:t>
      </w:r>
      <w:r w:rsidRPr="00B479AE">
        <w:rPr>
          <w:rFonts w:ascii="Baskerville Old Face" w:hAnsi="Baskerville Old Face"/>
          <w:i/>
          <w:iCs/>
        </w:rPr>
        <w:br/>
        <w:t>• direct sales;</w:t>
      </w:r>
      <w:r w:rsidRPr="00B479AE">
        <w:rPr>
          <w:rFonts w:ascii="Baskerville Old Face" w:hAnsi="Baskerville Old Face"/>
          <w:i/>
          <w:iCs/>
        </w:rPr>
        <w:br/>
        <w:t>• agroforestry products;</w:t>
      </w:r>
      <w:r w:rsidRPr="00B479AE">
        <w:rPr>
          <w:rFonts w:ascii="Baskerville Old Face" w:hAnsi="Baskerville Old Face"/>
          <w:i/>
          <w:iCs/>
        </w:rPr>
        <w:br/>
        <w:t>• local market integration;</w:t>
      </w:r>
      <w:r w:rsidRPr="00B479AE">
        <w:rPr>
          <w:rFonts w:ascii="Baskerville Old Face" w:hAnsi="Baskerville Old Face"/>
          <w:i/>
          <w:iCs/>
        </w:rPr>
        <w:br/>
        <w:t>• hospitality-linked production;</w:t>
      </w:r>
      <w:r w:rsidRPr="00B479AE">
        <w:rPr>
          <w:rFonts w:ascii="Baskerville Old Face" w:hAnsi="Baskerville Old Face"/>
          <w:i/>
          <w:iCs/>
        </w:rPr>
        <w:br/>
        <w:t>• education;</w:t>
      </w:r>
      <w:r w:rsidRPr="00B479AE">
        <w:rPr>
          <w:rFonts w:ascii="Baskerville Old Face" w:hAnsi="Baskerville Old Face"/>
          <w:i/>
          <w:iCs/>
        </w:rPr>
        <w:br/>
        <w:t>• regenerative experiences;</w:t>
      </w:r>
      <w:r w:rsidRPr="00B479AE">
        <w:rPr>
          <w:rFonts w:ascii="Baskerville Old Face" w:hAnsi="Baskerville Old Face"/>
          <w:i/>
          <w:iCs/>
        </w:rPr>
        <w:br/>
        <w:t>• other operational revenue.</w:t>
      </w:r>
    </w:p>
    <w:p w14:paraId="23E8663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layer forms the baseline for financial modeling.</w:t>
      </w:r>
    </w:p>
    <w:p w14:paraId="4EC1EA26" w14:textId="77777777" w:rsidR="00F93F8B" w:rsidRDefault="00F93F8B" w:rsidP="00B961DF">
      <w:pPr>
        <w:spacing w:line="360" w:lineRule="auto"/>
        <w:rPr>
          <w:rFonts w:ascii="Baskerville Old Face" w:hAnsi="Baskerville Old Face"/>
          <w:b/>
          <w:bCs/>
          <w:i/>
          <w:iCs/>
        </w:rPr>
      </w:pPr>
    </w:p>
    <w:p w14:paraId="25A681D5" w14:textId="6802CEBC"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lastRenderedPageBreak/>
        <w:t>Layer 2 — Ecological performance value</w:t>
      </w:r>
    </w:p>
    <w:p w14:paraId="7FCF9C25"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includes:</w:t>
      </w:r>
    </w:p>
    <w:p w14:paraId="5AA63A7D"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carbon dynamics;</w:t>
      </w:r>
      <w:r w:rsidRPr="00B479AE">
        <w:rPr>
          <w:rFonts w:ascii="Baskerville Old Face" w:hAnsi="Baskerville Old Face"/>
          <w:i/>
          <w:iCs/>
        </w:rPr>
        <w:br/>
        <w:t>• hydrological performance;</w:t>
      </w:r>
      <w:r w:rsidRPr="00B479AE">
        <w:rPr>
          <w:rFonts w:ascii="Baskerville Old Face" w:hAnsi="Baskerville Old Face"/>
          <w:i/>
          <w:iCs/>
        </w:rPr>
        <w:br/>
        <w:t>• biodiversity;</w:t>
      </w:r>
      <w:r w:rsidRPr="00B479AE">
        <w:rPr>
          <w:rFonts w:ascii="Baskerville Old Face" w:hAnsi="Baskerville Old Face"/>
          <w:i/>
          <w:iCs/>
        </w:rPr>
        <w:br/>
        <w:t>• habitat function;</w:t>
      </w:r>
      <w:r w:rsidRPr="00B479AE">
        <w:rPr>
          <w:rFonts w:ascii="Baskerville Old Face" w:hAnsi="Baskerville Old Face"/>
          <w:i/>
          <w:iCs/>
        </w:rPr>
        <w:br/>
        <w:t>• soil regeneration;</w:t>
      </w:r>
      <w:r w:rsidRPr="00B479AE">
        <w:rPr>
          <w:rFonts w:ascii="Baskerville Old Face" w:hAnsi="Baskerville Old Face"/>
          <w:i/>
          <w:iCs/>
        </w:rPr>
        <w:br/>
        <w:t>• land resilience;</w:t>
      </w:r>
      <w:r w:rsidRPr="00B479AE">
        <w:rPr>
          <w:rFonts w:ascii="Baskerville Old Face" w:hAnsi="Baskerville Old Face"/>
          <w:i/>
          <w:iCs/>
        </w:rPr>
        <w:br/>
        <w:t>• input-dependency reduction;</w:t>
      </w:r>
      <w:r w:rsidRPr="00B479AE">
        <w:rPr>
          <w:rFonts w:ascii="Baskerville Old Face" w:hAnsi="Baskerville Old Face"/>
          <w:i/>
          <w:iCs/>
        </w:rPr>
        <w:br/>
        <w:t>• productive stability.</w:t>
      </w:r>
    </w:p>
    <w:p w14:paraId="361EC1C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layer becomes financially relevant only when measured, verified, confidence-scored, and connected to a recognized monetization, underwriting, insurance, procurement, contractual, or legally structured pathway.</w:t>
      </w:r>
    </w:p>
    <w:p w14:paraId="54FCA624"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Layer 3 — SyntroGIFT and systemic value</w:t>
      </w:r>
    </w:p>
    <w:p w14:paraId="7B7E8B6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includes:</w:t>
      </w:r>
    </w:p>
    <w:p w14:paraId="40B767A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improved nutritional quality;</w:t>
      </w:r>
      <w:r w:rsidRPr="00B479AE">
        <w:rPr>
          <w:rFonts w:ascii="Baskerville Old Face" w:hAnsi="Baskerville Old Face"/>
          <w:i/>
          <w:iCs/>
        </w:rPr>
        <w:br/>
        <w:t>• embedded physical activity;</w:t>
      </w:r>
      <w:r w:rsidRPr="00B479AE">
        <w:rPr>
          <w:rFonts w:ascii="Baskerville Old Face" w:hAnsi="Baskerville Old Face"/>
          <w:i/>
          <w:iCs/>
        </w:rPr>
        <w:br/>
        <w:t>• nature exposure;</w:t>
      </w:r>
      <w:r w:rsidRPr="00B479AE">
        <w:rPr>
          <w:rFonts w:ascii="Baskerville Old Face" w:hAnsi="Baskerville Old Face"/>
          <w:i/>
          <w:iCs/>
        </w:rPr>
        <w:br/>
        <w:t>• preventive health potential;</w:t>
      </w:r>
      <w:r w:rsidRPr="00B479AE">
        <w:rPr>
          <w:rFonts w:ascii="Baskerville Old Face" w:hAnsi="Baskerville Old Face"/>
          <w:i/>
          <w:iCs/>
        </w:rPr>
        <w:br/>
        <w:t>• social coherence;</w:t>
      </w:r>
      <w:r w:rsidRPr="00B479AE">
        <w:rPr>
          <w:rFonts w:ascii="Baskerville Old Face" w:hAnsi="Baskerville Old Face"/>
          <w:i/>
          <w:iCs/>
        </w:rPr>
        <w:br/>
        <w:t>• metabolic-resilience effects;</w:t>
      </w:r>
      <w:r w:rsidRPr="00B479AE">
        <w:rPr>
          <w:rFonts w:ascii="Baskerville Old Face" w:hAnsi="Baskerville Old Face"/>
          <w:i/>
          <w:iCs/>
        </w:rPr>
        <w:br/>
        <w:t>• public-health relevance;</w:t>
      </w:r>
      <w:r w:rsidRPr="00B479AE">
        <w:rPr>
          <w:rFonts w:ascii="Baskerville Old Face" w:hAnsi="Baskerville Old Face"/>
          <w:i/>
          <w:iCs/>
        </w:rPr>
        <w:br/>
        <w:t>• education;</w:t>
      </w:r>
      <w:r w:rsidRPr="00B479AE">
        <w:rPr>
          <w:rFonts w:ascii="Baskerville Old Face" w:hAnsi="Baskerville Old Face"/>
          <w:i/>
          <w:iCs/>
        </w:rPr>
        <w:br/>
        <w:t>• wellness services;</w:t>
      </w:r>
      <w:r w:rsidRPr="00B479AE">
        <w:rPr>
          <w:rFonts w:ascii="Baskerville Old Face" w:hAnsi="Baskerville Old Face"/>
          <w:i/>
          <w:iCs/>
        </w:rPr>
        <w:br/>
        <w:t>• research potential.</w:t>
      </w:r>
    </w:p>
    <w:p w14:paraId="570F6AB9"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layer may be strategically powerful, but it should remain outside base-case cash flows unless tied to explicit contractual mechanisms such as public procurement, insurer partnerships, food-as-medicine programs, preventive health initiatives, education, research, hospitality, or wellness services.</w:t>
      </w:r>
    </w:p>
    <w:p w14:paraId="057E0FE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structure ensures that PRU value does not aggregate value indiscriminately.</w:t>
      </w:r>
    </w:p>
    <w:p w14:paraId="5033E7F4"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lastRenderedPageBreak/>
        <w:t>It orders value by epistemic strength and financial admissibility.</w:t>
      </w:r>
    </w:p>
    <w:p w14:paraId="5539CF26" w14:textId="77777777" w:rsidR="00116600" w:rsidRPr="00B479AE" w:rsidRDefault="00116600" w:rsidP="00116600">
      <w:pPr>
        <w:spacing w:line="360" w:lineRule="auto"/>
        <w:rPr>
          <w:rFonts w:ascii="Baskerville Old Face" w:hAnsi="Baskerville Old Face"/>
          <w:b/>
          <w:bCs/>
          <w:i/>
          <w:iCs/>
        </w:rPr>
      </w:pPr>
      <w:r w:rsidRPr="00B479AE">
        <w:rPr>
          <w:rFonts w:ascii="Baskerville Old Face" w:hAnsi="Baskerville Old Face"/>
          <w:b/>
          <w:bCs/>
          <w:i/>
          <w:iCs/>
        </w:rPr>
        <w:t>R.15 SyntroGIFT and Systemic-Value Boundary</w:t>
      </w:r>
    </w:p>
    <w:p w14:paraId="25CCD8B8"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SyntroGIFT is recognized within the PRU value stack as a systemic-value layer.</w:t>
      </w:r>
    </w:p>
    <w:p w14:paraId="3EA2E49C"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Its purpose is to identify potential relationships among regenerative food systems, nutritional quality, functional movement, nature exposure, social coherence, preventive-health relevance, education, hospitality, wellness, research, and community resilience.</w:t>
      </w:r>
    </w:p>
    <w:p w14:paraId="0A28FF61"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SyntroGIFT should not be treated as a core productive-value layer.</w:t>
      </w:r>
    </w:p>
    <w:p w14:paraId="61D9E362"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It should not be treated as automatic ecological performance value.</w:t>
      </w:r>
    </w:p>
    <w:p w14:paraId="7EF51AD0"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It should not be treated as automatic financial value.</w:t>
      </w:r>
    </w:p>
    <w:p w14:paraId="1C129334"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It should not be treated as automatic PRU value.</w:t>
      </w:r>
    </w:p>
    <w:p w14:paraId="0FA5EC43"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It should not be treated as a medical, therapeutic, insurance, reimbursement, or health-credit claim.</w:t>
      </w:r>
    </w:p>
    <w:p w14:paraId="6B658CEC"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Within Appendix R, SyntroGIFT is relevant only as a conditional systemic-value component.</w:t>
      </w:r>
    </w:p>
    <w:p w14:paraId="31DC179F"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It may inform PRU value analysis only where the relevant pathway is supported by:</w:t>
      </w:r>
    </w:p>
    <w:p w14:paraId="6382F92A"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 verified data;</w:t>
      </w:r>
    </w:p>
    <w:p w14:paraId="329DA842"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 recognized methodology;</w:t>
      </w:r>
    </w:p>
    <w:p w14:paraId="654CCA4F"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 explicit contractual or institutional arrangement;</w:t>
      </w:r>
    </w:p>
    <w:p w14:paraId="4DFA2CD6"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 appropriate medical or public-health governance where relevant;</w:t>
      </w:r>
    </w:p>
    <w:p w14:paraId="1196FC6A"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 measurable monetization or avoided-cost pathway;</w:t>
      </w:r>
    </w:p>
    <w:p w14:paraId="685E2CD9"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 legal and contractual admissibility;</w:t>
      </w:r>
    </w:p>
    <w:p w14:paraId="7FEB5F76"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 public-claim boundary discipline;</w:t>
      </w:r>
    </w:p>
    <w:p w14:paraId="03BA41E2"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 no-double-counting controls.</w:t>
      </w:r>
    </w:p>
    <w:p w14:paraId="1B7E3313"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 xml:space="preserve">Examples of admissibility pathways may include public procurement, insurer partnerships, food-as-medicine programs, preventive-health initiatives, education, hospitality, wellness services, research </w:t>
      </w:r>
      <w:r w:rsidRPr="00B479AE">
        <w:rPr>
          <w:rFonts w:ascii="Baskerville Old Face" w:hAnsi="Baskerville Old Face"/>
          <w:i/>
          <w:iCs/>
        </w:rPr>
        <w:lastRenderedPageBreak/>
        <w:t>partnerships, municipal resilience programs, community-health pilots, or equivalent legally and methodologically reviewable structures.</w:t>
      </w:r>
    </w:p>
    <w:p w14:paraId="537A2DAD"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Until such conditions exist, SyntroGIFT remains strategic upside, research potential, partnership architecture, and systemic-value intelligence.</w:t>
      </w:r>
    </w:p>
    <w:p w14:paraId="11373485"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It remains outside:</w:t>
      </w:r>
    </w:p>
    <w:p w14:paraId="0DE690A9"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 base-case value analysis;</w:t>
      </w:r>
    </w:p>
    <w:p w14:paraId="61485BAA"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 base-case financial modeling;</w:t>
      </w:r>
    </w:p>
    <w:p w14:paraId="2FF17268"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 PRU value analysis;</w:t>
      </w:r>
    </w:p>
    <w:p w14:paraId="5CBEDDF7"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 investor reporting;</w:t>
      </w:r>
    </w:p>
    <w:p w14:paraId="215632EF"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 capital-readiness interpretation;</w:t>
      </w:r>
    </w:p>
    <w:p w14:paraId="02ECCB60"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 medical savings assumptions;</w:t>
      </w:r>
    </w:p>
    <w:p w14:paraId="5142DF77"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 health-credit issuance;</w:t>
      </w:r>
    </w:p>
    <w:p w14:paraId="0D83BDEA"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 capital-facing entitlement.</w:t>
      </w:r>
    </w:p>
    <w:p w14:paraId="121970C9"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The operational rule is:</w:t>
      </w:r>
    </w:p>
    <w:p w14:paraId="75087A07"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SyntroGIFT may inform strategy.</w:t>
      </w:r>
    </w:p>
    <w:p w14:paraId="613E426C"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Evidence may support methodology.</w:t>
      </w:r>
    </w:p>
    <w:p w14:paraId="2C870805"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Contracts may support monetization.</w:t>
      </w:r>
    </w:p>
    <w:p w14:paraId="534B790A"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Governance may support admissibility.</w:t>
      </w:r>
    </w:p>
    <w:p w14:paraId="116F4A94"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Legal structure may support capital-facing use.</w:t>
      </w:r>
    </w:p>
    <w:p w14:paraId="758CD05A"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But systemic health potential does not enter PRU value logic merely because it is conceptually aligned with wellbeing.</w:t>
      </w:r>
    </w:p>
    <w:p w14:paraId="3621FC90" w14:textId="77777777" w:rsidR="00116600" w:rsidRPr="00B479AE" w:rsidRDefault="00116600" w:rsidP="00116600">
      <w:pPr>
        <w:spacing w:line="360" w:lineRule="auto"/>
        <w:rPr>
          <w:rFonts w:ascii="Baskerville Old Face" w:hAnsi="Baskerville Old Face"/>
          <w:i/>
          <w:iCs/>
        </w:rPr>
      </w:pPr>
      <w:r w:rsidRPr="00B479AE">
        <w:rPr>
          <w:rFonts w:ascii="Baskerville Old Face" w:hAnsi="Baskerville Old Face"/>
          <w:i/>
          <w:iCs/>
        </w:rPr>
        <w:t>This boundary preserves the strength of SyntroGIFT without allowing health-economic upside to contaminate base-case financial interpretation.</w:t>
      </w:r>
    </w:p>
    <w:p w14:paraId="0D4ABD22" w14:textId="2EC9971A"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lastRenderedPageBreak/>
        <w:t>R.16 Ecological arbitrage</w:t>
      </w:r>
    </w:p>
    <w:p w14:paraId="074671F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Prometheus preserves the concept of ecological arbitrage.</w:t>
      </w:r>
    </w:p>
    <w:p w14:paraId="348F7F9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Within Prometheus, ecological arbitrage does not mean speculative appreciation.</w:t>
      </w:r>
    </w:p>
    <w:p w14:paraId="001F137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means the recognition gap between:</w:t>
      </w:r>
    </w:p>
    <w:p w14:paraId="433B3C09"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under-recognized biological systems;</w:t>
      </w:r>
      <w:r w:rsidRPr="00B479AE">
        <w:rPr>
          <w:rFonts w:ascii="Baskerville Old Face" w:hAnsi="Baskerville Old Face"/>
          <w:i/>
          <w:iCs/>
        </w:rPr>
        <w:br/>
        <w:t>and verified, risk-compressed regenerative infrastructure.</w:t>
      </w:r>
    </w:p>
    <w:p w14:paraId="527B03C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At deployment, a regenerative system may already contain latent biological value, but that value may be only partially visible to markets.</w:t>
      </w:r>
    </w:p>
    <w:p w14:paraId="544BED3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As MRV improves, confidence increases, variance decreases, and resilience becomes measurable, the system may transition from:</w:t>
      </w:r>
    </w:p>
    <w:p w14:paraId="7FD8123F"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implicit value</w:t>
      </w:r>
      <w:r w:rsidRPr="00B479AE">
        <w:rPr>
          <w:rFonts w:ascii="Baskerville Old Face" w:hAnsi="Baskerville Old Face"/>
          <w:i/>
          <w:iCs/>
        </w:rPr>
        <w:br/>
        <w:t>to measurable value</w:t>
      </w:r>
      <w:r w:rsidRPr="00B479AE">
        <w:rPr>
          <w:rFonts w:ascii="Baskerville Old Face" w:hAnsi="Baskerville Old Face"/>
          <w:i/>
          <w:iCs/>
        </w:rPr>
        <w:br/>
        <w:t>to verified value</w:t>
      </w:r>
      <w:r w:rsidRPr="00B479AE">
        <w:rPr>
          <w:rFonts w:ascii="Baskerville Old Face" w:hAnsi="Baskerville Old Face"/>
          <w:i/>
          <w:iCs/>
        </w:rPr>
        <w:br/>
        <w:t>to admissible value</w:t>
      </w:r>
      <w:r w:rsidRPr="00B479AE">
        <w:rPr>
          <w:rFonts w:ascii="Baskerville Old Face" w:hAnsi="Baskerville Old Face"/>
          <w:i/>
          <w:iCs/>
        </w:rPr>
        <w:br/>
        <w:t>to financeable value.</w:t>
      </w:r>
    </w:p>
    <w:p w14:paraId="1F40EEB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is the mechanism through which Prometheus reveals and stabilizes value already generated by living systems.</w:t>
      </w:r>
    </w:p>
    <w:p w14:paraId="0F062CB8" w14:textId="1D68C46E"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Value is not created by financial abstraction.</w:t>
      </w:r>
      <w:r w:rsidR="0093113B" w:rsidRPr="00B479AE">
        <w:rPr>
          <w:rFonts w:ascii="Baskerville Old Face" w:hAnsi="Baskerville Old Face"/>
          <w:i/>
          <w:iCs/>
        </w:rPr>
        <w:t xml:space="preserve"> </w:t>
      </w:r>
      <w:r w:rsidRPr="00B479AE">
        <w:rPr>
          <w:rFonts w:ascii="Baskerville Old Face" w:hAnsi="Baskerville Old Face"/>
          <w:i/>
          <w:iCs/>
        </w:rPr>
        <w:t>Value is revealed, structured, and capitalized only when the living system demonstrates measurable regenerative performance.</w:t>
      </w:r>
    </w:p>
    <w:p w14:paraId="20B55E00"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R.17 EPU intelligence layer</w:t>
      </w:r>
    </w:p>
    <w:p w14:paraId="68E3DC78"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mature OHE may be decomposed into Ecological Productive Units, or EPUs.</w:t>
      </w:r>
    </w:p>
    <w:p w14:paraId="088DE9D3"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An EPU is a functional sub-system within the OHE.</w:t>
      </w:r>
    </w:p>
    <w:p w14:paraId="474FEB4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Examples may include:</w:t>
      </w:r>
    </w:p>
    <w:p w14:paraId="60025318"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aromatic layer;</w:t>
      </w:r>
      <w:r w:rsidRPr="00B479AE">
        <w:rPr>
          <w:rFonts w:ascii="Baskerville Old Face" w:hAnsi="Baskerville Old Face"/>
          <w:i/>
          <w:iCs/>
        </w:rPr>
        <w:br/>
        <w:t>• complex orchard;</w:t>
      </w:r>
      <w:r w:rsidRPr="00B479AE">
        <w:rPr>
          <w:rFonts w:ascii="Baskerville Old Face" w:hAnsi="Baskerville Old Face"/>
          <w:i/>
          <w:iCs/>
        </w:rPr>
        <w:br/>
        <w:t>• pioneer orchard;</w:t>
      </w:r>
      <w:r w:rsidRPr="00B479AE">
        <w:rPr>
          <w:rFonts w:ascii="Baskerville Old Face" w:hAnsi="Baskerville Old Face"/>
          <w:i/>
          <w:iCs/>
        </w:rPr>
        <w:br/>
      </w:r>
      <w:r w:rsidRPr="00B479AE">
        <w:rPr>
          <w:rFonts w:ascii="Baskerville Old Face" w:hAnsi="Baskerville Old Face"/>
          <w:i/>
          <w:iCs/>
        </w:rPr>
        <w:lastRenderedPageBreak/>
        <w:t>• hedge system;</w:t>
      </w:r>
      <w:r w:rsidRPr="00B479AE">
        <w:rPr>
          <w:rFonts w:ascii="Baskerville Old Face" w:hAnsi="Baskerville Old Face"/>
          <w:i/>
          <w:iCs/>
        </w:rPr>
        <w:br/>
        <w:t>• arboreal core;</w:t>
      </w:r>
      <w:r w:rsidRPr="00B479AE">
        <w:rPr>
          <w:rFonts w:ascii="Baskerville Old Face" w:hAnsi="Baskerville Old Face"/>
          <w:i/>
          <w:iCs/>
        </w:rPr>
        <w:br/>
        <w:t>• pollinator corridor;</w:t>
      </w:r>
      <w:r w:rsidRPr="00B479AE">
        <w:rPr>
          <w:rFonts w:ascii="Baskerville Old Face" w:hAnsi="Baskerville Old Face"/>
          <w:i/>
          <w:iCs/>
        </w:rPr>
        <w:br/>
        <w:t>• annual crop zone;</w:t>
      </w:r>
      <w:r w:rsidRPr="00B479AE">
        <w:rPr>
          <w:rFonts w:ascii="Baskerville Old Face" w:hAnsi="Baskerville Old Face"/>
          <w:i/>
          <w:iCs/>
        </w:rPr>
        <w:br/>
        <w:t>• xerophytic boundary;</w:t>
      </w:r>
      <w:r w:rsidRPr="00B479AE">
        <w:rPr>
          <w:rFonts w:ascii="Baskerville Old Face" w:hAnsi="Baskerville Old Face"/>
          <w:i/>
          <w:iCs/>
        </w:rPr>
        <w:br/>
        <w:t>• water-retention zone;</w:t>
      </w:r>
      <w:r w:rsidRPr="00B479AE">
        <w:rPr>
          <w:rFonts w:ascii="Baskerville Old Face" w:hAnsi="Baskerville Old Face"/>
          <w:i/>
          <w:iCs/>
        </w:rPr>
        <w:br/>
        <w:t>• soil-regeneration zone.</w:t>
      </w:r>
    </w:p>
    <w:p w14:paraId="543A980F"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Each EPU may have a different ecological signature.</w:t>
      </w:r>
    </w:p>
    <w:p w14:paraId="66E85735"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Some zones may contribute more to productive output.</w:t>
      </w:r>
    </w:p>
    <w:p w14:paraId="7A666B5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Some may contribute more to soil regeneration.</w:t>
      </w:r>
    </w:p>
    <w:p w14:paraId="4630AF5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Some may contribute more to pollination, edge protection, biodiversity, microclimate, water retention, or cooperative surplus.</w:t>
      </w:r>
    </w:p>
    <w:p w14:paraId="54C3621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allows granular analysis without fragmenting the ecological unity of the OHE.</w:t>
      </w:r>
    </w:p>
    <w:p w14:paraId="6695E843"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purpose of EPU analysis is not to financialize every plant.</w:t>
      </w:r>
    </w:p>
    <w:p w14:paraId="1FFC342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is to understand how different ecological functions contribute to total system resilience, productive stability, and PRU-relevant evidence.</w:t>
      </w:r>
    </w:p>
    <w:p w14:paraId="24EB0B67"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R.18 Risk compression mechanism</w:t>
      </w:r>
    </w:p>
    <w:p w14:paraId="68213DFD"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Risk compression is one of the central bridges between ecological intelligence and finance.</w:t>
      </w:r>
    </w:p>
    <w:p w14:paraId="5E540F5D"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simplified risk function may be expressed as:</w:t>
      </w:r>
    </w:p>
    <w:p w14:paraId="59DE57A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R = f(</w:t>
      </w:r>
      <w:r w:rsidRPr="00B479AE">
        <w:rPr>
          <w:rFonts w:ascii="Cambria" w:hAnsi="Cambria" w:cs="Cambria"/>
          <w:i/>
          <w:iCs/>
        </w:rPr>
        <w:t>σ</w:t>
      </w:r>
      <w:r w:rsidRPr="00B479AE">
        <w:rPr>
          <w:rFonts w:ascii="Baskerville Old Face" w:hAnsi="Baskerville Old Face"/>
          <w:i/>
          <w:iCs/>
        </w:rPr>
        <w:t>_Y, D_inputs, S_stress)</w:t>
      </w:r>
    </w:p>
    <w:p w14:paraId="41D6491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where:</w:t>
      </w:r>
    </w:p>
    <w:p w14:paraId="54BF9907" w14:textId="77777777" w:rsidR="00B961DF" w:rsidRPr="00B479AE" w:rsidRDefault="00B961DF" w:rsidP="00B961DF">
      <w:pPr>
        <w:spacing w:line="360" w:lineRule="auto"/>
        <w:rPr>
          <w:rFonts w:ascii="Baskerville Old Face" w:hAnsi="Baskerville Old Face"/>
          <w:i/>
          <w:iCs/>
        </w:rPr>
      </w:pPr>
      <w:r w:rsidRPr="00B479AE">
        <w:rPr>
          <w:rFonts w:ascii="Cambria" w:hAnsi="Cambria" w:cs="Cambria"/>
          <w:i/>
          <w:iCs/>
        </w:rPr>
        <w:t>σ</w:t>
      </w:r>
      <w:r w:rsidRPr="00B479AE">
        <w:rPr>
          <w:rFonts w:ascii="Baskerville Old Face" w:hAnsi="Baskerville Old Face"/>
          <w:i/>
          <w:iCs/>
        </w:rPr>
        <w:t>_Y      = yield or output variance</w:t>
      </w:r>
    </w:p>
    <w:p w14:paraId="555E83E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D_inputs = dependency on external inputs</w:t>
      </w:r>
    </w:p>
    <w:p w14:paraId="25F7E188"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S_stress = sensitivity to drought, disease, heat, salinity, pest pressure, or disturbance</w:t>
      </w:r>
    </w:p>
    <w:p w14:paraId="3193EE5B"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lastRenderedPageBreak/>
        <w:t>A syntropic system may reduce risk through:</w:t>
      </w:r>
    </w:p>
    <w:p w14:paraId="132BEBA2"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soil buffering;</w:t>
      </w:r>
      <w:r w:rsidRPr="00B479AE">
        <w:rPr>
          <w:rFonts w:ascii="Baskerville Old Face" w:hAnsi="Baskerville Old Face"/>
          <w:i/>
          <w:iCs/>
        </w:rPr>
        <w:br/>
        <w:t>• water retention;</w:t>
      </w:r>
      <w:r w:rsidRPr="00B479AE">
        <w:rPr>
          <w:rFonts w:ascii="Baskerville Old Face" w:hAnsi="Baskerville Old Face"/>
          <w:i/>
          <w:iCs/>
        </w:rPr>
        <w:br/>
        <w:t>• fungal redistribution;</w:t>
      </w:r>
      <w:r w:rsidRPr="00B479AE">
        <w:rPr>
          <w:rFonts w:ascii="Baskerville Old Face" w:hAnsi="Baskerville Old Face"/>
          <w:i/>
          <w:iCs/>
        </w:rPr>
        <w:br/>
        <w:t>• biochemical adaptation;</w:t>
      </w:r>
      <w:r w:rsidRPr="00B479AE">
        <w:rPr>
          <w:rFonts w:ascii="Baskerville Old Face" w:hAnsi="Baskerville Old Face"/>
          <w:i/>
          <w:iCs/>
        </w:rPr>
        <w:br/>
        <w:t>• trophic diversity;</w:t>
      </w:r>
      <w:r w:rsidRPr="00B479AE">
        <w:rPr>
          <w:rFonts w:ascii="Baskerville Old Face" w:hAnsi="Baskerville Old Face"/>
          <w:i/>
          <w:iCs/>
        </w:rPr>
        <w:br/>
        <w:t>• successional design;</w:t>
      </w:r>
      <w:r w:rsidRPr="00B479AE">
        <w:rPr>
          <w:rFonts w:ascii="Baskerville Old Face" w:hAnsi="Baskerville Old Face"/>
          <w:i/>
          <w:iCs/>
        </w:rPr>
        <w:br/>
        <w:t>• input independence;</w:t>
      </w:r>
      <w:r w:rsidRPr="00B479AE">
        <w:rPr>
          <w:rFonts w:ascii="Baskerville Old Face" w:hAnsi="Baskerville Old Face"/>
          <w:i/>
          <w:iCs/>
        </w:rPr>
        <w:br/>
        <w:t>• biomass cycling;</w:t>
      </w:r>
      <w:r w:rsidRPr="00B479AE">
        <w:rPr>
          <w:rFonts w:ascii="Baskerville Old Face" w:hAnsi="Baskerville Old Face"/>
          <w:i/>
          <w:iCs/>
        </w:rPr>
        <w:br/>
        <w:t>• microclimate stabilization.</w:t>
      </w:r>
    </w:p>
    <w:p w14:paraId="16FB5FC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Conceptually:</w:t>
      </w:r>
    </w:p>
    <w:p w14:paraId="4495F21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∂R / ∂SRI  &lt; 0</w:t>
      </w:r>
    </w:p>
    <w:p w14:paraId="4774466D"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∂R / ∂RPI  &lt; 0</w:t>
      </w:r>
    </w:p>
    <w:p w14:paraId="52BE8BAE"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∂R / ∂CESI &lt; 0</w:t>
      </w:r>
    </w:p>
    <w:p w14:paraId="73016202"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Verified improvements in resilience, regenerative productivity, and cooperative surplus may reduce specific risk factors over time.</w:t>
      </w:r>
    </w:p>
    <w:p w14:paraId="1719D1B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is risk-compression logic, not a guarantee that risk disappears.</w:t>
      </w:r>
    </w:p>
    <w:p w14:paraId="548F8EBB"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means that verified improvements in resilience, productivity quality, and cooperative surplus may reduce specific risk factors over time.</w:t>
      </w:r>
    </w:p>
    <w:p w14:paraId="226384AF"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is one of the underwriting logics beneath the PRU.</w:t>
      </w:r>
    </w:p>
    <w:p w14:paraId="39558394"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R.19 Discount-rate adjustment</w:t>
      </w:r>
    </w:p>
    <w:p w14:paraId="20A590D2"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PRU analysis may support discount-rate adjustment in investor-model scenarios.</w:t>
      </w:r>
    </w:p>
    <w:p w14:paraId="0AB189C8"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conceptual formulation may be:</w:t>
      </w:r>
    </w:p>
    <w:p w14:paraId="57FF67B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xml:space="preserve">r_adj = r_base - </w:t>
      </w:r>
      <w:r w:rsidRPr="00B479AE">
        <w:rPr>
          <w:rFonts w:ascii="Cambria" w:hAnsi="Cambria" w:cs="Cambria"/>
          <w:i/>
          <w:iCs/>
        </w:rPr>
        <w:t>α</w:t>
      </w:r>
      <w:r w:rsidRPr="00B479AE">
        <w:rPr>
          <w:rFonts w:ascii="Baskerville Old Face" w:hAnsi="Baskerville Old Face"/>
          <w:i/>
          <w:iCs/>
        </w:rPr>
        <w:t xml:space="preserve">SRI - </w:t>
      </w:r>
      <w:r w:rsidRPr="00B479AE">
        <w:rPr>
          <w:rFonts w:ascii="Cambria" w:hAnsi="Cambria" w:cs="Cambria"/>
          <w:i/>
          <w:iCs/>
        </w:rPr>
        <w:t>β</w:t>
      </w:r>
      <w:r w:rsidRPr="00B479AE">
        <w:rPr>
          <w:rFonts w:ascii="Baskerville Old Face" w:hAnsi="Baskerville Old Face"/>
          <w:i/>
          <w:iCs/>
        </w:rPr>
        <w:t xml:space="preserve">RPI - </w:t>
      </w:r>
      <w:r w:rsidRPr="00B479AE">
        <w:rPr>
          <w:rFonts w:ascii="Cambria" w:hAnsi="Cambria" w:cs="Cambria"/>
          <w:i/>
          <w:iCs/>
        </w:rPr>
        <w:t>γ</w:t>
      </w:r>
      <w:r w:rsidRPr="00B479AE">
        <w:rPr>
          <w:rFonts w:ascii="Baskerville Old Face" w:hAnsi="Baskerville Old Face"/>
          <w:i/>
          <w:iCs/>
        </w:rPr>
        <w:t xml:space="preserve">CESI + </w:t>
      </w:r>
      <w:r w:rsidRPr="00B479AE">
        <w:rPr>
          <w:rFonts w:ascii="Cambria" w:hAnsi="Cambria" w:cs="Cambria"/>
          <w:i/>
          <w:iCs/>
        </w:rPr>
        <w:t>δ</w:t>
      </w:r>
      <w:r w:rsidRPr="00B479AE">
        <w:rPr>
          <w:rFonts w:ascii="Baskerville Old Face" w:hAnsi="Baskerville Old Face"/>
          <w:i/>
          <w:iCs/>
        </w:rPr>
        <w:t>R_residual</w:t>
      </w:r>
    </w:p>
    <w:p w14:paraId="7C39C75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where:</w:t>
      </w:r>
    </w:p>
    <w:p w14:paraId="4FA05C58"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lastRenderedPageBreak/>
        <w:t>r_base     = baseline discount rate</w:t>
      </w:r>
    </w:p>
    <w:p w14:paraId="560387CA" w14:textId="77777777" w:rsidR="00B961DF" w:rsidRPr="00B479AE" w:rsidRDefault="00B961DF" w:rsidP="00B961DF">
      <w:pPr>
        <w:spacing w:line="360" w:lineRule="auto"/>
        <w:rPr>
          <w:rFonts w:ascii="Baskerville Old Face" w:hAnsi="Baskerville Old Face"/>
          <w:i/>
          <w:iCs/>
        </w:rPr>
      </w:pPr>
      <w:r w:rsidRPr="00B479AE">
        <w:rPr>
          <w:rFonts w:ascii="Cambria" w:hAnsi="Cambria" w:cs="Cambria"/>
          <w:i/>
          <w:iCs/>
        </w:rPr>
        <w:t>α</w:t>
      </w:r>
      <w:r w:rsidRPr="00B479AE">
        <w:rPr>
          <w:rFonts w:ascii="Baskerville Old Face" w:hAnsi="Baskerville Old Face"/>
          <w:i/>
          <w:iCs/>
        </w:rPr>
        <w:t xml:space="preserve">, </w:t>
      </w:r>
      <w:r w:rsidRPr="00B479AE">
        <w:rPr>
          <w:rFonts w:ascii="Cambria" w:hAnsi="Cambria" w:cs="Cambria"/>
          <w:i/>
          <w:iCs/>
        </w:rPr>
        <w:t>β</w:t>
      </w:r>
      <w:r w:rsidRPr="00B479AE">
        <w:rPr>
          <w:rFonts w:ascii="Baskerville Old Face" w:hAnsi="Baskerville Old Face"/>
          <w:i/>
          <w:iCs/>
        </w:rPr>
        <w:t xml:space="preserve">, </w:t>
      </w:r>
      <w:r w:rsidRPr="00B479AE">
        <w:rPr>
          <w:rFonts w:ascii="Cambria" w:hAnsi="Cambria" w:cs="Cambria"/>
          <w:i/>
          <w:iCs/>
        </w:rPr>
        <w:t>γ</w:t>
      </w:r>
      <w:r w:rsidRPr="00B479AE">
        <w:rPr>
          <w:rFonts w:ascii="Baskerville Old Face" w:hAnsi="Baskerville Old Face"/>
          <w:i/>
          <w:iCs/>
        </w:rPr>
        <w:t xml:space="preserve">    = methodology-defined adjustment coefficients</w:t>
      </w:r>
    </w:p>
    <w:p w14:paraId="607D38D5"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R_residual = residual risk factor</w:t>
      </w:r>
    </w:p>
    <w:p w14:paraId="3EFA2529" w14:textId="77777777" w:rsidR="00B961DF" w:rsidRPr="00B479AE" w:rsidRDefault="00B961DF" w:rsidP="00B961DF">
      <w:pPr>
        <w:spacing w:line="360" w:lineRule="auto"/>
        <w:rPr>
          <w:rFonts w:ascii="Baskerville Old Face" w:hAnsi="Baskerville Old Face"/>
          <w:i/>
          <w:iCs/>
        </w:rPr>
      </w:pPr>
      <w:r w:rsidRPr="00B479AE">
        <w:rPr>
          <w:rFonts w:ascii="Cambria" w:hAnsi="Cambria" w:cs="Cambria"/>
          <w:i/>
          <w:iCs/>
        </w:rPr>
        <w:t>δ</w:t>
      </w:r>
      <w:r w:rsidRPr="00B479AE">
        <w:rPr>
          <w:rFonts w:ascii="Baskerville Old Face" w:hAnsi="Baskerville Old Face"/>
          <w:i/>
          <w:iCs/>
        </w:rPr>
        <w:t xml:space="preserve">          = residual-risk coefficient</w:t>
      </w:r>
    </w:p>
    <w:p w14:paraId="1D70714F"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Discount-rate adjustment may be used only in investor-model scenarios, not as automatic valuation authority.</w:t>
      </w:r>
    </w:p>
    <w:p w14:paraId="7DB7AE4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assumption is that verified resilience, stability, and cooperative surplus may improve predictability, while residual risk preserves conservatism.</w:t>
      </w:r>
    </w:p>
    <w:p w14:paraId="0AA4C33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Any use of discount-rate adjustment requires:</w:t>
      </w:r>
    </w:p>
    <w:p w14:paraId="6DE0DEAD"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defined assumptions;</w:t>
      </w:r>
      <w:r w:rsidRPr="00B479AE">
        <w:rPr>
          <w:rFonts w:ascii="Baskerville Old Face" w:hAnsi="Baskerville Old Face"/>
          <w:i/>
          <w:iCs/>
        </w:rPr>
        <w:br/>
        <w:t>• confidence-adjusted indicators;</w:t>
      </w:r>
      <w:r w:rsidRPr="00B479AE">
        <w:rPr>
          <w:rFonts w:ascii="Baskerville Old Face" w:hAnsi="Baskerville Old Face"/>
          <w:i/>
          <w:iCs/>
        </w:rPr>
        <w:br/>
        <w:t>• evidence maturity;</w:t>
      </w:r>
      <w:r w:rsidRPr="00B479AE">
        <w:rPr>
          <w:rFonts w:ascii="Baskerville Old Face" w:hAnsi="Baskerville Old Face"/>
          <w:i/>
          <w:iCs/>
        </w:rPr>
        <w:br/>
        <w:t>• legal review where investor-facing;</w:t>
      </w:r>
      <w:r w:rsidRPr="00B479AE">
        <w:rPr>
          <w:rFonts w:ascii="Baskerville Old Face" w:hAnsi="Baskerville Old Face"/>
          <w:i/>
          <w:iCs/>
        </w:rPr>
        <w:br/>
        <w:t>• disclosure of limitations;</w:t>
      </w:r>
      <w:r w:rsidRPr="00B479AE">
        <w:rPr>
          <w:rFonts w:ascii="Baskerville Old Face" w:hAnsi="Baskerville Old Face"/>
          <w:i/>
          <w:iCs/>
        </w:rPr>
        <w:br/>
        <w:t>• sensitivity analysis.</w:t>
      </w:r>
    </w:p>
    <w:p w14:paraId="66CB95A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lower discount rate is not earned by narrative.</w:t>
      </w:r>
    </w:p>
    <w:p w14:paraId="2B39C705"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is earned, if at all, by verified risk compression.</w:t>
      </w:r>
    </w:p>
    <w:p w14:paraId="02BC0DBC"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R.20 Cash-flow dynamics</w:t>
      </w:r>
    </w:p>
    <w:p w14:paraId="0367A9A3"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Cash-flow logic remains separate from ecological value logic.</w:t>
      </w:r>
    </w:p>
    <w:p w14:paraId="3AE37882"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basic cash-flow expression may be:</w:t>
      </w:r>
    </w:p>
    <w:p w14:paraId="4392D6B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CF_t = Rev_t - Opex_t - Capex_t - Reserves_t</w:t>
      </w:r>
    </w:p>
    <w:p w14:paraId="7344815F"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where applicable:</w:t>
      </w:r>
    </w:p>
    <w:p w14:paraId="2624179E"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Rev_t = Rev_prod,t + Rev_services,t + Rev_contractual,t</w:t>
      </w:r>
    </w:p>
    <w:p w14:paraId="51AAD6D9"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where:</w:t>
      </w:r>
    </w:p>
    <w:p w14:paraId="2201237E"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lastRenderedPageBreak/>
        <w:t>Rev_prod,t       = productive revenue</w:t>
      </w:r>
    </w:p>
    <w:p w14:paraId="20BB5864"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Rev_services,t   = service, education, hospitality, or experience revenue</w:t>
      </w:r>
    </w:p>
    <w:p w14:paraId="4E3AAFF8"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Rev_contractual,t = contractually defined revenue, if any</w:t>
      </w:r>
    </w:p>
    <w:p w14:paraId="3C7DAD69"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Cash-flow logic remains separate from ecological value logic.</w:t>
      </w:r>
    </w:p>
    <w:p w14:paraId="3C7279B3"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Ecological improvement may support value, but base-case financial modeling should remain anchored in actual or contractually defensible cash flows.</w:t>
      </w:r>
    </w:p>
    <w:p w14:paraId="0EB398B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PRU-related ecological value should not be used to inflate cash flows unless there is a recognized, evidenced, and legally structured revenue pathway.</w:t>
      </w:r>
    </w:p>
    <w:p w14:paraId="0C731385"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R.21 Risk-adjusted IRR</w:t>
      </w:r>
    </w:p>
    <w:p w14:paraId="35C09C33"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Risk-adjusted return language must be handled carefully.</w:t>
      </w:r>
    </w:p>
    <w:p w14:paraId="393523E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conceptual risk-adjusted IRR may be expressed as:</w:t>
      </w:r>
    </w:p>
    <w:p w14:paraId="46AFF4F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IRR_adj = IRR(CF_adj)</w:t>
      </w:r>
    </w:p>
    <w:p w14:paraId="6754A414"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where:</w:t>
      </w:r>
    </w:p>
    <w:p w14:paraId="35278E0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CF_adj = confidence-adjusted and risk-adjusted cash-flow scenario</w:t>
      </w:r>
    </w:p>
    <w:p w14:paraId="497F5DB5"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use of risk-adjusted IRR is valid only if:</w:t>
      </w:r>
    </w:p>
    <w:p w14:paraId="363ABC13"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MRV_verified = true</w:t>
      </w:r>
    </w:p>
    <w:p w14:paraId="064DFE25"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Admissibility_satisfied = true</w:t>
      </w:r>
    </w:p>
    <w:p w14:paraId="791B91B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Legal_structure_reviewed = true</w:t>
      </w:r>
    </w:p>
    <w:p w14:paraId="31B286EE"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Investor_disclosure_complete = true</w:t>
      </w:r>
    </w:p>
    <w:p w14:paraId="28EF23C4"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Risk-adjusted IRR is an investor-model scenario.</w:t>
      </w:r>
    </w:p>
    <w:p w14:paraId="793BDEBB"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is not a promised return.</w:t>
      </w:r>
    </w:p>
    <w:p w14:paraId="08DCA58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is not a guarantee.</w:t>
      </w:r>
    </w:p>
    <w:p w14:paraId="13C797D8"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lastRenderedPageBreak/>
        <w:t>It is not a public offering.</w:t>
      </w:r>
    </w:p>
    <w:p w14:paraId="6B1904D8"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is not a regulated rating.</w:t>
      </w:r>
    </w:p>
    <w:p w14:paraId="39DBC855"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becomes usable only inside a legally reviewed financial model with transparent assumptions.</w:t>
      </w:r>
    </w:p>
    <w:p w14:paraId="3FA13414"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compliant formulation is:</w:t>
      </w:r>
    </w:p>
    <w:p w14:paraId="2657BCE2"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Risk-adjusted return scenarios may be developed for investor-model purposes where a legally structured instrument, defined assumptions, jurisdictional review, disclosure package, and evidence base exist.</w:t>
      </w:r>
    </w:p>
    <w:p w14:paraId="0EF5E6DF"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preserves analytical utility without creating premature financial claims.</w:t>
      </w:r>
    </w:p>
    <w:p w14:paraId="38FD1485"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R.22 Time-positive asset dynamics</w:t>
      </w:r>
    </w:p>
    <w:p w14:paraId="600908A2"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Under verified regenerative conditions, an OHE may become more valuable as it matures.</w:t>
      </w:r>
    </w:p>
    <w:p w14:paraId="559D1248"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can be expressed conceptually as:</w:t>
      </w:r>
    </w:p>
    <w:p w14:paraId="05D32F6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dV / dt &gt; 0</w:t>
      </w:r>
    </w:p>
    <w:p w14:paraId="11CEFEDB"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under conditions where:</w:t>
      </w:r>
    </w:p>
    <w:p w14:paraId="4D13C903"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soil function improves;</w:t>
      </w:r>
      <w:r w:rsidRPr="00B479AE">
        <w:rPr>
          <w:rFonts w:ascii="Baskerville Old Face" w:hAnsi="Baskerville Old Face"/>
          <w:i/>
          <w:iCs/>
        </w:rPr>
        <w:br/>
        <w:t>• water retention increases;</w:t>
      </w:r>
      <w:r w:rsidRPr="00B479AE">
        <w:rPr>
          <w:rFonts w:ascii="Baskerville Old Face" w:hAnsi="Baskerville Old Face"/>
          <w:i/>
          <w:iCs/>
        </w:rPr>
        <w:br/>
        <w:t>• network connectivity strengthens;</w:t>
      </w:r>
      <w:r w:rsidRPr="00B479AE">
        <w:rPr>
          <w:rFonts w:ascii="Baskerville Old Face" w:hAnsi="Baskerville Old Face"/>
          <w:i/>
          <w:iCs/>
        </w:rPr>
        <w:br/>
        <w:t>• biological cooperation intensifies;</w:t>
      </w:r>
      <w:r w:rsidRPr="00B479AE">
        <w:rPr>
          <w:rFonts w:ascii="Baskerville Old Face" w:hAnsi="Baskerville Old Face"/>
          <w:i/>
          <w:iCs/>
        </w:rPr>
        <w:br/>
        <w:t>• yield variance decreases;</w:t>
      </w:r>
      <w:r w:rsidRPr="00B479AE">
        <w:rPr>
          <w:rFonts w:ascii="Baskerville Old Face" w:hAnsi="Baskerville Old Face"/>
          <w:i/>
          <w:iCs/>
        </w:rPr>
        <w:br/>
        <w:t>• input dependency declines;</w:t>
      </w:r>
      <w:r w:rsidRPr="00B479AE">
        <w:rPr>
          <w:rFonts w:ascii="Baskerville Old Face" w:hAnsi="Baskerville Old Face"/>
          <w:i/>
          <w:iCs/>
        </w:rPr>
        <w:br/>
        <w:t>• MRV confidence improves;</w:t>
      </w:r>
      <w:r w:rsidRPr="00B479AE">
        <w:rPr>
          <w:rFonts w:ascii="Baskerville Old Face" w:hAnsi="Baskerville Old Face"/>
          <w:i/>
          <w:iCs/>
        </w:rPr>
        <w:br/>
        <w:t>• operational knowledge accumulates;</w:t>
      </w:r>
      <w:r w:rsidRPr="00B479AE">
        <w:rPr>
          <w:rFonts w:ascii="Baskerville Old Face" w:hAnsi="Baskerville Old Face"/>
          <w:i/>
          <w:iCs/>
        </w:rPr>
        <w:br/>
        <w:t>• governance maturity increases;</w:t>
      </w:r>
      <w:r w:rsidRPr="00B479AE">
        <w:rPr>
          <w:rFonts w:ascii="Baskerville Old Face" w:hAnsi="Baskerville Old Face"/>
          <w:i/>
          <w:iCs/>
        </w:rPr>
        <w:br/>
        <w:t>• legal readability improves.</w:t>
      </w:r>
    </w:p>
    <w:p w14:paraId="0B134D7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is not automatic appreciation.</w:t>
      </w:r>
    </w:p>
    <w:p w14:paraId="7E8E70E4"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is conditional time-positive value formation.</w:t>
      </w:r>
    </w:p>
    <w:p w14:paraId="398DC54D"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lastRenderedPageBreak/>
        <w:t>If the system is poorly designed, poorly managed, exposed to unmanaged stress, unable to generate verified improvement, or unable to preserve evidence integrity, the condition fails.</w:t>
      </w:r>
    </w:p>
    <w:p w14:paraId="0ED6F929"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Prometheus does not claim that time alone creates value.</w:t>
      </w:r>
    </w:p>
    <w:p w14:paraId="682159BB"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claims that verified regenerative maturation may improve value quality over time.</w:t>
      </w:r>
    </w:p>
    <w:p w14:paraId="12F9E445" w14:textId="77777777" w:rsidR="00FE5D9D" w:rsidRPr="00B479AE" w:rsidRDefault="00FE5D9D" w:rsidP="00FE5D9D">
      <w:pPr>
        <w:spacing w:line="360" w:lineRule="auto"/>
        <w:rPr>
          <w:rFonts w:ascii="Baskerville Old Face" w:hAnsi="Baskerville Old Face"/>
          <w:b/>
          <w:bCs/>
          <w:i/>
          <w:iCs/>
        </w:rPr>
      </w:pPr>
      <w:r w:rsidRPr="00B479AE">
        <w:rPr>
          <w:rFonts w:ascii="Baskerville Old Face" w:hAnsi="Baskerville Old Face"/>
          <w:b/>
          <w:bCs/>
          <w:i/>
          <w:iCs/>
        </w:rPr>
        <w:t>Extended PRU Scenario Function</w:t>
      </w:r>
    </w:p>
    <w:p w14:paraId="17B6F087"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The standard PRU value function should remain conservative and evidence-bound.</w:t>
      </w:r>
    </w:p>
    <w:p w14:paraId="60362D21"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However, advanced investor-model, research, or capital-readiness scenarios may require an extended analytical function capable of representing biomass accumulation and temporal maturity.</w:t>
      </w:r>
    </w:p>
    <w:p w14:paraId="196E2CC6"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A protected extended scenario function may be expressed as:</w:t>
      </w:r>
    </w:p>
    <w:p w14:paraId="32B85CFB"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 xml:space="preserve">V_PRU* = C </w:t>
      </w:r>
      <w:r w:rsidRPr="00B479AE">
        <w:rPr>
          <w:rFonts w:ascii="Cambria" w:hAnsi="Cambria" w:cs="Cambria"/>
          <w:i/>
          <w:iCs/>
        </w:rPr>
        <w:t>·</w:t>
      </w:r>
      <w:r w:rsidRPr="00B479AE">
        <w:rPr>
          <w:rFonts w:ascii="Baskerville Old Face" w:hAnsi="Baskerville Old Face"/>
          <w:i/>
          <w:iCs/>
        </w:rPr>
        <w:t xml:space="preserve"> (1 + </w:t>
      </w:r>
      <w:r w:rsidRPr="00B479AE">
        <w:rPr>
          <w:rFonts w:ascii="Cambria" w:hAnsi="Cambria" w:cs="Cambria"/>
          <w:i/>
          <w:iCs/>
        </w:rPr>
        <w:t>α</w:t>
      </w:r>
      <w:r w:rsidRPr="00B479AE">
        <w:rPr>
          <w:rFonts w:ascii="Baskerville Old Face" w:hAnsi="Baskerville Old Face"/>
          <w:i/>
          <w:iCs/>
        </w:rPr>
        <w:t xml:space="preserve">SRI + </w:t>
      </w:r>
      <w:r w:rsidRPr="00B479AE">
        <w:rPr>
          <w:rFonts w:ascii="Cambria" w:hAnsi="Cambria" w:cs="Cambria"/>
          <w:i/>
          <w:iCs/>
        </w:rPr>
        <w:t>β</w:t>
      </w:r>
      <w:r w:rsidRPr="00B479AE">
        <w:rPr>
          <w:rFonts w:ascii="Baskerville Old Face" w:hAnsi="Baskerville Old Face"/>
          <w:i/>
          <w:iCs/>
        </w:rPr>
        <w:t xml:space="preserve">RPI + </w:t>
      </w:r>
      <w:r w:rsidRPr="00B479AE">
        <w:rPr>
          <w:rFonts w:ascii="Cambria" w:hAnsi="Cambria" w:cs="Cambria"/>
          <w:i/>
          <w:iCs/>
        </w:rPr>
        <w:t>γ</w:t>
      </w:r>
      <w:r w:rsidRPr="00B479AE">
        <w:rPr>
          <w:rFonts w:ascii="Baskerville Old Face" w:hAnsi="Baskerville Old Face"/>
          <w:i/>
          <w:iCs/>
        </w:rPr>
        <w:t xml:space="preserve">CESI + </w:t>
      </w:r>
      <w:r w:rsidRPr="00B479AE">
        <w:rPr>
          <w:rFonts w:ascii="Cambria" w:hAnsi="Cambria" w:cs="Cambria"/>
          <w:i/>
          <w:iCs/>
        </w:rPr>
        <w:t>δ</w:t>
      </w:r>
      <w:r w:rsidRPr="00B479AE">
        <w:rPr>
          <w:rFonts w:ascii="Baskerville Old Face" w:hAnsi="Baskerville Old Face"/>
          <w:i/>
          <w:iCs/>
        </w:rPr>
        <w:t xml:space="preserve">B + </w:t>
      </w:r>
      <w:r w:rsidRPr="00B479AE">
        <w:rPr>
          <w:rFonts w:ascii="Cambria" w:hAnsi="Cambria" w:cs="Cambria"/>
          <w:i/>
          <w:iCs/>
        </w:rPr>
        <w:t>ε</w:t>
      </w:r>
      <w:r w:rsidRPr="00B479AE">
        <w:rPr>
          <w:rFonts w:ascii="Baskerville Old Face" w:hAnsi="Baskerville Old Face"/>
          <w:i/>
          <w:iCs/>
        </w:rPr>
        <w:t>T)</w:t>
      </w:r>
    </w:p>
    <w:p w14:paraId="65D3D3BC"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Where:</w:t>
      </w:r>
    </w:p>
    <w:p w14:paraId="0A6EC93D"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V_PRU* = extended PRU scenario value, used only for analytical or investor-model scenarios.</w:t>
      </w:r>
    </w:p>
    <w:p w14:paraId="572AD8E3"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C = conservative baseline value, productive value, or legally admissible ecological-capital base, depending on methodology.</w:t>
      </w:r>
    </w:p>
    <w:p w14:paraId="21CF715B"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SRI = Syntropic Resilience Index.</w:t>
      </w:r>
    </w:p>
    <w:p w14:paraId="2E3C7153"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RPI = Regenerative Productivity Index.</w:t>
      </w:r>
    </w:p>
    <w:p w14:paraId="5FD438A5"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CESI = Cooperative Ecological Surplus Index.</w:t>
      </w:r>
    </w:p>
    <w:p w14:paraId="6B8DF452"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B = biomass accumulation, biomass cycling, or biological capital maturation factor.</w:t>
      </w:r>
    </w:p>
    <w:p w14:paraId="3FE2DA96"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T = temporal maturity factor.</w:t>
      </w:r>
    </w:p>
    <w:p w14:paraId="7CE87C70" w14:textId="77777777" w:rsidR="00FE5D9D" w:rsidRPr="00B479AE" w:rsidRDefault="00FE5D9D" w:rsidP="00FE5D9D">
      <w:pPr>
        <w:spacing w:line="360" w:lineRule="auto"/>
        <w:rPr>
          <w:rFonts w:ascii="Baskerville Old Face" w:hAnsi="Baskerville Old Face"/>
          <w:i/>
          <w:iCs/>
        </w:rPr>
      </w:pPr>
      <w:r w:rsidRPr="00B479AE">
        <w:rPr>
          <w:rFonts w:ascii="Cambria" w:hAnsi="Cambria" w:cs="Cambria"/>
          <w:i/>
          <w:iCs/>
        </w:rPr>
        <w:t>α</w:t>
      </w:r>
      <w:r w:rsidRPr="00B479AE">
        <w:rPr>
          <w:rFonts w:ascii="Baskerville Old Face" w:hAnsi="Baskerville Old Face"/>
          <w:i/>
          <w:iCs/>
        </w:rPr>
        <w:t xml:space="preserve">, </w:t>
      </w:r>
      <w:r w:rsidRPr="00B479AE">
        <w:rPr>
          <w:rFonts w:ascii="Cambria" w:hAnsi="Cambria" w:cs="Cambria"/>
          <w:i/>
          <w:iCs/>
        </w:rPr>
        <w:t>β</w:t>
      </w:r>
      <w:r w:rsidRPr="00B479AE">
        <w:rPr>
          <w:rFonts w:ascii="Baskerville Old Face" w:hAnsi="Baskerville Old Face"/>
          <w:i/>
          <w:iCs/>
        </w:rPr>
        <w:t xml:space="preserve">, </w:t>
      </w:r>
      <w:r w:rsidRPr="00B479AE">
        <w:rPr>
          <w:rFonts w:ascii="Cambria" w:hAnsi="Cambria" w:cs="Cambria"/>
          <w:i/>
          <w:iCs/>
        </w:rPr>
        <w:t>γ</w:t>
      </w:r>
      <w:r w:rsidRPr="00B479AE">
        <w:rPr>
          <w:rFonts w:ascii="Baskerville Old Face" w:hAnsi="Baskerville Old Face"/>
          <w:i/>
          <w:iCs/>
        </w:rPr>
        <w:t xml:space="preserve">, </w:t>
      </w:r>
      <w:r w:rsidRPr="00B479AE">
        <w:rPr>
          <w:rFonts w:ascii="Cambria" w:hAnsi="Cambria" w:cs="Cambria"/>
          <w:i/>
          <w:iCs/>
        </w:rPr>
        <w:t>δ</w:t>
      </w:r>
      <w:r w:rsidRPr="00B479AE">
        <w:rPr>
          <w:rFonts w:ascii="Baskerville Old Face" w:hAnsi="Baskerville Old Face"/>
          <w:i/>
          <w:iCs/>
        </w:rPr>
        <w:t xml:space="preserve">, </w:t>
      </w:r>
      <w:r w:rsidRPr="00B479AE">
        <w:rPr>
          <w:rFonts w:ascii="Cambria" w:hAnsi="Cambria" w:cs="Cambria"/>
          <w:i/>
          <w:iCs/>
        </w:rPr>
        <w:t>ε</w:t>
      </w:r>
      <w:r w:rsidRPr="00B479AE">
        <w:rPr>
          <w:rFonts w:ascii="Baskerville Old Face" w:hAnsi="Baskerville Old Face"/>
          <w:i/>
          <w:iCs/>
        </w:rPr>
        <w:t xml:space="preserve"> = methodology-defined coefficients.</w:t>
      </w:r>
    </w:p>
    <w:p w14:paraId="7DFACD9E" w14:textId="610535B6"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 xml:space="preserve">This formula is not the default </w:t>
      </w:r>
      <w:r w:rsidR="00BF1A97" w:rsidRPr="00B479AE">
        <w:rPr>
          <w:rFonts w:ascii="Baskerville Old Face" w:hAnsi="Baskerville Old Face"/>
          <w:i/>
          <w:iCs/>
        </w:rPr>
        <w:t>PRU value analysis</w:t>
      </w:r>
      <w:r w:rsidRPr="00B479AE">
        <w:rPr>
          <w:rFonts w:ascii="Baskerville Old Face" w:hAnsi="Baskerville Old Face"/>
          <w:i/>
          <w:iCs/>
        </w:rPr>
        <w:t xml:space="preserve"> formula.</w:t>
      </w:r>
    </w:p>
    <w:p w14:paraId="19AF2D32"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It is an extended scenario function.</w:t>
      </w:r>
    </w:p>
    <w:p w14:paraId="7065A84F"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lastRenderedPageBreak/>
        <w:t>It may be used only where the methodology clearly defines the variables, coefficients, evidence sources, confidence levels, admissibility thresholds, legal boundaries, and intended use.</w:t>
      </w:r>
    </w:p>
    <w:p w14:paraId="06F6D40A"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The purpose of this formula is to preserve two important truths.</w:t>
      </w:r>
    </w:p>
    <w:p w14:paraId="4631487E"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First, regenerative value may increase when biomass accumulation, biomass cycling, root systems, canopy structure, soil organic matter, and biological complexity mature over time.</w:t>
      </w:r>
    </w:p>
    <w:p w14:paraId="6BB6E0D6"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Second, time matters only when time produces verified ecological improvement.</w:t>
      </w:r>
    </w:p>
    <w:p w14:paraId="61DC747E"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Temporal maturity does not create value by itself.</w:t>
      </w:r>
    </w:p>
    <w:p w14:paraId="616DDE43"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A system can age without regenerating.</w:t>
      </w:r>
    </w:p>
    <w:p w14:paraId="4EF49E09"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A neglected system can decline over time.</w:t>
      </w:r>
    </w:p>
    <w:p w14:paraId="195F961D"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A poorly designed system can accumulate complexity that does not translate into resilience, productivity, or ecological function.</w:t>
      </w:r>
    </w:p>
    <w:p w14:paraId="030E9E05"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Therefore, the temporal factor T must be interpreted conservatively.</w:t>
      </w:r>
    </w:p>
    <w:p w14:paraId="62D0E43B"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It may support value relevance only where time has produced measurable improvement in ecological function, operational reliability, MRV confidence, governance maturity, and resilience.</w:t>
      </w:r>
    </w:p>
    <w:p w14:paraId="02D0910B"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The biomass factor B must also be evidence-bound.</w:t>
      </w:r>
    </w:p>
    <w:p w14:paraId="165902CE"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It may include:</w:t>
      </w:r>
    </w:p>
    <w:p w14:paraId="6FCD47F7"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biomass accumulation;</w:t>
      </w:r>
      <w:r w:rsidRPr="00B479AE">
        <w:rPr>
          <w:rFonts w:ascii="Baskerville Old Face" w:hAnsi="Baskerville Old Face"/>
          <w:i/>
          <w:iCs/>
        </w:rPr>
        <w:br/>
        <w:t>biomass returned to soil;</w:t>
      </w:r>
      <w:r w:rsidRPr="00B479AE">
        <w:rPr>
          <w:rFonts w:ascii="Baskerville Old Face" w:hAnsi="Baskerville Old Face"/>
          <w:i/>
          <w:iCs/>
        </w:rPr>
        <w:br/>
        <w:t>canopy development;</w:t>
      </w:r>
      <w:r w:rsidRPr="00B479AE">
        <w:rPr>
          <w:rFonts w:ascii="Baskerville Old Face" w:hAnsi="Baskerville Old Face"/>
          <w:i/>
          <w:iCs/>
        </w:rPr>
        <w:br/>
        <w:t>root biomass;</w:t>
      </w:r>
      <w:r w:rsidRPr="00B479AE">
        <w:rPr>
          <w:rFonts w:ascii="Baskerville Old Face" w:hAnsi="Baskerville Old Face"/>
          <w:i/>
          <w:iCs/>
        </w:rPr>
        <w:br/>
        <w:t>mulch and organic matter contribution;</w:t>
      </w:r>
      <w:r w:rsidRPr="00B479AE">
        <w:rPr>
          <w:rFonts w:ascii="Baskerville Old Face" w:hAnsi="Baskerville Old Face"/>
          <w:i/>
          <w:iCs/>
        </w:rPr>
        <w:br/>
        <w:t>carbon-related indicators where admissible;</w:t>
      </w:r>
      <w:r w:rsidRPr="00B479AE">
        <w:rPr>
          <w:rFonts w:ascii="Baskerville Old Face" w:hAnsi="Baskerville Old Face"/>
          <w:i/>
          <w:iCs/>
        </w:rPr>
        <w:br/>
        <w:t>productive biomass;</w:t>
      </w:r>
      <w:r w:rsidRPr="00B479AE">
        <w:rPr>
          <w:rFonts w:ascii="Baskerville Old Face" w:hAnsi="Baskerville Old Face"/>
          <w:i/>
          <w:iCs/>
        </w:rPr>
        <w:br/>
        <w:t>soil-cover continuity;</w:t>
      </w:r>
      <w:r w:rsidRPr="00B479AE">
        <w:rPr>
          <w:rFonts w:ascii="Baskerville Old Face" w:hAnsi="Baskerville Old Face"/>
          <w:i/>
          <w:iCs/>
        </w:rPr>
        <w:br/>
        <w:t>biological structure;</w:t>
      </w:r>
      <w:r w:rsidRPr="00B479AE">
        <w:rPr>
          <w:rFonts w:ascii="Baskerville Old Face" w:hAnsi="Baskerville Old Face"/>
          <w:i/>
          <w:iCs/>
        </w:rPr>
        <w:br/>
        <w:t>successional maturity.</w:t>
      </w:r>
    </w:p>
    <w:p w14:paraId="314EC93D"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lastRenderedPageBreak/>
        <w:t>The extended function must not be used to claim automatic appreciation, immediate financial value, token value, investor rights, or securitization eligibility.</w:t>
      </w:r>
    </w:p>
    <w:p w14:paraId="368B0267"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It is valid only as a scenario model.</w:t>
      </w:r>
    </w:p>
    <w:p w14:paraId="0DE7E9B6"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The correct interpretation is:</w:t>
      </w:r>
    </w:p>
    <w:p w14:paraId="14FD98C0"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biomass maturity + temporal maturity may strengthen PRU analysis only when verified by MRV and admitted through methodology.</w:t>
      </w:r>
    </w:p>
    <w:p w14:paraId="5FD9C8FA"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This protects the difference between biological growth and financial overclaiming.</w:t>
      </w:r>
    </w:p>
    <w:p w14:paraId="410006BF"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A regenerative system may become more valuable as it matures.</w:t>
      </w:r>
    </w:p>
    <w:p w14:paraId="390FA4C1"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But Prometheus recognizes that value only when maturation becomes measurable, verified, confidence-scored, reviewable, and legally usable.</w:t>
      </w:r>
    </w:p>
    <w:p w14:paraId="28305203"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The conservative rule is:</w:t>
      </w:r>
    </w:p>
    <w:p w14:paraId="60C70505"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time does not create value; verified regeneration over time may create value relevance.</w:t>
      </w:r>
    </w:p>
    <w:p w14:paraId="1BE867E0"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Formula boundary</w:t>
      </w:r>
    </w:p>
    <w:p w14:paraId="3DE5BDCA"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This extended function should never be presented without the following boundary:</w:t>
      </w:r>
    </w:p>
    <w:p w14:paraId="31AEB7D0"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V_PRU* is an analytical scenario function.</w:t>
      </w:r>
    </w:p>
    <w:p w14:paraId="16CE80B4"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It does not create automatic PRU value.</w:t>
      </w:r>
    </w:p>
    <w:p w14:paraId="0B2C4093"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It does not create token issuance.</w:t>
      </w:r>
    </w:p>
    <w:p w14:paraId="3BB6104F"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It does not create investor entitlement.</w:t>
      </w:r>
    </w:p>
    <w:p w14:paraId="529C766C"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It does not create a public offer.</w:t>
      </w:r>
    </w:p>
    <w:p w14:paraId="5777F143"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It does not create a regulated rating.</w:t>
      </w:r>
    </w:p>
    <w:p w14:paraId="2F6F83FD"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It does not create securitization eligibility.</w:t>
      </w:r>
    </w:p>
    <w:p w14:paraId="642742EC" w14:textId="77777777" w:rsidR="00FE5D9D" w:rsidRPr="00B479AE" w:rsidRDefault="00FE5D9D" w:rsidP="00FE5D9D">
      <w:pPr>
        <w:spacing w:line="360" w:lineRule="auto"/>
        <w:rPr>
          <w:rFonts w:ascii="Baskerville Old Face" w:hAnsi="Baskerville Old Face"/>
          <w:i/>
          <w:iCs/>
        </w:rPr>
      </w:pPr>
      <w:r w:rsidRPr="00B479AE">
        <w:rPr>
          <w:rFonts w:ascii="Baskerville Old Face" w:hAnsi="Baskerville Old Face"/>
          <w:i/>
          <w:iCs/>
        </w:rPr>
        <w:t>It may support investor-model analysis only where evidence, methodology, legal review, disclosure, and jurisdiction-specific compliance support such use.</w:t>
      </w:r>
    </w:p>
    <w:p w14:paraId="565CAF6C"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lastRenderedPageBreak/>
        <w:t>R.23 Autopoietic regenerative intelligence layer</w:t>
      </w:r>
    </w:p>
    <w:p w14:paraId="3CC2A7E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Prometheus may evolve toward an autopoietic regenerative intelligence layer.</w:t>
      </w:r>
    </w:p>
    <w:p w14:paraId="12B08225"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layer integrates:</w:t>
      </w:r>
    </w:p>
    <w:p w14:paraId="187D7985"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biophysical systems;</w:t>
      </w:r>
      <w:r w:rsidRPr="00B479AE">
        <w:rPr>
          <w:rFonts w:ascii="Baskerville Old Face" w:hAnsi="Baskerville Old Face"/>
          <w:i/>
          <w:iCs/>
        </w:rPr>
        <w:br/>
        <w:t>• MRV data;</w:t>
      </w:r>
      <w:r w:rsidRPr="00B479AE">
        <w:rPr>
          <w:rFonts w:ascii="Baskerville Old Face" w:hAnsi="Baskerville Old Face"/>
          <w:i/>
          <w:iCs/>
        </w:rPr>
        <w:br/>
        <w:t>• operational records;</w:t>
      </w:r>
      <w:r w:rsidRPr="00B479AE">
        <w:rPr>
          <w:rFonts w:ascii="Baskerville Old Face" w:hAnsi="Baskerville Old Face"/>
          <w:i/>
          <w:iCs/>
        </w:rPr>
        <w:br/>
        <w:t>• AI-assisted interpretation;</w:t>
      </w:r>
      <w:r w:rsidRPr="00B479AE">
        <w:rPr>
          <w:rFonts w:ascii="Baskerville Old Face" w:hAnsi="Baskerville Old Face"/>
          <w:i/>
          <w:iCs/>
        </w:rPr>
        <w:br/>
        <w:t>• structured reasoning;</w:t>
      </w:r>
      <w:r w:rsidRPr="00B479AE">
        <w:rPr>
          <w:rFonts w:ascii="Baskerville Old Face" w:hAnsi="Baskerville Old Face"/>
          <w:i/>
          <w:iCs/>
        </w:rPr>
        <w:br/>
        <w:t>• governance review;</w:t>
      </w:r>
      <w:r w:rsidRPr="00B479AE">
        <w:rPr>
          <w:rFonts w:ascii="Baskerville Old Face" w:hAnsi="Baskerville Old Face"/>
          <w:i/>
          <w:iCs/>
        </w:rPr>
        <w:br/>
        <w:t>• PRU methodology;</w:t>
      </w:r>
      <w:r w:rsidRPr="00B479AE">
        <w:rPr>
          <w:rFonts w:ascii="Baskerville Old Face" w:hAnsi="Baskerville Old Face"/>
          <w:i/>
          <w:iCs/>
        </w:rPr>
        <w:br/>
        <w:t>• capital allocation feedback.</w:t>
      </w:r>
    </w:p>
    <w:p w14:paraId="20ABA003"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Its core function is:</w:t>
      </w:r>
    </w:p>
    <w:p w14:paraId="73264B82"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xml:space="preserve">uncertainty </w:t>
      </w:r>
      <w:r w:rsidRPr="00B479AE">
        <w:rPr>
          <w:rFonts w:ascii="Times New Roman" w:hAnsi="Times New Roman" w:cs="Times New Roman"/>
          <w:i/>
          <w:iCs/>
        </w:rPr>
        <w:t>↓</w:t>
      </w:r>
      <w:r w:rsidRPr="00B479AE">
        <w:rPr>
          <w:rFonts w:ascii="Baskerville Old Face" w:hAnsi="Baskerville Old Face"/>
          <w:i/>
          <w:iCs/>
        </w:rPr>
        <w:t xml:space="preserve"> </w:t>
      </w:r>
      <w:r w:rsidRPr="00B479AE">
        <w:rPr>
          <w:rFonts w:ascii="Times New Roman" w:hAnsi="Times New Roman" w:cs="Times New Roman"/>
          <w:i/>
          <w:iCs/>
        </w:rPr>
        <w:t>→</w:t>
      </w:r>
      <w:r w:rsidRPr="00B479AE">
        <w:rPr>
          <w:rFonts w:ascii="Baskerville Old Face" w:hAnsi="Baskerville Old Face"/>
          <w:i/>
          <w:iCs/>
        </w:rPr>
        <w:t xml:space="preserve"> predictability </w:t>
      </w:r>
      <w:r w:rsidRPr="00B479AE">
        <w:rPr>
          <w:rFonts w:ascii="Times New Roman" w:hAnsi="Times New Roman" w:cs="Times New Roman"/>
          <w:i/>
          <w:iCs/>
        </w:rPr>
        <w:t>↑</w:t>
      </w:r>
      <w:r w:rsidRPr="00B479AE">
        <w:rPr>
          <w:rFonts w:ascii="Baskerville Old Face" w:hAnsi="Baskerville Old Face"/>
          <w:i/>
          <w:iCs/>
        </w:rPr>
        <w:t xml:space="preserve"> </w:t>
      </w:r>
      <w:r w:rsidRPr="00B479AE">
        <w:rPr>
          <w:rFonts w:ascii="Times New Roman" w:hAnsi="Times New Roman" w:cs="Times New Roman"/>
          <w:i/>
          <w:iCs/>
        </w:rPr>
        <w:t>→</w:t>
      </w:r>
      <w:r w:rsidRPr="00B479AE">
        <w:rPr>
          <w:rFonts w:ascii="Baskerville Old Face" w:hAnsi="Baskerville Old Face"/>
          <w:i/>
          <w:iCs/>
        </w:rPr>
        <w:t xml:space="preserve"> risk </w:t>
      </w:r>
      <w:r w:rsidRPr="00B479AE">
        <w:rPr>
          <w:rFonts w:ascii="Times New Roman" w:hAnsi="Times New Roman" w:cs="Times New Roman"/>
          <w:i/>
          <w:iCs/>
        </w:rPr>
        <w:t>↓</w:t>
      </w:r>
      <w:r w:rsidRPr="00B479AE">
        <w:rPr>
          <w:rFonts w:ascii="Baskerville Old Face" w:hAnsi="Baskerville Old Face"/>
          <w:i/>
          <w:iCs/>
        </w:rPr>
        <w:t xml:space="preserve"> </w:t>
      </w:r>
      <w:r w:rsidRPr="00B479AE">
        <w:rPr>
          <w:rFonts w:ascii="Times New Roman" w:hAnsi="Times New Roman" w:cs="Times New Roman"/>
          <w:i/>
          <w:iCs/>
        </w:rPr>
        <w:t>→</w:t>
      </w:r>
      <w:r w:rsidRPr="00B479AE">
        <w:rPr>
          <w:rFonts w:ascii="Baskerville Old Face" w:hAnsi="Baskerville Old Face"/>
          <w:i/>
          <w:iCs/>
        </w:rPr>
        <w:t xml:space="preserve"> capital efficiency </w:t>
      </w:r>
      <w:r w:rsidRPr="00B479AE">
        <w:rPr>
          <w:rFonts w:ascii="Times New Roman" w:hAnsi="Times New Roman" w:cs="Times New Roman"/>
          <w:i/>
          <w:iCs/>
        </w:rPr>
        <w:t>↑</w:t>
      </w:r>
    </w:p>
    <w:p w14:paraId="1F2BB1D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system loop may be represented as:</w:t>
      </w:r>
    </w:p>
    <w:p w14:paraId="6A514E8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xml:space="preserve">Environment </w:t>
      </w:r>
      <w:r w:rsidRPr="00B479AE">
        <w:rPr>
          <w:rFonts w:ascii="Times New Roman" w:hAnsi="Times New Roman" w:cs="Times New Roman"/>
          <w:i/>
          <w:iCs/>
        </w:rPr>
        <w:t>→</w:t>
      </w:r>
      <w:r w:rsidRPr="00B479AE">
        <w:rPr>
          <w:rFonts w:ascii="Baskerville Old Face" w:hAnsi="Baskerville Old Face"/>
          <w:i/>
          <w:iCs/>
        </w:rPr>
        <w:t xml:space="preserve"> MRV </w:t>
      </w:r>
      <w:r w:rsidRPr="00B479AE">
        <w:rPr>
          <w:rFonts w:ascii="Times New Roman" w:hAnsi="Times New Roman" w:cs="Times New Roman"/>
          <w:i/>
          <w:iCs/>
        </w:rPr>
        <w:t>→</w:t>
      </w:r>
      <w:r w:rsidRPr="00B479AE">
        <w:rPr>
          <w:rFonts w:ascii="Baskerville Old Face" w:hAnsi="Baskerville Old Face"/>
          <w:i/>
          <w:iCs/>
        </w:rPr>
        <w:t xml:space="preserve"> AI-assisted interpretation </w:t>
      </w:r>
      <w:r w:rsidRPr="00B479AE">
        <w:rPr>
          <w:rFonts w:ascii="Times New Roman" w:hAnsi="Times New Roman" w:cs="Times New Roman"/>
          <w:i/>
          <w:iCs/>
        </w:rPr>
        <w:t>→</w:t>
      </w:r>
      <w:r w:rsidRPr="00B479AE">
        <w:rPr>
          <w:rFonts w:ascii="Baskerville Old Face" w:hAnsi="Baskerville Old Face"/>
          <w:i/>
          <w:iCs/>
        </w:rPr>
        <w:t xml:space="preserve"> structured reasoning </w:t>
      </w:r>
      <w:r w:rsidRPr="00B479AE">
        <w:rPr>
          <w:rFonts w:ascii="Times New Roman" w:hAnsi="Times New Roman" w:cs="Times New Roman"/>
          <w:i/>
          <w:iCs/>
        </w:rPr>
        <w:t>→</w:t>
      </w:r>
      <w:r w:rsidRPr="00B479AE">
        <w:rPr>
          <w:rFonts w:ascii="Baskerville Old Face" w:hAnsi="Baskerville Old Face"/>
          <w:i/>
          <w:iCs/>
        </w:rPr>
        <w:t xml:space="preserve"> evaluation </w:t>
      </w:r>
      <w:r w:rsidRPr="00B479AE">
        <w:rPr>
          <w:rFonts w:ascii="Times New Roman" w:hAnsi="Times New Roman" w:cs="Times New Roman"/>
          <w:i/>
          <w:iCs/>
        </w:rPr>
        <w:t>→</w:t>
      </w:r>
      <w:r w:rsidRPr="00B479AE">
        <w:rPr>
          <w:rFonts w:ascii="Baskerville Old Face" w:hAnsi="Baskerville Old Face"/>
          <w:i/>
          <w:iCs/>
        </w:rPr>
        <w:t xml:space="preserve"> decision </w:t>
      </w:r>
      <w:r w:rsidRPr="00B479AE">
        <w:rPr>
          <w:rFonts w:ascii="Times New Roman" w:hAnsi="Times New Roman" w:cs="Times New Roman"/>
          <w:i/>
          <w:iCs/>
        </w:rPr>
        <w:t>→</w:t>
      </w:r>
      <w:r w:rsidRPr="00B479AE">
        <w:rPr>
          <w:rFonts w:ascii="Baskerville Old Face" w:hAnsi="Baskerville Old Face"/>
          <w:i/>
          <w:iCs/>
        </w:rPr>
        <w:t xml:space="preserve"> action </w:t>
      </w:r>
      <w:r w:rsidRPr="00B479AE">
        <w:rPr>
          <w:rFonts w:ascii="Times New Roman" w:hAnsi="Times New Roman" w:cs="Times New Roman"/>
          <w:i/>
          <w:iCs/>
        </w:rPr>
        <w:t>→</w:t>
      </w:r>
      <w:r w:rsidRPr="00B479AE">
        <w:rPr>
          <w:rFonts w:ascii="Baskerville Old Face" w:hAnsi="Baskerville Old Face"/>
          <w:i/>
          <w:iCs/>
        </w:rPr>
        <w:t xml:space="preserve"> environment</w:t>
      </w:r>
    </w:p>
    <w:p w14:paraId="4C3D91D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Each cycle:</w:t>
      </w:r>
    </w:p>
    <w:p w14:paraId="710FC86E"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updates the system state;</w:t>
      </w:r>
      <w:r w:rsidRPr="00B479AE">
        <w:rPr>
          <w:rFonts w:ascii="Baskerville Old Face" w:hAnsi="Baskerville Old Face"/>
          <w:i/>
          <w:iCs/>
        </w:rPr>
        <w:br/>
        <w:t>• detects anomalies;</w:t>
      </w:r>
      <w:r w:rsidRPr="00B479AE">
        <w:rPr>
          <w:rFonts w:ascii="Baskerville Old Face" w:hAnsi="Baskerville Old Face"/>
          <w:i/>
          <w:iCs/>
        </w:rPr>
        <w:br/>
        <w:t>• improves intervention quality;</w:t>
      </w:r>
      <w:r w:rsidRPr="00B479AE">
        <w:rPr>
          <w:rFonts w:ascii="Baskerville Old Face" w:hAnsi="Baskerville Old Face"/>
          <w:i/>
          <w:iCs/>
        </w:rPr>
        <w:br/>
        <w:t>• reduces informational entropy;</w:t>
      </w:r>
      <w:r w:rsidRPr="00B479AE">
        <w:rPr>
          <w:rFonts w:ascii="Baskerville Old Face" w:hAnsi="Baskerville Old Face"/>
          <w:i/>
          <w:iCs/>
        </w:rPr>
        <w:br/>
        <w:t>• supports better governance and operational decisions;</w:t>
      </w:r>
      <w:r w:rsidRPr="00B479AE">
        <w:rPr>
          <w:rFonts w:ascii="Baskerville Old Face" w:hAnsi="Baskerville Old Face"/>
          <w:i/>
          <w:iCs/>
        </w:rPr>
        <w:br/>
        <w:t>• generates new evidence.</w:t>
      </w:r>
    </w:p>
    <w:p w14:paraId="05890512"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AI in this architecture is not sovereign.</w:t>
      </w:r>
    </w:p>
    <w:p w14:paraId="74944699"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does not independently authorize ecological action, PRU value, token issuance, investment decisions, governance outcomes, legal rights, or investor-facing claims.</w:t>
      </w:r>
    </w:p>
    <w:p w14:paraId="77654B39"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assists interpretation.</w:t>
      </w:r>
    </w:p>
    <w:p w14:paraId="0403BC6D"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lastRenderedPageBreak/>
        <w:t>Execution remains governed by evidence, methodology, governance, and human or institutional authorization.</w:t>
      </w:r>
    </w:p>
    <w:p w14:paraId="1E6058A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Prometheus systems are not deployed as autonomous systems.</w:t>
      </w:r>
    </w:p>
    <w:p w14:paraId="7136855D"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They become more adaptive through data accumulation, ecological feedback, and iterative learning.</w:t>
      </w:r>
    </w:p>
    <w:p w14:paraId="517DC6C7"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R.24 Tokenization boundary</w:t>
      </w:r>
    </w:p>
    <w:p w14:paraId="613FA9CA"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old model correctly recognized that ecological performance may eventually connect to tokenized representation.</w:t>
      </w:r>
    </w:p>
    <w:p w14:paraId="6261A0FE"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However, this must be stated with strict legal and institutional discipline.</w:t>
      </w:r>
    </w:p>
    <w:p w14:paraId="566A1EB7"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correct sequence is:</w:t>
      </w:r>
    </w:p>
    <w:p w14:paraId="402948A5" w14:textId="776EB758"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xml:space="preserve">ecological process </w:t>
      </w:r>
      <w:r w:rsidRPr="00B479AE">
        <w:rPr>
          <w:rFonts w:ascii="Times New Roman" w:hAnsi="Times New Roman" w:cs="Times New Roman"/>
          <w:i/>
          <w:iCs/>
        </w:rPr>
        <w:t>→</w:t>
      </w:r>
      <w:r w:rsidRPr="00B479AE">
        <w:rPr>
          <w:rFonts w:ascii="Baskerville Old Face" w:hAnsi="Baskerville Old Face"/>
          <w:i/>
          <w:iCs/>
        </w:rPr>
        <w:t xml:space="preserve"> MRV </w:t>
      </w:r>
      <w:r w:rsidRPr="00B479AE">
        <w:rPr>
          <w:rFonts w:ascii="Times New Roman" w:hAnsi="Times New Roman" w:cs="Times New Roman"/>
          <w:i/>
          <w:iCs/>
        </w:rPr>
        <w:t>→</w:t>
      </w:r>
      <w:r w:rsidRPr="00B479AE">
        <w:rPr>
          <w:rFonts w:ascii="Baskerville Old Face" w:hAnsi="Baskerville Old Face"/>
          <w:i/>
          <w:iCs/>
        </w:rPr>
        <w:t xml:space="preserve"> verified indicator </w:t>
      </w:r>
      <w:r w:rsidRPr="00B479AE">
        <w:rPr>
          <w:rFonts w:ascii="Times New Roman" w:hAnsi="Times New Roman" w:cs="Times New Roman"/>
          <w:i/>
          <w:iCs/>
        </w:rPr>
        <w:t>→</w:t>
      </w:r>
      <w:r w:rsidRPr="00B479AE">
        <w:rPr>
          <w:rFonts w:ascii="Baskerville Old Face" w:hAnsi="Baskerville Old Face"/>
          <w:i/>
          <w:iCs/>
        </w:rPr>
        <w:t xml:space="preserve"> PRU </w:t>
      </w:r>
      <w:r w:rsidRPr="00B479AE">
        <w:rPr>
          <w:rFonts w:ascii="Times New Roman" w:hAnsi="Times New Roman" w:cs="Times New Roman"/>
          <w:i/>
          <w:iCs/>
        </w:rPr>
        <w:t>→</w:t>
      </w:r>
      <w:r w:rsidRPr="00B479AE">
        <w:rPr>
          <w:rFonts w:ascii="Baskerville Old Face" w:hAnsi="Baskerville Old Face"/>
          <w:i/>
          <w:iCs/>
        </w:rPr>
        <w:t xml:space="preserve"> </w:t>
      </w:r>
      <w:r w:rsidR="00193796" w:rsidRPr="00B479AE">
        <w:rPr>
          <w:rFonts w:ascii="Baskerville Old Face" w:hAnsi="Baskerville Old Face"/>
          <w:i/>
          <w:iCs/>
        </w:rPr>
        <w:t xml:space="preserve">PRU maturity classification </w:t>
      </w:r>
      <w:r w:rsidRPr="00B479AE">
        <w:rPr>
          <w:rFonts w:ascii="Times New Roman" w:hAnsi="Times New Roman" w:cs="Times New Roman"/>
          <w:i/>
          <w:iCs/>
        </w:rPr>
        <w:t>→</w:t>
      </w:r>
      <w:r w:rsidRPr="00B479AE">
        <w:rPr>
          <w:rFonts w:ascii="Baskerville Old Face" w:hAnsi="Baskerville Old Face"/>
          <w:i/>
          <w:iCs/>
        </w:rPr>
        <w:t xml:space="preserve"> RAP </w:t>
      </w:r>
      <w:r w:rsidRPr="00B479AE">
        <w:rPr>
          <w:rFonts w:ascii="Times New Roman" w:hAnsi="Times New Roman" w:cs="Times New Roman"/>
          <w:i/>
          <w:iCs/>
        </w:rPr>
        <w:t>→</w:t>
      </w:r>
      <w:r w:rsidRPr="00B479AE">
        <w:rPr>
          <w:rFonts w:ascii="Baskerville Old Face" w:hAnsi="Baskerville Old Face"/>
          <w:i/>
          <w:iCs/>
        </w:rPr>
        <w:t xml:space="preserve"> legal wrapper </w:t>
      </w:r>
      <w:r w:rsidRPr="00B479AE">
        <w:rPr>
          <w:rFonts w:ascii="Times New Roman" w:hAnsi="Times New Roman" w:cs="Times New Roman"/>
          <w:i/>
          <w:iCs/>
        </w:rPr>
        <w:t>→</w:t>
      </w:r>
      <w:r w:rsidRPr="00B479AE">
        <w:rPr>
          <w:rFonts w:ascii="Baskerville Old Face" w:hAnsi="Baskerville Old Face"/>
          <w:i/>
          <w:iCs/>
        </w:rPr>
        <w:t xml:space="preserve"> compliant instrument </w:t>
      </w:r>
      <w:r w:rsidRPr="00B479AE">
        <w:rPr>
          <w:rFonts w:ascii="Times New Roman" w:hAnsi="Times New Roman" w:cs="Times New Roman"/>
          <w:i/>
          <w:iCs/>
        </w:rPr>
        <w:t>→</w:t>
      </w:r>
      <w:r w:rsidRPr="00B479AE">
        <w:rPr>
          <w:rFonts w:ascii="Baskerville Old Face" w:hAnsi="Baskerville Old Face"/>
          <w:i/>
          <w:iCs/>
        </w:rPr>
        <w:t xml:space="preserve"> possible tokenized representation</w:t>
      </w:r>
    </w:p>
    <w:p w14:paraId="0AD4A694"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Tokenization does not create ecological value.</w:t>
      </w:r>
    </w:p>
    <w:p w14:paraId="1B073DEE"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may represent verified and legally structured value.</w:t>
      </w:r>
    </w:p>
    <w:p w14:paraId="7FDF95D8"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TRBK should therefore not be described as automatic fractional ownership of PRUs, land, revenue rights, or investor exposure.</w:t>
      </w:r>
    </w:p>
    <w:p w14:paraId="3F847D2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Its correct role is governance, coordination, access, contribution, or participation, subject to defined legal boundaries.</w:t>
      </w:r>
    </w:p>
    <w:p w14:paraId="58C0FFA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Any future tokenized unit, note, security, fund interest, revenue right, or transferable claim must require:</w:t>
      </w:r>
    </w:p>
    <w:p w14:paraId="7F1B968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jurisdiction-specific legal structuring;</w:t>
      </w:r>
      <w:r w:rsidRPr="00B479AE">
        <w:rPr>
          <w:rFonts w:ascii="Baskerville Old Face" w:hAnsi="Baskerville Old Face"/>
          <w:i/>
          <w:iCs/>
        </w:rPr>
        <w:br/>
        <w:t>• disclosure;</w:t>
      </w:r>
      <w:r w:rsidRPr="00B479AE">
        <w:rPr>
          <w:rFonts w:ascii="Baskerville Old Face" w:hAnsi="Baskerville Old Face"/>
          <w:i/>
          <w:iCs/>
        </w:rPr>
        <w:br/>
        <w:t>• compliance review;</w:t>
      </w:r>
      <w:r w:rsidRPr="00B479AE">
        <w:rPr>
          <w:rFonts w:ascii="Baskerville Old Face" w:hAnsi="Baskerville Old Face"/>
          <w:i/>
          <w:iCs/>
        </w:rPr>
        <w:br/>
        <w:t>• investor protection;</w:t>
      </w:r>
      <w:r w:rsidRPr="00B479AE">
        <w:rPr>
          <w:rFonts w:ascii="Baskerville Old Face" w:hAnsi="Baskerville Old Face"/>
          <w:i/>
          <w:iCs/>
        </w:rPr>
        <w:br/>
        <w:t>• governance approval;</w:t>
      </w:r>
      <w:r w:rsidRPr="00B479AE">
        <w:rPr>
          <w:rFonts w:ascii="Baskerville Old Face" w:hAnsi="Baskerville Old Face"/>
          <w:i/>
          <w:iCs/>
        </w:rPr>
        <w:br/>
        <w:t>• source-layer compatibility;</w:t>
      </w:r>
      <w:r w:rsidRPr="00B479AE">
        <w:rPr>
          <w:rFonts w:ascii="Baskerville Old Face" w:hAnsi="Baskerville Old Face"/>
          <w:i/>
          <w:iCs/>
        </w:rPr>
        <w:br/>
      </w:r>
      <w:r w:rsidRPr="00B479AE">
        <w:rPr>
          <w:rFonts w:ascii="Baskerville Old Face" w:hAnsi="Baskerville Old Face"/>
          <w:i/>
          <w:iCs/>
        </w:rPr>
        <w:lastRenderedPageBreak/>
        <w:t>• anti-double-counting controls;</w:t>
      </w:r>
      <w:r w:rsidRPr="00B479AE">
        <w:rPr>
          <w:rFonts w:ascii="Baskerville Old Face" w:hAnsi="Baskerville Old Face"/>
          <w:i/>
          <w:iCs/>
        </w:rPr>
        <w:br/>
        <w:t>• public-claim discipline.</w:t>
      </w:r>
    </w:p>
    <w:p w14:paraId="6069DCF4"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boundary protects Prometheus from premature financialization.</w:t>
      </w:r>
    </w:p>
    <w:p w14:paraId="54BF4BA9"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R.25 Regenerative Asset Pool</w:t>
      </w:r>
    </w:p>
    <w:p w14:paraId="49C6679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Regenerative Asset Pool, or RAP, is the portfolio structure through which verified PRUs become institutionally legible.</w:t>
      </w:r>
    </w:p>
    <w:p w14:paraId="5B80D37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RAP aggregates PRUs across multiple regenerative units.</w:t>
      </w:r>
    </w:p>
    <w:p w14:paraId="783E2EC2"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It may include different:</w:t>
      </w:r>
    </w:p>
    <w:p w14:paraId="0494CC34"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geographies;</w:t>
      </w:r>
      <w:r w:rsidRPr="00B479AE">
        <w:rPr>
          <w:rFonts w:ascii="Baskerville Old Face" w:hAnsi="Baskerville Old Face"/>
          <w:i/>
          <w:iCs/>
        </w:rPr>
        <w:br/>
        <w:t>• climates;</w:t>
      </w:r>
      <w:r w:rsidRPr="00B479AE">
        <w:rPr>
          <w:rFonts w:ascii="Baskerville Old Face" w:hAnsi="Baskerville Old Face"/>
          <w:i/>
          <w:iCs/>
        </w:rPr>
        <w:br/>
        <w:t>• operators;</w:t>
      </w:r>
      <w:r w:rsidRPr="00B479AE">
        <w:rPr>
          <w:rFonts w:ascii="Baskerville Old Face" w:hAnsi="Baskerville Old Face"/>
          <w:i/>
          <w:iCs/>
        </w:rPr>
        <w:br/>
        <w:t>• maturity stages;</w:t>
      </w:r>
      <w:r w:rsidRPr="00B479AE">
        <w:rPr>
          <w:rFonts w:ascii="Baskerville Old Face" w:hAnsi="Baskerville Old Face"/>
          <w:i/>
          <w:iCs/>
        </w:rPr>
        <w:br/>
        <w:t>• species designs;</w:t>
      </w:r>
      <w:r w:rsidRPr="00B479AE">
        <w:rPr>
          <w:rFonts w:ascii="Baskerville Old Face" w:hAnsi="Baskerville Old Face"/>
          <w:i/>
          <w:iCs/>
        </w:rPr>
        <w:br/>
        <w:t>• revenue channels;</w:t>
      </w:r>
      <w:r w:rsidRPr="00B479AE">
        <w:rPr>
          <w:rFonts w:ascii="Baskerville Old Face" w:hAnsi="Baskerville Old Face"/>
          <w:i/>
          <w:iCs/>
        </w:rPr>
        <w:br/>
        <w:t>• legal wrappers;</w:t>
      </w:r>
      <w:r w:rsidRPr="00B479AE">
        <w:rPr>
          <w:rFonts w:ascii="Baskerville Old Face" w:hAnsi="Baskerville Old Face"/>
          <w:i/>
          <w:iCs/>
        </w:rPr>
        <w:br/>
        <w:t>• MRV profiles;</w:t>
      </w:r>
      <w:r w:rsidRPr="00B479AE">
        <w:rPr>
          <w:rFonts w:ascii="Baskerville Old Face" w:hAnsi="Baskerville Old Face"/>
          <w:i/>
          <w:iCs/>
        </w:rPr>
        <w:br/>
        <w:t>• governance contexts.</w:t>
      </w:r>
    </w:p>
    <w:p w14:paraId="5B6AA6F4"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purpose of a RAP is to create:</w:t>
      </w:r>
    </w:p>
    <w:p w14:paraId="2593C418" w14:textId="19D1A268"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diversification;</w:t>
      </w:r>
      <w:r w:rsidRPr="00B479AE">
        <w:rPr>
          <w:rFonts w:ascii="Baskerville Old Face" w:hAnsi="Baskerville Old Face"/>
          <w:i/>
          <w:iCs/>
        </w:rPr>
        <w:br/>
        <w:t>• risk distribution;</w:t>
      </w:r>
      <w:r w:rsidRPr="00B479AE">
        <w:rPr>
          <w:rFonts w:ascii="Baskerville Old Face" w:hAnsi="Baskerville Old Face"/>
          <w:i/>
          <w:iCs/>
        </w:rPr>
        <w:br/>
        <w:t>• portfolio monitoring;</w:t>
      </w:r>
      <w:r w:rsidRPr="00B479AE">
        <w:rPr>
          <w:rFonts w:ascii="Baskerville Old Face" w:hAnsi="Baskerville Old Face"/>
          <w:i/>
          <w:iCs/>
        </w:rPr>
        <w:br/>
        <w:t>• investor reporting;</w:t>
      </w:r>
      <w:r w:rsidRPr="00B479AE">
        <w:rPr>
          <w:rFonts w:ascii="Baskerville Old Face" w:hAnsi="Baskerville Old Face"/>
          <w:i/>
          <w:iCs/>
        </w:rPr>
        <w:br/>
        <w:t xml:space="preserve">• </w:t>
      </w:r>
      <w:r w:rsidR="001C0DFB" w:rsidRPr="00B479AE">
        <w:rPr>
          <w:rFonts w:ascii="Baskerville Old Face" w:hAnsi="Baskerville Old Face"/>
          <w:i/>
          <w:iCs/>
        </w:rPr>
        <w:t>maturity-classification logic</w:t>
      </w:r>
      <w:r w:rsidRPr="00B479AE">
        <w:rPr>
          <w:rFonts w:ascii="Baskerville Old Face" w:hAnsi="Baskerville Old Face"/>
          <w:i/>
          <w:iCs/>
        </w:rPr>
        <w:t>;</w:t>
      </w:r>
      <w:r w:rsidRPr="00B479AE">
        <w:rPr>
          <w:rFonts w:ascii="Baskerville Old Face" w:hAnsi="Baskerville Old Face"/>
          <w:i/>
          <w:iCs/>
        </w:rPr>
        <w:br/>
        <w:t>• insurance or guarantee compatibility;</w:t>
      </w:r>
      <w:r w:rsidRPr="00B479AE">
        <w:rPr>
          <w:rFonts w:ascii="Baskerville Old Face" w:hAnsi="Baskerville Old Face"/>
          <w:i/>
          <w:iCs/>
        </w:rPr>
        <w:br/>
        <w:t>• capital deployment scale;</w:t>
      </w:r>
      <w:r w:rsidRPr="00B479AE">
        <w:rPr>
          <w:rFonts w:ascii="Baskerville Old Face" w:hAnsi="Baskerville Old Face"/>
          <w:i/>
          <w:iCs/>
        </w:rPr>
        <w:br/>
        <w:t>• future structured-finance analysis;</w:t>
      </w:r>
      <w:r w:rsidRPr="00B479AE">
        <w:rPr>
          <w:rFonts w:ascii="Baskerville Old Face" w:hAnsi="Baskerville Old Face"/>
          <w:i/>
          <w:iCs/>
        </w:rPr>
        <w:br/>
        <w:t>• possible compliant tokenized representation.</w:t>
      </w:r>
    </w:p>
    <w:p w14:paraId="30D6A45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RAP is the bridge between project-level regeneration and portfolio-level finance.</w:t>
      </w:r>
    </w:p>
    <w:p w14:paraId="356A518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lastRenderedPageBreak/>
        <w:t>A single regenerative unit can prove the model.</w:t>
      </w:r>
    </w:p>
    <w:p w14:paraId="4AC57D6E"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RAP can scale it.</w:t>
      </w:r>
    </w:p>
    <w:p w14:paraId="171C9560"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R.26 RAP portfolio construction</w:t>
      </w:r>
    </w:p>
    <w:p w14:paraId="3E9B5433"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RAP portfolio construction should consider multiple dimensions.</w:t>
      </w:r>
    </w:p>
    <w:p w14:paraId="67F9F793"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Geographic diversification</w:t>
      </w:r>
    </w:p>
    <w:p w14:paraId="7B9BB471"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Different sites reduce exposure to local climate, regulatory, operational, or market shocks.</w:t>
      </w:r>
    </w:p>
    <w:p w14:paraId="1F663E6D" w14:textId="2F3325E5"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Ecological diversification</w:t>
      </w:r>
    </w:p>
    <w:p w14:paraId="30759A5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Different species, designs, soil contexts, water systems, and biodiversity profiles reduce biological concentration risk.</w:t>
      </w:r>
    </w:p>
    <w:p w14:paraId="2AADCA2D"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Maturity diversification</w:t>
      </w:r>
    </w:p>
    <w:p w14:paraId="6831F564"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Young systems may offer growth potential.</w:t>
      </w:r>
    </w:p>
    <w:p w14:paraId="5F9FDD62"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Mature systems may offer evidence continuity and greater stability.</w:t>
      </w:r>
    </w:p>
    <w:p w14:paraId="12FCF390"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Operator diversification</w:t>
      </w:r>
    </w:p>
    <w:p w14:paraId="0D18919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Different operators reduce dependence on one stewardship team.</w:t>
      </w:r>
    </w:p>
    <w:p w14:paraId="02950846"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Revenue diversification</w:t>
      </w:r>
    </w:p>
    <w:p w14:paraId="2A6B196E"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Hospitality, food, ecosystem services, education, data, procurement, and other revenues may behave differently across contexts.</w:t>
      </w:r>
    </w:p>
    <w:p w14:paraId="69BB6D0C" w14:textId="77777777"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MRV diversification</w:t>
      </w:r>
    </w:p>
    <w:p w14:paraId="56535F44"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Different evidence sources and verification methods strengthen the reliability of portfolio-level reporting.</w:t>
      </w:r>
    </w:p>
    <w:p w14:paraId="577AA1D9"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objective is not complexity for its own sake.</w:t>
      </w:r>
    </w:p>
    <w:p w14:paraId="169FDC2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objective is resilience.</w:t>
      </w:r>
    </w:p>
    <w:p w14:paraId="15591663" w14:textId="77777777" w:rsidR="00D939BD" w:rsidRPr="005907F1" w:rsidRDefault="00D939BD" w:rsidP="00D939BD">
      <w:pPr>
        <w:spacing w:line="360" w:lineRule="auto"/>
        <w:rPr>
          <w:rFonts w:ascii="Baskerville Old Face" w:hAnsi="Baskerville Old Face"/>
          <w:i/>
          <w:iCs/>
          <w:lang w:val="it-IT"/>
        </w:rPr>
      </w:pPr>
      <w:r w:rsidRPr="00B479AE">
        <w:rPr>
          <w:rFonts w:ascii="Baskerville Old Face" w:hAnsi="Baskerville Old Face"/>
          <w:i/>
          <w:iCs/>
        </w:rPr>
        <w:t xml:space="preserve">Perfetto. </w:t>
      </w:r>
      <w:r w:rsidRPr="005907F1">
        <w:rPr>
          <w:rFonts w:ascii="Baskerville Old Face" w:hAnsi="Baskerville Old Face"/>
          <w:i/>
          <w:iCs/>
          <w:lang w:val="it-IT"/>
        </w:rPr>
        <w:t>Procediamo con:</w:t>
      </w:r>
    </w:p>
    <w:p w14:paraId="03234198" w14:textId="5C873264" w:rsidR="00D939BD" w:rsidRPr="005907F1" w:rsidRDefault="00D939BD" w:rsidP="00D939BD">
      <w:pPr>
        <w:spacing w:line="360" w:lineRule="auto"/>
        <w:rPr>
          <w:rFonts w:ascii="Baskerville Old Face" w:hAnsi="Baskerville Old Face"/>
          <w:b/>
          <w:bCs/>
          <w:i/>
          <w:iCs/>
          <w:lang w:val="it-IT"/>
        </w:rPr>
      </w:pPr>
      <w:r w:rsidRPr="005907F1">
        <w:rPr>
          <w:rFonts w:ascii="Baskerville Old Face" w:hAnsi="Baskerville Old Face"/>
          <w:b/>
          <w:bCs/>
          <w:i/>
          <w:iCs/>
          <w:lang w:val="it-IT"/>
        </w:rPr>
        <w:lastRenderedPageBreak/>
        <w:t>RAP Portfolio Aggregation Function</w:t>
      </w:r>
    </w:p>
    <w:p w14:paraId="7A982541"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A Regenerative Asset Pool, or RAP, is the portfolio-level aggregation of PRU-relevant regenerative units.</w:t>
      </w:r>
    </w:p>
    <w:p w14:paraId="39DA21EE"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At its most basic level, a RAP may be represented as:</w:t>
      </w:r>
    </w:p>
    <w:p w14:paraId="005486D9"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RAP = {PRU</w:t>
      </w:r>
      <w:r w:rsidRPr="00B479AE">
        <w:rPr>
          <w:rFonts w:ascii="Cambria Math" w:hAnsi="Cambria Math" w:cs="Cambria Math"/>
          <w:i/>
          <w:iCs/>
        </w:rPr>
        <w:t>₁</w:t>
      </w:r>
      <w:r w:rsidRPr="00B479AE">
        <w:rPr>
          <w:rFonts w:ascii="Baskerville Old Face" w:hAnsi="Baskerville Old Face"/>
          <w:i/>
          <w:iCs/>
        </w:rPr>
        <w:t>, PRU</w:t>
      </w:r>
      <w:r w:rsidRPr="00B479AE">
        <w:rPr>
          <w:rFonts w:ascii="Cambria Math" w:hAnsi="Cambria Math" w:cs="Cambria Math"/>
          <w:i/>
          <w:iCs/>
        </w:rPr>
        <w:t>₂</w:t>
      </w:r>
      <w:r w:rsidRPr="00B479AE">
        <w:rPr>
          <w:rFonts w:ascii="Baskerville Old Face" w:hAnsi="Baskerville Old Face"/>
          <w:i/>
          <w:iCs/>
        </w:rPr>
        <w:t>, PRU</w:t>
      </w:r>
      <w:r w:rsidRPr="00B479AE">
        <w:rPr>
          <w:rFonts w:ascii="Cambria Math" w:hAnsi="Cambria Math" w:cs="Cambria Math"/>
          <w:i/>
          <w:iCs/>
        </w:rPr>
        <w:t>₃</w:t>
      </w:r>
      <w:r w:rsidRPr="00B479AE">
        <w:rPr>
          <w:rFonts w:ascii="Baskerville Old Face" w:hAnsi="Baskerville Old Face"/>
          <w:i/>
          <w:iCs/>
        </w:rPr>
        <w:t xml:space="preserve">, </w:t>
      </w:r>
      <w:r w:rsidRPr="00B479AE">
        <w:rPr>
          <w:rFonts w:ascii="Baskerville Old Face" w:hAnsi="Baskerville Old Face" w:cs="Baskerville Old Face"/>
          <w:i/>
          <w:iCs/>
        </w:rPr>
        <w:t>…</w:t>
      </w:r>
      <w:r w:rsidRPr="00B479AE">
        <w:rPr>
          <w:rFonts w:ascii="Baskerville Old Face" w:hAnsi="Baskerville Old Face"/>
          <w:i/>
          <w:iCs/>
        </w:rPr>
        <w:t>, PRU</w:t>
      </w:r>
      <w:r w:rsidRPr="00B479AE">
        <w:rPr>
          <w:rFonts w:ascii="Cambria Math" w:hAnsi="Cambria Math" w:cs="Cambria Math"/>
          <w:i/>
          <w:iCs/>
        </w:rPr>
        <w:t>ₙ</w:t>
      </w:r>
      <w:r w:rsidRPr="00B479AE">
        <w:rPr>
          <w:rFonts w:ascii="Baskerville Old Face" w:hAnsi="Baskerville Old Face"/>
          <w:i/>
          <w:iCs/>
        </w:rPr>
        <w:t>}</w:t>
      </w:r>
    </w:p>
    <w:p w14:paraId="45C5EF13"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This expression defines the RAP as a collection of PRU-relevant units.</w:t>
      </w:r>
    </w:p>
    <w:p w14:paraId="5571873E"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However, a mature RAP is not a simple sum.</w:t>
      </w:r>
    </w:p>
    <w:p w14:paraId="7F5E277E"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A portfolio of regenerative units must account for evidence quality, ecological diversification, geography, maturity, operator reliability, revenue diversity, governance maturity, legal readiness, and concentration risk.</w:t>
      </w:r>
    </w:p>
    <w:p w14:paraId="5A1E0209"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A conceptual RAP portfolio function may therefore be expressed as:</w:t>
      </w:r>
    </w:p>
    <w:p w14:paraId="4C40F773"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RAP_score = f(</w:t>
      </w:r>
      <w:r w:rsidRPr="00B479AE">
        <w:rPr>
          <w:rFonts w:ascii="Cambria" w:hAnsi="Cambria" w:cs="Cambria"/>
          <w:i/>
          <w:iCs/>
        </w:rPr>
        <w:t>Σ</w:t>
      </w:r>
      <w:r w:rsidRPr="00B479AE">
        <w:rPr>
          <w:rFonts w:ascii="Baskerville Old Face" w:hAnsi="Baskerville Old Face"/>
          <w:i/>
          <w:iCs/>
        </w:rPr>
        <w:t xml:space="preserve"> PRU_i_adj, D_geo, D_eco, D_operator, D_revenue, MRV_conf, G_maturity, L_readiness, R_concentration)</w:t>
      </w:r>
    </w:p>
    <w:p w14:paraId="7361CAFE"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Where:</w:t>
      </w:r>
    </w:p>
    <w:p w14:paraId="09B578C6"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PRU_i_adj = confidence-adjusted PRU analysis for unit i.</w:t>
      </w:r>
      <w:r w:rsidRPr="00B479AE">
        <w:rPr>
          <w:rFonts w:ascii="Baskerville Old Face" w:hAnsi="Baskerville Old Face"/>
          <w:i/>
          <w:iCs/>
        </w:rPr>
        <w:br/>
        <w:t>D_geo = geographic diversification.</w:t>
      </w:r>
      <w:r w:rsidRPr="00B479AE">
        <w:rPr>
          <w:rFonts w:ascii="Baskerville Old Face" w:hAnsi="Baskerville Old Face"/>
          <w:i/>
          <w:iCs/>
        </w:rPr>
        <w:br/>
        <w:t>D_eco = ecological diversification.</w:t>
      </w:r>
      <w:r w:rsidRPr="00B479AE">
        <w:rPr>
          <w:rFonts w:ascii="Baskerville Old Face" w:hAnsi="Baskerville Old Face"/>
          <w:i/>
          <w:iCs/>
        </w:rPr>
        <w:br/>
        <w:t>D_operator = operator or steward diversification.</w:t>
      </w:r>
      <w:r w:rsidRPr="00B479AE">
        <w:rPr>
          <w:rFonts w:ascii="Baskerville Old Face" w:hAnsi="Baskerville Old Face"/>
          <w:i/>
          <w:iCs/>
        </w:rPr>
        <w:br/>
        <w:t>D_revenue = revenue-channel diversification.</w:t>
      </w:r>
      <w:r w:rsidRPr="00B479AE">
        <w:rPr>
          <w:rFonts w:ascii="Baskerville Old Face" w:hAnsi="Baskerville Old Face"/>
          <w:i/>
          <w:iCs/>
        </w:rPr>
        <w:br/>
        <w:t>MRV_conf = portfolio-level MRV confidence.</w:t>
      </w:r>
      <w:r w:rsidRPr="00B479AE">
        <w:rPr>
          <w:rFonts w:ascii="Baskerville Old Face" w:hAnsi="Baskerville Old Face"/>
          <w:i/>
          <w:iCs/>
        </w:rPr>
        <w:br/>
        <w:t>G_maturity = governance maturity.</w:t>
      </w:r>
      <w:r w:rsidRPr="00B479AE">
        <w:rPr>
          <w:rFonts w:ascii="Baskerville Old Face" w:hAnsi="Baskerville Old Face"/>
          <w:i/>
          <w:iCs/>
        </w:rPr>
        <w:br/>
        <w:t>L_readiness = legal readiness.</w:t>
      </w:r>
      <w:r w:rsidRPr="00B479AE">
        <w:rPr>
          <w:rFonts w:ascii="Baskerville Old Face" w:hAnsi="Baskerville Old Face"/>
          <w:i/>
          <w:iCs/>
        </w:rPr>
        <w:br/>
        <w:t>R_concentration = concentration risk.</w:t>
      </w:r>
    </w:p>
    <w:p w14:paraId="11E6F935"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This function does not create automatic portfolio value.</w:t>
      </w:r>
    </w:p>
    <w:p w14:paraId="64F31F59"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It does not create a fund.</w:t>
      </w:r>
    </w:p>
    <w:p w14:paraId="5E0682E8"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It does not create investor rights.</w:t>
      </w:r>
    </w:p>
    <w:p w14:paraId="3AD8D580"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lastRenderedPageBreak/>
        <w:t>It does not create securitization eligibility.</w:t>
      </w:r>
    </w:p>
    <w:p w14:paraId="2B835376"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It does not create token issuance.</w:t>
      </w:r>
    </w:p>
    <w:p w14:paraId="6825A60A"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It expresses a portfolio-readiness principle:</w:t>
      </w:r>
    </w:p>
    <w:p w14:paraId="075FB51D"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a RAP becomes institutionally stronger when verified regenerative performance is combined with diversification, evidence quality, governance maturity, legal readiness, and reduced concentration risk.</w:t>
      </w:r>
    </w:p>
    <w:p w14:paraId="7DB3C717"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A simplified risk-adjusted portfolio expression may be written as:</w:t>
      </w:r>
    </w:p>
    <w:p w14:paraId="74E9A7FA" w14:textId="77777777" w:rsidR="00D939BD" w:rsidRPr="005907F1" w:rsidRDefault="00D939BD" w:rsidP="00D939BD">
      <w:pPr>
        <w:spacing w:line="360" w:lineRule="auto"/>
        <w:rPr>
          <w:rFonts w:ascii="Baskerville Old Face" w:hAnsi="Baskerville Old Face"/>
          <w:i/>
          <w:iCs/>
          <w:lang w:val="it-IT"/>
        </w:rPr>
      </w:pPr>
      <w:r w:rsidRPr="005907F1">
        <w:rPr>
          <w:rFonts w:ascii="Baskerville Old Face" w:hAnsi="Baskerville Old Face"/>
          <w:i/>
          <w:iCs/>
          <w:lang w:val="it-IT"/>
        </w:rPr>
        <w:t xml:space="preserve">RAP_readiness = </w:t>
      </w:r>
      <w:r w:rsidRPr="00B479AE">
        <w:rPr>
          <w:rFonts w:ascii="Cambria" w:hAnsi="Cambria" w:cs="Cambria"/>
          <w:i/>
          <w:iCs/>
        </w:rPr>
        <w:t>Σ</w:t>
      </w:r>
      <w:r w:rsidRPr="005907F1">
        <w:rPr>
          <w:rFonts w:ascii="Baskerville Old Face" w:hAnsi="Baskerville Old Face"/>
          <w:i/>
          <w:iCs/>
          <w:lang w:val="it-IT"/>
        </w:rPr>
        <w:t xml:space="preserve">(PRU_i_adj </w:t>
      </w:r>
      <w:r w:rsidRPr="005907F1">
        <w:rPr>
          <w:rFonts w:ascii="Baskerville Old Face" w:hAnsi="Baskerville Old Face" w:cs="Baskerville Old Face"/>
          <w:i/>
          <w:iCs/>
          <w:lang w:val="it-IT"/>
        </w:rPr>
        <w:t>×</w:t>
      </w:r>
      <w:r w:rsidRPr="005907F1">
        <w:rPr>
          <w:rFonts w:ascii="Baskerville Old Face" w:hAnsi="Baskerville Old Face"/>
          <w:i/>
          <w:iCs/>
          <w:lang w:val="it-IT"/>
        </w:rPr>
        <w:t xml:space="preserve"> w_i) </w:t>
      </w:r>
      <w:r w:rsidRPr="005907F1">
        <w:rPr>
          <w:rFonts w:ascii="Baskerville Old Face" w:hAnsi="Baskerville Old Face" w:cs="Baskerville Old Face"/>
          <w:i/>
          <w:iCs/>
          <w:lang w:val="it-IT"/>
        </w:rPr>
        <w:t>×</w:t>
      </w:r>
      <w:r w:rsidRPr="005907F1">
        <w:rPr>
          <w:rFonts w:ascii="Baskerville Old Face" w:hAnsi="Baskerville Old Face"/>
          <w:i/>
          <w:iCs/>
          <w:lang w:val="it-IT"/>
        </w:rPr>
        <w:t xml:space="preserve"> D_portfolio </w:t>
      </w:r>
      <w:r w:rsidRPr="005907F1">
        <w:rPr>
          <w:rFonts w:ascii="Baskerville Old Face" w:hAnsi="Baskerville Old Face" w:cs="Baskerville Old Face"/>
          <w:i/>
          <w:iCs/>
          <w:lang w:val="it-IT"/>
        </w:rPr>
        <w:t>×</w:t>
      </w:r>
      <w:r w:rsidRPr="005907F1">
        <w:rPr>
          <w:rFonts w:ascii="Baskerville Old Face" w:hAnsi="Baskerville Old Face"/>
          <w:i/>
          <w:iCs/>
          <w:lang w:val="it-IT"/>
        </w:rPr>
        <w:t xml:space="preserve"> C_portfolio </w:t>
      </w:r>
      <w:r w:rsidRPr="005907F1">
        <w:rPr>
          <w:rFonts w:ascii="Baskerville Old Face" w:hAnsi="Baskerville Old Face" w:cs="Baskerville Old Face"/>
          <w:i/>
          <w:iCs/>
          <w:lang w:val="it-IT"/>
        </w:rPr>
        <w:t>×</w:t>
      </w:r>
      <w:r w:rsidRPr="005907F1">
        <w:rPr>
          <w:rFonts w:ascii="Baskerville Old Face" w:hAnsi="Baskerville Old Face"/>
          <w:i/>
          <w:iCs/>
          <w:lang w:val="it-IT"/>
        </w:rPr>
        <w:t xml:space="preserve"> L_portfolio</w:t>
      </w:r>
    </w:p>
    <w:p w14:paraId="42DE0DF1"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Where:</w:t>
      </w:r>
    </w:p>
    <w:p w14:paraId="5BC9B496"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w_i = portfolio weight assigned to unit i.</w:t>
      </w:r>
      <w:r w:rsidRPr="00B479AE">
        <w:rPr>
          <w:rFonts w:ascii="Baskerville Old Face" w:hAnsi="Baskerville Old Face"/>
          <w:i/>
          <w:iCs/>
        </w:rPr>
        <w:br/>
        <w:t>D_portfolio = diversification factor.</w:t>
      </w:r>
      <w:r w:rsidRPr="00B479AE">
        <w:rPr>
          <w:rFonts w:ascii="Baskerville Old Face" w:hAnsi="Baskerville Old Face"/>
          <w:i/>
          <w:iCs/>
        </w:rPr>
        <w:br/>
        <w:t>C_portfolio = portfolio-level confidence factor.</w:t>
      </w:r>
      <w:r w:rsidRPr="00B479AE">
        <w:rPr>
          <w:rFonts w:ascii="Baskerville Old Face" w:hAnsi="Baskerville Old Face"/>
          <w:i/>
          <w:iCs/>
        </w:rPr>
        <w:br/>
        <w:t>L_portfolio = legal and structural readiness factor.</w:t>
      </w:r>
    </w:p>
    <w:p w14:paraId="6421B6C1"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This expression is methodological.</w:t>
      </w:r>
    </w:p>
    <w:p w14:paraId="7C6D0943"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It should not be interpreted as an automatic valuation model.</w:t>
      </w:r>
    </w:p>
    <w:p w14:paraId="7E0958E8"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Its purpose is to show that portfolio quality depends not only on the number of units aggregated, but on the quality, diversity, legality, and evidence strength of the underlying units.</w:t>
      </w:r>
    </w:p>
    <w:p w14:paraId="47A4A901"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A RAP may become stronger when:</w:t>
      </w:r>
    </w:p>
    <w:p w14:paraId="12F4546C"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geographic exposure is diversified;</w:t>
      </w:r>
      <w:r w:rsidRPr="00B479AE">
        <w:rPr>
          <w:rFonts w:ascii="Baskerville Old Face" w:hAnsi="Baskerville Old Face"/>
          <w:i/>
          <w:iCs/>
        </w:rPr>
        <w:br/>
        <w:t>ecological designs are diversified;</w:t>
      </w:r>
      <w:r w:rsidRPr="00B479AE">
        <w:rPr>
          <w:rFonts w:ascii="Baskerville Old Face" w:hAnsi="Baskerville Old Face"/>
          <w:i/>
          <w:iCs/>
        </w:rPr>
        <w:br/>
        <w:t>operators are diversified;</w:t>
      </w:r>
      <w:r w:rsidRPr="00B479AE">
        <w:rPr>
          <w:rFonts w:ascii="Baskerville Old Face" w:hAnsi="Baskerville Old Face"/>
          <w:i/>
          <w:iCs/>
        </w:rPr>
        <w:br/>
        <w:t>maturity stages are balanced;</w:t>
      </w:r>
      <w:r w:rsidRPr="00B479AE">
        <w:rPr>
          <w:rFonts w:ascii="Baskerville Old Face" w:hAnsi="Baskerville Old Face"/>
          <w:i/>
          <w:iCs/>
        </w:rPr>
        <w:br/>
        <w:t>revenue sources are not overly concentrated;</w:t>
      </w:r>
      <w:r w:rsidRPr="00B479AE">
        <w:rPr>
          <w:rFonts w:ascii="Baskerville Old Face" w:hAnsi="Baskerville Old Face"/>
          <w:i/>
          <w:iCs/>
        </w:rPr>
        <w:br/>
        <w:t>MRV evidence is consistent;</w:t>
      </w:r>
      <w:r w:rsidRPr="00B479AE">
        <w:rPr>
          <w:rFonts w:ascii="Baskerville Old Face" w:hAnsi="Baskerville Old Face"/>
          <w:i/>
          <w:iCs/>
        </w:rPr>
        <w:br/>
        <w:t>governance records are complete;</w:t>
      </w:r>
      <w:r w:rsidRPr="00B479AE">
        <w:rPr>
          <w:rFonts w:ascii="Baskerville Old Face" w:hAnsi="Baskerville Old Face"/>
          <w:i/>
          <w:iCs/>
        </w:rPr>
        <w:br/>
        <w:t>legal structures are clear;</w:t>
      </w:r>
      <w:r w:rsidRPr="00B479AE">
        <w:rPr>
          <w:rFonts w:ascii="Baskerville Old Face" w:hAnsi="Baskerville Old Face"/>
          <w:i/>
          <w:iCs/>
        </w:rPr>
        <w:br/>
        <w:t>continuity systems are preserved.</w:t>
      </w:r>
    </w:p>
    <w:p w14:paraId="42576A88"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lastRenderedPageBreak/>
        <w:t>A RAP may become weaker when:</w:t>
      </w:r>
    </w:p>
    <w:p w14:paraId="2E9EBF32"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too many units depend on the same climate risk;</w:t>
      </w:r>
      <w:r w:rsidRPr="00B479AE">
        <w:rPr>
          <w:rFonts w:ascii="Baskerville Old Face" w:hAnsi="Baskerville Old Face"/>
          <w:i/>
          <w:iCs/>
        </w:rPr>
        <w:br/>
        <w:t>too many units depend on the same operator;</w:t>
      </w:r>
      <w:r w:rsidRPr="00B479AE">
        <w:rPr>
          <w:rFonts w:ascii="Baskerville Old Face" w:hAnsi="Baskerville Old Face"/>
          <w:i/>
          <w:iCs/>
        </w:rPr>
        <w:br/>
        <w:t>evidence quality is inconsistent;</w:t>
      </w:r>
      <w:r w:rsidRPr="00B479AE">
        <w:rPr>
          <w:rFonts w:ascii="Baskerville Old Face" w:hAnsi="Baskerville Old Face"/>
          <w:i/>
          <w:iCs/>
        </w:rPr>
        <w:br/>
        <w:t>legal rights are unclear;</w:t>
      </w:r>
      <w:r w:rsidRPr="00B479AE">
        <w:rPr>
          <w:rFonts w:ascii="Baskerville Old Face" w:hAnsi="Baskerville Old Face"/>
          <w:i/>
          <w:iCs/>
        </w:rPr>
        <w:br/>
        <w:t>cash flows are speculative;</w:t>
      </w:r>
      <w:r w:rsidRPr="00B479AE">
        <w:rPr>
          <w:rFonts w:ascii="Baskerville Old Face" w:hAnsi="Baskerville Old Face"/>
          <w:i/>
          <w:iCs/>
        </w:rPr>
        <w:br/>
        <w:t>ecological claims are immature;</w:t>
      </w:r>
      <w:r w:rsidRPr="00B479AE">
        <w:rPr>
          <w:rFonts w:ascii="Baskerville Old Face" w:hAnsi="Baskerville Old Face"/>
          <w:i/>
          <w:iCs/>
        </w:rPr>
        <w:br/>
        <w:t>governance is underdeveloped;</w:t>
      </w:r>
      <w:r w:rsidRPr="00B479AE">
        <w:rPr>
          <w:rFonts w:ascii="Baskerville Old Face" w:hAnsi="Baskerville Old Face"/>
          <w:i/>
          <w:iCs/>
        </w:rPr>
        <w:br/>
        <w:t>token or investor language exceeds admissibility.</w:t>
      </w:r>
    </w:p>
    <w:p w14:paraId="1B19A833"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The correct sequence is:</w:t>
      </w:r>
    </w:p>
    <w:p w14:paraId="4256677F"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 xml:space="preserve">verified unit performance </w:t>
      </w:r>
      <w:r w:rsidRPr="00B479AE">
        <w:rPr>
          <w:rFonts w:ascii="Times New Roman" w:hAnsi="Times New Roman" w:cs="Times New Roman"/>
          <w:i/>
          <w:iCs/>
        </w:rPr>
        <w:t>→</w:t>
      </w:r>
      <w:r w:rsidRPr="00B479AE">
        <w:rPr>
          <w:rFonts w:ascii="Baskerville Old Face" w:hAnsi="Baskerville Old Face"/>
          <w:i/>
          <w:iCs/>
        </w:rPr>
        <w:t xml:space="preserve"> confidence-adjusted PRU analysis </w:t>
      </w:r>
      <w:r w:rsidRPr="00B479AE">
        <w:rPr>
          <w:rFonts w:ascii="Times New Roman" w:hAnsi="Times New Roman" w:cs="Times New Roman"/>
          <w:i/>
          <w:iCs/>
        </w:rPr>
        <w:t>→</w:t>
      </w:r>
      <w:r w:rsidRPr="00B479AE">
        <w:rPr>
          <w:rFonts w:ascii="Baskerville Old Face" w:hAnsi="Baskerville Old Face"/>
          <w:i/>
          <w:iCs/>
        </w:rPr>
        <w:t xml:space="preserve"> portfolio diversification </w:t>
      </w:r>
      <w:r w:rsidRPr="00B479AE">
        <w:rPr>
          <w:rFonts w:ascii="Times New Roman" w:hAnsi="Times New Roman" w:cs="Times New Roman"/>
          <w:i/>
          <w:iCs/>
        </w:rPr>
        <w:t>→</w:t>
      </w:r>
      <w:r w:rsidRPr="00B479AE">
        <w:rPr>
          <w:rFonts w:ascii="Baskerville Old Face" w:hAnsi="Baskerville Old Face"/>
          <w:i/>
          <w:iCs/>
        </w:rPr>
        <w:t xml:space="preserve"> RAP readiness </w:t>
      </w:r>
      <w:r w:rsidRPr="00B479AE">
        <w:rPr>
          <w:rFonts w:ascii="Times New Roman" w:hAnsi="Times New Roman" w:cs="Times New Roman"/>
          <w:i/>
          <w:iCs/>
        </w:rPr>
        <w:t>→</w:t>
      </w:r>
      <w:r w:rsidRPr="00B479AE">
        <w:rPr>
          <w:rFonts w:ascii="Baskerville Old Face" w:hAnsi="Baskerville Old Face"/>
          <w:i/>
          <w:iCs/>
        </w:rPr>
        <w:t xml:space="preserve"> legal structuring </w:t>
      </w:r>
      <w:r w:rsidRPr="00B479AE">
        <w:rPr>
          <w:rFonts w:ascii="Times New Roman" w:hAnsi="Times New Roman" w:cs="Times New Roman"/>
          <w:i/>
          <w:iCs/>
        </w:rPr>
        <w:t>→</w:t>
      </w:r>
      <w:r w:rsidRPr="00B479AE">
        <w:rPr>
          <w:rFonts w:ascii="Baskerville Old Face" w:hAnsi="Baskerville Old Face"/>
          <w:i/>
          <w:iCs/>
        </w:rPr>
        <w:t xml:space="preserve"> capital pathway</w:t>
      </w:r>
    </w:p>
    <w:p w14:paraId="07CD4B1B"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This protects Prometheus from premature aggregation.</w:t>
      </w:r>
    </w:p>
    <w:p w14:paraId="69C707B9"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A weak PRU does not become strong merely because it is placed inside a portfolio.</w:t>
      </w:r>
    </w:p>
    <w:p w14:paraId="138037E6"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A group of immature claims does not become institutional infrastructure by being bundled.</w:t>
      </w:r>
    </w:p>
    <w:p w14:paraId="38ED376A"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The RAP exists to aggregate verified regenerative performance, not to launder uncertainty.</w:t>
      </w:r>
    </w:p>
    <w:p w14:paraId="7F73B492"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The portfolio principle is therefore:</w:t>
      </w:r>
    </w:p>
    <w:p w14:paraId="14E347CB"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diversification improves resilience only when the underlying units are real, verified, and reviewable.</w:t>
      </w:r>
    </w:p>
    <w:p w14:paraId="6E45E8DF"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Prometheus uses RAP logic to move from local evidence to capital-scale infrastructure while preserving the integrity of each living system inside the portfolio.</w:t>
      </w:r>
    </w:p>
    <w:p w14:paraId="25391699" w14:textId="77777777" w:rsidR="00D939BD" w:rsidRPr="00B479AE" w:rsidRDefault="00D939BD" w:rsidP="00D939BD">
      <w:pPr>
        <w:spacing w:line="360" w:lineRule="auto"/>
        <w:rPr>
          <w:rFonts w:ascii="Baskerville Old Face" w:hAnsi="Baskerville Old Face"/>
          <w:b/>
          <w:bCs/>
          <w:i/>
          <w:iCs/>
        </w:rPr>
      </w:pPr>
      <w:r w:rsidRPr="00B479AE">
        <w:rPr>
          <w:rFonts w:ascii="Baskerville Old Face" w:hAnsi="Baskerville Old Face"/>
          <w:b/>
          <w:bCs/>
          <w:i/>
          <w:iCs/>
        </w:rPr>
        <w:t>Formula boundary</w:t>
      </w:r>
    </w:p>
    <w:p w14:paraId="1A24B311"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This RAP formula should always be read through the following boundary:</w:t>
      </w:r>
    </w:p>
    <w:p w14:paraId="0CF65198" w14:textId="77777777"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t>RAP_score and RAP_readiness are analytical portfolio-readiness functions.</w:t>
      </w:r>
    </w:p>
    <w:p w14:paraId="30400209" w14:textId="4E796837" w:rsidR="00F912A0" w:rsidRPr="00B479AE" w:rsidRDefault="00F912A0" w:rsidP="00D939BD">
      <w:pPr>
        <w:spacing w:line="360" w:lineRule="auto"/>
        <w:rPr>
          <w:rFonts w:ascii="Baskerville Old Face" w:hAnsi="Baskerville Old Face"/>
          <w:i/>
          <w:iCs/>
        </w:rPr>
      </w:pPr>
      <w:r w:rsidRPr="00B479AE">
        <w:rPr>
          <w:rFonts w:ascii="Baskerville Old Face" w:hAnsi="Baskerville Old Face"/>
          <w:i/>
          <w:iCs/>
        </w:rPr>
        <w:t>They do not create market price, fund status, investor rights, securities, tokenized-instrument status, collateral recognition, credit rating, or securitization eligibility.</w:t>
      </w:r>
    </w:p>
    <w:p w14:paraId="331CB508" w14:textId="35D46553" w:rsidR="00D939BD" w:rsidRPr="00B479AE" w:rsidRDefault="00D939BD" w:rsidP="00D939BD">
      <w:pPr>
        <w:spacing w:line="360" w:lineRule="auto"/>
        <w:rPr>
          <w:rFonts w:ascii="Baskerville Old Face" w:hAnsi="Baskerville Old Face"/>
          <w:i/>
          <w:iCs/>
        </w:rPr>
      </w:pPr>
      <w:r w:rsidRPr="00B479AE">
        <w:rPr>
          <w:rFonts w:ascii="Baskerville Old Face" w:hAnsi="Baskerville Old Face"/>
          <w:i/>
          <w:iCs/>
        </w:rPr>
        <w:lastRenderedPageBreak/>
        <w:t>They may support institutional diligence only where PRU methodology, MRV admissibility, legal review, governance review, data-room discipline, disclosure, and jurisdiction-specific compliance are present.</w:t>
      </w:r>
    </w:p>
    <w:p w14:paraId="6F9A3304" w14:textId="735EFF2D" w:rsidR="00A75549" w:rsidRPr="00B479AE" w:rsidRDefault="00A75549" w:rsidP="00A75549">
      <w:pPr>
        <w:spacing w:line="360" w:lineRule="auto"/>
        <w:rPr>
          <w:rFonts w:ascii="Baskerville Old Face" w:hAnsi="Baskerville Old Face"/>
          <w:b/>
          <w:bCs/>
          <w:i/>
          <w:iCs/>
        </w:rPr>
      </w:pPr>
      <w:r w:rsidRPr="00B479AE">
        <w:rPr>
          <w:rFonts w:ascii="Baskerville Old Face" w:hAnsi="Baskerville Old Face"/>
          <w:b/>
          <w:bCs/>
          <w:i/>
          <w:iCs/>
        </w:rPr>
        <w:t>Regenerative Portfolio Risk Function</w:t>
      </w:r>
    </w:p>
    <w:p w14:paraId="09A40730"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A Regenerative Asset Pool must be evaluated not only by the sum of its PRU-relevant units, but also by the risk structure that emerges across the portfolio.</w:t>
      </w:r>
    </w:p>
    <w:p w14:paraId="74B461AD"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A single regenerative unit may be strong in isolation and still contribute concentration risk if too many units share the same climate exposure, operator dependency, revenue channel, legal structure, or evidence weakness.</w:t>
      </w:r>
    </w:p>
    <w:p w14:paraId="47140E40"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Portfolio risk may be expressed conceptually as:</w:t>
      </w:r>
    </w:p>
    <w:p w14:paraId="6773965F"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RAP_risk = f(R_unit, R_geo, R_climate, R_operator, R_revenue, R_MRV, R_legal, R_governance, R_continuity)</w:t>
      </w:r>
    </w:p>
    <w:p w14:paraId="585CB4A5"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Where:</w:t>
      </w:r>
    </w:p>
    <w:p w14:paraId="778AFAA0"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R_unit = risk of individual PRU-relevant units.</w:t>
      </w:r>
      <w:r w:rsidRPr="00B479AE">
        <w:rPr>
          <w:rFonts w:ascii="Baskerville Old Face" w:hAnsi="Baskerville Old Face"/>
          <w:i/>
          <w:iCs/>
        </w:rPr>
        <w:br/>
        <w:t>R_geo = geographic concentration risk.</w:t>
      </w:r>
      <w:r w:rsidRPr="00B479AE">
        <w:rPr>
          <w:rFonts w:ascii="Baskerville Old Face" w:hAnsi="Baskerville Old Face"/>
          <w:i/>
          <w:iCs/>
        </w:rPr>
        <w:br/>
        <w:t>R_climate = climate, drought, flood, fire, heat, or hydrological risk.</w:t>
      </w:r>
      <w:r w:rsidRPr="00B479AE">
        <w:rPr>
          <w:rFonts w:ascii="Baskerville Old Face" w:hAnsi="Baskerville Old Face"/>
          <w:i/>
          <w:iCs/>
        </w:rPr>
        <w:br/>
        <w:t>R_operator = operator, steward, or execution concentration risk.</w:t>
      </w:r>
      <w:r w:rsidRPr="00B479AE">
        <w:rPr>
          <w:rFonts w:ascii="Baskerville Old Face" w:hAnsi="Baskerville Old Face"/>
          <w:i/>
          <w:iCs/>
        </w:rPr>
        <w:br/>
        <w:t>R_revenue = revenue-channel concentration or volatility risk.</w:t>
      </w:r>
      <w:r w:rsidRPr="00B479AE">
        <w:rPr>
          <w:rFonts w:ascii="Baskerville Old Face" w:hAnsi="Baskerville Old Face"/>
          <w:i/>
          <w:iCs/>
        </w:rPr>
        <w:br/>
        <w:t>R_MRV = evidence, provenance, confidence, or verification risk.</w:t>
      </w:r>
      <w:r w:rsidRPr="00B479AE">
        <w:rPr>
          <w:rFonts w:ascii="Baskerville Old Face" w:hAnsi="Baskerville Old Face"/>
          <w:i/>
          <w:iCs/>
        </w:rPr>
        <w:br/>
        <w:t>R_legal = legal structure, rights, land, data, investor, or jurisdictional risk.</w:t>
      </w:r>
      <w:r w:rsidRPr="00B479AE">
        <w:rPr>
          <w:rFonts w:ascii="Baskerville Old Face" w:hAnsi="Baskerville Old Face"/>
          <w:i/>
          <w:iCs/>
        </w:rPr>
        <w:br/>
        <w:t>R_governance = governance maturity, role clarity, conflict, or capture risk.</w:t>
      </w:r>
      <w:r w:rsidRPr="00B479AE">
        <w:rPr>
          <w:rFonts w:ascii="Baskerville Old Face" w:hAnsi="Baskerville Old Face"/>
          <w:i/>
          <w:iCs/>
        </w:rPr>
        <w:br/>
        <w:t>R_continuity = archive, data, canonical, infrastructure, or operational continuity risk.</w:t>
      </w:r>
    </w:p>
    <w:p w14:paraId="29BDC06A"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This formula is an analytical risk-mapping function.</w:t>
      </w:r>
    </w:p>
    <w:p w14:paraId="6F8B78BF"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It does not create an automatic portfolio rating.</w:t>
      </w:r>
    </w:p>
    <w:p w14:paraId="54A43A36"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It does not determine investor eligibility.</w:t>
      </w:r>
    </w:p>
    <w:p w14:paraId="3B5A0927"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It does not create financing approval.</w:t>
      </w:r>
    </w:p>
    <w:p w14:paraId="081DE75A"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It does not create a credit rating.</w:t>
      </w:r>
    </w:p>
    <w:p w14:paraId="7E41146D"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lastRenderedPageBreak/>
        <w:t>It does not create insurance eligibility.</w:t>
      </w:r>
    </w:p>
    <w:p w14:paraId="21B9844C"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It does not replace underwriting.</w:t>
      </w:r>
    </w:p>
    <w:p w14:paraId="65152442"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It helps Prometheus identify which risks are reducible through portfolio construction and which risks require governance, legal, MRV, operational, or ecological intervention.</w:t>
      </w:r>
    </w:p>
    <w:p w14:paraId="771CF135"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A simplified portfolio risk expression may be written as:</w:t>
      </w:r>
    </w:p>
    <w:p w14:paraId="2C5E7A69"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 xml:space="preserve">RAP_risk_adj = R_gross × (1 </w:t>
      </w:r>
      <w:r w:rsidRPr="00B479AE">
        <w:rPr>
          <w:rFonts w:ascii="Cambria Math" w:hAnsi="Cambria Math" w:cs="Cambria Math"/>
          <w:i/>
          <w:iCs/>
        </w:rPr>
        <w:t>−</w:t>
      </w:r>
      <w:r w:rsidRPr="00B479AE">
        <w:rPr>
          <w:rFonts w:ascii="Baskerville Old Face" w:hAnsi="Baskerville Old Face"/>
          <w:i/>
          <w:iCs/>
        </w:rPr>
        <w:t xml:space="preserve"> D_effective) </w:t>
      </w:r>
      <w:r w:rsidRPr="00B479AE">
        <w:rPr>
          <w:rFonts w:ascii="Baskerville Old Face" w:hAnsi="Baskerville Old Face" w:cs="Baskerville Old Face"/>
          <w:i/>
          <w:iCs/>
        </w:rPr>
        <w:t>×</w:t>
      </w:r>
      <w:r w:rsidRPr="00B479AE">
        <w:rPr>
          <w:rFonts w:ascii="Baskerville Old Face" w:hAnsi="Baskerville Old Face"/>
          <w:i/>
          <w:iCs/>
        </w:rPr>
        <w:t xml:space="preserve"> C_uncertainty </w:t>
      </w:r>
      <w:r w:rsidRPr="00B479AE">
        <w:rPr>
          <w:rFonts w:ascii="Baskerville Old Face" w:hAnsi="Baskerville Old Face" w:cs="Baskerville Old Face"/>
          <w:i/>
          <w:iCs/>
        </w:rPr>
        <w:t>×</w:t>
      </w:r>
      <w:r w:rsidRPr="00B479AE">
        <w:rPr>
          <w:rFonts w:ascii="Baskerville Old Face" w:hAnsi="Baskerville Old Face"/>
          <w:i/>
          <w:iCs/>
        </w:rPr>
        <w:t xml:space="preserve"> L_gap</w:t>
      </w:r>
    </w:p>
    <w:p w14:paraId="3F8AE73C"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Where:</w:t>
      </w:r>
    </w:p>
    <w:p w14:paraId="4ED5C183"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R_gross = gross portfolio risk before diversification.</w:t>
      </w:r>
      <w:r w:rsidRPr="00B479AE">
        <w:rPr>
          <w:rFonts w:ascii="Baskerville Old Face" w:hAnsi="Baskerville Old Face"/>
          <w:i/>
          <w:iCs/>
        </w:rPr>
        <w:br/>
        <w:t>D_effective = effective diversification factor.</w:t>
      </w:r>
      <w:r w:rsidRPr="00B479AE">
        <w:rPr>
          <w:rFonts w:ascii="Baskerville Old Face" w:hAnsi="Baskerville Old Face"/>
          <w:i/>
          <w:iCs/>
        </w:rPr>
        <w:br/>
        <w:t>C_uncertainty = confidence or evidence uncertainty factor.</w:t>
      </w:r>
      <w:r w:rsidRPr="00B479AE">
        <w:rPr>
          <w:rFonts w:ascii="Baskerville Old Face" w:hAnsi="Baskerville Old Face"/>
          <w:i/>
          <w:iCs/>
        </w:rPr>
        <w:br/>
        <w:t>L_gap = legal and structural incompleteness factor.</w:t>
      </w:r>
    </w:p>
    <w:p w14:paraId="796D9AD3"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The meaning is straightforward.</w:t>
      </w:r>
    </w:p>
    <w:p w14:paraId="7CD9817E"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Diversification may reduce portfolio risk only when diversification is real.</w:t>
      </w:r>
    </w:p>
    <w:p w14:paraId="3F49ADE4"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Evidence uncertainty may increase effective risk.</w:t>
      </w:r>
    </w:p>
    <w:p w14:paraId="08A0EC0F"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Legal incompleteness may increase effective risk.</w:t>
      </w:r>
    </w:p>
    <w:p w14:paraId="3A4F0DE5" w14:textId="77777777" w:rsidR="003154A1" w:rsidRPr="00B479AE" w:rsidRDefault="003154A1" w:rsidP="003154A1">
      <w:pPr>
        <w:spacing w:line="360" w:lineRule="auto"/>
        <w:rPr>
          <w:rFonts w:ascii="Baskerville Old Face" w:hAnsi="Baskerville Old Face"/>
          <w:i/>
          <w:iCs/>
        </w:rPr>
      </w:pPr>
      <w:r w:rsidRPr="00B479AE">
        <w:rPr>
          <w:rFonts w:ascii="Baskerville Old Face" w:hAnsi="Baskerville Old Face"/>
          <w:i/>
          <w:iCs/>
        </w:rPr>
        <w:t>A RAP made of many weak units is not diversified resilience.</w:t>
      </w:r>
    </w:p>
    <w:p w14:paraId="39AA864F" w14:textId="05D4D19A" w:rsidR="003154A1" w:rsidRPr="00B479AE" w:rsidRDefault="003154A1" w:rsidP="003154A1">
      <w:pPr>
        <w:spacing w:line="360" w:lineRule="auto"/>
        <w:rPr>
          <w:rFonts w:ascii="Baskerville Old Face" w:hAnsi="Baskerville Old Face"/>
          <w:i/>
          <w:iCs/>
        </w:rPr>
      </w:pPr>
      <w:r w:rsidRPr="00B479AE">
        <w:rPr>
          <w:rFonts w:ascii="Baskerville Old Face" w:hAnsi="Baskerville Old Face"/>
          <w:i/>
          <w:iCs/>
        </w:rPr>
        <w:t>It is distributed fragility presented as diversification.</w:t>
      </w:r>
    </w:p>
    <w:p w14:paraId="5FAC4EDF"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Prometheus should therefore distinguish between:</w:t>
      </w:r>
    </w:p>
    <w:p w14:paraId="705A9B26"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nominal diversification and effective diversification.</w:t>
      </w:r>
    </w:p>
    <w:p w14:paraId="5EFEEE59"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Nominal diversification means that a portfolio contains many units.</w:t>
      </w:r>
    </w:p>
    <w:p w14:paraId="750ABBBF"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Effective diversification means that the units reduce shared exposure across geography, climate, operator, design, revenue, legal structure, and evidence quality.</w:t>
      </w:r>
    </w:p>
    <w:p w14:paraId="37D19269"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A RAP may reduce risk when:</w:t>
      </w:r>
    </w:p>
    <w:p w14:paraId="7DEAA214"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lastRenderedPageBreak/>
        <w:t>units are located in different climate zones;</w:t>
      </w:r>
      <w:r w:rsidRPr="00B479AE">
        <w:rPr>
          <w:rFonts w:ascii="Baskerville Old Face" w:hAnsi="Baskerville Old Face"/>
          <w:i/>
          <w:iCs/>
        </w:rPr>
        <w:br/>
        <w:t>operators are independent and competent;</w:t>
      </w:r>
      <w:r w:rsidRPr="00B479AE">
        <w:rPr>
          <w:rFonts w:ascii="Baskerville Old Face" w:hAnsi="Baskerville Old Face"/>
          <w:i/>
          <w:iCs/>
        </w:rPr>
        <w:br/>
        <w:t>species designs are not identical;</w:t>
      </w:r>
      <w:r w:rsidRPr="00B479AE">
        <w:rPr>
          <w:rFonts w:ascii="Baskerville Old Face" w:hAnsi="Baskerville Old Face"/>
          <w:i/>
          <w:iCs/>
        </w:rPr>
        <w:br/>
        <w:t>revenue channels are diversified;</w:t>
      </w:r>
      <w:r w:rsidRPr="00B479AE">
        <w:rPr>
          <w:rFonts w:ascii="Baskerville Old Face" w:hAnsi="Baskerville Old Face"/>
          <w:i/>
          <w:iCs/>
        </w:rPr>
        <w:br/>
        <w:t>MRV evidence is consistent across sites;</w:t>
      </w:r>
      <w:r w:rsidRPr="00B479AE">
        <w:rPr>
          <w:rFonts w:ascii="Baskerville Old Face" w:hAnsi="Baskerville Old Face"/>
          <w:i/>
          <w:iCs/>
        </w:rPr>
        <w:br/>
        <w:t>legal structures are coherent;</w:t>
      </w:r>
      <w:r w:rsidRPr="00B479AE">
        <w:rPr>
          <w:rFonts w:ascii="Baskerville Old Face" w:hAnsi="Baskerville Old Face"/>
          <w:i/>
          <w:iCs/>
        </w:rPr>
        <w:br/>
        <w:t>governance pathways are clear;</w:t>
      </w:r>
      <w:r w:rsidRPr="00B479AE">
        <w:rPr>
          <w:rFonts w:ascii="Baskerville Old Face" w:hAnsi="Baskerville Old Face"/>
          <w:i/>
          <w:iCs/>
        </w:rPr>
        <w:br/>
        <w:t>continuity archives are preserved;</w:t>
      </w:r>
      <w:r w:rsidRPr="00B479AE">
        <w:rPr>
          <w:rFonts w:ascii="Baskerville Old Face" w:hAnsi="Baskerville Old Face"/>
          <w:i/>
          <w:iCs/>
        </w:rPr>
        <w:br/>
        <w:t>adverse events are reported transparently.</w:t>
      </w:r>
    </w:p>
    <w:p w14:paraId="2D58D499"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A RAP may increase risk when:</w:t>
      </w:r>
    </w:p>
    <w:p w14:paraId="43E0CAD2"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many units depend on the same vulnerable water source;</w:t>
      </w:r>
      <w:r w:rsidRPr="00B479AE">
        <w:rPr>
          <w:rFonts w:ascii="Baskerville Old Face" w:hAnsi="Baskerville Old Face"/>
          <w:i/>
          <w:iCs/>
        </w:rPr>
        <w:br/>
        <w:t>many units depend on one operator;</w:t>
      </w:r>
      <w:r w:rsidRPr="00B479AE">
        <w:rPr>
          <w:rFonts w:ascii="Baskerville Old Face" w:hAnsi="Baskerville Old Face"/>
          <w:i/>
          <w:iCs/>
        </w:rPr>
        <w:br/>
        <w:t>many units use the same immature methodology;</w:t>
      </w:r>
      <w:r w:rsidRPr="00B479AE">
        <w:rPr>
          <w:rFonts w:ascii="Baskerville Old Face" w:hAnsi="Baskerville Old Face"/>
          <w:i/>
          <w:iCs/>
        </w:rPr>
        <w:br/>
        <w:t>many units rely on speculative revenue;</w:t>
      </w:r>
      <w:r w:rsidRPr="00B479AE">
        <w:rPr>
          <w:rFonts w:ascii="Baskerville Old Face" w:hAnsi="Baskerville Old Face"/>
          <w:i/>
          <w:iCs/>
        </w:rPr>
        <w:br/>
        <w:t>many units have weak MRV;</w:t>
      </w:r>
      <w:r w:rsidRPr="00B479AE">
        <w:rPr>
          <w:rFonts w:ascii="Baskerville Old Face" w:hAnsi="Baskerville Old Face"/>
          <w:i/>
          <w:iCs/>
        </w:rPr>
        <w:br/>
        <w:t>many units are legally ambiguous;</w:t>
      </w:r>
      <w:r w:rsidRPr="00B479AE">
        <w:rPr>
          <w:rFonts w:ascii="Baskerville Old Face" w:hAnsi="Baskerville Old Face"/>
          <w:i/>
          <w:iCs/>
        </w:rPr>
        <w:br/>
        <w:t>many units share unresolved governance conflicts;</w:t>
      </w:r>
      <w:r w:rsidRPr="00B479AE">
        <w:rPr>
          <w:rFonts w:ascii="Baskerville Old Face" w:hAnsi="Baskerville Old Face"/>
          <w:i/>
          <w:iCs/>
        </w:rPr>
        <w:br/>
        <w:t>many units use token or investor language beyond admissibility.</w:t>
      </w:r>
    </w:p>
    <w:p w14:paraId="21D1C0F1"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The portfolio rule is:</w:t>
      </w:r>
    </w:p>
    <w:p w14:paraId="06E3B18D"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aggregation is not diversification unless shared risk decreases.</w:t>
      </w:r>
    </w:p>
    <w:p w14:paraId="681F1316"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The review pathway should therefore be:</w:t>
      </w:r>
    </w:p>
    <w:p w14:paraId="0B2C1AEC"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 xml:space="preserve">unit risk </w:t>
      </w:r>
      <w:r w:rsidRPr="00B479AE">
        <w:rPr>
          <w:rFonts w:ascii="Times New Roman" w:hAnsi="Times New Roman" w:cs="Times New Roman"/>
          <w:i/>
          <w:iCs/>
        </w:rPr>
        <w:t>→</w:t>
      </w:r>
      <w:r w:rsidRPr="00B479AE">
        <w:rPr>
          <w:rFonts w:ascii="Baskerville Old Face" w:hAnsi="Baskerville Old Face"/>
          <w:i/>
          <w:iCs/>
        </w:rPr>
        <w:t xml:space="preserve"> correlation analysis </w:t>
      </w:r>
      <w:r w:rsidRPr="00B479AE">
        <w:rPr>
          <w:rFonts w:ascii="Times New Roman" w:hAnsi="Times New Roman" w:cs="Times New Roman"/>
          <w:i/>
          <w:iCs/>
        </w:rPr>
        <w:t>→</w:t>
      </w:r>
      <w:r w:rsidRPr="00B479AE">
        <w:rPr>
          <w:rFonts w:ascii="Baskerville Old Face" w:hAnsi="Baskerville Old Face"/>
          <w:i/>
          <w:iCs/>
        </w:rPr>
        <w:t xml:space="preserve"> diversification review </w:t>
      </w:r>
      <w:r w:rsidRPr="00B479AE">
        <w:rPr>
          <w:rFonts w:ascii="Times New Roman" w:hAnsi="Times New Roman" w:cs="Times New Roman"/>
          <w:i/>
          <w:iCs/>
        </w:rPr>
        <w:t>→</w:t>
      </w:r>
      <w:r w:rsidRPr="00B479AE">
        <w:rPr>
          <w:rFonts w:ascii="Baskerville Old Face" w:hAnsi="Baskerville Old Face"/>
          <w:i/>
          <w:iCs/>
        </w:rPr>
        <w:t xml:space="preserve"> evidence confidence </w:t>
      </w:r>
      <w:r w:rsidRPr="00B479AE">
        <w:rPr>
          <w:rFonts w:ascii="Times New Roman" w:hAnsi="Times New Roman" w:cs="Times New Roman"/>
          <w:i/>
          <w:iCs/>
        </w:rPr>
        <w:t>→</w:t>
      </w:r>
      <w:r w:rsidRPr="00B479AE">
        <w:rPr>
          <w:rFonts w:ascii="Baskerville Old Face" w:hAnsi="Baskerville Old Face"/>
          <w:i/>
          <w:iCs/>
        </w:rPr>
        <w:t xml:space="preserve"> legal readiness </w:t>
      </w:r>
      <w:r w:rsidRPr="00B479AE">
        <w:rPr>
          <w:rFonts w:ascii="Times New Roman" w:hAnsi="Times New Roman" w:cs="Times New Roman"/>
          <w:i/>
          <w:iCs/>
        </w:rPr>
        <w:t>→</w:t>
      </w:r>
      <w:r w:rsidRPr="00B479AE">
        <w:rPr>
          <w:rFonts w:ascii="Baskerville Old Face" w:hAnsi="Baskerville Old Face"/>
          <w:i/>
          <w:iCs/>
        </w:rPr>
        <w:t xml:space="preserve"> portfolio risk interpretation</w:t>
      </w:r>
    </w:p>
    <w:p w14:paraId="361180BD"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A regenerative portfolio becomes capital-ready only when its diversification is real, its evidence is reviewable, its legal structure is clear, and its governance can metabolize complexity.</w:t>
      </w:r>
    </w:p>
    <w:p w14:paraId="5884A48E"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This is the difference between a collection of projects and an investable regenerative infrastructure portfolio.</w:t>
      </w:r>
    </w:p>
    <w:p w14:paraId="39711FFB" w14:textId="77777777" w:rsidR="00C15FBF" w:rsidRDefault="00C15FBF" w:rsidP="00A75549">
      <w:pPr>
        <w:spacing w:line="360" w:lineRule="auto"/>
        <w:rPr>
          <w:rFonts w:ascii="Baskerville Old Face" w:hAnsi="Baskerville Old Face"/>
          <w:b/>
          <w:bCs/>
          <w:i/>
          <w:iCs/>
        </w:rPr>
      </w:pPr>
    </w:p>
    <w:p w14:paraId="53B2A4F6" w14:textId="6D0A266D" w:rsidR="00A75549" w:rsidRPr="00B479AE" w:rsidRDefault="00A75549" w:rsidP="00A75549">
      <w:pPr>
        <w:spacing w:line="360" w:lineRule="auto"/>
        <w:rPr>
          <w:rFonts w:ascii="Baskerville Old Face" w:hAnsi="Baskerville Old Face"/>
          <w:b/>
          <w:bCs/>
          <w:i/>
          <w:iCs/>
        </w:rPr>
      </w:pPr>
      <w:r w:rsidRPr="00B479AE">
        <w:rPr>
          <w:rFonts w:ascii="Baskerville Old Face" w:hAnsi="Baskerville Old Face"/>
          <w:b/>
          <w:bCs/>
          <w:i/>
          <w:iCs/>
        </w:rPr>
        <w:lastRenderedPageBreak/>
        <w:t>Formula boundary</w:t>
      </w:r>
    </w:p>
    <w:p w14:paraId="076F64B0"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RAP_risk and RAP_risk_adj are analytical portfolio-risk functions.</w:t>
      </w:r>
    </w:p>
    <w:p w14:paraId="577655F4"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They do not constitute regulated credit ratings, securities ratings, insurance ratings, investment recommendations, guarantees, or promises of risk reduction.</w:t>
      </w:r>
    </w:p>
    <w:p w14:paraId="71CC5D4F" w14:textId="77777777" w:rsidR="00A75549" w:rsidRPr="00B479AE" w:rsidRDefault="00A75549" w:rsidP="00A75549">
      <w:pPr>
        <w:spacing w:line="360" w:lineRule="auto"/>
        <w:rPr>
          <w:rFonts w:ascii="Baskerville Old Face" w:hAnsi="Baskerville Old Face"/>
          <w:i/>
          <w:iCs/>
        </w:rPr>
      </w:pPr>
      <w:r w:rsidRPr="00B479AE">
        <w:rPr>
          <w:rFonts w:ascii="Baskerville Old Face" w:hAnsi="Baskerville Old Face"/>
          <w:i/>
          <w:iCs/>
        </w:rPr>
        <w:t>They may support diligence, portfolio construction, underwriting discussion, and capital-readiness review only where PRU methodology, MRV evidence, legal review, governance review, disclosure, and jurisdiction-specific compliance are present.</w:t>
      </w:r>
    </w:p>
    <w:p w14:paraId="75807E43" w14:textId="4E74C54F"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 xml:space="preserve">R.27 </w:t>
      </w:r>
      <w:r w:rsidR="00392FEB" w:rsidRPr="00B479AE">
        <w:rPr>
          <w:rFonts w:ascii="Baskerville Old Face" w:hAnsi="Baskerville Old Face"/>
          <w:b/>
          <w:bCs/>
          <w:i/>
          <w:iCs/>
        </w:rPr>
        <w:t xml:space="preserve">PRU maturity classes </w:t>
      </w:r>
    </w:p>
    <w:p w14:paraId="5D78C72D" w14:textId="76FB5B22" w:rsidR="00B961DF" w:rsidRPr="00B479AE" w:rsidRDefault="00392FEB" w:rsidP="00B961DF">
      <w:pPr>
        <w:spacing w:line="360" w:lineRule="auto"/>
        <w:rPr>
          <w:rFonts w:ascii="Baskerville Old Face" w:hAnsi="Baskerville Old Face"/>
          <w:i/>
          <w:iCs/>
        </w:rPr>
      </w:pPr>
      <w:r w:rsidRPr="00B479AE">
        <w:rPr>
          <w:rFonts w:ascii="Baskerville Old Face" w:hAnsi="Baskerville Old Face"/>
          <w:i/>
          <w:iCs/>
        </w:rPr>
        <w:t>PRU maturity classes</w:t>
      </w:r>
      <w:r w:rsidR="00B961DF" w:rsidRPr="00B479AE">
        <w:rPr>
          <w:rFonts w:ascii="Baskerville Old Face" w:hAnsi="Baskerville Old Face"/>
          <w:i/>
          <w:iCs/>
        </w:rPr>
        <w:t xml:space="preserve"> should support internal analysis, portfolio screening, capital-readiness review, and institutional diligence.</w:t>
      </w:r>
    </w:p>
    <w:p w14:paraId="7D7DE67B"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They should not be presented as official credit ratings, securities ratings, or regulated investment ratings unless legally authorized.</w:t>
      </w:r>
    </w:p>
    <w:p w14:paraId="61FFF46B" w14:textId="467B73CE"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Prometheus-native analytical maturity scale may be:</w:t>
      </w:r>
    </w:p>
    <w:p w14:paraId="335090E7"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PRU-R0 = Conceptual</w:t>
      </w:r>
    </w:p>
    <w:p w14:paraId="34D3B434"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PRU-R1 = Observed</w:t>
      </w:r>
    </w:p>
    <w:p w14:paraId="38B4F0E7"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PRU-R2 = Evidence-backed</w:t>
      </w:r>
    </w:p>
    <w:p w14:paraId="108AA8B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PRU-R3 = MRV-admissible</w:t>
      </w:r>
    </w:p>
    <w:p w14:paraId="3277ED78"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PRU-R4 = PRU-eligible</w:t>
      </w:r>
    </w:p>
    <w:p w14:paraId="3DDDDEC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PRU-R5 = Reviewed</w:t>
      </w:r>
    </w:p>
    <w:p w14:paraId="03B82507"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PRU-R6 = Structured-ready</w:t>
      </w:r>
    </w:p>
    <w:p w14:paraId="4A7141E1" w14:textId="548CBBBC" w:rsidR="00B961DF" w:rsidRDefault="00B961DF" w:rsidP="00B961DF">
      <w:pPr>
        <w:spacing w:line="360" w:lineRule="auto"/>
        <w:rPr>
          <w:rFonts w:ascii="Baskerville Old Face" w:hAnsi="Baskerville Old Face"/>
          <w:i/>
          <w:iCs/>
        </w:rPr>
      </w:pPr>
      <w:r w:rsidRPr="00B479AE">
        <w:rPr>
          <w:rFonts w:ascii="Baskerville Old Face" w:hAnsi="Baskerville Old Face"/>
          <w:i/>
          <w:iCs/>
        </w:rPr>
        <w:t>PRU-R7 = Legally structured</w:t>
      </w:r>
      <w:r w:rsidR="006F0BB5" w:rsidRPr="00B479AE">
        <w:rPr>
          <w:rFonts w:ascii="Baskerville Old Face" w:hAnsi="Baskerville Old Face"/>
          <w:i/>
          <w:iCs/>
        </w:rPr>
        <w:t xml:space="preserve"> </w:t>
      </w:r>
    </w:p>
    <w:p w14:paraId="3603E968" w14:textId="77777777" w:rsidR="00C15FBF" w:rsidRPr="00B479AE" w:rsidRDefault="00C15FBF" w:rsidP="00B961DF">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6"/>
        <w:gridCol w:w="4989"/>
        <w:gridCol w:w="2793"/>
      </w:tblGrid>
      <w:tr w:rsidR="00B961DF" w:rsidRPr="00B479AE" w14:paraId="5FF9609E" w14:textId="77777777" w:rsidTr="00B961DF">
        <w:trPr>
          <w:tblHeader/>
          <w:tblCellSpacing w:w="15" w:type="dxa"/>
        </w:trPr>
        <w:tc>
          <w:tcPr>
            <w:tcW w:w="0" w:type="auto"/>
            <w:vAlign w:val="center"/>
            <w:hideMark/>
          </w:tcPr>
          <w:p w14:paraId="75F92163" w14:textId="074C9900" w:rsidR="00B961DF" w:rsidRPr="00B479AE" w:rsidRDefault="00A3259A" w:rsidP="00B961DF">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lastRenderedPageBreak/>
              <w:t>PRU maturity class</w:t>
            </w:r>
          </w:p>
        </w:tc>
        <w:tc>
          <w:tcPr>
            <w:tcW w:w="0" w:type="auto"/>
            <w:vAlign w:val="center"/>
            <w:hideMark/>
          </w:tcPr>
          <w:p w14:paraId="7182CC32" w14:textId="77777777" w:rsidR="00B961DF" w:rsidRPr="00B479AE" w:rsidRDefault="00B961DF" w:rsidP="00B961DF">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Meaning</w:t>
            </w:r>
          </w:p>
        </w:tc>
        <w:tc>
          <w:tcPr>
            <w:tcW w:w="0" w:type="auto"/>
            <w:vAlign w:val="center"/>
            <w:hideMark/>
          </w:tcPr>
          <w:p w14:paraId="41E09678" w14:textId="77777777" w:rsidR="00B961DF" w:rsidRPr="00B479AE" w:rsidRDefault="00B961DF" w:rsidP="00B961DF">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Use</w:t>
            </w:r>
          </w:p>
        </w:tc>
      </w:tr>
      <w:tr w:rsidR="00B961DF" w:rsidRPr="00B479AE" w14:paraId="676A0635" w14:textId="77777777" w:rsidTr="00B961DF">
        <w:trPr>
          <w:tblCellSpacing w:w="15" w:type="dxa"/>
        </w:trPr>
        <w:tc>
          <w:tcPr>
            <w:tcW w:w="0" w:type="auto"/>
            <w:vAlign w:val="center"/>
            <w:hideMark/>
          </w:tcPr>
          <w:p w14:paraId="7CFC843B"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PRU-R0 — Conceptual</w:t>
            </w:r>
          </w:p>
        </w:tc>
        <w:tc>
          <w:tcPr>
            <w:tcW w:w="0" w:type="auto"/>
            <w:vAlign w:val="center"/>
            <w:hideMark/>
          </w:tcPr>
          <w:p w14:paraId="7E69CEC8"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i/>
                <w:iCs/>
                <w:sz w:val="20"/>
                <w:szCs w:val="20"/>
              </w:rPr>
              <w:t>Methodology or project thesis exists, but evidence is preliminary.</w:t>
            </w:r>
          </w:p>
        </w:tc>
        <w:tc>
          <w:tcPr>
            <w:tcW w:w="0" w:type="auto"/>
            <w:vAlign w:val="center"/>
            <w:hideMark/>
          </w:tcPr>
          <w:p w14:paraId="3C2EB888"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i/>
                <w:iCs/>
                <w:sz w:val="20"/>
                <w:szCs w:val="20"/>
              </w:rPr>
              <w:t>Research and pilot design.</w:t>
            </w:r>
          </w:p>
        </w:tc>
      </w:tr>
      <w:tr w:rsidR="00B961DF" w:rsidRPr="00B479AE" w14:paraId="29B9FC14" w14:textId="77777777" w:rsidTr="00B961DF">
        <w:trPr>
          <w:tblCellSpacing w:w="15" w:type="dxa"/>
        </w:trPr>
        <w:tc>
          <w:tcPr>
            <w:tcW w:w="0" w:type="auto"/>
            <w:vAlign w:val="center"/>
            <w:hideMark/>
          </w:tcPr>
          <w:p w14:paraId="697D000F"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PRU-R1 — Observed</w:t>
            </w:r>
          </w:p>
        </w:tc>
        <w:tc>
          <w:tcPr>
            <w:tcW w:w="0" w:type="auto"/>
            <w:vAlign w:val="center"/>
            <w:hideMark/>
          </w:tcPr>
          <w:p w14:paraId="7B78335C"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i/>
                <w:iCs/>
                <w:sz w:val="20"/>
                <w:szCs w:val="20"/>
              </w:rPr>
              <w:t>Field observations and early records exist.</w:t>
            </w:r>
          </w:p>
        </w:tc>
        <w:tc>
          <w:tcPr>
            <w:tcW w:w="0" w:type="auto"/>
            <w:vAlign w:val="center"/>
            <w:hideMark/>
          </w:tcPr>
          <w:p w14:paraId="4D57508C"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i/>
                <w:iCs/>
                <w:sz w:val="20"/>
                <w:szCs w:val="20"/>
              </w:rPr>
              <w:t>Internal monitoring and learning.</w:t>
            </w:r>
          </w:p>
        </w:tc>
      </w:tr>
      <w:tr w:rsidR="00B961DF" w:rsidRPr="00B479AE" w14:paraId="480284F6" w14:textId="77777777" w:rsidTr="00B961DF">
        <w:trPr>
          <w:tblCellSpacing w:w="15" w:type="dxa"/>
        </w:trPr>
        <w:tc>
          <w:tcPr>
            <w:tcW w:w="0" w:type="auto"/>
            <w:vAlign w:val="center"/>
            <w:hideMark/>
          </w:tcPr>
          <w:p w14:paraId="5F085059"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PRU-R2 — Evidence-backed</w:t>
            </w:r>
          </w:p>
        </w:tc>
        <w:tc>
          <w:tcPr>
            <w:tcW w:w="0" w:type="auto"/>
            <w:vAlign w:val="center"/>
            <w:hideMark/>
          </w:tcPr>
          <w:p w14:paraId="5CFF524D"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i/>
                <w:iCs/>
                <w:sz w:val="20"/>
                <w:szCs w:val="20"/>
              </w:rPr>
              <w:t>Evidence with provenance supports selected indicators.</w:t>
            </w:r>
          </w:p>
        </w:tc>
        <w:tc>
          <w:tcPr>
            <w:tcW w:w="0" w:type="auto"/>
            <w:vAlign w:val="center"/>
            <w:hideMark/>
          </w:tcPr>
          <w:p w14:paraId="4A054A5C"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i/>
                <w:iCs/>
                <w:sz w:val="20"/>
                <w:szCs w:val="20"/>
              </w:rPr>
              <w:t>MRV development and pilot reporting.</w:t>
            </w:r>
          </w:p>
        </w:tc>
      </w:tr>
      <w:tr w:rsidR="00B961DF" w:rsidRPr="00B479AE" w14:paraId="655DB1EB" w14:textId="77777777" w:rsidTr="00B961DF">
        <w:trPr>
          <w:tblCellSpacing w:w="15" w:type="dxa"/>
        </w:trPr>
        <w:tc>
          <w:tcPr>
            <w:tcW w:w="0" w:type="auto"/>
            <w:vAlign w:val="center"/>
            <w:hideMark/>
          </w:tcPr>
          <w:p w14:paraId="23B3AD88"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PRU-R3 — MRV-admissible</w:t>
            </w:r>
          </w:p>
        </w:tc>
        <w:tc>
          <w:tcPr>
            <w:tcW w:w="0" w:type="auto"/>
            <w:vAlign w:val="center"/>
            <w:hideMark/>
          </w:tcPr>
          <w:p w14:paraId="3F14FDEB"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i/>
                <w:iCs/>
                <w:sz w:val="20"/>
                <w:szCs w:val="20"/>
              </w:rPr>
              <w:t>Evidence meets MRV methodology under defined scope.</w:t>
            </w:r>
          </w:p>
        </w:tc>
        <w:tc>
          <w:tcPr>
            <w:tcW w:w="0" w:type="auto"/>
            <w:vAlign w:val="center"/>
            <w:hideMark/>
          </w:tcPr>
          <w:p w14:paraId="235DED1A"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i/>
                <w:iCs/>
                <w:sz w:val="20"/>
                <w:szCs w:val="20"/>
              </w:rPr>
              <w:t>Controlled reporting and institutional diligence.</w:t>
            </w:r>
          </w:p>
        </w:tc>
      </w:tr>
      <w:tr w:rsidR="00B961DF" w:rsidRPr="00B479AE" w14:paraId="67E8845E" w14:textId="77777777" w:rsidTr="00B961DF">
        <w:trPr>
          <w:tblCellSpacing w:w="15" w:type="dxa"/>
        </w:trPr>
        <w:tc>
          <w:tcPr>
            <w:tcW w:w="0" w:type="auto"/>
            <w:vAlign w:val="center"/>
            <w:hideMark/>
          </w:tcPr>
          <w:p w14:paraId="567F7C68"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PRU-R4 — PRU-eligible</w:t>
            </w:r>
          </w:p>
        </w:tc>
        <w:tc>
          <w:tcPr>
            <w:tcW w:w="0" w:type="auto"/>
            <w:vAlign w:val="center"/>
            <w:hideMark/>
          </w:tcPr>
          <w:p w14:paraId="73D47B2B"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i/>
                <w:iCs/>
                <w:sz w:val="20"/>
                <w:szCs w:val="20"/>
              </w:rPr>
              <w:t>Evidence may support PRU analysis under approved methodology.</w:t>
            </w:r>
          </w:p>
        </w:tc>
        <w:tc>
          <w:tcPr>
            <w:tcW w:w="0" w:type="auto"/>
            <w:vAlign w:val="center"/>
            <w:hideMark/>
          </w:tcPr>
          <w:p w14:paraId="39861536"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i/>
                <w:iCs/>
                <w:sz w:val="20"/>
                <w:szCs w:val="20"/>
              </w:rPr>
              <w:t>PRU report and capital-readiness review.</w:t>
            </w:r>
          </w:p>
        </w:tc>
      </w:tr>
      <w:tr w:rsidR="00B961DF" w:rsidRPr="00B479AE" w14:paraId="2B22C9D9" w14:textId="77777777" w:rsidTr="00B961DF">
        <w:trPr>
          <w:tblCellSpacing w:w="15" w:type="dxa"/>
        </w:trPr>
        <w:tc>
          <w:tcPr>
            <w:tcW w:w="0" w:type="auto"/>
            <w:vAlign w:val="center"/>
            <w:hideMark/>
          </w:tcPr>
          <w:p w14:paraId="5E2AFC7D"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PRU-R5 — Reviewed</w:t>
            </w:r>
          </w:p>
        </w:tc>
        <w:tc>
          <w:tcPr>
            <w:tcW w:w="0" w:type="auto"/>
            <w:vAlign w:val="center"/>
            <w:hideMark/>
          </w:tcPr>
          <w:p w14:paraId="3225284B"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i/>
                <w:iCs/>
                <w:sz w:val="20"/>
                <w:szCs w:val="20"/>
              </w:rPr>
              <w:t>PRU analysis has undergone appropriate review.</w:t>
            </w:r>
          </w:p>
        </w:tc>
        <w:tc>
          <w:tcPr>
            <w:tcW w:w="0" w:type="auto"/>
            <w:vAlign w:val="center"/>
            <w:hideMark/>
          </w:tcPr>
          <w:p w14:paraId="568799C4"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i/>
                <w:iCs/>
                <w:sz w:val="20"/>
                <w:szCs w:val="20"/>
              </w:rPr>
              <w:t>Portfolio screening and underwriting support.</w:t>
            </w:r>
          </w:p>
        </w:tc>
      </w:tr>
      <w:tr w:rsidR="00B961DF" w:rsidRPr="00B479AE" w14:paraId="3458B5E3" w14:textId="77777777" w:rsidTr="00B961DF">
        <w:trPr>
          <w:tblCellSpacing w:w="15" w:type="dxa"/>
        </w:trPr>
        <w:tc>
          <w:tcPr>
            <w:tcW w:w="0" w:type="auto"/>
            <w:vAlign w:val="center"/>
            <w:hideMark/>
          </w:tcPr>
          <w:p w14:paraId="70A654E8"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PRU-R6 — Structured-ready</w:t>
            </w:r>
          </w:p>
        </w:tc>
        <w:tc>
          <w:tcPr>
            <w:tcW w:w="0" w:type="auto"/>
            <w:vAlign w:val="center"/>
            <w:hideMark/>
          </w:tcPr>
          <w:p w14:paraId="381448A2"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i/>
                <w:iCs/>
                <w:sz w:val="20"/>
                <w:szCs w:val="20"/>
              </w:rPr>
              <w:t>Legal, governance, MRV, and reporting elements are sufficiently mature for structuring review.</w:t>
            </w:r>
          </w:p>
        </w:tc>
        <w:tc>
          <w:tcPr>
            <w:tcW w:w="0" w:type="auto"/>
            <w:vAlign w:val="center"/>
            <w:hideMark/>
          </w:tcPr>
          <w:p w14:paraId="7D334E88"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i/>
                <w:iCs/>
                <w:sz w:val="20"/>
                <w:szCs w:val="20"/>
              </w:rPr>
              <w:t>Possible legal instrument design.</w:t>
            </w:r>
          </w:p>
        </w:tc>
      </w:tr>
      <w:tr w:rsidR="00B961DF" w:rsidRPr="00B479AE" w14:paraId="57AE9F92" w14:textId="77777777" w:rsidTr="00B961DF">
        <w:trPr>
          <w:tblCellSpacing w:w="15" w:type="dxa"/>
        </w:trPr>
        <w:tc>
          <w:tcPr>
            <w:tcW w:w="0" w:type="auto"/>
            <w:vAlign w:val="center"/>
            <w:hideMark/>
          </w:tcPr>
          <w:p w14:paraId="4A469051"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b/>
                <w:bCs/>
                <w:i/>
                <w:iCs/>
                <w:sz w:val="20"/>
                <w:szCs w:val="20"/>
              </w:rPr>
              <w:t>PRU-R7 — Legally structured</w:t>
            </w:r>
          </w:p>
        </w:tc>
        <w:tc>
          <w:tcPr>
            <w:tcW w:w="0" w:type="auto"/>
            <w:vAlign w:val="center"/>
            <w:hideMark/>
          </w:tcPr>
          <w:p w14:paraId="101B5EE0"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i/>
                <w:iCs/>
                <w:sz w:val="20"/>
                <w:szCs w:val="20"/>
              </w:rPr>
              <w:t>PRU logic is connected to a compliant legal instrument.</w:t>
            </w:r>
          </w:p>
        </w:tc>
        <w:tc>
          <w:tcPr>
            <w:tcW w:w="0" w:type="auto"/>
            <w:vAlign w:val="center"/>
            <w:hideMark/>
          </w:tcPr>
          <w:p w14:paraId="05137CFD" w14:textId="77777777" w:rsidR="00B961DF" w:rsidRPr="00B479AE" w:rsidRDefault="00B961DF" w:rsidP="00B961DF">
            <w:pPr>
              <w:spacing w:line="360" w:lineRule="auto"/>
              <w:rPr>
                <w:rFonts w:ascii="Baskerville Old Face" w:hAnsi="Baskerville Old Face"/>
                <w:i/>
                <w:iCs/>
                <w:sz w:val="20"/>
                <w:szCs w:val="20"/>
              </w:rPr>
            </w:pPr>
            <w:r w:rsidRPr="00B479AE">
              <w:rPr>
                <w:rFonts w:ascii="Baskerville Old Face" w:hAnsi="Baskerville Old Face"/>
                <w:i/>
                <w:iCs/>
                <w:sz w:val="20"/>
                <w:szCs w:val="20"/>
              </w:rPr>
              <w:t>Controlled capital deployment where permitted.</w:t>
            </w:r>
          </w:p>
        </w:tc>
      </w:tr>
    </w:tbl>
    <w:p w14:paraId="7614EA33" w14:textId="77777777" w:rsidR="008846D7" w:rsidRPr="00B479AE" w:rsidRDefault="008846D7" w:rsidP="008846D7">
      <w:pPr>
        <w:spacing w:line="360" w:lineRule="auto"/>
        <w:rPr>
          <w:rFonts w:ascii="Baskerville Old Face" w:hAnsi="Baskerville Old Face"/>
          <w:i/>
          <w:iCs/>
        </w:rPr>
      </w:pPr>
      <w:r w:rsidRPr="00B479AE">
        <w:rPr>
          <w:rFonts w:ascii="Baskerville Old Face" w:hAnsi="Baskerville Old Face"/>
          <w:i/>
          <w:iCs/>
        </w:rPr>
        <w:t>The threshold for inclusion in more institutional pools may be set at a minimum Prometheus-native maturity class, such as PRU-R4, PRU-R5, or PRU-R6, depending on methodology maturity, MRV admissibility, legal structure, investor mandate, and portfolio-governance requirements. These classes are analytical maturity classes, not official credit ratings, securities ratings, regulated investment ratings, guarantees, or promises of return.</w:t>
      </w:r>
    </w:p>
    <w:p w14:paraId="612C7D94" w14:textId="316EE95D"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These classes are analytical maturity classes.</w:t>
      </w:r>
    </w:p>
    <w:p w14:paraId="02DA72EE"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They are not promises of return.</w:t>
      </w:r>
    </w:p>
    <w:p w14:paraId="1177D7F9"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They are not external ratings.</w:t>
      </w:r>
    </w:p>
    <w:p w14:paraId="3DA53830"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They are not guarantees.</w:t>
      </w:r>
    </w:p>
    <w:p w14:paraId="066953EC"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They are a disciplined map of evidence and readiness.</w:t>
      </w:r>
    </w:p>
    <w:p w14:paraId="0CFD7C5C" w14:textId="77777777" w:rsidR="00084149"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lastRenderedPageBreak/>
        <w:t xml:space="preserve">R.28 </w:t>
      </w:r>
      <w:r w:rsidR="00084149" w:rsidRPr="00B479AE">
        <w:rPr>
          <w:rFonts w:ascii="Baskerville Old Face" w:hAnsi="Baskerville Old Face"/>
          <w:b/>
          <w:bCs/>
          <w:i/>
          <w:iCs/>
        </w:rPr>
        <w:t xml:space="preserve">maturity-class evolution </w:t>
      </w:r>
    </w:p>
    <w:p w14:paraId="39336DEA" w14:textId="73472FB1" w:rsidR="00B961DF" w:rsidRPr="00B479AE" w:rsidRDefault="00E26FEF" w:rsidP="00B961DF">
      <w:pPr>
        <w:spacing w:line="360" w:lineRule="auto"/>
        <w:rPr>
          <w:rFonts w:ascii="Baskerville Old Face" w:hAnsi="Baskerville Old Face"/>
          <w:i/>
          <w:iCs/>
        </w:rPr>
      </w:pPr>
      <w:r w:rsidRPr="00B479AE">
        <w:rPr>
          <w:rFonts w:ascii="Baskerville Old Face" w:hAnsi="Baskerville Old Face"/>
          <w:i/>
          <w:iCs/>
        </w:rPr>
        <w:t>PRU maturity classes should evolve over time.</w:t>
      </w:r>
    </w:p>
    <w:p w14:paraId="050C8A85"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A new regenerative unit may begin with limited data and therefore lower confidence.</w:t>
      </w:r>
    </w:p>
    <w:p w14:paraId="4D2AC1FE" w14:textId="7D1DF4A1"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xml:space="preserve">If the system performs well, accumulates evidence, improves ecological indicators, reduces variance, and maintains governance discipline, its </w:t>
      </w:r>
      <w:r w:rsidR="007E03C6" w:rsidRPr="00B479AE">
        <w:rPr>
          <w:rFonts w:ascii="Baskerville Old Face" w:hAnsi="Baskerville Old Face"/>
          <w:i/>
          <w:iCs/>
        </w:rPr>
        <w:t>maturity</w:t>
      </w:r>
      <w:r w:rsidRPr="00B479AE">
        <w:rPr>
          <w:rFonts w:ascii="Baskerville Old Face" w:hAnsi="Baskerville Old Face"/>
          <w:i/>
          <w:iCs/>
        </w:rPr>
        <w:t xml:space="preserve"> </w:t>
      </w:r>
      <w:r w:rsidR="007E03C6" w:rsidRPr="00B479AE">
        <w:rPr>
          <w:rFonts w:ascii="Baskerville Old Face" w:hAnsi="Baskerville Old Face"/>
          <w:i/>
          <w:iCs/>
        </w:rPr>
        <w:t xml:space="preserve">class </w:t>
      </w:r>
      <w:r w:rsidRPr="00B479AE">
        <w:rPr>
          <w:rFonts w:ascii="Baskerville Old Face" w:hAnsi="Baskerville Old Face"/>
          <w:i/>
          <w:iCs/>
        </w:rPr>
        <w:t>may improve.</w:t>
      </w:r>
    </w:p>
    <w:p w14:paraId="7C611785" w14:textId="3A49DD95"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xml:space="preserve">If the system underperforms, loses data integrity, experiences governance failure, or fails to meet ecological thresholds, its </w:t>
      </w:r>
      <w:r w:rsidR="007E03C6" w:rsidRPr="00B479AE">
        <w:rPr>
          <w:rFonts w:ascii="Baskerville Old Face" w:hAnsi="Baskerville Old Face"/>
          <w:i/>
          <w:iCs/>
        </w:rPr>
        <w:t xml:space="preserve">maturity class </w:t>
      </w:r>
      <w:r w:rsidRPr="00B479AE">
        <w:rPr>
          <w:rFonts w:ascii="Baskerville Old Face" w:hAnsi="Baskerville Old Face"/>
          <w:i/>
          <w:iCs/>
        </w:rPr>
        <w:t>may decline.</w:t>
      </w:r>
    </w:p>
    <w:p w14:paraId="33D038E3"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This dynamic process is essential.</w:t>
      </w:r>
    </w:p>
    <w:p w14:paraId="562321C6"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Regenerative finance should reward actual maturation, not static projection.</w:t>
      </w:r>
    </w:p>
    <w:p w14:paraId="1CD38372" w14:textId="75874D46"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xml:space="preserve">The </w:t>
      </w:r>
      <w:r w:rsidR="007E03C6" w:rsidRPr="00B479AE">
        <w:rPr>
          <w:rFonts w:ascii="Baskerville Old Face" w:hAnsi="Baskerville Old Face"/>
          <w:i/>
          <w:iCs/>
        </w:rPr>
        <w:t xml:space="preserve">maturity-classification </w:t>
      </w:r>
      <w:r w:rsidRPr="00B479AE">
        <w:rPr>
          <w:rFonts w:ascii="Baskerville Old Face" w:hAnsi="Baskerville Old Face"/>
          <w:i/>
          <w:iCs/>
        </w:rPr>
        <w:t>system therefore creates incentives for long-term stewardship.</w:t>
      </w:r>
    </w:p>
    <w:p w14:paraId="79667012" w14:textId="0D7E634C"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xml:space="preserve">The </w:t>
      </w:r>
      <w:r w:rsidR="007E03C6" w:rsidRPr="00B479AE">
        <w:rPr>
          <w:rFonts w:ascii="Baskerville Old Face" w:hAnsi="Baskerville Old Face"/>
          <w:i/>
          <w:iCs/>
        </w:rPr>
        <w:t xml:space="preserve">maturity </w:t>
      </w:r>
      <w:r w:rsidRPr="00B479AE">
        <w:rPr>
          <w:rFonts w:ascii="Baskerville Old Face" w:hAnsi="Baskerville Old Face"/>
          <w:i/>
          <w:iCs/>
        </w:rPr>
        <w:t>evolution pathway may be expressed as:</w:t>
      </w:r>
    </w:p>
    <w:p w14:paraId="49C88EAA" w14:textId="77777777" w:rsidR="00084149" w:rsidRPr="00B479AE" w:rsidRDefault="00B961DF" w:rsidP="00B961DF">
      <w:pPr>
        <w:spacing w:line="360" w:lineRule="auto"/>
        <w:rPr>
          <w:rFonts w:ascii="Baskerville Old Face" w:hAnsi="Baskerville Old Face"/>
          <w:i/>
          <w:iCs/>
        </w:rPr>
      </w:pPr>
      <w:r w:rsidRPr="00B479AE">
        <w:rPr>
          <w:rFonts w:ascii="Baskerville Old Face" w:hAnsi="Baskerville Old Face"/>
          <w:i/>
          <w:iCs/>
        </w:rPr>
        <w:t xml:space="preserve">time </w:t>
      </w:r>
      <w:r w:rsidRPr="00B479AE">
        <w:rPr>
          <w:rFonts w:ascii="Times New Roman" w:hAnsi="Times New Roman" w:cs="Times New Roman"/>
          <w:i/>
          <w:iCs/>
        </w:rPr>
        <w:t>→</w:t>
      </w:r>
      <w:r w:rsidRPr="00B479AE">
        <w:rPr>
          <w:rFonts w:ascii="Baskerville Old Face" w:hAnsi="Baskerville Old Face"/>
          <w:i/>
          <w:iCs/>
        </w:rPr>
        <w:t xml:space="preserve"> evidence </w:t>
      </w:r>
      <w:r w:rsidRPr="00B479AE">
        <w:rPr>
          <w:rFonts w:ascii="Times New Roman" w:hAnsi="Times New Roman" w:cs="Times New Roman"/>
          <w:i/>
          <w:iCs/>
        </w:rPr>
        <w:t>→</w:t>
      </w:r>
      <w:r w:rsidRPr="00B479AE">
        <w:rPr>
          <w:rFonts w:ascii="Baskerville Old Face" w:hAnsi="Baskerville Old Face"/>
          <w:i/>
          <w:iCs/>
        </w:rPr>
        <w:t xml:space="preserve"> confidence </w:t>
      </w:r>
      <w:r w:rsidRPr="00B479AE">
        <w:rPr>
          <w:rFonts w:ascii="Times New Roman" w:hAnsi="Times New Roman" w:cs="Times New Roman"/>
          <w:i/>
          <w:iCs/>
        </w:rPr>
        <w:t>→</w:t>
      </w:r>
      <w:r w:rsidRPr="00B479AE">
        <w:rPr>
          <w:rFonts w:ascii="Baskerville Old Face" w:hAnsi="Baskerville Old Face"/>
          <w:i/>
          <w:iCs/>
        </w:rPr>
        <w:t xml:space="preserve"> risk adjustment </w:t>
      </w:r>
      <w:r w:rsidRPr="00B479AE">
        <w:rPr>
          <w:rFonts w:ascii="Times New Roman" w:hAnsi="Times New Roman" w:cs="Times New Roman"/>
          <w:i/>
          <w:iCs/>
        </w:rPr>
        <w:t>→</w:t>
      </w:r>
      <w:r w:rsidRPr="00B479AE">
        <w:rPr>
          <w:rFonts w:ascii="Baskerville Old Face" w:hAnsi="Baskerville Old Face"/>
          <w:i/>
          <w:iCs/>
        </w:rPr>
        <w:t xml:space="preserve"> </w:t>
      </w:r>
      <w:r w:rsidR="00084149" w:rsidRPr="00B479AE">
        <w:rPr>
          <w:rFonts w:ascii="Baskerville Old Face" w:hAnsi="Baskerville Old Face"/>
          <w:i/>
          <w:iCs/>
        </w:rPr>
        <w:t xml:space="preserve">maturity-class evolution </w:t>
      </w:r>
    </w:p>
    <w:p w14:paraId="4686836C" w14:textId="35C460F6"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objective is not to assign prestige.</w:t>
      </w:r>
    </w:p>
    <w:p w14:paraId="316CA698" w14:textId="77777777" w:rsidR="00B961DF" w:rsidRPr="00B479AE" w:rsidRDefault="00B961DF" w:rsidP="00B961DF">
      <w:pPr>
        <w:spacing w:line="360" w:lineRule="auto"/>
        <w:rPr>
          <w:rFonts w:ascii="Baskerville Old Face" w:hAnsi="Baskerville Old Face"/>
          <w:i/>
          <w:iCs/>
        </w:rPr>
      </w:pPr>
      <w:r w:rsidRPr="00B479AE">
        <w:rPr>
          <w:rFonts w:ascii="Baskerville Old Face" w:hAnsi="Baskerville Old Face"/>
          <w:i/>
          <w:iCs/>
        </w:rPr>
        <w:t>The objective is to make regenerative performance comparable, monitorable, and capital-admissible.</w:t>
      </w:r>
    </w:p>
    <w:p w14:paraId="1DCC645A" w14:textId="77777777" w:rsidR="0086621A" w:rsidRPr="00B479AE" w:rsidRDefault="0086621A" w:rsidP="0086621A">
      <w:pPr>
        <w:spacing w:line="360" w:lineRule="auto"/>
        <w:rPr>
          <w:rFonts w:ascii="Baskerville Old Face" w:hAnsi="Baskerville Old Face"/>
          <w:b/>
          <w:bCs/>
          <w:i/>
          <w:iCs/>
        </w:rPr>
      </w:pPr>
      <w:r w:rsidRPr="00B479AE">
        <w:rPr>
          <w:rFonts w:ascii="Baskerville Old Face" w:hAnsi="Baskerville Old Face"/>
          <w:b/>
          <w:bCs/>
          <w:i/>
          <w:iCs/>
        </w:rPr>
        <w:t>PRU Evolution Function</w:t>
      </w:r>
    </w:p>
    <w:p w14:paraId="4532910F"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PRU analysis is dynamic.</w:t>
      </w:r>
    </w:p>
    <w:p w14:paraId="3FF3C76A"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A PRU should not be treated as a static label assigned once and preserved forever.</w:t>
      </w:r>
    </w:p>
    <w:p w14:paraId="0635F49E"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As the living system changes, the evidence changes.</w:t>
      </w:r>
    </w:p>
    <w:p w14:paraId="5EF61355"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As the evidence changes, confidence changes.</w:t>
      </w:r>
    </w:p>
    <w:p w14:paraId="21509E17"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As confidence changes, PRU interpretation may evolve.</w:t>
      </w:r>
    </w:p>
    <w:p w14:paraId="2CCD95A6"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This dynamic can be expressed conceptually as:</w:t>
      </w:r>
    </w:p>
    <w:p w14:paraId="65F2CB1B"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 xml:space="preserve">PRU_t+1 = f(PRU_t, </w:t>
      </w:r>
      <w:r w:rsidRPr="00B479AE">
        <w:rPr>
          <w:rFonts w:ascii="Cambria" w:hAnsi="Cambria" w:cs="Cambria"/>
          <w:i/>
          <w:iCs/>
        </w:rPr>
        <w:t>Δ</w:t>
      </w:r>
      <w:r w:rsidRPr="00B479AE">
        <w:rPr>
          <w:rFonts w:ascii="Baskerville Old Face" w:hAnsi="Baskerville Old Face"/>
          <w:i/>
          <w:iCs/>
        </w:rPr>
        <w:t>MRV_t)</w:t>
      </w:r>
    </w:p>
    <w:p w14:paraId="2E66C7CA"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lastRenderedPageBreak/>
        <w:t>Where:</w:t>
      </w:r>
    </w:p>
    <w:p w14:paraId="380B6953"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PRU_t represents the PRU analytical state at time t.</w:t>
      </w:r>
    </w:p>
    <w:p w14:paraId="28D45FEF"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PRU_t+1 represents the updated PRU analytical state after new evidence, review, or performance data.</w:t>
      </w:r>
    </w:p>
    <w:p w14:paraId="767111F0" w14:textId="77777777" w:rsidR="0086621A" w:rsidRPr="00B479AE" w:rsidRDefault="0086621A" w:rsidP="0086621A">
      <w:pPr>
        <w:spacing w:line="360" w:lineRule="auto"/>
        <w:rPr>
          <w:rFonts w:ascii="Baskerville Old Face" w:hAnsi="Baskerville Old Face"/>
          <w:i/>
          <w:iCs/>
        </w:rPr>
      </w:pPr>
      <w:r w:rsidRPr="00B479AE">
        <w:rPr>
          <w:rFonts w:ascii="Cambria" w:hAnsi="Cambria" w:cs="Cambria"/>
          <w:i/>
          <w:iCs/>
        </w:rPr>
        <w:t>Δ</w:t>
      </w:r>
      <w:r w:rsidRPr="00B479AE">
        <w:rPr>
          <w:rFonts w:ascii="Baskerville Old Face" w:hAnsi="Baskerville Old Face"/>
          <w:i/>
          <w:iCs/>
        </w:rPr>
        <w:t>MRV_t represents the change in MRV evidence between time t and time t+1.</w:t>
      </w:r>
    </w:p>
    <w:p w14:paraId="6ACA1447"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This formula does not create automatic PRU issuance.</w:t>
      </w:r>
    </w:p>
    <w:p w14:paraId="6578DDCE"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It does not create token issuance.</w:t>
      </w:r>
    </w:p>
    <w:p w14:paraId="68E204F8"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It does not create market price.</w:t>
      </w:r>
    </w:p>
    <w:p w14:paraId="41E595D4"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It does not create investor rights.</w:t>
      </w:r>
    </w:p>
    <w:p w14:paraId="1FB1C9E6"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It does not create automatic rating upgrades.</w:t>
      </w:r>
    </w:p>
    <w:p w14:paraId="029B34E8"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It does not create automatic financial value.</w:t>
      </w:r>
    </w:p>
    <w:p w14:paraId="17494C2D"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It expresses a methodological principle:</w:t>
      </w:r>
    </w:p>
    <w:p w14:paraId="71FC0E0C"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PRU interpretation evolves only when evidence evolves.</w:t>
      </w:r>
    </w:p>
    <w:p w14:paraId="6DB3DFF0"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 xml:space="preserve">A positive </w:t>
      </w:r>
      <w:r w:rsidRPr="00B479AE">
        <w:rPr>
          <w:rFonts w:ascii="Cambria" w:hAnsi="Cambria" w:cs="Cambria"/>
          <w:i/>
          <w:iCs/>
        </w:rPr>
        <w:t>Δ</w:t>
      </w:r>
      <w:r w:rsidRPr="00B479AE">
        <w:rPr>
          <w:rFonts w:ascii="Baskerville Old Face" w:hAnsi="Baskerville Old Face"/>
          <w:i/>
          <w:iCs/>
        </w:rPr>
        <w:t>MRV_t may indicate improved soil function, water retention, biodiversity, productive stability, input independence, governance maturity, or MRV confidence.</w:t>
      </w:r>
    </w:p>
    <w:p w14:paraId="28A2E483"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 xml:space="preserve">A negative </w:t>
      </w:r>
      <w:r w:rsidRPr="00B479AE">
        <w:rPr>
          <w:rFonts w:ascii="Cambria" w:hAnsi="Cambria" w:cs="Cambria"/>
          <w:i/>
          <w:iCs/>
        </w:rPr>
        <w:t>Δ</w:t>
      </w:r>
      <w:r w:rsidRPr="00B479AE">
        <w:rPr>
          <w:rFonts w:ascii="Baskerville Old Face" w:hAnsi="Baskerville Old Face"/>
          <w:i/>
          <w:iCs/>
        </w:rPr>
        <w:t>MRV_t may indicate ecological regression, weaker evidence, data gaps, governance failure, operational underperformance, adverse events, or loss of confidence.</w:t>
      </w:r>
    </w:p>
    <w:p w14:paraId="0C2545D7"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 xml:space="preserve">A neutral </w:t>
      </w:r>
      <w:r w:rsidRPr="00B479AE">
        <w:rPr>
          <w:rFonts w:ascii="Cambria" w:hAnsi="Cambria" w:cs="Cambria"/>
          <w:i/>
          <w:iCs/>
        </w:rPr>
        <w:t>Δ</w:t>
      </w:r>
      <w:r w:rsidRPr="00B479AE">
        <w:rPr>
          <w:rFonts w:ascii="Baskerville Old Face" w:hAnsi="Baskerville Old Face"/>
          <w:i/>
          <w:iCs/>
        </w:rPr>
        <w:t>MRV_t may indicate stability, insufficient new evidence, or no material change in verified performance.</w:t>
      </w:r>
    </w:p>
    <w:p w14:paraId="0CF51131"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The correct sequence is:</w:t>
      </w:r>
    </w:p>
    <w:p w14:paraId="30A12E3D"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 xml:space="preserve">new evidence </w:t>
      </w:r>
      <w:r w:rsidRPr="00B479AE">
        <w:rPr>
          <w:rFonts w:ascii="Times New Roman" w:hAnsi="Times New Roman" w:cs="Times New Roman"/>
          <w:i/>
          <w:iCs/>
        </w:rPr>
        <w:t>→</w:t>
      </w:r>
      <w:r w:rsidRPr="00B479AE">
        <w:rPr>
          <w:rFonts w:ascii="Baskerville Old Face" w:hAnsi="Baskerville Old Face"/>
          <w:i/>
          <w:iCs/>
        </w:rPr>
        <w:t xml:space="preserve"> confidence update </w:t>
      </w:r>
      <w:r w:rsidRPr="00B479AE">
        <w:rPr>
          <w:rFonts w:ascii="Times New Roman" w:hAnsi="Times New Roman" w:cs="Times New Roman"/>
          <w:i/>
          <w:iCs/>
        </w:rPr>
        <w:t>→</w:t>
      </w:r>
      <w:r w:rsidRPr="00B479AE">
        <w:rPr>
          <w:rFonts w:ascii="Baskerville Old Face" w:hAnsi="Baskerville Old Face"/>
          <w:i/>
          <w:iCs/>
        </w:rPr>
        <w:t xml:space="preserve"> methodology review </w:t>
      </w:r>
      <w:r w:rsidRPr="00B479AE">
        <w:rPr>
          <w:rFonts w:ascii="Times New Roman" w:hAnsi="Times New Roman" w:cs="Times New Roman"/>
          <w:i/>
          <w:iCs/>
        </w:rPr>
        <w:t>→</w:t>
      </w:r>
      <w:r w:rsidRPr="00B479AE">
        <w:rPr>
          <w:rFonts w:ascii="Baskerville Old Face" w:hAnsi="Baskerville Old Face"/>
          <w:i/>
          <w:iCs/>
        </w:rPr>
        <w:t xml:space="preserve"> PRU interpretation update</w:t>
      </w:r>
    </w:p>
    <w:p w14:paraId="32779ECC"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This protects Prometheus from static certification logic.</w:t>
      </w:r>
    </w:p>
    <w:p w14:paraId="3213BA46"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A regenerative asset is alive.</w:t>
      </w:r>
    </w:p>
    <w:p w14:paraId="39DDD1D1"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lastRenderedPageBreak/>
        <w:t>Its analytical representation must therefore remain reviewable, updateable, and evidence-sensitive.</w:t>
      </w:r>
    </w:p>
    <w:p w14:paraId="0DC71638"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The PRU Evolution Function ensures that Prometheus remains faithful to living systems over time:</w:t>
      </w:r>
    </w:p>
    <w:p w14:paraId="29AC2D46" w14:textId="04FE98C2"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performance can improve;</w:t>
      </w:r>
      <w:r w:rsidRPr="00B479AE">
        <w:rPr>
          <w:rFonts w:ascii="Baskerville Old Face" w:hAnsi="Baskerville Old Face"/>
          <w:i/>
          <w:iCs/>
        </w:rPr>
        <w:br/>
        <w:t>performance can decline;</w:t>
      </w:r>
      <w:r w:rsidRPr="00B479AE">
        <w:rPr>
          <w:rFonts w:ascii="Baskerville Old Face" w:hAnsi="Baskerville Old Face"/>
          <w:i/>
          <w:iCs/>
        </w:rPr>
        <w:br/>
        <w:t>confidence can increase;</w:t>
      </w:r>
      <w:r w:rsidRPr="00B479AE">
        <w:rPr>
          <w:rFonts w:ascii="Baskerville Old Face" w:hAnsi="Baskerville Old Face"/>
          <w:i/>
          <w:iCs/>
        </w:rPr>
        <w:br/>
        <w:t>confidence can decrease;</w:t>
      </w:r>
      <w:r w:rsidRPr="00B479AE">
        <w:rPr>
          <w:rFonts w:ascii="Baskerville Old Face" w:hAnsi="Baskerville Old Face"/>
          <w:i/>
          <w:iCs/>
        </w:rPr>
        <w:br/>
      </w:r>
      <w:r w:rsidR="002E7C95" w:rsidRPr="00B479AE">
        <w:rPr>
          <w:rFonts w:ascii="Baskerville Old Face" w:hAnsi="Baskerville Old Face"/>
          <w:i/>
          <w:iCs/>
        </w:rPr>
        <w:t>maturity classes</w:t>
      </w:r>
      <w:r w:rsidRPr="00B479AE">
        <w:rPr>
          <w:rFonts w:ascii="Baskerville Old Face" w:hAnsi="Baskerville Old Face"/>
          <w:i/>
          <w:iCs/>
        </w:rPr>
        <w:t xml:space="preserve"> can evolve;</w:t>
      </w:r>
      <w:r w:rsidRPr="00B479AE">
        <w:rPr>
          <w:rFonts w:ascii="Baskerville Old Face" w:hAnsi="Baskerville Old Face"/>
          <w:i/>
          <w:iCs/>
        </w:rPr>
        <w:br/>
        <w:t>admissibility can change;</w:t>
      </w:r>
      <w:r w:rsidRPr="00B479AE">
        <w:rPr>
          <w:rFonts w:ascii="Baskerville Old Face" w:hAnsi="Baskerville Old Face"/>
          <w:i/>
          <w:iCs/>
        </w:rPr>
        <w:br/>
        <w:t>capital-readiness can mature or regress.</w:t>
      </w:r>
    </w:p>
    <w:p w14:paraId="4D51A27B"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The formula is therefore not an automatic value engine.</w:t>
      </w:r>
    </w:p>
    <w:p w14:paraId="4FD33089"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It is a discipline of temporal honesty.</w:t>
      </w:r>
    </w:p>
    <w:p w14:paraId="73F9C82A"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Prometheus does not freeze living systems into fixed abstractions.</w:t>
      </w:r>
    </w:p>
    <w:p w14:paraId="5080EFA3" w14:textId="77777777" w:rsidR="0086621A" w:rsidRPr="00B479AE" w:rsidRDefault="0086621A" w:rsidP="0086621A">
      <w:pPr>
        <w:spacing w:line="360" w:lineRule="auto"/>
        <w:rPr>
          <w:rFonts w:ascii="Baskerville Old Face" w:hAnsi="Baskerville Old Face"/>
          <w:i/>
          <w:iCs/>
        </w:rPr>
      </w:pPr>
      <w:r w:rsidRPr="00B479AE">
        <w:rPr>
          <w:rFonts w:ascii="Baskerville Old Face" w:hAnsi="Baskerville Old Face"/>
          <w:i/>
          <w:iCs/>
        </w:rPr>
        <w:t>It updates interpretation as evidence changes.</w:t>
      </w:r>
    </w:p>
    <w:p w14:paraId="6D7A0D46" w14:textId="77777777" w:rsidR="00F90AA4" w:rsidRPr="00B479AE" w:rsidRDefault="00F90AA4" w:rsidP="00F90AA4">
      <w:pPr>
        <w:spacing w:line="360" w:lineRule="auto"/>
        <w:rPr>
          <w:rFonts w:ascii="Baskerville Old Face" w:hAnsi="Baskerville Old Face"/>
          <w:b/>
          <w:bCs/>
          <w:i/>
          <w:iCs/>
        </w:rPr>
      </w:pPr>
      <w:r w:rsidRPr="00B479AE">
        <w:rPr>
          <w:rFonts w:ascii="Baskerville Old Face" w:hAnsi="Baskerville Old Face"/>
          <w:b/>
          <w:bCs/>
          <w:i/>
          <w:iCs/>
        </w:rPr>
        <w:t>R.29 Maturity-to-Finance Boundary</w:t>
      </w:r>
    </w:p>
    <w:p w14:paraId="7E5C3402"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PRU maturity classes may support finance-readiness assessment.</w:t>
      </w:r>
    </w:p>
    <w:p w14:paraId="32441B0D"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They should not automatically trigger financing.</w:t>
      </w:r>
    </w:p>
    <w:p w14:paraId="79CE91F8"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A PRU maturity classification may help identify:</w:t>
      </w:r>
    </w:p>
    <w:p w14:paraId="04C2C58B"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 whether evidence is mature;</w:t>
      </w:r>
    </w:p>
    <w:p w14:paraId="3F210F15"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 whether MRV confidence is sufficient;</w:t>
      </w:r>
    </w:p>
    <w:p w14:paraId="724C6B32"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 whether governance is ready;</w:t>
      </w:r>
    </w:p>
    <w:p w14:paraId="78B963CF"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 whether legal structure is incomplete;</w:t>
      </w:r>
    </w:p>
    <w:p w14:paraId="7B36E5C5"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 whether reporting is credible;</w:t>
      </w:r>
    </w:p>
    <w:p w14:paraId="0419B43A"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 whether risk is manageable;</w:t>
      </w:r>
    </w:p>
    <w:p w14:paraId="6923B9B5"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 whether additional MRV is needed;</w:t>
      </w:r>
    </w:p>
    <w:p w14:paraId="1A984E24"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lastRenderedPageBreak/>
        <w:t>• whether a project is suitable for further diligence;</w:t>
      </w:r>
    </w:p>
    <w:p w14:paraId="5FFA7871"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 whether portfolio inclusion should remain internal, restricted, conditional, or legally structured.</w:t>
      </w:r>
    </w:p>
    <w:p w14:paraId="26EB7E30"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A PRU maturity classification should not automatically create:</w:t>
      </w:r>
    </w:p>
    <w:p w14:paraId="3354C9EF"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 loan approval;</w:t>
      </w:r>
    </w:p>
    <w:p w14:paraId="56D3AF23"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 security issuance;</w:t>
      </w:r>
    </w:p>
    <w:p w14:paraId="11F2BF57"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 token issuance;</w:t>
      </w:r>
    </w:p>
    <w:p w14:paraId="28A3161E"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 fund inclusion;</w:t>
      </w:r>
    </w:p>
    <w:p w14:paraId="13944881"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 investor suitability;</w:t>
      </w:r>
    </w:p>
    <w:p w14:paraId="3AAE3AE8"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 insurance eligibility;</w:t>
      </w:r>
    </w:p>
    <w:p w14:paraId="4916990B"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 collateral recognition;</w:t>
      </w:r>
    </w:p>
    <w:p w14:paraId="02FA0EC5"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 government guarantee;</w:t>
      </w:r>
    </w:p>
    <w:p w14:paraId="4E1551E4"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 regulated credit rating;</w:t>
      </w:r>
    </w:p>
    <w:p w14:paraId="22F365C2"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 market price;</w:t>
      </w:r>
    </w:p>
    <w:p w14:paraId="6E938A5B"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 investment entitlement.</w:t>
      </w:r>
    </w:p>
    <w:p w14:paraId="2D2FBED2"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Maturity classification informs review.</w:t>
      </w:r>
    </w:p>
    <w:p w14:paraId="1BB83836"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It does not replace underwriting.</w:t>
      </w:r>
    </w:p>
    <w:p w14:paraId="055132C2"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It does not replace legal review.</w:t>
      </w:r>
    </w:p>
    <w:p w14:paraId="1714E65D"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It does not replace investor suitability analysis.</w:t>
      </w:r>
    </w:p>
    <w:p w14:paraId="17D645DE"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It does not replace regulatory compliance.</w:t>
      </w:r>
    </w:p>
    <w:p w14:paraId="12432573"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The correct interpretation is:</w:t>
      </w:r>
    </w:p>
    <w:p w14:paraId="3500716A"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 xml:space="preserve">PRU maturity class </w:t>
      </w:r>
      <w:r w:rsidRPr="00B479AE">
        <w:rPr>
          <w:rFonts w:ascii="Times New Roman" w:hAnsi="Times New Roman" w:cs="Times New Roman"/>
          <w:i/>
          <w:iCs/>
        </w:rPr>
        <w:t>→</w:t>
      </w:r>
      <w:r w:rsidRPr="00B479AE">
        <w:rPr>
          <w:rFonts w:ascii="Baskerville Old Face" w:hAnsi="Baskerville Old Face"/>
          <w:i/>
          <w:iCs/>
        </w:rPr>
        <w:t xml:space="preserve"> diligence signal </w:t>
      </w:r>
      <w:r w:rsidRPr="00B479AE">
        <w:rPr>
          <w:rFonts w:ascii="Times New Roman" w:hAnsi="Times New Roman" w:cs="Times New Roman"/>
          <w:i/>
          <w:iCs/>
        </w:rPr>
        <w:t>→</w:t>
      </w:r>
      <w:r w:rsidRPr="00B479AE">
        <w:rPr>
          <w:rFonts w:ascii="Baskerville Old Face" w:hAnsi="Baskerville Old Face"/>
          <w:i/>
          <w:iCs/>
        </w:rPr>
        <w:t xml:space="preserve"> underwriting review </w:t>
      </w:r>
      <w:r w:rsidRPr="00B479AE">
        <w:rPr>
          <w:rFonts w:ascii="Times New Roman" w:hAnsi="Times New Roman" w:cs="Times New Roman"/>
          <w:i/>
          <w:iCs/>
        </w:rPr>
        <w:t>→</w:t>
      </w:r>
      <w:r w:rsidRPr="00B479AE">
        <w:rPr>
          <w:rFonts w:ascii="Baskerville Old Face" w:hAnsi="Baskerville Old Face"/>
          <w:i/>
          <w:iCs/>
        </w:rPr>
        <w:t xml:space="preserve"> legal structuring where required </w:t>
      </w:r>
      <w:r w:rsidRPr="00B479AE">
        <w:rPr>
          <w:rFonts w:ascii="Times New Roman" w:hAnsi="Times New Roman" w:cs="Times New Roman"/>
          <w:i/>
          <w:iCs/>
        </w:rPr>
        <w:t>→</w:t>
      </w:r>
      <w:r w:rsidRPr="00B479AE">
        <w:rPr>
          <w:rFonts w:ascii="Baskerville Old Face" w:hAnsi="Baskerville Old Face"/>
          <w:i/>
          <w:iCs/>
        </w:rPr>
        <w:t xml:space="preserve"> capital decision.</w:t>
      </w:r>
    </w:p>
    <w:p w14:paraId="6D0BB1AB" w14:textId="77777777"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lastRenderedPageBreak/>
        <w:t>The maturity class may support capital-readiness.</w:t>
      </w:r>
    </w:p>
    <w:p w14:paraId="74ABD5DE" w14:textId="5746DF83" w:rsidR="00F90AA4" w:rsidRPr="00B479AE" w:rsidRDefault="00F90AA4" w:rsidP="00F90AA4">
      <w:pPr>
        <w:spacing w:line="360" w:lineRule="auto"/>
        <w:rPr>
          <w:rFonts w:ascii="Baskerville Old Face" w:hAnsi="Baskerville Old Face"/>
          <w:i/>
          <w:iCs/>
        </w:rPr>
      </w:pPr>
      <w:r w:rsidRPr="00B479AE">
        <w:rPr>
          <w:rFonts w:ascii="Baskerville Old Face" w:hAnsi="Baskerville Old Face"/>
          <w:i/>
          <w:iCs/>
        </w:rPr>
        <w:t>It does not create capital access by itself.</w:t>
      </w:r>
      <w:r w:rsidR="00D133CF" w:rsidRPr="00B479AE">
        <w:rPr>
          <w:rFonts w:ascii="Baskerville Old Face" w:hAnsi="Baskerville Old Face"/>
          <w:i/>
          <w:iCs/>
        </w:rPr>
        <w:t xml:space="preserve"> </w:t>
      </w:r>
    </w:p>
    <w:p w14:paraId="551CF8E3" w14:textId="77777777" w:rsidR="00D133CF" w:rsidRPr="00B479AE" w:rsidRDefault="00D133CF" w:rsidP="00D133CF">
      <w:pPr>
        <w:spacing w:line="360" w:lineRule="auto"/>
        <w:rPr>
          <w:rFonts w:ascii="Baskerville Old Face" w:hAnsi="Baskerville Old Face"/>
          <w:b/>
          <w:bCs/>
          <w:i/>
          <w:iCs/>
        </w:rPr>
      </w:pPr>
      <w:r w:rsidRPr="00B479AE">
        <w:rPr>
          <w:rFonts w:ascii="Baskerville Old Face" w:hAnsi="Baskerville Old Face"/>
          <w:b/>
          <w:bCs/>
          <w:i/>
          <w:iCs/>
        </w:rPr>
        <w:t>R.30 Investor Reporting</w:t>
      </w:r>
    </w:p>
    <w:p w14:paraId="5384EF56"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Investor reporting within Prometheus should integrate financial, ecological, operational, governance, legal, MRV, and risk data.</w:t>
      </w:r>
    </w:p>
    <w:p w14:paraId="2DDE8C09"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A mature report may include:</w:t>
      </w:r>
    </w:p>
    <w:p w14:paraId="4DAF0E49"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 NAV or indicative value analysis, where legally and methodologically appropriate;</w:t>
      </w:r>
    </w:p>
    <w:p w14:paraId="4FC3D844"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 PRU score, where methodology supports such use;</w:t>
      </w:r>
    </w:p>
    <w:p w14:paraId="274C8910"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 PRU maturity class;</w:t>
      </w:r>
    </w:p>
    <w:p w14:paraId="3E32F4EB"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 MRV confidence score;</w:t>
      </w:r>
    </w:p>
    <w:p w14:paraId="43EAA780"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 ecological delta;</w:t>
      </w:r>
    </w:p>
    <w:p w14:paraId="1C28A1F5"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 cash-flow performance;</w:t>
      </w:r>
    </w:p>
    <w:p w14:paraId="5DDA0048"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 revenue breakdown;</w:t>
      </w:r>
    </w:p>
    <w:p w14:paraId="0F49A08D"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 operating costs;</w:t>
      </w:r>
    </w:p>
    <w:p w14:paraId="16A10543"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 reserves;</w:t>
      </w:r>
    </w:p>
    <w:p w14:paraId="3A538C1E"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 reinvestment;</w:t>
      </w:r>
    </w:p>
    <w:p w14:paraId="32333E41"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 risk dashboard;</w:t>
      </w:r>
    </w:p>
    <w:p w14:paraId="72E817E8"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 adverse events;</w:t>
      </w:r>
    </w:p>
    <w:p w14:paraId="4CEA0662"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 methodology version;</w:t>
      </w:r>
    </w:p>
    <w:p w14:paraId="4903B50B"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 audit status;</w:t>
      </w:r>
    </w:p>
    <w:p w14:paraId="2E453FDD"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 no-double-counting statement;</w:t>
      </w:r>
    </w:p>
    <w:p w14:paraId="31AFC519"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 legal wrapper status;</w:t>
      </w:r>
    </w:p>
    <w:p w14:paraId="3F291252"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lastRenderedPageBreak/>
        <w:t>• portfolio composition;</w:t>
      </w:r>
    </w:p>
    <w:p w14:paraId="25B09D25"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 ESG / nature disclosure compatibility;</w:t>
      </w:r>
    </w:p>
    <w:p w14:paraId="0389679E"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 claim traceability and disclosure boundary;</w:t>
      </w:r>
    </w:p>
    <w:p w14:paraId="4958BD56"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 source-layer and canonical registry references where relevant.</w:t>
      </w:r>
    </w:p>
    <w:p w14:paraId="6C647B22"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This reporting allows institutional capital to evaluate regenerative infrastructure with seriousness while preserving the distinction between evidence, value, legal rights, investor exposure, and public claims.</w:t>
      </w:r>
    </w:p>
    <w:p w14:paraId="65D4C0F5" w14:textId="793795CD"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Investor reporting should be classified by use:</w:t>
      </w:r>
      <w:r w:rsidR="008B46A5" w:rsidRPr="00B479AE">
        <w:rPr>
          <w:rFonts w:ascii="Baskerville Old Face" w:hAnsi="Baskerville Old Face"/>
          <w:i/>
          <w:iCs/>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2"/>
        <w:gridCol w:w="7050"/>
      </w:tblGrid>
      <w:tr w:rsidR="00126CF3" w:rsidRPr="00B479AE" w14:paraId="604D8837" w14:textId="77777777" w:rsidTr="000250EB">
        <w:trPr>
          <w:tblHeader/>
          <w:tblCellSpacing w:w="15" w:type="dxa"/>
        </w:trPr>
        <w:tc>
          <w:tcPr>
            <w:tcW w:w="0" w:type="auto"/>
            <w:vAlign w:val="center"/>
            <w:hideMark/>
          </w:tcPr>
          <w:p w14:paraId="54D4F0A3" w14:textId="77777777" w:rsidR="00126CF3" w:rsidRPr="00B479AE" w:rsidRDefault="00126CF3" w:rsidP="000250EB">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Reporting class</w:t>
            </w:r>
          </w:p>
        </w:tc>
        <w:tc>
          <w:tcPr>
            <w:tcW w:w="0" w:type="auto"/>
            <w:vAlign w:val="center"/>
            <w:hideMark/>
          </w:tcPr>
          <w:p w14:paraId="082075A2" w14:textId="77777777" w:rsidR="00126CF3" w:rsidRPr="00B479AE" w:rsidRDefault="00126CF3" w:rsidP="000250EB">
            <w:pPr>
              <w:spacing w:line="360" w:lineRule="auto"/>
              <w:rPr>
                <w:rFonts w:ascii="Baskerville Old Face" w:hAnsi="Baskerville Old Face"/>
                <w:b/>
                <w:bCs/>
                <w:i/>
                <w:iCs/>
                <w:sz w:val="22"/>
                <w:szCs w:val="22"/>
              </w:rPr>
            </w:pPr>
            <w:r w:rsidRPr="00B479AE">
              <w:rPr>
                <w:rFonts w:ascii="Baskerville Old Face" w:hAnsi="Baskerville Old Face"/>
                <w:b/>
                <w:bCs/>
                <w:i/>
                <w:iCs/>
                <w:sz w:val="22"/>
                <w:szCs w:val="22"/>
              </w:rPr>
              <w:t>Use</w:t>
            </w:r>
          </w:p>
        </w:tc>
      </w:tr>
      <w:tr w:rsidR="00126CF3" w:rsidRPr="00B479AE" w14:paraId="0D8C271F" w14:textId="77777777" w:rsidTr="000250EB">
        <w:trPr>
          <w:tblCellSpacing w:w="15" w:type="dxa"/>
        </w:trPr>
        <w:tc>
          <w:tcPr>
            <w:tcW w:w="0" w:type="auto"/>
            <w:vAlign w:val="center"/>
            <w:hideMark/>
          </w:tcPr>
          <w:p w14:paraId="196F80F2" w14:textId="77777777" w:rsidR="00126CF3" w:rsidRPr="00B479AE" w:rsidRDefault="00126CF3" w:rsidP="000250EB">
            <w:pPr>
              <w:spacing w:line="360" w:lineRule="auto"/>
              <w:rPr>
                <w:rFonts w:ascii="Baskerville Old Face" w:hAnsi="Baskerville Old Face"/>
                <w:i/>
                <w:iCs/>
                <w:sz w:val="22"/>
                <w:szCs w:val="22"/>
              </w:rPr>
            </w:pPr>
            <w:r w:rsidRPr="00B479AE">
              <w:rPr>
                <w:rFonts w:ascii="Baskerville Old Face" w:hAnsi="Baskerville Old Face"/>
                <w:i/>
                <w:iCs/>
                <w:sz w:val="22"/>
                <w:szCs w:val="22"/>
              </w:rPr>
              <w:t>Research draft</w:t>
            </w:r>
          </w:p>
        </w:tc>
        <w:tc>
          <w:tcPr>
            <w:tcW w:w="0" w:type="auto"/>
            <w:vAlign w:val="center"/>
            <w:hideMark/>
          </w:tcPr>
          <w:p w14:paraId="65B28B05" w14:textId="77777777" w:rsidR="00126CF3" w:rsidRPr="00B479AE" w:rsidRDefault="00126CF3" w:rsidP="000250EB">
            <w:pPr>
              <w:spacing w:line="360" w:lineRule="auto"/>
              <w:rPr>
                <w:rFonts w:ascii="Baskerville Old Face" w:hAnsi="Baskerville Old Face"/>
                <w:i/>
                <w:iCs/>
                <w:sz w:val="22"/>
                <w:szCs w:val="22"/>
              </w:rPr>
            </w:pPr>
            <w:r w:rsidRPr="00B479AE">
              <w:rPr>
                <w:rFonts w:ascii="Baskerville Old Face" w:hAnsi="Baskerville Old Face"/>
                <w:i/>
                <w:iCs/>
                <w:sz w:val="22"/>
                <w:szCs w:val="22"/>
              </w:rPr>
              <w:t>Internal methodology development.</w:t>
            </w:r>
          </w:p>
        </w:tc>
      </w:tr>
      <w:tr w:rsidR="00126CF3" w:rsidRPr="00B479AE" w14:paraId="3C2D6E04" w14:textId="77777777" w:rsidTr="000250EB">
        <w:trPr>
          <w:tblCellSpacing w:w="15" w:type="dxa"/>
        </w:trPr>
        <w:tc>
          <w:tcPr>
            <w:tcW w:w="0" w:type="auto"/>
            <w:vAlign w:val="center"/>
            <w:hideMark/>
          </w:tcPr>
          <w:p w14:paraId="54C57DBE" w14:textId="77777777" w:rsidR="00126CF3" w:rsidRPr="00B479AE" w:rsidRDefault="00126CF3" w:rsidP="000250EB">
            <w:pPr>
              <w:spacing w:line="360" w:lineRule="auto"/>
              <w:rPr>
                <w:rFonts w:ascii="Baskerville Old Face" w:hAnsi="Baskerville Old Face"/>
                <w:i/>
                <w:iCs/>
                <w:sz w:val="22"/>
                <w:szCs w:val="22"/>
              </w:rPr>
            </w:pPr>
            <w:r w:rsidRPr="00B479AE">
              <w:rPr>
                <w:rFonts w:ascii="Baskerville Old Face" w:hAnsi="Baskerville Old Face"/>
                <w:i/>
                <w:iCs/>
                <w:sz w:val="22"/>
                <w:szCs w:val="22"/>
              </w:rPr>
              <w:t>Pilot report</w:t>
            </w:r>
          </w:p>
        </w:tc>
        <w:tc>
          <w:tcPr>
            <w:tcW w:w="0" w:type="auto"/>
            <w:vAlign w:val="center"/>
            <w:hideMark/>
          </w:tcPr>
          <w:p w14:paraId="3775C5AE" w14:textId="77777777" w:rsidR="00126CF3" w:rsidRPr="00B479AE" w:rsidRDefault="00126CF3" w:rsidP="000250EB">
            <w:pPr>
              <w:spacing w:line="360" w:lineRule="auto"/>
              <w:rPr>
                <w:rFonts w:ascii="Baskerville Old Face" w:hAnsi="Baskerville Old Face"/>
                <w:i/>
                <w:iCs/>
                <w:sz w:val="22"/>
                <w:szCs w:val="22"/>
              </w:rPr>
            </w:pPr>
            <w:r w:rsidRPr="00B479AE">
              <w:rPr>
                <w:rFonts w:ascii="Baskerville Old Face" w:hAnsi="Baskerville Old Face"/>
                <w:i/>
                <w:iCs/>
                <w:sz w:val="22"/>
                <w:szCs w:val="22"/>
              </w:rPr>
              <w:t>Project learning and early MRV interpretation.</w:t>
            </w:r>
          </w:p>
        </w:tc>
      </w:tr>
      <w:tr w:rsidR="00126CF3" w:rsidRPr="00B479AE" w14:paraId="4C76CE76" w14:textId="77777777" w:rsidTr="000250EB">
        <w:trPr>
          <w:tblCellSpacing w:w="15" w:type="dxa"/>
        </w:trPr>
        <w:tc>
          <w:tcPr>
            <w:tcW w:w="0" w:type="auto"/>
            <w:vAlign w:val="center"/>
            <w:hideMark/>
          </w:tcPr>
          <w:p w14:paraId="35E26612" w14:textId="77777777" w:rsidR="00126CF3" w:rsidRPr="00B479AE" w:rsidRDefault="00126CF3" w:rsidP="000250EB">
            <w:pPr>
              <w:spacing w:line="360" w:lineRule="auto"/>
              <w:rPr>
                <w:rFonts w:ascii="Baskerville Old Face" w:hAnsi="Baskerville Old Face"/>
                <w:i/>
                <w:iCs/>
                <w:sz w:val="22"/>
                <w:szCs w:val="22"/>
              </w:rPr>
            </w:pPr>
            <w:r w:rsidRPr="00B479AE">
              <w:rPr>
                <w:rFonts w:ascii="Baskerville Old Face" w:hAnsi="Baskerville Old Face"/>
                <w:i/>
                <w:iCs/>
                <w:sz w:val="22"/>
                <w:szCs w:val="22"/>
              </w:rPr>
              <w:t>MRV report</w:t>
            </w:r>
          </w:p>
        </w:tc>
        <w:tc>
          <w:tcPr>
            <w:tcW w:w="0" w:type="auto"/>
            <w:vAlign w:val="center"/>
            <w:hideMark/>
          </w:tcPr>
          <w:p w14:paraId="4972997B" w14:textId="77777777" w:rsidR="00126CF3" w:rsidRPr="00B479AE" w:rsidRDefault="00126CF3" w:rsidP="000250EB">
            <w:pPr>
              <w:spacing w:line="360" w:lineRule="auto"/>
              <w:rPr>
                <w:rFonts w:ascii="Baskerville Old Face" w:hAnsi="Baskerville Old Face"/>
                <w:i/>
                <w:iCs/>
                <w:sz w:val="22"/>
                <w:szCs w:val="22"/>
              </w:rPr>
            </w:pPr>
            <w:r w:rsidRPr="00B479AE">
              <w:rPr>
                <w:rFonts w:ascii="Baskerville Old Face" w:hAnsi="Baskerville Old Face"/>
                <w:i/>
                <w:iCs/>
                <w:sz w:val="22"/>
                <w:szCs w:val="22"/>
              </w:rPr>
              <w:t>Evidence-based reporting under defined methodology.</w:t>
            </w:r>
          </w:p>
        </w:tc>
      </w:tr>
      <w:tr w:rsidR="00126CF3" w:rsidRPr="00B479AE" w14:paraId="78174675" w14:textId="77777777" w:rsidTr="000250EB">
        <w:trPr>
          <w:tblCellSpacing w:w="15" w:type="dxa"/>
        </w:trPr>
        <w:tc>
          <w:tcPr>
            <w:tcW w:w="0" w:type="auto"/>
            <w:vAlign w:val="center"/>
            <w:hideMark/>
          </w:tcPr>
          <w:p w14:paraId="04DB695A" w14:textId="77777777" w:rsidR="00126CF3" w:rsidRPr="00B479AE" w:rsidRDefault="00126CF3" w:rsidP="000250EB">
            <w:pPr>
              <w:spacing w:line="360" w:lineRule="auto"/>
              <w:rPr>
                <w:rFonts w:ascii="Baskerville Old Face" w:hAnsi="Baskerville Old Face"/>
                <w:i/>
                <w:iCs/>
                <w:sz w:val="22"/>
                <w:szCs w:val="22"/>
              </w:rPr>
            </w:pPr>
            <w:r w:rsidRPr="00B479AE">
              <w:rPr>
                <w:rFonts w:ascii="Baskerville Old Face" w:hAnsi="Baskerville Old Face"/>
                <w:i/>
                <w:iCs/>
                <w:sz w:val="22"/>
                <w:szCs w:val="22"/>
              </w:rPr>
              <w:t>PRU analysis report</w:t>
            </w:r>
          </w:p>
        </w:tc>
        <w:tc>
          <w:tcPr>
            <w:tcW w:w="0" w:type="auto"/>
            <w:vAlign w:val="center"/>
            <w:hideMark/>
          </w:tcPr>
          <w:p w14:paraId="7065450F" w14:textId="77777777" w:rsidR="00126CF3" w:rsidRPr="00B479AE" w:rsidRDefault="00126CF3" w:rsidP="000250EB">
            <w:pPr>
              <w:spacing w:line="360" w:lineRule="auto"/>
              <w:rPr>
                <w:rFonts w:ascii="Baskerville Old Face" w:hAnsi="Baskerville Old Face"/>
                <w:i/>
                <w:iCs/>
                <w:sz w:val="22"/>
                <w:szCs w:val="22"/>
              </w:rPr>
            </w:pPr>
            <w:r w:rsidRPr="00B479AE">
              <w:rPr>
                <w:rFonts w:ascii="Baskerville Old Face" w:hAnsi="Baskerville Old Face"/>
                <w:i/>
                <w:iCs/>
                <w:sz w:val="22"/>
                <w:szCs w:val="22"/>
              </w:rPr>
              <w:t>PRU-relevant analytical interpretation.</w:t>
            </w:r>
          </w:p>
        </w:tc>
      </w:tr>
      <w:tr w:rsidR="00126CF3" w:rsidRPr="00B479AE" w14:paraId="6107F50C" w14:textId="77777777" w:rsidTr="000250EB">
        <w:trPr>
          <w:tblCellSpacing w:w="15" w:type="dxa"/>
        </w:trPr>
        <w:tc>
          <w:tcPr>
            <w:tcW w:w="0" w:type="auto"/>
            <w:vAlign w:val="center"/>
            <w:hideMark/>
          </w:tcPr>
          <w:p w14:paraId="2FF6FA01" w14:textId="77777777" w:rsidR="00126CF3" w:rsidRPr="00B479AE" w:rsidRDefault="00126CF3" w:rsidP="000250EB">
            <w:pPr>
              <w:spacing w:line="360" w:lineRule="auto"/>
              <w:rPr>
                <w:rFonts w:ascii="Baskerville Old Face" w:hAnsi="Baskerville Old Face"/>
                <w:i/>
                <w:iCs/>
                <w:sz w:val="22"/>
                <w:szCs w:val="22"/>
              </w:rPr>
            </w:pPr>
            <w:r w:rsidRPr="00B479AE">
              <w:rPr>
                <w:rFonts w:ascii="Baskerville Old Face" w:hAnsi="Baskerville Old Face"/>
                <w:i/>
                <w:iCs/>
                <w:sz w:val="22"/>
                <w:szCs w:val="22"/>
              </w:rPr>
              <w:t>Capital-readiness memo</w:t>
            </w:r>
          </w:p>
        </w:tc>
        <w:tc>
          <w:tcPr>
            <w:tcW w:w="0" w:type="auto"/>
            <w:vAlign w:val="center"/>
            <w:hideMark/>
          </w:tcPr>
          <w:p w14:paraId="30E1C9D0" w14:textId="77777777" w:rsidR="00126CF3" w:rsidRPr="00B479AE" w:rsidRDefault="00126CF3" w:rsidP="000250EB">
            <w:pPr>
              <w:spacing w:line="360" w:lineRule="auto"/>
              <w:rPr>
                <w:rFonts w:ascii="Baskerville Old Face" w:hAnsi="Baskerville Old Face"/>
                <w:i/>
                <w:iCs/>
                <w:sz w:val="22"/>
                <w:szCs w:val="22"/>
              </w:rPr>
            </w:pPr>
            <w:r w:rsidRPr="00B479AE">
              <w:rPr>
                <w:rFonts w:ascii="Baskerville Old Face" w:hAnsi="Baskerville Old Face"/>
                <w:i/>
                <w:iCs/>
                <w:sz w:val="22"/>
                <w:szCs w:val="22"/>
              </w:rPr>
              <w:t>Diligence-oriented, non-offering material.</w:t>
            </w:r>
          </w:p>
        </w:tc>
      </w:tr>
      <w:tr w:rsidR="00126CF3" w:rsidRPr="00B479AE" w14:paraId="3E659DD3" w14:textId="77777777" w:rsidTr="000250EB">
        <w:trPr>
          <w:tblCellSpacing w:w="15" w:type="dxa"/>
        </w:trPr>
        <w:tc>
          <w:tcPr>
            <w:tcW w:w="0" w:type="auto"/>
            <w:vAlign w:val="center"/>
            <w:hideMark/>
          </w:tcPr>
          <w:p w14:paraId="0950A7F4" w14:textId="77777777" w:rsidR="00126CF3" w:rsidRPr="00B479AE" w:rsidRDefault="00126CF3" w:rsidP="000250EB">
            <w:pPr>
              <w:spacing w:line="360" w:lineRule="auto"/>
              <w:rPr>
                <w:rFonts w:ascii="Baskerville Old Face" w:hAnsi="Baskerville Old Face"/>
                <w:i/>
                <w:iCs/>
                <w:sz w:val="22"/>
                <w:szCs w:val="22"/>
              </w:rPr>
            </w:pPr>
            <w:r w:rsidRPr="00B479AE">
              <w:rPr>
                <w:rFonts w:ascii="Baskerville Old Face" w:hAnsi="Baskerville Old Face"/>
                <w:i/>
                <w:iCs/>
                <w:sz w:val="22"/>
                <w:szCs w:val="22"/>
              </w:rPr>
              <w:t>Investor-review report</w:t>
            </w:r>
          </w:p>
        </w:tc>
        <w:tc>
          <w:tcPr>
            <w:tcW w:w="0" w:type="auto"/>
            <w:vAlign w:val="center"/>
            <w:hideMark/>
          </w:tcPr>
          <w:p w14:paraId="7647DFE7" w14:textId="77777777" w:rsidR="00126CF3" w:rsidRPr="00B479AE" w:rsidRDefault="00126CF3" w:rsidP="000250EB">
            <w:pPr>
              <w:spacing w:line="360" w:lineRule="auto"/>
              <w:rPr>
                <w:rFonts w:ascii="Baskerville Old Face" w:hAnsi="Baskerville Old Face"/>
                <w:i/>
                <w:iCs/>
                <w:sz w:val="22"/>
                <w:szCs w:val="22"/>
              </w:rPr>
            </w:pPr>
            <w:r w:rsidRPr="00B479AE">
              <w:rPr>
                <w:rFonts w:ascii="Baskerville Old Face" w:hAnsi="Baskerville Old Face"/>
                <w:i/>
                <w:iCs/>
                <w:sz w:val="22"/>
                <w:szCs w:val="22"/>
              </w:rPr>
              <w:t>Shared under defined terms, disclaimers, access controls, and legal review.</w:t>
            </w:r>
          </w:p>
        </w:tc>
      </w:tr>
      <w:tr w:rsidR="00126CF3" w:rsidRPr="00B479AE" w14:paraId="11BF3A2D" w14:textId="77777777" w:rsidTr="000250EB">
        <w:trPr>
          <w:tblCellSpacing w:w="15" w:type="dxa"/>
        </w:trPr>
        <w:tc>
          <w:tcPr>
            <w:tcW w:w="0" w:type="auto"/>
            <w:vAlign w:val="center"/>
            <w:hideMark/>
          </w:tcPr>
          <w:p w14:paraId="5B6479B3" w14:textId="77777777" w:rsidR="00126CF3" w:rsidRPr="00B479AE" w:rsidRDefault="00126CF3" w:rsidP="000250EB">
            <w:pPr>
              <w:spacing w:line="360" w:lineRule="auto"/>
              <w:rPr>
                <w:rFonts w:ascii="Baskerville Old Face" w:hAnsi="Baskerville Old Face"/>
                <w:i/>
                <w:iCs/>
                <w:sz w:val="22"/>
                <w:szCs w:val="22"/>
              </w:rPr>
            </w:pPr>
            <w:r w:rsidRPr="00B479AE">
              <w:rPr>
                <w:rFonts w:ascii="Baskerville Old Face" w:hAnsi="Baskerville Old Face"/>
                <w:i/>
                <w:iCs/>
                <w:sz w:val="22"/>
                <w:szCs w:val="22"/>
              </w:rPr>
              <w:t>Legal-structured report</w:t>
            </w:r>
          </w:p>
        </w:tc>
        <w:tc>
          <w:tcPr>
            <w:tcW w:w="0" w:type="auto"/>
            <w:vAlign w:val="center"/>
            <w:hideMark/>
          </w:tcPr>
          <w:p w14:paraId="389D9DE5" w14:textId="77777777" w:rsidR="00126CF3" w:rsidRPr="00B479AE" w:rsidRDefault="00126CF3" w:rsidP="000250EB">
            <w:pPr>
              <w:spacing w:line="360" w:lineRule="auto"/>
              <w:rPr>
                <w:rFonts w:ascii="Baskerville Old Face" w:hAnsi="Baskerville Old Face"/>
                <w:i/>
                <w:iCs/>
                <w:sz w:val="22"/>
                <w:szCs w:val="22"/>
              </w:rPr>
            </w:pPr>
            <w:r w:rsidRPr="00B479AE">
              <w:rPr>
                <w:rFonts w:ascii="Baskerville Old Face" w:hAnsi="Baskerville Old Face"/>
                <w:i/>
                <w:iCs/>
                <w:sz w:val="22"/>
                <w:szCs w:val="22"/>
              </w:rPr>
              <w:t>Connected to a specific legal instrument, wrapper, vehicle, or regulated pathway.</w:t>
            </w:r>
          </w:p>
        </w:tc>
      </w:tr>
      <w:tr w:rsidR="00126CF3" w:rsidRPr="00B479AE" w14:paraId="60993075" w14:textId="77777777" w:rsidTr="000250EB">
        <w:trPr>
          <w:tblCellSpacing w:w="15" w:type="dxa"/>
        </w:trPr>
        <w:tc>
          <w:tcPr>
            <w:tcW w:w="0" w:type="auto"/>
            <w:vAlign w:val="center"/>
            <w:hideMark/>
          </w:tcPr>
          <w:p w14:paraId="70279DF9" w14:textId="77777777" w:rsidR="00126CF3" w:rsidRPr="00B479AE" w:rsidRDefault="00126CF3" w:rsidP="000250EB">
            <w:pPr>
              <w:spacing w:line="360" w:lineRule="auto"/>
              <w:rPr>
                <w:rFonts w:ascii="Baskerville Old Face" w:hAnsi="Baskerville Old Face"/>
                <w:i/>
                <w:iCs/>
                <w:sz w:val="22"/>
                <w:szCs w:val="22"/>
              </w:rPr>
            </w:pPr>
            <w:r w:rsidRPr="00B479AE">
              <w:rPr>
                <w:rFonts w:ascii="Baskerville Old Face" w:hAnsi="Baskerville Old Face"/>
                <w:i/>
                <w:iCs/>
                <w:sz w:val="22"/>
                <w:szCs w:val="22"/>
              </w:rPr>
              <w:t>Public impact report</w:t>
            </w:r>
          </w:p>
        </w:tc>
        <w:tc>
          <w:tcPr>
            <w:tcW w:w="0" w:type="auto"/>
            <w:vAlign w:val="center"/>
            <w:hideMark/>
          </w:tcPr>
          <w:p w14:paraId="3AE43A31" w14:textId="77777777" w:rsidR="00126CF3" w:rsidRPr="00B479AE" w:rsidRDefault="00126CF3" w:rsidP="000250EB">
            <w:pPr>
              <w:spacing w:line="360" w:lineRule="auto"/>
              <w:rPr>
                <w:rFonts w:ascii="Baskerville Old Face" w:hAnsi="Baskerville Old Face"/>
                <w:i/>
                <w:iCs/>
                <w:sz w:val="22"/>
                <w:szCs w:val="22"/>
              </w:rPr>
            </w:pPr>
            <w:r w:rsidRPr="00B479AE">
              <w:rPr>
                <w:rFonts w:ascii="Baskerville Old Face" w:hAnsi="Baskerville Old Face"/>
                <w:i/>
                <w:iCs/>
                <w:sz w:val="22"/>
                <w:szCs w:val="22"/>
              </w:rPr>
              <w:t>Public communication with carefully bounded claims.</w:t>
            </w:r>
          </w:p>
        </w:tc>
      </w:tr>
    </w:tbl>
    <w:p w14:paraId="42DA2217" w14:textId="5B356A63"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Reporting class determines permitted language.</w:t>
      </w:r>
    </w:p>
    <w:p w14:paraId="455A99D5"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Permitted language determines disclosure risk.</w:t>
      </w:r>
    </w:p>
    <w:p w14:paraId="3FCC532D"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Disclosure risk determines review requirements.</w:t>
      </w:r>
    </w:p>
    <w:p w14:paraId="1C9FB42D"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 xml:space="preserve">No investor-facing report should imply that PRU analysis, maturity classification, RAP aggregation, dashboard output, ecological improvement, or regenerative performance creates investment rights, </w:t>
      </w:r>
      <w:r w:rsidRPr="00B479AE">
        <w:rPr>
          <w:rFonts w:ascii="Baskerville Old Face" w:hAnsi="Baskerville Old Face"/>
          <w:i/>
          <w:iCs/>
        </w:rPr>
        <w:lastRenderedPageBreak/>
        <w:t>token rights, securities, collateral recognition, credit eligibility, insurance eligibility, public-offering status, or market-facing entitlement unless a legally reviewed instrument expressly creates such rights.</w:t>
      </w:r>
    </w:p>
    <w:p w14:paraId="35CFD91F"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The operational rule is:</w:t>
      </w:r>
    </w:p>
    <w:p w14:paraId="01C94BA3"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reporting may inform diligence;</w:t>
      </w:r>
    </w:p>
    <w:p w14:paraId="226769BC"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diligence may support structuring;</w:t>
      </w:r>
    </w:p>
    <w:p w14:paraId="745009A4"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structuring may support capital;</w:t>
      </w:r>
    </w:p>
    <w:p w14:paraId="3D8EE033" w14:textId="77777777" w:rsidR="00D133CF" w:rsidRPr="00B479AE" w:rsidRDefault="00D133CF" w:rsidP="00D133CF">
      <w:pPr>
        <w:spacing w:line="360" w:lineRule="auto"/>
        <w:rPr>
          <w:rFonts w:ascii="Baskerville Old Face" w:hAnsi="Baskerville Old Face"/>
          <w:i/>
          <w:iCs/>
        </w:rPr>
      </w:pPr>
      <w:r w:rsidRPr="00B479AE">
        <w:rPr>
          <w:rFonts w:ascii="Baskerville Old Face" w:hAnsi="Baskerville Old Face"/>
          <w:i/>
          <w:iCs/>
        </w:rPr>
        <w:t>but reporting does not create rights by itself.</w:t>
      </w:r>
    </w:p>
    <w:p w14:paraId="07B90E12" w14:textId="77777777" w:rsidR="008B46A5" w:rsidRPr="00B479AE" w:rsidRDefault="008B46A5" w:rsidP="00B96D64">
      <w:pPr>
        <w:spacing w:line="360" w:lineRule="auto"/>
        <w:rPr>
          <w:rFonts w:ascii="Baskerville Old Face" w:hAnsi="Baskerville Old Face"/>
          <w:b/>
          <w:bCs/>
          <w:i/>
          <w:iCs/>
        </w:rPr>
      </w:pPr>
    </w:p>
    <w:p w14:paraId="0CCB9932" w14:textId="14046590" w:rsidR="00B96D64" w:rsidRPr="00B479AE" w:rsidRDefault="00B96D64" w:rsidP="00B96D64">
      <w:pPr>
        <w:spacing w:line="360" w:lineRule="auto"/>
        <w:rPr>
          <w:rFonts w:ascii="Baskerville Old Face" w:hAnsi="Baskerville Old Face"/>
          <w:b/>
          <w:bCs/>
          <w:i/>
          <w:iCs/>
        </w:rPr>
      </w:pPr>
      <w:r w:rsidRPr="00B479AE">
        <w:rPr>
          <w:rFonts w:ascii="Baskerville Old Face" w:hAnsi="Baskerville Old Face"/>
          <w:b/>
          <w:bCs/>
          <w:i/>
          <w:iCs/>
        </w:rPr>
        <w:t>R.31 Structured Finance and Securitization Boundary</w:t>
      </w:r>
    </w:p>
    <w:p w14:paraId="79C0D386"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PRU and RAP logic may, in future, support structured-finance exploration.</w:t>
      </w:r>
    </w:p>
    <w:p w14:paraId="757FBD01"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Possible structures may include:</w:t>
      </w:r>
    </w:p>
    <w:p w14:paraId="4082BCFC"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project finance;</w:t>
      </w:r>
    </w:p>
    <w:p w14:paraId="7298DF7E"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blended finance;</w:t>
      </w:r>
    </w:p>
    <w:p w14:paraId="6DC2DDB5"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private credit;</w:t>
      </w:r>
    </w:p>
    <w:p w14:paraId="67C0492F"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SPV;</w:t>
      </w:r>
    </w:p>
    <w:p w14:paraId="56C48795"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fund vehicle;</w:t>
      </w:r>
    </w:p>
    <w:p w14:paraId="4C925477"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note;</w:t>
      </w:r>
    </w:p>
    <w:p w14:paraId="24BF444E"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guarantee-backed structure;</w:t>
      </w:r>
    </w:p>
    <w:p w14:paraId="58AC2D77"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insurance-linked structure;</w:t>
      </w:r>
    </w:p>
    <w:p w14:paraId="605912DC"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revenue-linked instrument;</w:t>
      </w:r>
    </w:p>
    <w:p w14:paraId="54355996"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legally structured digital representation where compliant.</w:t>
      </w:r>
    </w:p>
    <w:p w14:paraId="1DBABD44"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These structures do not arise automatically from PRU analysis.</w:t>
      </w:r>
    </w:p>
    <w:p w14:paraId="1FFB9127"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lastRenderedPageBreak/>
        <w:t>They require legal structuring, disclosure, enforceability, investor protection, jurisdiction-specific review, and institutional safeguards.</w:t>
      </w:r>
    </w:p>
    <w:p w14:paraId="10FC4888"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A long-term Prometheus structured-finance pathway may follow this sequence:</w:t>
      </w:r>
    </w:p>
    <w:p w14:paraId="39774832"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OHE deployment;</w:t>
      </w:r>
    </w:p>
    <w:p w14:paraId="3019883F"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MRV activation;</w:t>
      </w:r>
    </w:p>
    <w:p w14:paraId="5E8CA9CF"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PRU analysis;</w:t>
      </w:r>
    </w:p>
    <w:p w14:paraId="555B4AA2"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PRU maturity classification;</w:t>
      </w:r>
    </w:p>
    <w:p w14:paraId="2A4AF9ED"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RAP aggregation;</w:t>
      </w:r>
    </w:p>
    <w:p w14:paraId="1962C11B"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legal structuring through an SPV, fund, note, or equivalent vehicle where appropriate;</w:t>
      </w:r>
    </w:p>
    <w:p w14:paraId="7C96F1A3"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cash-flow or value-allocation framework where legally defined;</w:t>
      </w:r>
    </w:p>
    <w:p w14:paraId="45C0E955"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credit enhancement where available;</w:t>
      </w:r>
    </w:p>
    <w:p w14:paraId="14C44A1B"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investor reporting;</w:t>
      </w:r>
    </w:p>
    <w:p w14:paraId="495BBAAF"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possible compliant institutional or digital representation.</w:t>
      </w:r>
    </w:p>
    <w:p w14:paraId="5F15B359"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However, securitization eligibility should be treated as a future legal and institutional pathway.</w:t>
      </w:r>
    </w:p>
    <w:p w14:paraId="5E8E4D20"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It requires:</w:t>
      </w:r>
    </w:p>
    <w:p w14:paraId="14319EC4"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underlying asset maturity;</w:t>
      </w:r>
    </w:p>
    <w:p w14:paraId="4EA48C62"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PRU methodology maturity;</w:t>
      </w:r>
    </w:p>
    <w:p w14:paraId="19AA7ADF"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MRV admissibility;</w:t>
      </w:r>
    </w:p>
    <w:p w14:paraId="3C388CBC"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legal enforceability;</w:t>
      </w:r>
    </w:p>
    <w:p w14:paraId="607BEC53"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investor disclosures;</w:t>
      </w:r>
    </w:p>
    <w:p w14:paraId="0D2618CD"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asset eligibility criteria;</w:t>
      </w:r>
    </w:p>
    <w:p w14:paraId="0992327D"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risk stratification;</w:t>
      </w:r>
    </w:p>
    <w:p w14:paraId="48A799DC"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lastRenderedPageBreak/>
        <w:t>• data-room discipline;</w:t>
      </w:r>
    </w:p>
    <w:p w14:paraId="60C66C74"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jurisdictional review;</w:t>
      </w:r>
    </w:p>
    <w:p w14:paraId="373B8EAF"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servicing or monitoring structure;</w:t>
      </w:r>
    </w:p>
    <w:p w14:paraId="02DDA2AC"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no-double-counting controls;</w:t>
      </w:r>
    </w:p>
    <w:p w14:paraId="0BB664D3"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regulatory analysis;</w:t>
      </w:r>
    </w:p>
    <w:p w14:paraId="6F4698F1"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source-to-capital traceability;</w:t>
      </w:r>
    </w:p>
    <w:p w14:paraId="02663F6B"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 public-claim boundary discipline.</w:t>
      </w:r>
    </w:p>
    <w:p w14:paraId="279BA964"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The correct language is:</w:t>
      </w:r>
    </w:p>
    <w:p w14:paraId="19BE19AE"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PRU and RAP may support future structured-finance analysis where evidence, methodology, legal structure, and institutional safeguards are mature enough.</w:t>
      </w:r>
    </w:p>
    <w:p w14:paraId="2CEBE31B"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Prometheus should not imply that PRUs are securitizable by default.</w:t>
      </w:r>
    </w:p>
    <w:p w14:paraId="707453CE"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Prometheus does not move from evidence to issuance automatically.</w:t>
      </w:r>
    </w:p>
    <w:p w14:paraId="39BFED3D"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It moves from evidence to review, from review to admissibility, from admissibility to legal structure, and only then to possible compliant representation.</w:t>
      </w:r>
    </w:p>
    <w:p w14:paraId="12FD0A1D"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The asset base comes first.</w:t>
      </w:r>
    </w:p>
    <w:p w14:paraId="1079C2EB" w14:textId="77777777" w:rsidR="00B96D64" w:rsidRPr="00B479AE" w:rsidRDefault="00B96D64" w:rsidP="00B96D64">
      <w:pPr>
        <w:spacing w:line="360" w:lineRule="auto"/>
        <w:rPr>
          <w:rFonts w:ascii="Baskerville Old Face" w:hAnsi="Baskerville Old Face"/>
          <w:i/>
          <w:iCs/>
        </w:rPr>
      </w:pPr>
      <w:r w:rsidRPr="00B479AE">
        <w:rPr>
          <w:rFonts w:ascii="Baskerville Old Face" w:hAnsi="Baskerville Old Face"/>
          <w:i/>
          <w:iCs/>
        </w:rPr>
        <w:t>The instrument comes after.</w:t>
      </w:r>
    </w:p>
    <w:p w14:paraId="25877451" w14:textId="77777777" w:rsidR="00C075B7" w:rsidRPr="00B479AE" w:rsidRDefault="00C075B7" w:rsidP="00C075B7">
      <w:pPr>
        <w:spacing w:line="360" w:lineRule="auto"/>
        <w:rPr>
          <w:rFonts w:ascii="Baskerville Old Face" w:hAnsi="Baskerville Old Face"/>
          <w:b/>
          <w:bCs/>
          <w:i/>
          <w:iCs/>
        </w:rPr>
      </w:pPr>
      <w:r w:rsidRPr="00B479AE">
        <w:rPr>
          <w:rFonts w:ascii="Baskerville Old Face" w:hAnsi="Baskerville Old Face"/>
          <w:b/>
          <w:bCs/>
          <w:i/>
          <w:iCs/>
        </w:rPr>
        <w:t>R.32 Integration with Ravel</w:t>
      </w:r>
    </w:p>
    <w:p w14:paraId="58861952"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Ravel may support PRU value analysis and maturity classification by identifying systemic risks.</w:t>
      </w:r>
    </w:p>
    <w:p w14:paraId="2B864D16"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Ravel may flag:</w:t>
      </w:r>
    </w:p>
    <w:p w14:paraId="5A4806DA"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 evidence-to-claim mismatch;</w:t>
      </w:r>
    </w:p>
    <w:p w14:paraId="183BCC70"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 capital pressure;</w:t>
      </w:r>
    </w:p>
    <w:p w14:paraId="491EA61A"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 governance overload;</w:t>
      </w:r>
    </w:p>
    <w:p w14:paraId="37D6FCE0"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lastRenderedPageBreak/>
        <w:t>• legal readiness gaps;</w:t>
      </w:r>
    </w:p>
    <w:p w14:paraId="4DAFF783"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 MRV weakness;</w:t>
      </w:r>
    </w:p>
    <w:p w14:paraId="72B74A22"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 token-boundary confusion;</w:t>
      </w:r>
    </w:p>
    <w:p w14:paraId="7CA3E99E"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 continuity risk;</w:t>
      </w:r>
    </w:p>
    <w:p w14:paraId="37464890"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 semantic drift;</w:t>
      </w:r>
    </w:p>
    <w:p w14:paraId="1E5A8106"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 portfolio concentration;</w:t>
      </w:r>
    </w:p>
    <w:p w14:paraId="11148C50"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 operational fragility;</w:t>
      </w:r>
    </w:p>
    <w:p w14:paraId="5C579754"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 dashboard-to-authority confusion;</w:t>
      </w:r>
    </w:p>
    <w:p w14:paraId="2755492F"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 source-layer fidelity risk;</w:t>
      </w:r>
    </w:p>
    <w:p w14:paraId="0DE5577C"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 public-claim overreach.</w:t>
      </w:r>
    </w:p>
    <w:p w14:paraId="3259E77F"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Ravel signals should be used as review inputs.</w:t>
      </w:r>
    </w:p>
    <w:p w14:paraId="3E12B67F"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They should not automatically downgrade, suspend, disqualify, restrict, approve, or authorize PRU analysis without review.</w:t>
      </w:r>
    </w:p>
    <w:p w14:paraId="6EF00B4A"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The relationship is:</w:t>
      </w:r>
    </w:p>
    <w:p w14:paraId="09EDF7F8"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Ravel signals risk.</w:t>
      </w:r>
    </w:p>
    <w:p w14:paraId="094E8FBB"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MRV verifies evidence.</w:t>
      </w:r>
    </w:p>
    <w:p w14:paraId="25ECB9F9"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PRU analyzes regenerative performance.</w:t>
      </w:r>
    </w:p>
    <w:p w14:paraId="05A7526A"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Governance reviews admissibility.</w:t>
      </w:r>
    </w:p>
    <w:p w14:paraId="7F114E86"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Legal structure defines enforceability.</w:t>
      </w:r>
    </w:p>
    <w:p w14:paraId="55FE565A"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Capital acts within the resulting boundary.</w:t>
      </w:r>
    </w:p>
    <w:p w14:paraId="19439549"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Ravel is a diagnostic layer.</w:t>
      </w:r>
    </w:p>
    <w:p w14:paraId="50C2DC26"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PRU is an analytical value layer.</w:t>
      </w:r>
    </w:p>
    <w:p w14:paraId="5E847458"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lastRenderedPageBreak/>
        <w:t>Governance is the authorization layer.</w:t>
      </w:r>
    </w:p>
    <w:p w14:paraId="1A704C4E"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Law is the enforceability layer.</w:t>
      </w:r>
    </w:p>
    <w:p w14:paraId="612C1B3C" w14:textId="77777777" w:rsidR="00C075B7" w:rsidRPr="00B479AE" w:rsidRDefault="00C075B7" w:rsidP="00C075B7">
      <w:pPr>
        <w:spacing w:line="360" w:lineRule="auto"/>
        <w:rPr>
          <w:rFonts w:ascii="Baskerville Old Face" w:hAnsi="Baskerville Old Face"/>
          <w:i/>
          <w:iCs/>
        </w:rPr>
      </w:pPr>
      <w:r w:rsidRPr="00B479AE">
        <w:rPr>
          <w:rFonts w:ascii="Baskerville Old Face" w:hAnsi="Baskerville Old Face"/>
          <w:i/>
          <w:iCs/>
        </w:rPr>
        <w:t>Neither Ravel nor PRU becomes sovereign authority.</w:t>
      </w:r>
    </w:p>
    <w:p w14:paraId="630C6EE6" w14:textId="77777777" w:rsidR="00B95061" w:rsidRPr="00B479AE" w:rsidRDefault="00B95061" w:rsidP="00B95061">
      <w:pPr>
        <w:spacing w:line="360" w:lineRule="auto"/>
        <w:rPr>
          <w:rFonts w:ascii="Baskerville Old Face" w:hAnsi="Baskerville Old Face"/>
          <w:b/>
          <w:bCs/>
          <w:i/>
          <w:iCs/>
        </w:rPr>
      </w:pPr>
      <w:r w:rsidRPr="00B479AE">
        <w:rPr>
          <w:rFonts w:ascii="Baskerville Old Face" w:hAnsi="Baskerville Old Face"/>
          <w:b/>
          <w:bCs/>
          <w:i/>
          <w:iCs/>
        </w:rPr>
        <w:t>R.33 Integration with PHI and Planetary Boundaries</w:t>
      </w:r>
    </w:p>
    <w:p w14:paraId="6F075747"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PHI and Planetary Boundaries may support PRU analysis by providing ecological context.</w:t>
      </w:r>
    </w:p>
    <w:p w14:paraId="07AC3AF4"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They do not create PRU value by themselves.</w:t>
      </w:r>
    </w:p>
    <w:p w14:paraId="755E555D"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They do not replace MRV.</w:t>
      </w:r>
    </w:p>
    <w:p w14:paraId="3EFDCFDD"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They do not replace field evidence.</w:t>
      </w:r>
    </w:p>
    <w:p w14:paraId="2A1C2D86"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They do not replace local ecological assessment.</w:t>
      </w:r>
    </w:p>
    <w:p w14:paraId="160B3829"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They do not replace methodology, governance review, legal review, or admissibility analysis.</w:t>
      </w:r>
    </w:p>
    <w:p w14:paraId="47764580"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Their function is contextual.</w:t>
      </w:r>
    </w:p>
    <w:p w14:paraId="1F5519B7"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PHI and Planetary Boundaries may inform:</w:t>
      </w:r>
    </w:p>
    <w:p w14:paraId="1EC84FA2"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 indicator selection;</w:t>
      </w:r>
    </w:p>
    <w:p w14:paraId="05A3BEA4"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 boundary-pressure profile;</w:t>
      </w:r>
    </w:p>
    <w:p w14:paraId="75D5434F"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 bioregional stress interpretation;</w:t>
      </w:r>
    </w:p>
    <w:p w14:paraId="11843493"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 climate, water, biodiversity, land-use, nutrient, and pollution risk context;</w:t>
      </w:r>
    </w:p>
    <w:p w14:paraId="17E19D15"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 ecological risk weighting;</w:t>
      </w:r>
    </w:p>
    <w:p w14:paraId="4553F284"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 resilience analysis;</w:t>
      </w:r>
    </w:p>
    <w:p w14:paraId="408B7B29"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 portfolio diversification;</w:t>
      </w:r>
    </w:p>
    <w:p w14:paraId="42009921"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 climate and water exposure;</w:t>
      </w:r>
    </w:p>
    <w:p w14:paraId="2BFF5A89"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 biodiversity relevance;</w:t>
      </w:r>
    </w:p>
    <w:p w14:paraId="7E41018C"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 protective review signals;</w:t>
      </w:r>
    </w:p>
    <w:p w14:paraId="1EE55883"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lastRenderedPageBreak/>
        <w:t>• capital-readiness risk interpretation.</w:t>
      </w:r>
    </w:p>
    <w:p w14:paraId="5F816EC8"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PHI or planetary-boundary scores should not directly create PRU value.</w:t>
      </w:r>
    </w:p>
    <w:p w14:paraId="0383DCA8"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They support contextual intelligence.</w:t>
      </w:r>
    </w:p>
    <w:p w14:paraId="74B4BF04"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PRU value relevance still depends on MRV-admissible evidence, methodology, confidence scoring, governance review, legal clarity, and no-double-counting discipline.</w:t>
      </w:r>
    </w:p>
    <w:p w14:paraId="5511002D"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A project located in a stressed bioregional context may require stronger evidence, more conservative interpretation, or additional risk review.</w:t>
      </w:r>
    </w:p>
    <w:p w14:paraId="0840A4C7"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A project located in a less stressed context does not automatically become PRU-eligible.</w:t>
      </w:r>
    </w:p>
    <w:p w14:paraId="32FE2562"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The relationship is:</w:t>
      </w:r>
    </w:p>
    <w:p w14:paraId="5AECF831"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planetary context informs design;</w:t>
      </w:r>
    </w:p>
    <w:p w14:paraId="4FFA569A"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bioregional evidence grounds interpretation;</w:t>
      </w:r>
    </w:p>
    <w:p w14:paraId="51D933E0"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MRV verifies performance;</w:t>
      </w:r>
    </w:p>
    <w:p w14:paraId="14A801BA"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PHI supports risk awareness;</w:t>
      </w:r>
    </w:p>
    <w:p w14:paraId="0C56FEE3"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governance determines admissibility;</w:t>
      </w:r>
    </w:p>
    <w:p w14:paraId="007CF46E"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legal structure defines capital-facing use.</w:t>
      </w:r>
    </w:p>
    <w:p w14:paraId="54B9C8A5"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A sustained decline in PHI, even while absolute values remain above critical thresholds, may trigger a yellow protective review signal, prompting proactive governance, MRV, ecological, or operational review before negative trends become harder to reverse.</w:t>
      </w:r>
    </w:p>
    <w:p w14:paraId="765353FB"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This signal should be interpreted as an early-warning and review mechanism.</w:t>
      </w:r>
    </w:p>
    <w:p w14:paraId="75C9BB04"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It should not automatically approve, reject, downgrade, suspend, disqualify, or financially reclassify a PRU, OHE, RAP, project, or portfolio.</w:t>
      </w:r>
    </w:p>
    <w:p w14:paraId="57188BF4"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The planet provides context.</w:t>
      </w:r>
    </w:p>
    <w:p w14:paraId="63BDE116"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The field provides evidence.</w:t>
      </w:r>
    </w:p>
    <w:p w14:paraId="0670F3D8"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lastRenderedPageBreak/>
        <w:t>MRV provides verification.</w:t>
      </w:r>
    </w:p>
    <w:p w14:paraId="364759B2"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Governance provides admissibility.</w:t>
      </w:r>
    </w:p>
    <w:p w14:paraId="6A48CC4A"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Law provides enforceability.</w:t>
      </w:r>
    </w:p>
    <w:p w14:paraId="05D22FCB" w14:textId="77777777" w:rsidR="00B95061" w:rsidRPr="00B479AE" w:rsidRDefault="00B95061" w:rsidP="00B95061">
      <w:pPr>
        <w:spacing w:line="360" w:lineRule="auto"/>
        <w:rPr>
          <w:rFonts w:ascii="Baskerville Old Face" w:hAnsi="Baskerville Old Face"/>
          <w:i/>
          <w:iCs/>
        </w:rPr>
      </w:pPr>
      <w:r w:rsidRPr="00B479AE">
        <w:rPr>
          <w:rFonts w:ascii="Baskerville Old Face" w:hAnsi="Baskerville Old Face"/>
          <w:i/>
          <w:iCs/>
        </w:rPr>
        <w:t>Capital acts only within the resulting boundary.</w:t>
      </w:r>
    </w:p>
    <w:p w14:paraId="2FECA432" w14:textId="77777777" w:rsidR="00D753C8" w:rsidRPr="00B479AE" w:rsidRDefault="00D753C8" w:rsidP="00D753C8">
      <w:pPr>
        <w:spacing w:line="360" w:lineRule="auto"/>
        <w:rPr>
          <w:rFonts w:ascii="Baskerville Old Face" w:hAnsi="Baskerville Old Face"/>
          <w:b/>
          <w:bCs/>
          <w:i/>
          <w:iCs/>
        </w:rPr>
      </w:pPr>
      <w:r w:rsidRPr="00B479AE">
        <w:rPr>
          <w:rFonts w:ascii="Baskerville Old Face" w:hAnsi="Baskerville Old Face"/>
          <w:b/>
          <w:bCs/>
          <w:i/>
          <w:iCs/>
        </w:rPr>
        <w:t>R.34 Integration with Legal Architecture</w:t>
      </w:r>
    </w:p>
    <w:p w14:paraId="2463D2C1"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PRU-related value claims require legal clarity.</w:t>
      </w:r>
    </w:p>
    <w:p w14:paraId="2498FF9F"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PRU analysis may support legal structuring.</w:t>
      </w:r>
    </w:p>
    <w:p w14:paraId="1C933182"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It cannot replace legal structuring.</w:t>
      </w:r>
    </w:p>
    <w:p w14:paraId="55DF0B49"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It cannot create legal rights by itself.</w:t>
      </w:r>
    </w:p>
    <w:p w14:paraId="68C0DF29"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It cannot create investor exposure by itself.</w:t>
      </w:r>
    </w:p>
    <w:p w14:paraId="4A3E1A76"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It cannot create token rights by itself.</w:t>
      </w:r>
    </w:p>
    <w:p w14:paraId="4B89F04A"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It cannot create collateral recognition by itself.</w:t>
      </w:r>
    </w:p>
    <w:p w14:paraId="05D43568"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It cannot create securities, notes, fund interests, credits, offsets, guarantees, or transferable claims by itself.</w:t>
      </w:r>
    </w:p>
    <w:p w14:paraId="39118730"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Rights arise through legal instruments.</w:t>
      </w:r>
    </w:p>
    <w:p w14:paraId="707BFCF3"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PRU supplies analytical evidence.</w:t>
      </w:r>
    </w:p>
    <w:p w14:paraId="5FA3DF2D"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Legal architecture determines whether that evidence can support a capital-facing structure.</w:t>
      </w:r>
    </w:p>
    <w:p w14:paraId="2CB5A694"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Legal review should address:</w:t>
      </w:r>
    </w:p>
    <w:p w14:paraId="4FC43E73"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 whether PRU language creates financial implications;</w:t>
      </w:r>
    </w:p>
    <w:p w14:paraId="369CB4F1"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 whether PRU analysis is being used internally, privately, institutionally, publicly, or investor-facing;</w:t>
      </w:r>
    </w:p>
    <w:p w14:paraId="34D6625C"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 whether any instrument is a security, note, fund interest, derivative, credit, offset, revenue-linked instrument, tokenized instrument, or other regulated product;</w:t>
      </w:r>
    </w:p>
    <w:p w14:paraId="1F8830FA"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lastRenderedPageBreak/>
        <w:t>• whether investor disclosures are sufficient;</w:t>
      </w:r>
    </w:p>
    <w:p w14:paraId="46CB9A39"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 whether claims are public, private, data-room limited, research-only, or legally structured;</w:t>
      </w:r>
    </w:p>
    <w:p w14:paraId="0BE8476A"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 whether tokenization or digital representation is involved;</w:t>
      </w:r>
    </w:p>
    <w:p w14:paraId="690864A7"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 whether data rights support the claim;</w:t>
      </w:r>
    </w:p>
    <w:p w14:paraId="020A4EE3"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 whether land rights, revenue rights, stewardship rights, governance rights, or operational rights are implicated;</w:t>
      </w:r>
    </w:p>
    <w:p w14:paraId="60810360"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 whether environmental claims are substantiated;</w:t>
      </w:r>
    </w:p>
    <w:p w14:paraId="506B5A76"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 whether no-double-counting controls are sufficient;</w:t>
      </w:r>
    </w:p>
    <w:p w14:paraId="417A3084"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 whether public-claim boundaries are clear;</w:t>
      </w:r>
    </w:p>
    <w:p w14:paraId="07A41505"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 whether jurisdictional rules apply;</w:t>
      </w:r>
    </w:p>
    <w:p w14:paraId="3CC704DC"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 whether the relevant legal wrapper is complete;</w:t>
      </w:r>
    </w:p>
    <w:p w14:paraId="3A122D8F"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 whether the intended use is compatible with source-layer fidelity and Prometheus boundary rules.</w:t>
      </w:r>
    </w:p>
    <w:p w14:paraId="666AA548"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The legal architecture should preserve separation among:</w:t>
      </w:r>
    </w:p>
    <w:p w14:paraId="2453AF4C"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PRU analysis;</w:t>
      </w:r>
    </w:p>
    <w:p w14:paraId="3978BEEA"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RAP aggregation;</w:t>
      </w:r>
    </w:p>
    <w:p w14:paraId="6840FBB6"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TRBK governance or participation functions;</w:t>
      </w:r>
    </w:p>
    <w:p w14:paraId="200553C1"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HoloFuel or operational infrastructure flows;</w:t>
      </w:r>
    </w:p>
    <w:p w14:paraId="076AD667"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land rights;</w:t>
      </w:r>
    </w:p>
    <w:p w14:paraId="28AFE53E"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revenue rights;</w:t>
      </w:r>
    </w:p>
    <w:p w14:paraId="7EFA3B5C"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investor rights;</w:t>
      </w:r>
    </w:p>
    <w:p w14:paraId="60C42F55"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ecological claims;</w:t>
      </w:r>
    </w:p>
    <w:p w14:paraId="6158B3E8"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tokenized or digital representations;</w:t>
      </w:r>
    </w:p>
    <w:p w14:paraId="22FAB7EE"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lastRenderedPageBreak/>
        <w:t>regulated instruments.</w:t>
      </w:r>
    </w:p>
    <w:p w14:paraId="076EE77A"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This separation is essential.</w:t>
      </w:r>
    </w:p>
    <w:p w14:paraId="44B2E7C5"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A PRU may support value analysis.</w:t>
      </w:r>
    </w:p>
    <w:p w14:paraId="1E72501A"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A RAP may support portfolio aggregation.</w:t>
      </w:r>
    </w:p>
    <w:p w14:paraId="2277BFA0"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A legal wrapper may create rights.</w:t>
      </w:r>
    </w:p>
    <w:p w14:paraId="66FF3038"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A disclosure framework may define investor-facing language.</w:t>
      </w:r>
    </w:p>
    <w:p w14:paraId="66E9BF0A"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A jurisdictional review may determine regulatory treatment.</w:t>
      </w:r>
    </w:p>
    <w:p w14:paraId="3052D5A6"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A digital instrument may represent rights only if those rights already exist through a valid legal structure.</w:t>
      </w:r>
    </w:p>
    <w:p w14:paraId="74DB142C"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The correct sequence is:</w:t>
      </w:r>
    </w:p>
    <w:p w14:paraId="13A1D825"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 xml:space="preserve">MRV evidence </w:t>
      </w:r>
      <w:r w:rsidRPr="00B479AE">
        <w:rPr>
          <w:rFonts w:ascii="Times New Roman" w:hAnsi="Times New Roman" w:cs="Times New Roman"/>
          <w:i/>
          <w:iCs/>
        </w:rPr>
        <w:t>→</w:t>
      </w:r>
      <w:r w:rsidRPr="00B479AE">
        <w:rPr>
          <w:rFonts w:ascii="Baskerville Old Face" w:hAnsi="Baskerville Old Face"/>
          <w:i/>
          <w:iCs/>
        </w:rPr>
        <w:t xml:space="preserve"> PRU value analysis </w:t>
      </w:r>
      <w:r w:rsidRPr="00B479AE">
        <w:rPr>
          <w:rFonts w:ascii="Times New Roman" w:hAnsi="Times New Roman" w:cs="Times New Roman"/>
          <w:i/>
          <w:iCs/>
        </w:rPr>
        <w:t>→</w:t>
      </w:r>
      <w:r w:rsidRPr="00B479AE">
        <w:rPr>
          <w:rFonts w:ascii="Baskerville Old Face" w:hAnsi="Baskerville Old Face"/>
          <w:i/>
          <w:iCs/>
        </w:rPr>
        <w:t xml:space="preserve"> maturity classification </w:t>
      </w:r>
      <w:r w:rsidRPr="00B479AE">
        <w:rPr>
          <w:rFonts w:ascii="Times New Roman" w:hAnsi="Times New Roman" w:cs="Times New Roman"/>
          <w:i/>
          <w:iCs/>
        </w:rPr>
        <w:t>→</w:t>
      </w:r>
      <w:r w:rsidRPr="00B479AE">
        <w:rPr>
          <w:rFonts w:ascii="Baskerville Old Face" w:hAnsi="Baskerville Old Face"/>
          <w:i/>
          <w:iCs/>
        </w:rPr>
        <w:t xml:space="preserve"> legal review </w:t>
      </w:r>
      <w:r w:rsidRPr="00B479AE">
        <w:rPr>
          <w:rFonts w:ascii="Times New Roman" w:hAnsi="Times New Roman" w:cs="Times New Roman"/>
          <w:i/>
          <w:iCs/>
        </w:rPr>
        <w:t>→</w:t>
      </w:r>
      <w:r w:rsidRPr="00B479AE">
        <w:rPr>
          <w:rFonts w:ascii="Baskerville Old Face" w:hAnsi="Baskerville Old Face"/>
          <w:i/>
          <w:iCs/>
        </w:rPr>
        <w:t xml:space="preserve"> legal structure </w:t>
      </w:r>
      <w:r w:rsidRPr="00B479AE">
        <w:rPr>
          <w:rFonts w:ascii="Times New Roman" w:hAnsi="Times New Roman" w:cs="Times New Roman"/>
          <w:i/>
          <w:iCs/>
        </w:rPr>
        <w:t>→</w:t>
      </w:r>
      <w:r w:rsidRPr="00B479AE">
        <w:rPr>
          <w:rFonts w:ascii="Baskerville Old Face" w:hAnsi="Baskerville Old Face"/>
          <w:i/>
          <w:iCs/>
        </w:rPr>
        <w:t xml:space="preserve"> defined rights </w:t>
      </w:r>
      <w:r w:rsidRPr="00B479AE">
        <w:rPr>
          <w:rFonts w:ascii="Times New Roman" w:hAnsi="Times New Roman" w:cs="Times New Roman"/>
          <w:i/>
          <w:iCs/>
        </w:rPr>
        <w:t>→</w:t>
      </w:r>
      <w:r w:rsidRPr="00B479AE">
        <w:rPr>
          <w:rFonts w:ascii="Baskerville Old Face" w:hAnsi="Baskerville Old Face"/>
          <w:i/>
          <w:iCs/>
        </w:rPr>
        <w:t xml:space="preserve"> possible compliant representation.</w:t>
      </w:r>
    </w:p>
    <w:p w14:paraId="42EDB62B"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Prometheus should not imply that analytical evidence automatically becomes a financial instrument.</w:t>
      </w:r>
    </w:p>
    <w:p w14:paraId="34726856"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It should not imply that a PRU automatically creates rights.</w:t>
      </w:r>
    </w:p>
    <w:p w14:paraId="2419877B"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It should not imply that tokenized representation creates the underlying asset.</w:t>
      </w:r>
    </w:p>
    <w:p w14:paraId="026F442B"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The asset, right, claim, or exposure must exist through evidence, legal structure, disclosure, and jurisdiction-specific compliance before any representation can responsibly occur.</w:t>
      </w:r>
    </w:p>
    <w:p w14:paraId="0196C7DE"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The operational rule is:</w:t>
      </w:r>
    </w:p>
    <w:p w14:paraId="107E4381"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evidence informs legal structuring;</w:t>
      </w:r>
    </w:p>
    <w:p w14:paraId="56F06AA5"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legal structuring defines rights;</w:t>
      </w:r>
    </w:p>
    <w:p w14:paraId="60383142"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rights define representation;</w:t>
      </w:r>
    </w:p>
    <w:p w14:paraId="66C6A3EA"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representation does not create the underlying right.</w:t>
      </w:r>
    </w:p>
    <w:p w14:paraId="6D8B3A45"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t>This protects Prometheus from category collapse.</w:t>
      </w:r>
    </w:p>
    <w:p w14:paraId="11476959" w14:textId="77777777" w:rsidR="00D753C8" w:rsidRPr="00B479AE" w:rsidRDefault="00D753C8" w:rsidP="00D753C8">
      <w:pPr>
        <w:spacing w:line="360" w:lineRule="auto"/>
        <w:rPr>
          <w:rFonts w:ascii="Baskerville Old Face" w:hAnsi="Baskerville Old Face"/>
          <w:i/>
          <w:iCs/>
        </w:rPr>
      </w:pPr>
      <w:r w:rsidRPr="00B479AE">
        <w:rPr>
          <w:rFonts w:ascii="Baskerville Old Face" w:hAnsi="Baskerville Old Face"/>
          <w:i/>
          <w:iCs/>
        </w:rPr>
        <w:lastRenderedPageBreak/>
        <w:t>It allows PRU and RAP logic to become institutionally useful while preserving the legal distinction between analysis, reporting, ownership, exposure, claims, and instruments.</w:t>
      </w:r>
    </w:p>
    <w:p w14:paraId="7D2783B2" w14:textId="51ACCAF4" w:rsidR="00B961DF" w:rsidRPr="00B479AE" w:rsidRDefault="00B961DF" w:rsidP="00B961DF">
      <w:pPr>
        <w:spacing w:line="360" w:lineRule="auto"/>
        <w:rPr>
          <w:rFonts w:ascii="Baskerville Old Face" w:hAnsi="Baskerville Old Face"/>
          <w:b/>
          <w:bCs/>
          <w:i/>
          <w:iCs/>
        </w:rPr>
      </w:pPr>
      <w:r w:rsidRPr="00B479AE">
        <w:rPr>
          <w:rFonts w:ascii="Baskerville Old Face" w:hAnsi="Baskerville Old Face"/>
          <w:b/>
          <w:bCs/>
          <w:i/>
          <w:iCs/>
        </w:rPr>
        <w:t>R.35 Minimal PRU analysis schema</w:t>
      </w:r>
    </w:p>
    <w:p w14:paraId="535D6822"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A PRU analysis record should be structured as an analytical, review-bound, and evidence-linked record.</w:t>
      </w:r>
    </w:p>
    <w:p w14:paraId="4170C07C"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It should not be structured as an issuance record.</w:t>
      </w:r>
    </w:p>
    <w:p w14:paraId="1D95309D"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It should not imply automatic financial value, investor rights, token rights, collateral recognition, securities status, credit eligibility, insurance eligibility, public-offering status, or market-facing entitlement.</w:t>
      </w:r>
    </w:p>
    <w:p w14:paraId="7F76A929"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A minimal PRU analysis schema may include:</w:t>
      </w:r>
    </w:p>
    <w:p w14:paraId="06447798"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w:t>
      </w:r>
      <w:r w:rsidRPr="00B479AE">
        <w:rPr>
          <w:rFonts w:ascii="Baskerville Old Face" w:hAnsi="Baskerville Old Face"/>
          <w:i/>
          <w:iCs/>
        </w:rPr>
        <w:br/>
        <w:t>"pru_analysis_id": "pru_analysis_0001",</w:t>
      </w:r>
      <w:r w:rsidRPr="00B479AE">
        <w:rPr>
          <w:rFonts w:ascii="Baskerville Old Face" w:hAnsi="Baskerville Old Face"/>
          <w:i/>
          <w:iCs/>
        </w:rPr>
        <w:br/>
        <w:t>"project_or_ohe_id": "project_reference",</w:t>
      </w:r>
      <w:r w:rsidRPr="00B479AE">
        <w:rPr>
          <w:rFonts w:ascii="Baskerville Old Face" w:hAnsi="Baskerville Old Face"/>
          <w:i/>
          <w:iCs/>
        </w:rPr>
        <w:br/>
        <w:t>"methodology_version": "pru_method_v1.0",</w:t>
      </w:r>
      <w:r w:rsidRPr="00B479AE">
        <w:rPr>
          <w:rFonts w:ascii="Baskerville Old Face" w:hAnsi="Baskerville Old Face"/>
          <w:i/>
          <w:iCs/>
        </w:rPr>
        <w:br/>
        <w:t>"assessment_date": "2026-01-01",</w:t>
      </w:r>
      <w:r w:rsidRPr="00B479AE">
        <w:rPr>
          <w:rFonts w:ascii="Baskerville Old Face" w:hAnsi="Baskerville Old Face"/>
          <w:i/>
          <w:iCs/>
        </w:rPr>
        <w:br/>
        <w:t>"assessment_status": "draft | internal_review | reviewed | legally_structured_where_applicable",</w:t>
      </w:r>
      <w:r w:rsidRPr="00B479AE">
        <w:rPr>
          <w:rFonts w:ascii="Baskerville Old Face" w:hAnsi="Baskerville Old Face"/>
          <w:i/>
          <w:iCs/>
        </w:rPr>
        <w:br/>
        <w:t>"permitted_use": "research | pilot_reporting | MRV_report | PRU_analysis | capital_readiness | investor_review | legal_structured_report | public_impact_report",</w:t>
      </w:r>
    </w:p>
    <w:p w14:paraId="0BACB2B3"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"evidence_profile": {</w:t>
      </w:r>
      <w:r w:rsidRPr="00B479AE">
        <w:rPr>
          <w:rFonts w:ascii="Baskerville Old Face" w:hAnsi="Baskerville Old Face"/>
          <w:i/>
          <w:iCs/>
        </w:rPr>
        <w:br/>
        <w:t>"mrv_status": "observed | evidence_backed | MRV_admissible | PRU_eligible | reviewed",</w:t>
      </w:r>
      <w:r w:rsidRPr="00B479AE">
        <w:rPr>
          <w:rFonts w:ascii="Baskerville Old Face" w:hAnsi="Baskerville Old Face"/>
          <w:i/>
          <w:iCs/>
        </w:rPr>
        <w:br/>
        <w:t>"confidence": 0.74,</w:t>
      </w:r>
      <w:r w:rsidRPr="00B479AE">
        <w:rPr>
          <w:rFonts w:ascii="Baskerville Old Face" w:hAnsi="Baskerville Old Face"/>
          <w:i/>
          <w:iCs/>
        </w:rPr>
        <w:br/>
        <w:t>"third_party_review": false,</w:t>
      </w:r>
      <w:r w:rsidRPr="00B479AE">
        <w:rPr>
          <w:rFonts w:ascii="Baskerville Old Face" w:hAnsi="Baskerville Old Face"/>
          <w:i/>
          <w:iCs/>
        </w:rPr>
        <w:br/>
        <w:t>"provenance_complete": true,</w:t>
      </w:r>
      <w:r w:rsidRPr="00B479AE">
        <w:rPr>
          <w:rFonts w:ascii="Baskerville Old Face" w:hAnsi="Baskerville Old Face"/>
          <w:i/>
          <w:iCs/>
        </w:rPr>
        <w:br/>
        <w:t>"methodology_aligned": true,</w:t>
      </w:r>
      <w:r w:rsidRPr="00B479AE">
        <w:rPr>
          <w:rFonts w:ascii="Baskerville Old Face" w:hAnsi="Baskerville Old Face"/>
          <w:i/>
          <w:iCs/>
        </w:rPr>
        <w:br/>
        <w:t>"limitations": [</w:t>
      </w:r>
      <w:r w:rsidRPr="00B479AE">
        <w:rPr>
          <w:rFonts w:ascii="Baskerville Old Face" w:hAnsi="Baskerville Old Face"/>
          <w:i/>
          <w:iCs/>
        </w:rPr>
        <w:br/>
        <w:t>"Biodiversity survey incomplete",</w:t>
      </w:r>
      <w:r w:rsidRPr="00B479AE">
        <w:rPr>
          <w:rFonts w:ascii="Baskerville Old Face" w:hAnsi="Baskerville Old Face"/>
          <w:i/>
          <w:iCs/>
        </w:rPr>
        <w:br/>
        <w:t>"Soil carbon time series less than three years"</w:t>
      </w:r>
      <w:r w:rsidRPr="00B479AE">
        <w:rPr>
          <w:rFonts w:ascii="Baskerville Old Face" w:hAnsi="Baskerville Old Face"/>
          <w:i/>
          <w:iCs/>
        </w:rPr>
        <w:br/>
        <w:t>]</w:t>
      </w:r>
      <w:r w:rsidRPr="00B479AE">
        <w:rPr>
          <w:rFonts w:ascii="Baskerville Old Face" w:hAnsi="Baskerville Old Face"/>
          <w:i/>
          <w:iCs/>
        </w:rPr>
        <w:br/>
        <w:t>},</w:t>
      </w:r>
    </w:p>
    <w:p w14:paraId="7B504481"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lastRenderedPageBreak/>
        <w:t>"regenerative_performance": {</w:t>
      </w:r>
      <w:r w:rsidRPr="00B479AE">
        <w:rPr>
          <w:rFonts w:ascii="Baskerville Old Face" w:hAnsi="Baskerville Old Face"/>
          <w:i/>
          <w:iCs/>
        </w:rPr>
        <w:br/>
        <w:t>"soil_score": 0.68,</w:t>
      </w:r>
      <w:r w:rsidRPr="00B479AE">
        <w:rPr>
          <w:rFonts w:ascii="Baskerville Old Face" w:hAnsi="Baskerville Old Face"/>
          <w:i/>
          <w:iCs/>
        </w:rPr>
        <w:br/>
        <w:t>"water_score": 0.72,</w:t>
      </w:r>
      <w:r w:rsidRPr="00B479AE">
        <w:rPr>
          <w:rFonts w:ascii="Baskerville Old Face" w:hAnsi="Baskerville Old Face"/>
          <w:i/>
          <w:iCs/>
        </w:rPr>
        <w:br/>
        <w:t>"biodiversity_score": 0.44,</w:t>
      </w:r>
      <w:r w:rsidRPr="00B479AE">
        <w:rPr>
          <w:rFonts w:ascii="Baskerville Old Face" w:hAnsi="Baskerville Old Face"/>
          <w:i/>
          <w:iCs/>
        </w:rPr>
        <w:br/>
        <w:t>"productive_resilience_score": 0.63,</w:t>
      </w:r>
      <w:r w:rsidRPr="00B479AE">
        <w:rPr>
          <w:rFonts w:ascii="Baskerville Old Face" w:hAnsi="Baskerville Old Face"/>
          <w:i/>
          <w:iCs/>
        </w:rPr>
        <w:br/>
        <w:t>"input_dependency_reduction_score": 0.55,</w:t>
      </w:r>
      <w:r w:rsidRPr="00B479AE">
        <w:rPr>
          <w:rFonts w:ascii="Baskerville Old Face" w:hAnsi="Baskerville Old Face"/>
          <w:i/>
          <w:iCs/>
        </w:rPr>
        <w:br/>
        <w:t>"biomass_cycling_score": 0.61</w:t>
      </w:r>
      <w:r w:rsidRPr="00B479AE">
        <w:rPr>
          <w:rFonts w:ascii="Baskerville Old Face" w:hAnsi="Baskerville Old Face"/>
          <w:i/>
          <w:iCs/>
        </w:rPr>
        <w:br/>
        <w:t>},</w:t>
      </w:r>
    </w:p>
    <w:p w14:paraId="51611401"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"indices": {</w:t>
      </w:r>
      <w:r w:rsidRPr="00B479AE">
        <w:rPr>
          <w:rFonts w:ascii="Baskerville Old Face" w:hAnsi="Baskerville Old Face"/>
          <w:i/>
          <w:iCs/>
        </w:rPr>
        <w:br/>
        <w:t>"SRI": 0.70,</w:t>
      </w:r>
      <w:r w:rsidRPr="00B479AE">
        <w:rPr>
          <w:rFonts w:ascii="Baskerville Old Face" w:hAnsi="Baskerville Old Face"/>
          <w:i/>
          <w:iCs/>
        </w:rPr>
        <w:br/>
        <w:t>"RPI": 0.66,</w:t>
      </w:r>
      <w:r w:rsidRPr="00B479AE">
        <w:rPr>
          <w:rFonts w:ascii="Baskerville Old Face" w:hAnsi="Baskerville Old Face"/>
          <w:i/>
          <w:iCs/>
        </w:rPr>
        <w:br/>
        <w:t>"CESI": 0.51,</w:t>
      </w:r>
      <w:r w:rsidRPr="00B479AE">
        <w:rPr>
          <w:rFonts w:ascii="Baskerville Old Face" w:hAnsi="Baskerville Old Face"/>
          <w:i/>
          <w:iCs/>
        </w:rPr>
        <w:br/>
        <w:t>"MRV_integrity": 0.74,</w:t>
      </w:r>
      <w:r w:rsidRPr="00B479AE">
        <w:rPr>
          <w:rFonts w:ascii="Baskerville Old Face" w:hAnsi="Baskerville Old Face"/>
          <w:i/>
          <w:iCs/>
        </w:rPr>
        <w:br/>
        <w:t>"confidence_total": 0.72</w:t>
      </w:r>
      <w:r w:rsidRPr="00B479AE">
        <w:rPr>
          <w:rFonts w:ascii="Baskerville Old Face" w:hAnsi="Baskerville Old Face"/>
          <w:i/>
          <w:iCs/>
        </w:rPr>
        <w:br/>
        <w:t>},</w:t>
      </w:r>
    </w:p>
    <w:p w14:paraId="1449500B"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"maturity_profile": {</w:t>
      </w:r>
      <w:r w:rsidRPr="00B479AE">
        <w:rPr>
          <w:rFonts w:ascii="Baskerville Old Face" w:hAnsi="Baskerville Old Face"/>
          <w:i/>
          <w:iCs/>
        </w:rPr>
        <w:br/>
        <w:t>"pru_maturity_class": "PRU-R3",</w:t>
      </w:r>
      <w:r w:rsidRPr="00B479AE">
        <w:rPr>
          <w:rFonts w:ascii="Baskerville Old Face" w:hAnsi="Baskerville Old Face"/>
          <w:i/>
          <w:iCs/>
        </w:rPr>
        <w:br/>
        <w:t>"maturity_basis": "MRV-admissible evidence under defined scope",</w:t>
      </w:r>
      <w:r w:rsidRPr="00B479AE">
        <w:rPr>
          <w:rFonts w:ascii="Baskerville Old Face" w:hAnsi="Baskerville Old Face"/>
          <w:i/>
          <w:iCs/>
        </w:rPr>
        <w:br/>
        <w:t>"next_required_step": "methodology review and additional evidence continuity"</w:t>
      </w:r>
      <w:r w:rsidRPr="00B479AE">
        <w:rPr>
          <w:rFonts w:ascii="Baskerville Old Face" w:hAnsi="Baskerville Old Face"/>
          <w:i/>
          <w:iCs/>
        </w:rPr>
        <w:br/>
        <w:t>},</w:t>
      </w:r>
    </w:p>
    <w:p w14:paraId="5B907C21"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"admissibility_profile": {</w:t>
      </w:r>
      <w:r w:rsidRPr="00B479AE">
        <w:rPr>
          <w:rFonts w:ascii="Baskerville Old Face" w:hAnsi="Baskerville Old Face"/>
          <w:i/>
          <w:iCs/>
        </w:rPr>
        <w:br/>
        <w:t>"value_analysis_permitted": true,</w:t>
      </w:r>
      <w:r w:rsidRPr="00B479AE">
        <w:rPr>
          <w:rFonts w:ascii="Baskerville Old Face" w:hAnsi="Baskerville Old Face"/>
          <w:i/>
          <w:iCs/>
        </w:rPr>
        <w:br/>
        <w:t>"capital_readiness_review_permitted": true,</w:t>
      </w:r>
      <w:r w:rsidRPr="00B479AE">
        <w:rPr>
          <w:rFonts w:ascii="Baskerville Old Face" w:hAnsi="Baskerville Old Face"/>
          <w:i/>
          <w:iCs/>
        </w:rPr>
        <w:br/>
        <w:t>"investor_facing_use_permitted": false,</w:t>
      </w:r>
      <w:r w:rsidRPr="00B479AE">
        <w:rPr>
          <w:rFonts w:ascii="Baskerville Old Face" w:hAnsi="Baskerville Old Face"/>
          <w:i/>
          <w:iCs/>
        </w:rPr>
        <w:br/>
        <w:t>"public_claim_use_permitted": "bounded",</w:t>
      </w:r>
      <w:r w:rsidRPr="00B479AE">
        <w:rPr>
          <w:rFonts w:ascii="Baskerville Old Face" w:hAnsi="Baskerville Old Face"/>
          <w:i/>
          <w:iCs/>
        </w:rPr>
        <w:br/>
        <w:t>"financial_instrument_status": false,</w:t>
      </w:r>
      <w:r w:rsidRPr="00B479AE">
        <w:rPr>
          <w:rFonts w:ascii="Baskerville Old Face" w:hAnsi="Baskerville Old Face"/>
          <w:i/>
          <w:iCs/>
        </w:rPr>
        <w:br/>
        <w:t>"automatic_rights_created": false</w:t>
      </w:r>
      <w:r w:rsidRPr="00B479AE">
        <w:rPr>
          <w:rFonts w:ascii="Baskerville Old Face" w:hAnsi="Baskerville Old Face"/>
          <w:i/>
          <w:iCs/>
        </w:rPr>
        <w:br/>
        <w:t>},</w:t>
      </w:r>
    </w:p>
    <w:p w14:paraId="50F6D86D"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"legal_boundary": {</w:t>
      </w:r>
      <w:r w:rsidRPr="00B479AE">
        <w:rPr>
          <w:rFonts w:ascii="Baskerville Old Face" w:hAnsi="Baskerville Old Face"/>
          <w:i/>
          <w:iCs/>
        </w:rPr>
        <w:br/>
        <w:t>"legal_wrapper_status": "none | under_review | structured | regulated_pathway",</w:t>
      </w:r>
      <w:r w:rsidRPr="00B479AE">
        <w:rPr>
          <w:rFonts w:ascii="Baskerville Old Face" w:hAnsi="Baskerville Old Face"/>
          <w:i/>
          <w:iCs/>
        </w:rPr>
        <w:br/>
        <w:t>"rights_created": false,</w:t>
      </w:r>
      <w:r w:rsidRPr="00B479AE">
        <w:rPr>
          <w:rFonts w:ascii="Baskerville Old Face" w:hAnsi="Baskerville Old Face"/>
          <w:i/>
          <w:iCs/>
        </w:rPr>
        <w:br/>
        <w:t>"token_rights_created": false,</w:t>
      </w:r>
      <w:r w:rsidRPr="00B479AE">
        <w:rPr>
          <w:rFonts w:ascii="Baskerville Old Face" w:hAnsi="Baskerville Old Face"/>
          <w:i/>
          <w:iCs/>
        </w:rPr>
        <w:br/>
      </w:r>
      <w:r w:rsidRPr="00B479AE">
        <w:rPr>
          <w:rFonts w:ascii="Baskerville Old Face" w:hAnsi="Baskerville Old Face"/>
          <w:i/>
          <w:iCs/>
        </w:rPr>
        <w:lastRenderedPageBreak/>
        <w:t>"investor_entitlement_created": false,</w:t>
      </w:r>
      <w:r w:rsidRPr="00B479AE">
        <w:rPr>
          <w:rFonts w:ascii="Baskerville Old Face" w:hAnsi="Baskerville Old Face"/>
          <w:i/>
          <w:iCs/>
        </w:rPr>
        <w:br/>
        <w:t>"collateral_recognition_created": false,</w:t>
      </w:r>
      <w:r w:rsidRPr="00B479AE">
        <w:rPr>
          <w:rFonts w:ascii="Baskerville Old Face" w:hAnsi="Baskerville Old Face"/>
          <w:i/>
          <w:iCs/>
        </w:rPr>
        <w:br/>
        <w:t>"jurisdictional_review_required": true</w:t>
      </w:r>
      <w:r w:rsidRPr="00B479AE">
        <w:rPr>
          <w:rFonts w:ascii="Baskerville Old Face" w:hAnsi="Baskerville Old Face"/>
          <w:i/>
          <w:iCs/>
        </w:rPr>
        <w:br/>
        <w:t>},</w:t>
      </w:r>
    </w:p>
    <w:p w14:paraId="28D9B0A8"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"claim_integrity": {</w:t>
      </w:r>
      <w:r w:rsidRPr="00B479AE">
        <w:rPr>
          <w:rFonts w:ascii="Baskerville Old Face" w:hAnsi="Baskerville Old Face"/>
          <w:i/>
          <w:iCs/>
        </w:rPr>
        <w:br/>
        <w:t>"no_double_counting_review": "pending | passed | restricted | failed",</w:t>
      </w:r>
      <w:r w:rsidRPr="00B479AE">
        <w:rPr>
          <w:rFonts w:ascii="Baskerville Old Face" w:hAnsi="Baskerville Old Face"/>
          <w:i/>
          <w:iCs/>
        </w:rPr>
        <w:br/>
        <w:t>"claim_traceability": "partial | complete | reviewed",</w:t>
      </w:r>
      <w:r w:rsidRPr="00B479AE">
        <w:rPr>
          <w:rFonts w:ascii="Baskerville Old Face" w:hAnsi="Baskerville Old Face"/>
          <w:i/>
          <w:iCs/>
        </w:rPr>
        <w:br/>
        <w:t>"public_claim_boundary": "research_only | pilot | investor_review | public_impact | legally_structured",</w:t>
      </w:r>
      <w:r w:rsidRPr="00B479AE">
        <w:rPr>
          <w:rFonts w:ascii="Baskerville Old Face" w:hAnsi="Baskerville Old Face"/>
          <w:i/>
          <w:iCs/>
        </w:rPr>
        <w:br/>
        <w:t>"source_to_capital_traceability": "partial | complete | reviewed"</w:t>
      </w:r>
      <w:r w:rsidRPr="00B479AE">
        <w:rPr>
          <w:rFonts w:ascii="Baskerville Old Face" w:hAnsi="Baskerville Old Face"/>
          <w:i/>
          <w:iCs/>
        </w:rPr>
        <w:br/>
        <w:t>},</w:t>
      </w:r>
    </w:p>
    <w:p w14:paraId="425AD574"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"governance_profile": {</w:t>
      </w:r>
      <w:r w:rsidRPr="00B479AE">
        <w:rPr>
          <w:rFonts w:ascii="Baskerville Old Face" w:hAnsi="Baskerville Old Face"/>
          <w:i/>
          <w:iCs/>
        </w:rPr>
        <w:br/>
        <w:t>"governance_maturity": "low | moderate | high",</w:t>
      </w:r>
      <w:r w:rsidRPr="00B479AE">
        <w:rPr>
          <w:rFonts w:ascii="Baskerville Old Face" w:hAnsi="Baskerville Old Face"/>
          <w:i/>
          <w:iCs/>
        </w:rPr>
        <w:br/>
        <w:t>"decision_records_available": true,</w:t>
      </w:r>
      <w:r w:rsidRPr="00B479AE">
        <w:rPr>
          <w:rFonts w:ascii="Baskerville Old Face" w:hAnsi="Baskerville Old Face"/>
          <w:i/>
          <w:iCs/>
        </w:rPr>
        <w:br/>
        <w:t>"review_required": true,</w:t>
      </w:r>
      <w:r w:rsidRPr="00B479AE">
        <w:rPr>
          <w:rFonts w:ascii="Baskerville Old Face" w:hAnsi="Baskerville Old Face"/>
          <w:i/>
          <w:iCs/>
        </w:rPr>
        <w:br/>
        <w:t>"appeal_or_correction_pathway": true</w:t>
      </w:r>
      <w:r w:rsidRPr="00B479AE">
        <w:rPr>
          <w:rFonts w:ascii="Baskerville Old Face" w:hAnsi="Baskerville Old Face"/>
          <w:i/>
          <w:iCs/>
        </w:rPr>
        <w:br/>
        <w:t>},</w:t>
      </w:r>
    </w:p>
    <w:p w14:paraId="31BB945D"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"risk_profile": {</w:t>
      </w:r>
      <w:r w:rsidRPr="00B479AE">
        <w:rPr>
          <w:rFonts w:ascii="Baskerville Old Face" w:hAnsi="Baskerville Old Face"/>
          <w:i/>
          <w:iCs/>
        </w:rPr>
        <w:br/>
        <w:t>"ravel_signal": "green | yellow | red | manual_review",</w:t>
      </w:r>
      <w:r w:rsidRPr="00B479AE">
        <w:rPr>
          <w:rFonts w:ascii="Baskerville Old Face" w:hAnsi="Baskerville Old Face"/>
          <w:i/>
          <w:iCs/>
        </w:rPr>
        <w:br/>
        <w:t>"phi_context_signal": "green | yellow | red | not_applicable",</w:t>
      </w:r>
      <w:r w:rsidRPr="00B479AE">
        <w:rPr>
          <w:rFonts w:ascii="Baskerville Old Face" w:hAnsi="Baskerville Old Face"/>
          <w:i/>
          <w:iCs/>
        </w:rPr>
        <w:br/>
        <w:t>"portfolio_concentration_risk": "low | moderate | high",</w:t>
      </w:r>
      <w:r w:rsidRPr="00B479AE">
        <w:rPr>
          <w:rFonts w:ascii="Baskerville Old Face" w:hAnsi="Baskerville Old Face"/>
          <w:i/>
          <w:iCs/>
        </w:rPr>
        <w:br/>
        <w:t>"legal_readiness_risk": "low | moderate | high",</w:t>
      </w:r>
      <w:r w:rsidRPr="00B479AE">
        <w:rPr>
          <w:rFonts w:ascii="Baskerville Old Face" w:hAnsi="Baskerville Old Face"/>
          <w:i/>
          <w:iCs/>
        </w:rPr>
        <w:br/>
        <w:t>"data_gap_risk": "low | moderate | high"</w:t>
      </w:r>
      <w:r w:rsidRPr="00B479AE">
        <w:rPr>
          <w:rFonts w:ascii="Baskerville Old Face" w:hAnsi="Baskerville Old Face"/>
          <w:i/>
          <w:iCs/>
        </w:rPr>
        <w:br/>
        <w:t>},</w:t>
      </w:r>
    </w:p>
    <w:p w14:paraId="043789BB"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"capital_readiness": {</w:t>
      </w:r>
      <w:r w:rsidRPr="00B479AE">
        <w:rPr>
          <w:rFonts w:ascii="Baskerville Old Face" w:hAnsi="Baskerville Old Face"/>
          <w:i/>
          <w:iCs/>
        </w:rPr>
        <w:br/>
        <w:t>"capital_readiness_status": "not_ready | internal_review | diligence_ready | legal_structuring_required | legally_structured",</w:t>
      </w:r>
      <w:r w:rsidRPr="00B479AE">
        <w:rPr>
          <w:rFonts w:ascii="Baskerville Old Face" w:hAnsi="Baskerville Old Face"/>
          <w:i/>
          <w:iCs/>
        </w:rPr>
        <w:br/>
        <w:t>"structured_finance_ready": false,</w:t>
      </w:r>
      <w:r w:rsidRPr="00B479AE">
        <w:rPr>
          <w:rFonts w:ascii="Baskerville Old Face" w:hAnsi="Baskerville Old Face"/>
          <w:i/>
          <w:iCs/>
        </w:rPr>
        <w:br/>
        <w:t>"compliant_representation_ready": false,</w:t>
      </w:r>
      <w:r w:rsidRPr="00B479AE">
        <w:rPr>
          <w:rFonts w:ascii="Baskerville Old Face" w:hAnsi="Baskerville Old Face"/>
          <w:i/>
          <w:iCs/>
        </w:rPr>
        <w:br/>
        <w:t>"required_conditions": [</w:t>
      </w:r>
      <w:r w:rsidRPr="00B479AE">
        <w:rPr>
          <w:rFonts w:ascii="Baskerville Old Face" w:hAnsi="Baskerville Old Face"/>
          <w:i/>
          <w:iCs/>
        </w:rPr>
        <w:br/>
        <w:t>"legal review",</w:t>
      </w:r>
      <w:r w:rsidRPr="00B479AE">
        <w:rPr>
          <w:rFonts w:ascii="Baskerville Old Face" w:hAnsi="Baskerville Old Face"/>
          <w:i/>
          <w:iCs/>
        </w:rPr>
        <w:br/>
        <w:t>"additional MRV continuity",</w:t>
      </w:r>
      <w:r w:rsidRPr="00B479AE">
        <w:rPr>
          <w:rFonts w:ascii="Baskerville Old Face" w:hAnsi="Baskerville Old Face"/>
          <w:i/>
          <w:iCs/>
        </w:rPr>
        <w:br/>
      </w:r>
      <w:r w:rsidRPr="00B479AE">
        <w:rPr>
          <w:rFonts w:ascii="Baskerville Old Face" w:hAnsi="Baskerville Old Face"/>
          <w:i/>
          <w:iCs/>
        </w:rPr>
        <w:lastRenderedPageBreak/>
        <w:t>"no-double-counting review",</w:t>
      </w:r>
      <w:r w:rsidRPr="00B479AE">
        <w:rPr>
          <w:rFonts w:ascii="Baskerville Old Face" w:hAnsi="Baskerville Old Face"/>
          <w:i/>
          <w:iCs/>
        </w:rPr>
        <w:br/>
        <w:t>"investor disclosure review"</w:t>
      </w:r>
      <w:r w:rsidRPr="00B479AE">
        <w:rPr>
          <w:rFonts w:ascii="Baskerville Old Face" w:hAnsi="Baskerville Old Face"/>
          <w:i/>
          <w:iCs/>
        </w:rPr>
        <w:br/>
        <w:t>]</w:t>
      </w:r>
      <w:r w:rsidRPr="00B479AE">
        <w:rPr>
          <w:rFonts w:ascii="Baskerville Old Face" w:hAnsi="Baskerville Old Face"/>
          <w:i/>
          <w:iCs/>
        </w:rPr>
        <w:br/>
        <w:t>}</w:t>
      </w:r>
      <w:r w:rsidRPr="00B479AE">
        <w:rPr>
          <w:rFonts w:ascii="Baskerville Old Face" w:hAnsi="Baskerville Old Face"/>
          <w:i/>
          <w:iCs/>
        </w:rPr>
        <w:br/>
        <w:t>}</w:t>
      </w:r>
    </w:p>
    <w:p w14:paraId="61AB8B85"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This schema is intentionally conservative.</w:t>
      </w:r>
    </w:p>
    <w:p w14:paraId="0D145D30"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It records analytical status.</w:t>
      </w:r>
    </w:p>
    <w:p w14:paraId="6147B52E"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It does not record issuance.</w:t>
      </w:r>
    </w:p>
    <w:p w14:paraId="16FE8F23"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It records maturity.</w:t>
      </w:r>
    </w:p>
    <w:p w14:paraId="3EC5FAFF"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It does not create rights.</w:t>
      </w:r>
    </w:p>
    <w:p w14:paraId="4C3AD4D7"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It records evidence.</w:t>
      </w:r>
    </w:p>
    <w:p w14:paraId="08040B88"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It does not create market price.</w:t>
      </w:r>
    </w:p>
    <w:p w14:paraId="1E3B2891"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It records readiness.</w:t>
      </w:r>
    </w:p>
    <w:p w14:paraId="5E8FF314"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It does not create capital access.</w:t>
      </w:r>
    </w:p>
    <w:p w14:paraId="536D2D24"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The correct interpretation is:</w:t>
      </w:r>
    </w:p>
    <w:p w14:paraId="1E69A6FB"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 xml:space="preserve">PRU analysis record </w:t>
      </w:r>
      <w:r w:rsidRPr="00B479AE">
        <w:rPr>
          <w:rFonts w:ascii="Times New Roman" w:hAnsi="Times New Roman" w:cs="Times New Roman"/>
          <w:i/>
          <w:iCs/>
        </w:rPr>
        <w:t>→</w:t>
      </w:r>
      <w:r w:rsidRPr="00B479AE">
        <w:rPr>
          <w:rFonts w:ascii="Baskerville Old Face" w:hAnsi="Baskerville Old Face"/>
          <w:i/>
          <w:iCs/>
        </w:rPr>
        <w:t xml:space="preserve"> evidence review </w:t>
      </w:r>
      <w:r w:rsidRPr="00B479AE">
        <w:rPr>
          <w:rFonts w:ascii="Times New Roman" w:hAnsi="Times New Roman" w:cs="Times New Roman"/>
          <w:i/>
          <w:iCs/>
        </w:rPr>
        <w:t>→</w:t>
      </w:r>
      <w:r w:rsidRPr="00B479AE">
        <w:rPr>
          <w:rFonts w:ascii="Baskerville Old Face" w:hAnsi="Baskerville Old Face"/>
          <w:i/>
          <w:iCs/>
        </w:rPr>
        <w:t xml:space="preserve"> maturity classification </w:t>
      </w:r>
      <w:r w:rsidRPr="00B479AE">
        <w:rPr>
          <w:rFonts w:ascii="Times New Roman" w:hAnsi="Times New Roman" w:cs="Times New Roman"/>
          <w:i/>
          <w:iCs/>
        </w:rPr>
        <w:t>→</w:t>
      </w:r>
      <w:r w:rsidRPr="00B479AE">
        <w:rPr>
          <w:rFonts w:ascii="Baskerville Old Face" w:hAnsi="Baskerville Old Face"/>
          <w:i/>
          <w:iCs/>
        </w:rPr>
        <w:t xml:space="preserve"> capital-readiness assessment </w:t>
      </w:r>
      <w:r w:rsidRPr="00B479AE">
        <w:rPr>
          <w:rFonts w:ascii="Times New Roman" w:hAnsi="Times New Roman" w:cs="Times New Roman"/>
          <w:i/>
          <w:iCs/>
        </w:rPr>
        <w:t>→</w:t>
      </w:r>
      <w:r w:rsidRPr="00B479AE">
        <w:rPr>
          <w:rFonts w:ascii="Baskerville Old Face" w:hAnsi="Baskerville Old Face"/>
          <w:i/>
          <w:iCs/>
        </w:rPr>
        <w:t xml:space="preserve"> legal structuring where required </w:t>
      </w:r>
      <w:r w:rsidRPr="00B479AE">
        <w:rPr>
          <w:rFonts w:ascii="Times New Roman" w:hAnsi="Times New Roman" w:cs="Times New Roman"/>
          <w:i/>
          <w:iCs/>
        </w:rPr>
        <w:t>→</w:t>
      </w:r>
      <w:r w:rsidRPr="00B479AE">
        <w:rPr>
          <w:rFonts w:ascii="Baskerville Old Face" w:hAnsi="Baskerville Old Face"/>
          <w:i/>
          <w:iCs/>
        </w:rPr>
        <w:t xml:space="preserve"> possible compliant representation.</w:t>
      </w:r>
    </w:p>
    <w:p w14:paraId="5637AA0C"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A PRU analysis schema should make institutional diligence easier without allowing data structure to become financial authority.</w:t>
      </w:r>
    </w:p>
    <w:p w14:paraId="30837769"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The schema is therefore part of the Prometheus evidence discipline.</w:t>
      </w:r>
    </w:p>
    <w:p w14:paraId="3E88C3F2" w14:textId="77777777" w:rsidR="00D86805" w:rsidRPr="00B479AE" w:rsidRDefault="00D86805" w:rsidP="00D86805">
      <w:pPr>
        <w:spacing w:line="360" w:lineRule="auto"/>
        <w:rPr>
          <w:rFonts w:ascii="Baskerville Old Face" w:hAnsi="Baskerville Old Face"/>
          <w:i/>
          <w:iCs/>
        </w:rPr>
      </w:pPr>
      <w:r w:rsidRPr="00B479AE">
        <w:rPr>
          <w:rFonts w:ascii="Baskerville Old Face" w:hAnsi="Baskerville Old Face"/>
          <w:i/>
          <w:iCs/>
        </w:rPr>
        <w:t>It preserves the distinction between analytical interpretation, investor-facing use, legal rights, and future compliant representation.</w:t>
      </w:r>
    </w:p>
    <w:p w14:paraId="44BFD6E5" w14:textId="77777777" w:rsidR="00AB1107" w:rsidRPr="00B479AE" w:rsidRDefault="00AB1107" w:rsidP="00AB1107">
      <w:pPr>
        <w:spacing w:line="360" w:lineRule="auto"/>
        <w:rPr>
          <w:rFonts w:ascii="Baskerville Old Face" w:hAnsi="Baskerville Old Face"/>
          <w:b/>
          <w:bCs/>
          <w:i/>
          <w:iCs/>
        </w:rPr>
      </w:pPr>
      <w:r w:rsidRPr="00B479AE">
        <w:rPr>
          <w:rFonts w:ascii="Baskerville Old Face" w:hAnsi="Baskerville Old Face"/>
          <w:b/>
          <w:bCs/>
          <w:i/>
          <w:iCs/>
        </w:rPr>
        <w:t>R.36 Anti-Overclaiming Language</w:t>
      </w:r>
    </w:p>
    <w:p w14:paraId="0EA3F7CB"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Prometheus should use disciplined language around PRU value analysis, maturity classification, capital-readiness, and compliant representation.</w:t>
      </w:r>
    </w:p>
    <w:p w14:paraId="4365F01A"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lastRenderedPageBreak/>
        <w:t>Language determines interpretation.</w:t>
      </w:r>
    </w:p>
    <w:p w14:paraId="38B8E89E"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Interpretation determines legal, financial, governance, and reputational risk.</w:t>
      </w:r>
    </w:p>
    <w:p w14:paraId="28C0C0B4"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For this reason, PRU-related language should avoid implying automatic financial value, investor entitlement, credit rating, securities rating, token rights, collateral recognition, insurance eligibility, public-offering status, or market price.</w:t>
      </w:r>
    </w:p>
    <w:p w14:paraId="05AD81ED"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Preferred language should distinguish among:</w:t>
      </w:r>
    </w:p>
    <w:p w14:paraId="6C5E0DFA"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 evidence;</w:t>
      </w:r>
    </w:p>
    <w:p w14:paraId="6F4B2874"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 observation;</w:t>
      </w:r>
    </w:p>
    <w:p w14:paraId="315BD511"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 verified indicator;</w:t>
      </w:r>
    </w:p>
    <w:p w14:paraId="2B09A872"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 admissibility;</w:t>
      </w:r>
    </w:p>
    <w:p w14:paraId="2C8FEAE4"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 PRU value analysis;</w:t>
      </w:r>
    </w:p>
    <w:p w14:paraId="2832FFA0"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 PRU maturity classification;</w:t>
      </w:r>
    </w:p>
    <w:p w14:paraId="47856BF3"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 capital-readiness;</w:t>
      </w:r>
    </w:p>
    <w:p w14:paraId="648B2669"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 legal structuring;</w:t>
      </w:r>
    </w:p>
    <w:p w14:paraId="494D81E1"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 compliant representation;</w:t>
      </w:r>
    </w:p>
    <w:p w14:paraId="3D7C789E"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 investor-facing use;</w:t>
      </w:r>
    </w:p>
    <w:p w14:paraId="6B2C241B"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 public claims.</w:t>
      </w:r>
    </w:p>
    <w:p w14:paraId="1772106E" w14:textId="615D8A53"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The following language discipline should be applied:</w:t>
      </w:r>
      <w:r w:rsidR="008B46A5" w:rsidRPr="00B479AE">
        <w:rPr>
          <w:rFonts w:ascii="Baskerville Old Face" w:hAnsi="Baskerville Old Face"/>
          <w:i/>
          <w:iCs/>
        </w:rPr>
        <w:t xml:space="preserve"> </w:t>
      </w:r>
    </w:p>
    <w:p w14:paraId="2E4EE122" w14:textId="77777777" w:rsidR="008B46A5" w:rsidRPr="00B479AE" w:rsidRDefault="008B46A5" w:rsidP="00AB1107">
      <w:pPr>
        <w:spacing w:line="360" w:lineRule="auto"/>
        <w:rPr>
          <w:rFonts w:ascii="Baskerville Old Face" w:hAnsi="Baskerville Old Face"/>
          <w:i/>
          <w:iCs/>
        </w:rPr>
      </w:pPr>
    </w:p>
    <w:p w14:paraId="0F0CD972" w14:textId="77777777" w:rsidR="008B46A5" w:rsidRPr="00B479AE" w:rsidRDefault="008B46A5" w:rsidP="00AB1107">
      <w:pPr>
        <w:spacing w:line="360" w:lineRule="auto"/>
        <w:rPr>
          <w:rFonts w:ascii="Baskerville Old Face" w:hAnsi="Baskerville Old Face"/>
          <w:i/>
          <w:iCs/>
        </w:rPr>
      </w:pPr>
    </w:p>
    <w:p w14:paraId="1546C224" w14:textId="77777777" w:rsidR="008B46A5" w:rsidRPr="00B479AE" w:rsidRDefault="008B46A5" w:rsidP="00AB1107">
      <w:pPr>
        <w:spacing w:line="360" w:lineRule="auto"/>
        <w:rPr>
          <w:rFonts w:ascii="Baskerville Old Face" w:hAnsi="Baskerville Old Face"/>
          <w:i/>
          <w:iCs/>
        </w:rPr>
      </w:pPr>
    </w:p>
    <w:p w14:paraId="512C9653" w14:textId="77777777" w:rsidR="008B46A5" w:rsidRPr="00B479AE" w:rsidRDefault="008B46A5" w:rsidP="00AB1107">
      <w:pPr>
        <w:spacing w:line="360" w:lineRule="auto"/>
        <w:rPr>
          <w:rFonts w:ascii="Baskerville Old Face" w:hAnsi="Baskerville Old Face"/>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7"/>
        <w:gridCol w:w="7171"/>
      </w:tblGrid>
      <w:tr w:rsidR="00AB1107" w:rsidRPr="00B479AE" w14:paraId="59B47A17" w14:textId="77777777" w:rsidTr="00AB1107">
        <w:trPr>
          <w:tblHeader/>
          <w:tblCellSpacing w:w="15" w:type="dxa"/>
        </w:trPr>
        <w:tc>
          <w:tcPr>
            <w:tcW w:w="0" w:type="auto"/>
            <w:vAlign w:val="center"/>
            <w:hideMark/>
          </w:tcPr>
          <w:p w14:paraId="37290BA5" w14:textId="77777777" w:rsidR="00AB1107" w:rsidRPr="00B479AE" w:rsidRDefault="00AB1107" w:rsidP="00AB1107">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lastRenderedPageBreak/>
              <w:t>Overclaiming language</w:t>
            </w:r>
          </w:p>
        </w:tc>
        <w:tc>
          <w:tcPr>
            <w:tcW w:w="0" w:type="auto"/>
            <w:vAlign w:val="center"/>
            <w:hideMark/>
          </w:tcPr>
          <w:p w14:paraId="3CB07CE7" w14:textId="77777777" w:rsidR="00AB1107" w:rsidRPr="00B479AE" w:rsidRDefault="00AB1107" w:rsidP="00AB1107">
            <w:pPr>
              <w:spacing w:line="360" w:lineRule="auto"/>
              <w:rPr>
                <w:rFonts w:ascii="Baskerville Old Face" w:hAnsi="Baskerville Old Face"/>
                <w:b/>
                <w:bCs/>
                <w:i/>
                <w:iCs/>
                <w:sz w:val="20"/>
                <w:szCs w:val="20"/>
              </w:rPr>
            </w:pPr>
            <w:r w:rsidRPr="00B479AE">
              <w:rPr>
                <w:rFonts w:ascii="Baskerville Old Face" w:hAnsi="Baskerville Old Face"/>
                <w:b/>
                <w:bCs/>
                <w:i/>
                <w:iCs/>
                <w:sz w:val="20"/>
                <w:szCs w:val="20"/>
              </w:rPr>
              <w:t>Preferred language</w:t>
            </w:r>
          </w:p>
        </w:tc>
      </w:tr>
      <w:tr w:rsidR="00AB1107" w:rsidRPr="00B479AE" w14:paraId="2514F43C" w14:textId="77777777" w:rsidTr="00AB1107">
        <w:trPr>
          <w:tblCellSpacing w:w="15" w:type="dxa"/>
        </w:trPr>
        <w:tc>
          <w:tcPr>
            <w:tcW w:w="0" w:type="auto"/>
            <w:vAlign w:val="center"/>
            <w:hideMark/>
          </w:tcPr>
          <w:p w14:paraId="7BBCABD4"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“This PRU has a market value.”</w:t>
            </w:r>
          </w:p>
        </w:tc>
        <w:tc>
          <w:tcPr>
            <w:tcW w:w="0" w:type="auto"/>
            <w:vAlign w:val="center"/>
            <w:hideMark/>
          </w:tcPr>
          <w:p w14:paraId="1018DE4D"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“This PRU analysis may support value interpretation where evidence, methodology, admissibility, and legal structure allow.”</w:t>
            </w:r>
          </w:p>
        </w:tc>
      </w:tr>
      <w:tr w:rsidR="00AB1107" w:rsidRPr="00B479AE" w14:paraId="1FD6B245" w14:textId="77777777" w:rsidTr="00AB1107">
        <w:trPr>
          <w:tblCellSpacing w:w="15" w:type="dxa"/>
        </w:trPr>
        <w:tc>
          <w:tcPr>
            <w:tcW w:w="0" w:type="auto"/>
            <w:vAlign w:val="center"/>
            <w:hideMark/>
          </w:tcPr>
          <w:p w14:paraId="2FEA677B"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“This PRU is investment-grade.”</w:t>
            </w:r>
          </w:p>
        </w:tc>
        <w:tc>
          <w:tcPr>
            <w:tcW w:w="0" w:type="auto"/>
            <w:vAlign w:val="center"/>
            <w:hideMark/>
          </w:tcPr>
          <w:p w14:paraId="4E90B0AD"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“This PRU has reached a defined maturity class that may support further diligence.”</w:t>
            </w:r>
          </w:p>
        </w:tc>
      </w:tr>
      <w:tr w:rsidR="00AB1107" w:rsidRPr="00B479AE" w14:paraId="4491D113" w14:textId="77777777" w:rsidTr="00AB1107">
        <w:trPr>
          <w:tblCellSpacing w:w="15" w:type="dxa"/>
        </w:trPr>
        <w:tc>
          <w:tcPr>
            <w:tcW w:w="0" w:type="auto"/>
            <w:vAlign w:val="center"/>
            <w:hideMark/>
          </w:tcPr>
          <w:p w14:paraId="0A81B73E"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“This maturity class guarantees finance.”</w:t>
            </w:r>
          </w:p>
        </w:tc>
        <w:tc>
          <w:tcPr>
            <w:tcW w:w="0" w:type="auto"/>
            <w:vAlign w:val="center"/>
            <w:hideMark/>
          </w:tcPr>
          <w:p w14:paraId="2D5F8583"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“This maturity class supports diligence and does not replace underwriting, legal review, investor suitability analysis, or capital decision-making.”</w:t>
            </w:r>
          </w:p>
        </w:tc>
      </w:tr>
      <w:tr w:rsidR="00AB1107" w:rsidRPr="00B479AE" w14:paraId="07E19653" w14:textId="77777777" w:rsidTr="00AB1107">
        <w:trPr>
          <w:tblCellSpacing w:w="15" w:type="dxa"/>
        </w:trPr>
        <w:tc>
          <w:tcPr>
            <w:tcW w:w="0" w:type="auto"/>
            <w:vAlign w:val="center"/>
            <w:hideMark/>
          </w:tcPr>
          <w:p w14:paraId="290EA19E"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“This PRU can be tokenized.”</w:t>
            </w:r>
          </w:p>
        </w:tc>
        <w:tc>
          <w:tcPr>
            <w:tcW w:w="0" w:type="auto"/>
            <w:vAlign w:val="center"/>
            <w:hideMark/>
          </w:tcPr>
          <w:p w14:paraId="315AEA77"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“This PRU logic may support possible compliant representation only where legal structure, disclosure, and jurisdiction-specific review allow.”</w:t>
            </w:r>
          </w:p>
        </w:tc>
      </w:tr>
      <w:tr w:rsidR="00AB1107" w:rsidRPr="00B479AE" w14:paraId="0055E891" w14:textId="77777777" w:rsidTr="00AB1107">
        <w:trPr>
          <w:tblCellSpacing w:w="15" w:type="dxa"/>
        </w:trPr>
        <w:tc>
          <w:tcPr>
            <w:tcW w:w="0" w:type="auto"/>
            <w:vAlign w:val="center"/>
            <w:hideMark/>
          </w:tcPr>
          <w:p w14:paraId="74509F61"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“This PRU creates investor rights.”</w:t>
            </w:r>
          </w:p>
        </w:tc>
        <w:tc>
          <w:tcPr>
            <w:tcW w:w="0" w:type="auto"/>
            <w:vAlign w:val="center"/>
            <w:hideMark/>
          </w:tcPr>
          <w:p w14:paraId="53FF330A"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“Investor rights may arise only through a valid legal instrument.”</w:t>
            </w:r>
          </w:p>
        </w:tc>
      </w:tr>
      <w:tr w:rsidR="00AB1107" w:rsidRPr="00B479AE" w14:paraId="03260A54" w14:textId="77777777" w:rsidTr="00AB1107">
        <w:trPr>
          <w:tblCellSpacing w:w="15" w:type="dxa"/>
        </w:trPr>
        <w:tc>
          <w:tcPr>
            <w:tcW w:w="0" w:type="auto"/>
            <w:vAlign w:val="center"/>
            <w:hideMark/>
          </w:tcPr>
          <w:p w14:paraId="7AC7C5A9"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“This PRU is collateral.”</w:t>
            </w:r>
          </w:p>
        </w:tc>
        <w:tc>
          <w:tcPr>
            <w:tcW w:w="0" w:type="auto"/>
            <w:vAlign w:val="center"/>
            <w:hideMark/>
          </w:tcPr>
          <w:p w14:paraId="5CF6CD12"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“Collateral recognition requires separate legal, financial, and institutional review.”</w:t>
            </w:r>
          </w:p>
        </w:tc>
      </w:tr>
      <w:tr w:rsidR="00AB1107" w:rsidRPr="00B479AE" w14:paraId="6EBEE2E1" w14:textId="77777777" w:rsidTr="00AB1107">
        <w:trPr>
          <w:tblCellSpacing w:w="15" w:type="dxa"/>
        </w:trPr>
        <w:tc>
          <w:tcPr>
            <w:tcW w:w="0" w:type="auto"/>
            <w:vAlign w:val="center"/>
            <w:hideMark/>
          </w:tcPr>
          <w:p w14:paraId="6566E35F"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“This PRU creates credit eligibility.”</w:t>
            </w:r>
          </w:p>
        </w:tc>
        <w:tc>
          <w:tcPr>
            <w:tcW w:w="0" w:type="auto"/>
            <w:vAlign w:val="center"/>
            <w:hideMark/>
          </w:tcPr>
          <w:p w14:paraId="372DAFD2"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“Credit eligibility requires lender, guarantor, insurer, or public-program assessment under applicable rules.”</w:t>
            </w:r>
          </w:p>
        </w:tc>
      </w:tr>
      <w:tr w:rsidR="00AB1107" w:rsidRPr="00B479AE" w14:paraId="262B172A" w14:textId="77777777" w:rsidTr="00AB1107">
        <w:trPr>
          <w:tblCellSpacing w:w="15" w:type="dxa"/>
        </w:trPr>
        <w:tc>
          <w:tcPr>
            <w:tcW w:w="0" w:type="auto"/>
            <w:vAlign w:val="center"/>
            <w:hideMark/>
          </w:tcPr>
          <w:p w14:paraId="2C12B88B"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“This PRU proves ecological value.”</w:t>
            </w:r>
          </w:p>
        </w:tc>
        <w:tc>
          <w:tcPr>
            <w:tcW w:w="0" w:type="auto"/>
            <w:vAlign w:val="center"/>
            <w:hideMark/>
          </w:tcPr>
          <w:p w14:paraId="653E6810"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“This PRU analysis is based on evidence, methodology, confidence scoring, and admissibility review.”</w:t>
            </w:r>
          </w:p>
        </w:tc>
      </w:tr>
      <w:tr w:rsidR="00AB1107" w:rsidRPr="00B479AE" w14:paraId="0058B3D7" w14:textId="77777777" w:rsidTr="00AB1107">
        <w:trPr>
          <w:tblCellSpacing w:w="15" w:type="dxa"/>
        </w:trPr>
        <w:tc>
          <w:tcPr>
            <w:tcW w:w="0" w:type="auto"/>
            <w:vAlign w:val="center"/>
            <w:hideMark/>
          </w:tcPr>
          <w:p w14:paraId="5E246891"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“This dashboard authorizes action.”</w:t>
            </w:r>
          </w:p>
        </w:tc>
        <w:tc>
          <w:tcPr>
            <w:tcW w:w="0" w:type="auto"/>
            <w:vAlign w:val="center"/>
            <w:hideMark/>
          </w:tcPr>
          <w:p w14:paraId="35CC795D"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“Dashboard outputs are decision-support signals and require the applicable review or authorization pathway.”</w:t>
            </w:r>
          </w:p>
        </w:tc>
      </w:tr>
      <w:tr w:rsidR="00AB1107" w:rsidRPr="00B479AE" w14:paraId="6FC8E5E9" w14:textId="77777777" w:rsidTr="00AB1107">
        <w:trPr>
          <w:tblCellSpacing w:w="15" w:type="dxa"/>
        </w:trPr>
        <w:tc>
          <w:tcPr>
            <w:tcW w:w="0" w:type="auto"/>
            <w:vAlign w:val="center"/>
            <w:hideMark/>
          </w:tcPr>
          <w:p w14:paraId="65F7E46B"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“This AI output validates the PRU.”</w:t>
            </w:r>
          </w:p>
        </w:tc>
        <w:tc>
          <w:tcPr>
            <w:tcW w:w="0" w:type="auto"/>
            <w:vAlign w:val="center"/>
            <w:hideMark/>
          </w:tcPr>
          <w:p w14:paraId="7202C83E"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“AI outputs may support analysis but do not replace MRV, governance review, or legal review.”</w:t>
            </w:r>
          </w:p>
        </w:tc>
      </w:tr>
      <w:tr w:rsidR="00AB1107" w:rsidRPr="00B479AE" w14:paraId="1612966F" w14:textId="77777777" w:rsidTr="00AB1107">
        <w:trPr>
          <w:tblCellSpacing w:w="15" w:type="dxa"/>
        </w:trPr>
        <w:tc>
          <w:tcPr>
            <w:tcW w:w="0" w:type="auto"/>
            <w:vAlign w:val="center"/>
            <w:hideMark/>
          </w:tcPr>
          <w:p w14:paraId="0929115C"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“This PHI signal downgrades the project.”</w:t>
            </w:r>
          </w:p>
        </w:tc>
        <w:tc>
          <w:tcPr>
            <w:tcW w:w="0" w:type="auto"/>
            <w:vAlign w:val="center"/>
            <w:hideMark/>
          </w:tcPr>
          <w:p w14:paraId="078BB7B0"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“PHI signals may trigger protective review but do not automatically reclassify a PRU, OHE, RAP, project, or portfolio.”</w:t>
            </w:r>
          </w:p>
        </w:tc>
      </w:tr>
      <w:tr w:rsidR="00AB1107" w:rsidRPr="00B479AE" w14:paraId="7E10595D" w14:textId="77777777" w:rsidTr="00AB1107">
        <w:trPr>
          <w:tblCellSpacing w:w="15" w:type="dxa"/>
        </w:trPr>
        <w:tc>
          <w:tcPr>
            <w:tcW w:w="0" w:type="auto"/>
            <w:vAlign w:val="center"/>
            <w:hideMark/>
          </w:tcPr>
          <w:p w14:paraId="6221DC57"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“This RAP is securitizable.”</w:t>
            </w:r>
          </w:p>
        </w:tc>
        <w:tc>
          <w:tcPr>
            <w:tcW w:w="0" w:type="auto"/>
            <w:vAlign w:val="center"/>
            <w:hideMark/>
          </w:tcPr>
          <w:p w14:paraId="480EE267"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“RAP logic may support future structured-finance analysis where asset maturity, legal structure, disclosure, and institutional safeguards are sufficient.”</w:t>
            </w:r>
          </w:p>
        </w:tc>
      </w:tr>
      <w:tr w:rsidR="00AB1107" w:rsidRPr="00B479AE" w14:paraId="4E1D20DD" w14:textId="77777777" w:rsidTr="00AB1107">
        <w:trPr>
          <w:tblCellSpacing w:w="15" w:type="dxa"/>
        </w:trPr>
        <w:tc>
          <w:tcPr>
            <w:tcW w:w="0" w:type="auto"/>
            <w:vAlign w:val="center"/>
            <w:hideMark/>
          </w:tcPr>
          <w:p w14:paraId="54413DB8"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“This report is an offering document.”</w:t>
            </w:r>
          </w:p>
        </w:tc>
        <w:tc>
          <w:tcPr>
            <w:tcW w:w="0" w:type="auto"/>
            <w:vAlign w:val="center"/>
            <w:hideMark/>
          </w:tcPr>
          <w:p w14:paraId="65E99C46" w14:textId="77777777" w:rsidR="00AB1107" w:rsidRPr="00B479AE" w:rsidRDefault="00AB1107" w:rsidP="00AB1107">
            <w:pPr>
              <w:spacing w:line="360" w:lineRule="auto"/>
              <w:rPr>
                <w:rFonts w:ascii="Baskerville Old Face" w:hAnsi="Baskerville Old Face"/>
                <w:i/>
                <w:iCs/>
                <w:sz w:val="20"/>
                <w:szCs w:val="20"/>
              </w:rPr>
            </w:pPr>
            <w:r w:rsidRPr="00B479AE">
              <w:rPr>
                <w:rFonts w:ascii="Baskerville Old Face" w:hAnsi="Baskerville Old Face"/>
                <w:i/>
                <w:iCs/>
                <w:sz w:val="20"/>
                <w:szCs w:val="20"/>
              </w:rPr>
              <w:t>“This report is classified according to its permitted use and does not create offering status unless legally structured as such.”</w:t>
            </w:r>
          </w:p>
        </w:tc>
      </w:tr>
    </w:tbl>
    <w:p w14:paraId="6EB84FB1"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The operational rule is:</w:t>
      </w:r>
    </w:p>
    <w:p w14:paraId="2FD62CC4"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lastRenderedPageBreak/>
        <w:t>language must follow status;</w:t>
      </w:r>
    </w:p>
    <w:p w14:paraId="46803198"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status must follow evidence;</w:t>
      </w:r>
    </w:p>
    <w:p w14:paraId="3EFB7E9E"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evidence must follow methodology;</w:t>
      </w:r>
    </w:p>
    <w:p w14:paraId="51354A8A"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methodology must follow review;</w:t>
      </w:r>
    </w:p>
    <w:p w14:paraId="0479737E"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review must follow governance;</w:t>
      </w:r>
    </w:p>
    <w:p w14:paraId="425056B4"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financial meaning must follow law.</w:t>
      </w:r>
    </w:p>
    <w:p w14:paraId="1F1B1E7F"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Prometheus should therefore avoid language that moves faster than evidence, methodology, governance, or legal structure.</w:t>
      </w:r>
    </w:p>
    <w:p w14:paraId="6E6D9F36"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Where uncertainty exists, the correct language is not promotional.</w:t>
      </w:r>
    </w:p>
    <w:p w14:paraId="7E81D9D8"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It is conditional, review-bound, and evidence-linked.</w:t>
      </w:r>
    </w:p>
    <w:p w14:paraId="568F1DCA"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This protects the credibility of Prometheus.</w:t>
      </w:r>
    </w:p>
    <w:p w14:paraId="4B76C4FE"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It protects participants.</w:t>
      </w:r>
    </w:p>
    <w:p w14:paraId="267032B8"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It protects capital allocators.</w:t>
      </w:r>
    </w:p>
    <w:p w14:paraId="39568CA5"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It protects the source layer.</w:t>
      </w:r>
    </w:p>
    <w:p w14:paraId="485E5A93"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It protects the future asset class from premature inflation.</w:t>
      </w:r>
    </w:p>
    <w:p w14:paraId="5A31CD4C" w14:textId="77777777" w:rsidR="00AB1107" w:rsidRPr="00B479AE" w:rsidRDefault="00AB1107" w:rsidP="00AB1107">
      <w:pPr>
        <w:spacing w:line="360" w:lineRule="auto"/>
        <w:rPr>
          <w:rFonts w:ascii="Baskerville Old Face" w:hAnsi="Baskerville Old Face"/>
          <w:b/>
          <w:bCs/>
          <w:i/>
          <w:iCs/>
        </w:rPr>
      </w:pPr>
      <w:r w:rsidRPr="00B479AE">
        <w:rPr>
          <w:rFonts w:ascii="Baskerville Old Face" w:hAnsi="Baskerville Old Face"/>
          <w:b/>
          <w:bCs/>
          <w:i/>
          <w:iCs/>
        </w:rPr>
        <w:t>R.37 Final PRU Value-Analysis Principle</w:t>
      </w:r>
    </w:p>
    <w:p w14:paraId="439DBC25"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The final PRU value-analysis principle is:</w:t>
      </w:r>
    </w:p>
    <w:p w14:paraId="1547A1A0"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life generates value;</w:t>
      </w:r>
    </w:p>
    <w:p w14:paraId="781023DB"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evidence makes value legible;</w:t>
      </w:r>
    </w:p>
    <w:p w14:paraId="1E3C7342"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MRV makes value reviewable;</w:t>
      </w:r>
    </w:p>
    <w:p w14:paraId="101E77A2"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methodology makes value interpretable;</w:t>
      </w:r>
    </w:p>
    <w:p w14:paraId="7BE02E5B"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admissibility makes value usable;</w:t>
      </w:r>
    </w:p>
    <w:p w14:paraId="625F5537"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lastRenderedPageBreak/>
        <w:t>PRU analysis makes value comparable;</w:t>
      </w:r>
    </w:p>
    <w:p w14:paraId="7E54F811"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maturity classification makes value readable for diligence;</w:t>
      </w:r>
    </w:p>
    <w:p w14:paraId="1CBDA342"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legal structure makes rights enforceable;</w:t>
      </w:r>
    </w:p>
    <w:p w14:paraId="322CD0DA"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capital makes scale possible.</w:t>
      </w:r>
    </w:p>
    <w:p w14:paraId="7C5505AC"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Prometheus should never reverse this order.</w:t>
      </w:r>
    </w:p>
    <w:p w14:paraId="64C78674"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Capital does not create regeneration.</w:t>
      </w:r>
    </w:p>
    <w:p w14:paraId="557DEA6E"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Tokens do not create regeneration.</w:t>
      </w:r>
    </w:p>
    <w:p w14:paraId="5A975314"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Ratings do not create regeneration.</w:t>
      </w:r>
    </w:p>
    <w:p w14:paraId="7A5B0D4A"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Dashboards do not create regeneration.</w:t>
      </w:r>
    </w:p>
    <w:p w14:paraId="1219C6B9"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AI does not create regeneration.</w:t>
      </w:r>
    </w:p>
    <w:p w14:paraId="01E95DFC"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Legal instruments do not create regeneration.</w:t>
      </w:r>
    </w:p>
    <w:p w14:paraId="70C7378E"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They may support, represent, finance, coordinate, or scale regenerative value only after living systems generate performance and evidence makes that performance reviewable.</w:t>
      </w:r>
    </w:p>
    <w:p w14:paraId="25AB2678"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The final boundary is:</w:t>
      </w:r>
    </w:p>
    <w:p w14:paraId="31EF98F2"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 xml:space="preserve">living system </w:t>
      </w:r>
      <w:r w:rsidRPr="00B479AE">
        <w:rPr>
          <w:rFonts w:ascii="Times New Roman" w:hAnsi="Times New Roman" w:cs="Times New Roman"/>
          <w:i/>
          <w:iCs/>
        </w:rPr>
        <w:t>→</w:t>
      </w:r>
      <w:r w:rsidRPr="00B479AE">
        <w:rPr>
          <w:rFonts w:ascii="Baskerville Old Face" w:hAnsi="Baskerville Old Face"/>
          <w:i/>
          <w:iCs/>
        </w:rPr>
        <w:t xml:space="preserve"> evidence </w:t>
      </w:r>
      <w:r w:rsidRPr="00B479AE">
        <w:rPr>
          <w:rFonts w:ascii="Times New Roman" w:hAnsi="Times New Roman" w:cs="Times New Roman"/>
          <w:i/>
          <w:iCs/>
        </w:rPr>
        <w:t>→</w:t>
      </w:r>
      <w:r w:rsidRPr="00B479AE">
        <w:rPr>
          <w:rFonts w:ascii="Baskerville Old Face" w:hAnsi="Baskerville Old Face"/>
          <w:i/>
          <w:iCs/>
        </w:rPr>
        <w:t xml:space="preserve"> MRV </w:t>
      </w:r>
      <w:r w:rsidRPr="00B479AE">
        <w:rPr>
          <w:rFonts w:ascii="Times New Roman" w:hAnsi="Times New Roman" w:cs="Times New Roman"/>
          <w:i/>
          <w:iCs/>
        </w:rPr>
        <w:t>→</w:t>
      </w:r>
      <w:r w:rsidRPr="00B479AE">
        <w:rPr>
          <w:rFonts w:ascii="Baskerville Old Face" w:hAnsi="Baskerville Old Face"/>
          <w:i/>
          <w:iCs/>
        </w:rPr>
        <w:t xml:space="preserve"> admissibility </w:t>
      </w:r>
      <w:r w:rsidRPr="00B479AE">
        <w:rPr>
          <w:rFonts w:ascii="Times New Roman" w:hAnsi="Times New Roman" w:cs="Times New Roman"/>
          <w:i/>
          <w:iCs/>
        </w:rPr>
        <w:t>→</w:t>
      </w:r>
      <w:r w:rsidRPr="00B479AE">
        <w:rPr>
          <w:rFonts w:ascii="Baskerville Old Face" w:hAnsi="Baskerville Old Face"/>
          <w:i/>
          <w:iCs/>
        </w:rPr>
        <w:t xml:space="preserve"> PRU value analysis </w:t>
      </w:r>
      <w:r w:rsidRPr="00B479AE">
        <w:rPr>
          <w:rFonts w:ascii="Times New Roman" w:hAnsi="Times New Roman" w:cs="Times New Roman"/>
          <w:i/>
          <w:iCs/>
        </w:rPr>
        <w:t>→</w:t>
      </w:r>
      <w:r w:rsidRPr="00B479AE">
        <w:rPr>
          <w:rFonts w:ascii="Baskerville Old Face" w:hAnsi="Baskerville Old Face"/>
          <w:i/>
          <w:iCs/>
        </w:rPr>
        <w:t xml:space="preserve"> maturity classification </w:t>
      </w:r>
      <w:r w:rsidRPr="00B479AE">
        <w:rPr>
          <w:rFonts w:ascii="Times New Roman" w:hAnsi="Times New Roman" w:cs="Times New Roman"/>
          <w:i/>
          <w:iCs/>
        </w:rPr>
        <w:t>→</w:t>
      </w:r>
      <w:r w:rsidRPr="00B479AE">
        <w:rPr>
          <w:rFonts w:ascii="Baskerville Old Face" w:hAnsi="Baskerville Old Face"/>
          <w:i/>
          <w:iCs/>
        </w:rPr>
        <w:t xml:space="preserve"> legal structure </w:t>
      </w:r>
      <w:r w:rsidRPr="00B479AE">
        <w:rPr>
          <w:rFonts w:ascii="Times New Roman" w:hAnsi="Times New Roman" w:cs="Times New Roman"/>
          <w:i/>
          <w:iCs/>
        </w:rPr>
        <w:t>→</w:t>
      </w:r>
      <w:r w:rsidRPr="00B479AE">
        <w:rPr>
          <w:rFonts w:ascii="Baskerville Old Face" w:hAnsi="Baskerville Old Face"/>
          <w:i/>
          <w:iCs/>
        </w:rPr>
        <w:t xml:space="preserve"> possible compliant representation </w:t>
      </w:r>
      <w:r w:rsidRPr="00B479AE">
        <w:rPr>
          <w:rFonts w:ascii="Times New Roman" w:hAnsi="Times New Roman" w:cs="Times New Roman"/>
          <w:i/>
          <w:iCs/>
        </w:rPr>
        <w:t>→</w:t>
      </w:r>
      <w:r w:rsidRPr="00B479AE">
        <w:rPr>
          <w:rFonts w:ascii="Baskerville Old Face" w:hAnsi="Baskerville Old Face"/>
          <w:i/>
          <w:iCs/>
        </w:rPr>
        <w:t xml:space="preserve"> capital allocation.</w:t>
      </w:r>
    </w:p>
    <w:p w14:paraId="4FCB3D1A"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This sequence protects Prometheus from premature financialization.</w:t>
      </w:r>
    </w:p>
    <w:p w14:paraId="42F3E955"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It preserves the primacy of living systems.</w:t>
      </w:r>
    </w:p>
    <w:p w14:paraId="224B4862"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It protects ecological truth from market narrative.</w:t>
      </w:r>
    </w:p>
    <w:p w14:paraId="3D249DA9"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It protects governance from automation.</w:t>
      </w:r>
    </w:p>
    <w:p w14:paraId="40C12FDD"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It protects legal rights from semantic inflation.</w:t>
      </w:r>
    </w:p>
    <w:p w14:paraId="4E561876"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It protects capital from unsupported claims.</w:t>
      </w:r>
    </w:p>
    <w:p w14:paraId="57F54547"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lastRenderedPageBreak/>
        <w:t>It protects the source layer from category collapse.</w:t>
      </w:r>
    </w:p>
    <w:p w14:paraId="776F8989"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The final principle is:</w:t>
      </w:r>
    </w:p>
    <w:p w14:paraId="0CFC3752"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regeneration comes first;</w:t>
      </w:r>
    </w:p>
    <w:p w14:paraId="42E303A7" w14:textId="77777777" w:rsidR="00AB1107" w:rsidRPr="00B479AE" w:rsidRDefault="00AB1107" w:rsidP="00AB1107">
      <w:pPr>
        <w:spacing w:line="360" w:lineRule="auto"/>
        <w:rPr>
          <w:rFonts w:ascii="Baskerville Old Face" w:hAnsi="Baskerville Old Face"/>
          <w:i/>
          <w:iCs/>
        </w:rPr>
      </w:pPr>
      <w:r w:rsidRPr="00B479AE">
        <w:rPr>
          <w:rFonts w:ascii="Baskerville Old Face" w:hAnsi="Baskerville Old Face"/>
          <w:i/>
          <w:iCs/>
        </w:rPr>
        <w:t>financial meaning comes later.</w:t>
      </w:r>
    </w:p>
    <w:p w14:paraId="6CC5F93F" w14:textId="77777777" w:rsidR="006C5552" w:rsidRPr="00ED0D46" w:rsidRDefault="006C5552" w:rsidP="00ED0D46">
      <w:pPr>
        <w:pStyle w:val="Titolo1"/>
        <w:rPr>
          <w:rFonts w:ascii="Baskerville Old Face" w:hAnsi="Baskerville Old Face"/>
          <w:b/>
          <w:bCs/>
          <w:i/>
          <w:iCs/>
          <w:sz w:val="24"/>
          <w:szCs w:val="24"/>
        </w:rPr>
      </w:pPr>
      <w:r w:rsidRPr="00ED0D46">
        <w:rPr>
          <w:rFonts w:ascii="Baskerville Old Face" w:hAnsi="Baskerville Old Face"/>
          <w:b/>
          <w:bCs/>
          <w:i/>
          <w:iCs/>
          <w:sz w:val="24"/>
          <w:szCs w:val="24"/>
        </w:rPr>
        <w:t>Appendix S: Canonical Protection, Fork Governance, and Global Legal Survival Architecture</w:t>
      </w:r>
    </w:p>
    <w:p w14:paraId="01F7DDDA" w14:textId="77777777" w:rsidR="006C5552" w:rsidRPr="00B479AE" w:rsidRDefault="006C5552" w:rsidP="006C5552">
      <w:pPr>
        <w:spacing w:line="360" w:lineRule="auto"/>
        <w:rPr>
          <w:rFonts w:ascii="Baskerville Old Face" w:hAnsi="Baskerville Old Face"/>
          <w:b/>
          <w:bCs/>
          <w:i/>
          <w:iCs/>
        </w:rPr>
      </w:pPr>
      <w:r w:rsidRPr="00B479AE">
        <w:rPr>
          <w:rFonts w:ascii="Baskerville Old Face" w:hAnsi="Baskerville Old Face"/>
          <w:b/>
          <w:bCs/>
          <w:i/>
          <w:iCs/>
        </w:rPr>
        <w:t>S.1 Purpose and Boundary</w:t>
      </w:r>
    </w:p>
    <w:p w14:paraId="1D06A05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is designed to survive replication, translation, implementation, fork attempts, AI-generated similarity, institutional adoption, and future technological change without losing its canonical meaning.</w:t>
      </w:r>
    </w:p>
    <w:p w14:paraId="22418FD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This appendix defines the protection architecture through which Prometheus preserves source-layer fidelity, canonical lineage, public verification, lawful use, fork discipline, and institutional trust.</w:t>
      </w:r>
    </w:p>
    <w:p w14:paraId="4837BCA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purpose of this appendix is not to prevent learning, inspiration, interoperability, research, implementation, or compatible evolution.</w:t>
      </w:r>
    </w:p>
    <w:p w14:paraId="1D4CA66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purpose is to prevent confusion between:</w:t>
      </w:r>
    </w:p>
    <w:p w14:paraId="2097F06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as a canonical source-layer architecture;</w:t>
      </w:r>
    </w:p>
    <w:p w14:paraId="7FEE10A7"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Prometheus-compatible implementations;</w:t>
      </w:r>
    </w:p>
    <w:p w14:paraId="6B01DF2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independent derivatives;</w:t>
      </w:r>
    </w:p>
    <w:p w14:paraId="41DC0C7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misleading forks;</w:t>
      </w:r>
    </w:p>
    <w:p w14:paraId="31D78EA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unauthorized public claims;</w:t>
      </w:r>
    </w:p>
    <w:p w14:paraId="3588201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hostile or deceptive uses of Prometheus identity;</w:t>
      </w:r>
    </w:p>
    <w:p w14:paraId="4244E00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AI-generated replicas that imitate form without preserving lineage.</w:t>
      </w:r>
    </w:p>
    <w:p w14:paraId="6752A70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may be copied in form.</w:t>
      </w:r>
    </w:p>
    <w:p w14:paraId="68DDE25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may be studied.</w:t>
      </w:r>
    </w:p>
    <w:p w14:paraId="23415C6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Prometheus may inspire independent systems.</w:t>
      </w:r>
    </w:p>
    <w:p w14:paraId="1D81CC3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may be forked under defined rules.</w:t>
      </w:r>
    </w:p>
    <w:p w14:paraId="1784C8D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But canonical status is not created by similarity.</w:t>
      </w:r>
    </w:p>
    <w:p w14:paraId="5C1A2FB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Canonical status is created by verifiable lineage.</w:t>
      </w:r>
    </w:p>
    <w:p w14:paraId="73A5FF4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fork may copy the form of Prometheus.</w:t>
      </w:r>
    </w:p>
    <w:p w14:paraId="423F720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Only fidelity to the source layer preserves the lineage of Prometheus.</w:t>
      </w:r>
    </w:p>
    <w:p w14:paraId="17056C27"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core protection principle is:</w:t>
      </w:r>
    </w:p>
    <w:p w14:paraId="4612DB3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copying is not continuity;</w:t>
      </w:r>
    </w:p>
    <w:p w14:paraId="5C7014D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similarity is not lineage;</w:t>
      </w:r>
    </w:p>
    <w:p w14:paraId="52DD13E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forking is not authority;</w:t>
      </w:r>
    </w:p>
    <w:p w14:paraId="0650CEC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verification creates canonical trust.</w:t>
      </w:r>
    </w:p>
    <w:p w14:paraId="651842B6" w14:textId="77777777" w:rsidR="006C5552" w:rsidRPr="00B479AE" w:rsidRDefault="006C5552" w:rsidP="006C5552">
      <w:pPr>
        <w:spacing w:line="360" w:lineRule="auto"/>
        <w:rPr>
          <w:rFonts w:ascii="Baskerville Old Face" w:hAnsi="Baskerville Old Face"/>
          <w:b/>
          <w:bCs/>
          <w:i/>
          <w:iCs/>
        </w:rPr>
      </w:pPr>
      <w:r w:rsidRPr="00B479AE">
        <w:rPr>
          <w:rFonts w:ascii="Baskerville Old Face" w:hAnsi="Baskerville Old Face"/>
          <w:b/>
          <w:bCs/>
          <w:i/>
          <w:iCs/>
        </w:rPr>
        <w:t>S.2 Source-Layer Protection Principle</w:t>
      </w:r>
    </w:p>
    <w:p w14:paraId="6EC42B5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source layer is the constitutional, semantic, methodological, and evidentiary foundation of Prometheus.</w:t>
      </w:r>
    </w:p>
    <w:p w14:paraId="76BF7FA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It includes:</w:t>
      </w:r>
    </w:p>
    <w:p w14:paraId="2B91C60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canonical definitions;</w:t>
      </w:r>
    </w:p>
    <w:p w14:paraId="1266943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constitutional articles;</w:t>
      </w:r>
    </w:p>
    <w:p w14:paraId="0451F3F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Eternity Clauses;</w:t>
      </w:r>
    </w:p>
    <w:p w14:paraId="5709956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Access Covenant;</w:t>
      </w:r>
    </w:p>
    <w:p w14:paraId="25B5C3F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source-layer glossary;</w:t>
      </w:r>
    </w:p>
    <w:p w14:paraId="492AFCD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PRU / RAP / MRV boundary rules;</w:t>
      </w:r>
    </w:p>
    <w:p w14:paraId="1132D3D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fork governance rules;</w:t>
      </w:r>
    </w:p>
    <w:p w14:paraId="65F4E19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 anti-bypass rules;</w:t>
      </w:r>
    </w:p>
    <w:p w14:paraId="7E7FA14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verification-first discipline;</w:t>
      </w:r>
    </w:p>
    <w:p w14:paraId="015AA31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no-double-counting discipline;</w:t>
      </w:r>
    </w:p>
    <w:p w14:paraId="0D3081A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public-claim boundaries;</w:t>
      </w:r>
    </w:p>
    <w:p w14:paraId="18EAAFA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canonical release records;</w:t>
      </w:r>
    </w:p>
    <w:p w14:paraId="7E61395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release hashes;</w:t>
      </w:r>
    </w:p>
    <w:p w14:paraId="72E1085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detached signatures;</w:t>
      </w:r>
    </w:p>
    <w:p w14:paraId="3E0907E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official repositories;</w:t>
      </w:r>
    </w:p>
    <w:p w14:paraId="7B8037B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official registry references;</w:t>
      </w:r>
    </w:p>
    <w:p w14:paraId="00E5BCA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source-layer continuity materials.</w:t>
      </w:r>
    </w:p>
    <w:p w14:paraId="0881FD8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source layer must remain distinguishable from:</w:t>
      </w:r>
    </w:p>
    <w:p w14:paraId="7DE6D3E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software implementations;</w:t>
      </w:r>
    </w:p>
    <w:p w14:paraId="1B5BC69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dashboards;</w:t>
      </w:r>
    </w:p>
    <w:p w14:paraId="2ADEF26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APIs;</w:t>
      </w:r>
    </w:p>
    <w:p w14:paraId="460698A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AI agents;</w:t>
      </w:r>
    </w:p>
    <w:p w14:paraId="061A6DA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field deployments;</w:t>
      </w:r>
    </w:p>
    <w:p w14:paraId="3EEE2BC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token layers;</w:t>
      </w:r>
    </w:p>
    <w:p w14:paraId="5211AE3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investment instruments;</w:t>
      </w:r>
    </w:p>
    <w:p w14:paraId="0B55F7D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governance mechanisms;</w:t>
      </w:r>
    </w:p>
    <w:p w14:paraId="7C117D8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forks;</w:t>
      </w:r>
    </w:p>
    <w:p w14:paraId="46093AA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derivative methodologies;</w:t>
      </w:r>
    </w:p>
    <w:p w14:paraId="6B1CACE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public narratives;</w:t>
      </w:r>
    </w:p>
    <w:p w14:paraId="4622F52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 investor-facing materials.</w:t>
      </w:r>
    </w:p>
    <w:p w14:paraId="46230F1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This distinction is essential.</w:t>
      </w:r>
    </w:p>
    <w:p w14:paraId="4A05C05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software implementation may change.</w:t>
      </w:r>
    </w:p>
    <w:p w14:paraId="59B18AA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dashboard may evolve.</w:t>
      </w:r>
    </w:p>
    <w:p w14:paraId="0B21CEF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An API may be replaced.</w:t>
      </w:r>
    </w:p>
    <w:p w14:paraId="2B0E85F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repository may be mirrored.</w:t>
      </w:r>
    </w:p>
    <w:p w14:paraId="67364E9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fork may be created.</w:t>
      </w:r>
    </w:p>
    <w:p w14:paraId="2970D17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An AI model may summarize, translate, or emulate Prometheus language.</w:t>
      </w:r>
    </w:p>
    <w:p w14:paraId="682186D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But the canonical source layer remains the reference against which continuity, compatibility, and legitimacy are evaluated.</w:t>
      </w:r>
    </w:p>
    <w:p w14:paraId="693DFB0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source layer is therefore not merely documentation.</w:t>
      </w:r>
    </w:p>
    <w:p w14:paraId="09D44C7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It is the constitutional memory of Prometheus.</w:t>
      </w:r>
    </w:p>
    <w:p w14:paraId="3085E338" w14:textId="77777777" w:rsidR="006C5552" w:rsidRPr="00B479AE" w:rsidRDefault="006C5552" w:rsidP="006C5552">
      <w:pPr>
        <w:spacing w:line="360" w:lineRule="auto"/>
        <w:rPr>
          <w:rFonts w:ascii="Baskerville Old Face" w:hAnsi="Baskerville Old Face"/>
          <w:b/>
          <w:bCs/>
          <w:i/>
          <w:iCs/>
        </w:rPr>
      </w:pPr>
      <w:r w:rsidRPr="00B479AE">
        <w:rPr>
          <w:rFonts w:ascii="Baskerville Old Face" w:hAnsi="Baskerville Old Face"/>
          <w:b/>
          <w:bCs/>
          <w:i/>
          <w:iCs/>
        </w:rPr>
        <w:t>S.3 Canonical Lineage and Verification</w:t>
      </w:r>
    </w:p>
    <w:p w14:paraId="1B6AB67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survives by preserving verifiable lineage.</w:t>
      </w:r>
    </w:p>
    <w:p w14:paraId="67E67B8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Canonical lineage should be established through a combination of cryptographic, documentary, institutional, and custodial mechanisms.</w:t>
      </w:r>
    </w:p>
    <w:p w14:paraId="101E89E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These may include:</w:t>
      </w:r>
    </w:p>
    <w:p w14:paraId="7E9DD0F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canonical text releases;</w:t>
      </w:r>
    </w:p>
    <w:p w14:paraId="0766705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DOCX, PDF, Markdown, and machine-readable source formats;</w:t>
      </w:r>
    </w:p>
    <w:p w14:paraId="7FF0A6E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SHA-256 checksums;</w:t>
      </w:r>
    </w:p>
    <w:p w14:paraId="4E40AC7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SHA256_SUMS.txt;</w:t>
      </w:r>
    </w:p>
    <w:p w14:paraId="2225071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detached GPG signatures;</w:t>
      </w:r>
    </w:p>
    <w:p w14:paraId="018E614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 RELEASE_MANIFEST.json;</w:t>
      </w:r>
    </w:p>
    <w:p w14:paraId="4E371C7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signed release manifests;</w:t>
      </w:r>
    </w:p>
    <w:p w14:paraId="334CC1A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public key publication;</w:t>
      </w:r>
    </w:p>
    <w:p w14:paraId="22ACF0B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release notes;</w:t>
      </w:r>
    </w:p>
    <w:p w14:paraId="5F9C65C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official repository references;</w:t>
      </w:r>
    </w:p>
    <w:p w14:paraId="0DF9DC2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official domain references;</w:t>
      </w:r>
    </w:p>
    <w:p w14:paraId="457EF7D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canonical registry entries;</w:t>
      </w:r>
    </w:p>
    <w:p w14:paraId="32F5E33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offline continuity packages;</w:t>
      </w:r>
    </w:p>
    <w:p w14:paraId="1E1BA4F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institutional archive references;</w:t>
      </w:r>
    </w:p>
    <w:p w14:paraId="2593FFE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data-room verification links;</w:t>
      </w:r>
    </w:p>
    <w:p w14:paraId="39CD23E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authorized custodial records;</w:t>
      </w:r>
    </w:p>
    <w:p w14:paraId="0DE7066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fork notices;</w:t>
      </w:r>
    </w:p>
    <w:p w14:paraId="72EC3FD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compromised-key notices where necessary.</w:t>
      </w:r>
    </w:p>
    <w:p w14:paraId="6C5A8A2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No single platform should be treated as the sole source of canonical authority.</w:t>
      </w:r>
    </w:p>
    <w:p w14:paraId="6871D83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GitHub may serve as a public online mirror.</w:t>
      </w:r>
    </w:p>
    <w:p w14:paraId="7281D50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domain may serve as a public access point.</w:t>
      </w:r>
    </w:p>
    <w:p w14:paraId="79D58BA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registry may serve as a verification layer.</w:t>
      </w:r>
    </w:p>
    <w:p w14:paraId="105CB06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Offline archives may serve as resilience infrastructure.</w:t>
      </w:r>
    </w:p>
    <w:p w14:paraId="4EE78A8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Institutional deposits may serve as evidentiary support.</w:t>
      </w:r>
    </w:p>
    <w:p w14:paraId="23BA183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Canonical trust emerges from the convergence of these layers.</w:t>
      </w:r>
    </w:p>
    <w:p w14:paraId="3540A2A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operational rule is:</w:t>
      </w:r>
    </w:p>
    <w:p w14:paraId="0BAD510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repository makes Prometheus visible;</w:t>
      </w:r>
    </w:p>
    <w:p w14:paraId="130ABB1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the hashes make Prometheus verifiable;</w:t>
      </w:r>
    </w:p>
    <w:p w14:paraId="1DB7F54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signatures make Prometheus attributable;</w:t>
      </w:r>
    </w:p>
    <w:p w14:paraId="3549D77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manifest makes Prometheus reproducible;</w:t>
      </w:r>
    </w:p>
    <w:p w14:paraId="6CDD052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registry makes Prometheus publicly checkable;</w:t>
      </w:r>
    </w:p>
    <w:p w14:paraId="761B266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offline continuity makes Prometheus resilient.</w:t>
      </w:r>
    </w:p>
    <w:p w14:paraId="0A9CD553" w14:textId="77777777" w:rsidR="006C5552" w:rsidRPr="00B479AE" w:rsidRDefault="006C5552" w:rsidP="006C5552">
      <w:pPr>
        <w:spacing w:line="360" w:lineRule="auto"/>
        <w:rPr>
          <w:rFonts w:ascii="Baskerville Old Face" w:hAnsi="Baskerville Old Face"/>
          <w:b/>
          <w:bCs/>
          <w:i/>
          <w:iCs/>
        </w:rPr>
      </w:pPr>
      <w:r w:rsidRPr="00B479AE">
        <w:rPr>
          <w:rFonts w:ascii="Baskerville Old Face" w:hAnsi="Baskerville Old Face"/>
          <w:b/>
          <w:bCs/>
          <w:i/>
          <w:iCs/>
        </w:rPr>
        <w:t>S.4 Official Online Mirror</w:t>
      </w:r>
    </w:p>
    <w:p w14:paraId="3DB0828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GitHub repository at:</w:t>
      </w:r>
    </w:p>
    <w:p w14:paraId="378C69C8" w14:textId="77777777" w:rsidR="006C5552" w:rsidRPr="00B479AE" w:rsidRDefault="006C5552" w:rsidP="006C5552">
      <w:pPr>
        <w:spacing w:line="360" w:lineRule="auto"/>
        <w:rPr>
          <w:rFonts w:ascii="Baskerville Old Face" w:hAnsi="Baskerville Old Face"/>
          <w:i/>
          <w:iCs/>
        </w:rPr>
      </w:pPr>
      <w:hyperlink r:id="rId71" w:history="1">
        <w:r w:rsidRPr="00B479AE">
          <w:rPr>
            <w:rStyle w:val="Collegamentoipertestuale"/>
            <w:rFonts w:ascii="Baskerville Old Face" w:hAnsi="Baskerville Old Face"/>
            <w:i/>
            <w:iCs/>
          </w:rPr>
          <w:t>https://github.com/Uwohali/hearth-prometheus-whitepaper</w:t>
        </w:r>
      </w:hyperlink>
    </w:p>
    <w:p w14:paraId="20C2F75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currently serves as the public online canonical mirror for the White Paper release lineage and verification artifacts.</w:t>
      </w:r>
    </w:p>
    <w:p w14:paraId="7297D51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This repository should be referenced in the Global Canonical Registry as an official online mirror.</w:t>
      </w:r>
    </w:p>
    <w:p w14:paraId="45D5CEC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It should include, where applicable:</w:t>
      </w:r>
    </w:p>
    <w:p w14:paraId="366BA8C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canonical White Paper files;</w:t>
      </w:r>
    </w:p>
    <w:p w14:paraId="5B35A78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release manifests;</w:t>
      </w:r>
    </w:p>
    <w:p w14:paraId="34683DA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SHA-256 checksum files;</w:t>
      </w:r>
    </w:p>
    <w:p w14:paraId="1E12338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detached signatures;</w:t>
      </w:r>
    </w:p>
    <w:p w14:paraId="3B50295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public-key verification materials;</w:t>
      </w:r>
    </w:p>
    <w:p w14:paraId="0D4F0A9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README.md;</w:t>
      </w:r>
    </w:p>
    <w:p w14:paraId="2C56BCE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VERIFICATION.md;</w:t>
      </w:r>
    </w:p>
    <w:p w14:paraId="169955D7"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RELEASE_NOTES.md;</w:t>
      </w:r>
    </w:p>
    <w:p w14:paraId="137ED8D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LICENSE or Constitutional Rider;</w:t>
      </w:r>
    </w:p>
    <w:p w14:paraId="0452AC9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FORK_POLICY.md;</w:t>
      </w:r>
    </w:p>
    <w:p w14:paraId="72B404E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 CANONICAL_REGISTRY.md;</w:t>
      </w:r>
    </w:p>
    <w:p w14:paraId="7F2E03C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official contact information;</w:t>
      </w:r>
    </w:p>
    <w:p w14:paraId="23533FD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release ZIP archives;</w:t>
      </w:r>
    </w:p>
    <w:p w14:paraId="4BC5A3A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offline continuity package identifiers.</w:t>
      </w:r>
    </w:p>
    <w:p w14:paraId="78250BF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GitHub is not the ontology of Prometheus.</w:t>
      </w:r>
    </w:p>
    <w:p w14:paraId="404A21E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GitHub is a public verification mirror.</w:t>
      </w:r>
    </w:p>
    <w:p w14:paraId="7703AD4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Canonical authority does not depend on GitHub alone.</w:t>
      </w:r>
    </w:p>
    <w:p w14:paraId="631A66A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It depends on the combined continuity of signed releases, SHA-256 hashes, detached signatures, release manifests, public-key verification, official registry references, offline continuity packages, and authorized custodial records.</w:t>
      </w:r>
    </w:p>
    <w:p w14:paraId="06E054C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If GitHub becomes unavailable, compromised, censored, forked, deprecated, or technically obsolete, Prometheus canonical status should remain verifiable through alternative mirrors, offline archives, institutional deposits, signed release packages, and registry continuity mechanisms.</w:t>
      </w:r>
    </w:p>
    <w:p w14:paraId="67204C46" w14:textId="77777777" w:rsidR="006C5552" w:rsidRPr="00B479AE" w:rsidRDefault="006C5552" w:rsidP="006C5552">
      <w:pPr>
        <w:spacing w:line="360" w:lineRule="auto"/>
        <w:rPr>
          <w:rFonts w:ascii="Baskerville Old Face" w:hAnsi="Baskerville Old Face"/>
          <w:b/>
          <w:bCs/>
          <w:i/>
          <w:iCs/>
        </w:rPr>
      </w:pPr>
      <w:r w:rsidRPr="00B479AE">
        <w:rPr>
          <w:rFonts w:ascii="Baskerville Old Face" w:hAnsi="Baskerville Old Face"/>
          <w:b/>
          <w:bCs/>
          <w:i/>
          <w:iCs/>
        </w:rPr>
        <w:t>S.5 Global Canonical Registry</w:t>
      </w:r>
    </w:p>
    <w:p w14:paraId="5D1B034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should create and maintain a Global Canonical Registry.</w:t>
      </w:r>
    </w:p>
    <w:p w14:paraId="705A940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registry is the public “is this real?” layer of Prometheus.</w:t>
      </w:r>
    </w:p>
    <w:p w14:paraId="5DEF03A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It allows participants, researchers, investors, institutions, communities, platforms, auditors, regulators, AI agents, and future custodians to verify whether a document, release, fork, methodology, dashboard, API, token claim, certification, public statement, or implementation is canonical, compatible, independent, under review, non-admissible, revoked, or non-canonical.</w:t>
      </w:r>
    </w:p>
    <w:p w14:paraId="356BEF6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registry should include:</w:t>
      </w:r>
    </w:p>
    <w:p w14:paraId="08CC95D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canonical text releases;</w:t>
      </w:r>
    </w:p>
    <w:p w14:paraId="2B9E2FC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release hashes;</w:t>
      </w:r>
    </w:p>
    <w:p w14:paraId="6E9ACB3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release dates;</w:t>
      </w:r>
    </w:p>
    <w:p w14:paraId="4373D1F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 official repositories;</w:t>
      </w:r>
    </w:p>
    <w:p w14:paraId="4D4B568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official domains;</w:t>
      </w:r>
    </w:p>
    <w:p w14:paraId="5E43A32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official marks;</w:t>
      </w:r>
    </w:p>
    <w:p w14:paraId="63D60F4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official contact points;</w:t>
      </w:r>
    </w:p>
    <w:p w14:paraId="26147B3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public keys;</w:t>
      </w:r>
    </w:p>
    <w:p w14:paraId="7AC7F32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release manifests;</w:t>
      </w:r>
    </w:p>
    <w:p w14:paraId="63C8EB6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checksum files;</w:t>
      </w:r>
    </w:p>
    <w:p w14:paraId="2DFB912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detached signature references;</w:t>
      </w:r>
    </w:p>
    <w:p w14:paraId="26FD657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certified implementations;</w:t>
      </w:r>
    </w:p>
    <w:p w14:paraId="622AFC5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approved methodologies;</w:t>
      </w:r>
    </w:p>
    <w:p w14:paraId="2620967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PRU / MRV status categories;</w:t>
      </w:r>
    </w:p>
    <w:p w14:paraId="4B381CE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RAP status categories;</w:t>
      </w:r>
    </w:p>
    <w:p w14:paraId="42BAB2E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revoked or expired certifications;</w:t>
      </w:r>
    </w:p>
    <w:p w14:paraId="0F6EE71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non-canonical fork notices;</w:t>
      </w:r>
    </w:p>
    <w:p w14:paraId="2CA54C8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misleading-use notices;</w:t>
      </w:r>
    </w:p>
    <w:p w14:paraId="5C74CC3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compromised-key notices;</w:t>
      </w:r>
    </w:p>
    <w:p w14:paraId="07CAAA7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official legal notices;</w:t>
      </w:r>
    </w:p>
    <w:p w14:paraId="04FADE0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public disclaimers;</w:t>
      </w:r>
    </w:p>
    <w:p w14:paraId="2724152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data-room verification links;</w:t>
      </w:r>
    </w:p>
    <w:p w14:paraId="2E4D0B0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investor-facing claim verification links;</w:t>
      </w:r>
    </w:p>
    <w:p w14:paraId="5CAD07C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offline continuity package identifiers;</w:t>
      </w:r>
    </w:p>
    <w:p w14:paraId="751016E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institutional archive references.</w:t>
      </w:r>
    </w:p>
    <w:p w14:paraId="054BDCA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The Global Canonical Registry should distinguish among the following statuses:</w:t>
      </w:r>
    </w:p>
    <w:p w14:paraId="4A5C139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Canonical.</w:t>
      </w:r>
    </w:p>
    <w:p w14:paraId="4968281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Compatible.</w:t>
      </w:r>
    </w:p>
    <w:p w14:paraId="3BD63EC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Independent.</w:t>
      </w:r>
    </w:p>
    <w:p w14:paraId="253395B7"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Under review.</w:t>
      </w:r>
    </w:p>
    <w:p w14:paraId="4703482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Restricted.</w:t>
      </w:r>
    </w:p>
    <w:p w14:paraId="63F3BC4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Non-admissible.</w:t>
      </w:r>
    </w:p>
    <w:p w14:paraId="188A23B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Quarantined.</w:t>
      </w:r>
    </w:p>
    <w:p w14:paraId="0689FBD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Revoked.</w:t>
      </w:r>
    </w:p>
    <w:p w14:paraId="768FAD2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Non-canonical.</w:t>
      </w:r>
    </w:p>
    <w:p w14:paraId="00F21AD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Misleading or hostile.</w:t>
      </w:r>
    </w:p>
    <w:p w14:paraId="62FC7F2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This registry should not become a centralized instrument of arbitrary control.</w:t>
      </w:r>
    </w:p>
    <w:p w14:paraId="0BA6B4D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Its purpose is evidentiary and constitutional.</w:t>
      </w:r>
    </w:p>
    <w:p w14:paraId="1575625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It helps the world verify lineage.</w:t>
      </w:r>
    </w:p>
    <w:p w14:paraId="534A9E9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It helps compatible builders preserve fidelity.</w:t>
      </w:r>
    </w:p>
    <w:p w14:paraId="70B1D6E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It helps investors avoid misleading claims.</w:t>
      </w:r>
    </w:p>
    <w:p w14:paraId="718F090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It helps communities distinguish authentic Prometheus releases from imitations.</w:t>
      </w:r>
    </w:p>
    <w:p w14:paraId="175B3887"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It helps AI systems avoid training, citing, or executing from corrupted source-layer references.</w:t>
      </w:r>
    </w:p>
    <w:p w14:paraId="21944FD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If a future ASI creates a perfect fake, the registry is where the world checks the lineage.</w:t>
      </w:r>
    </w:p>
    <w:p w14:paraId="51C69DF3" w14:textId="77777777" w:rsidR="006C5552" w:rsidRPr="00B479AE" w:rsidRDefault="006C5552" w:rsidP="006C5552">
      <w:pPr>
        <w:spacing w:line="360" w:lineRule="auto"/>
        <w:rPr>
          <w:rFonts w:ascii="Baskerville Old Face" w:hAnsi="Baskerville Old Face"/>
          <w:b/>
          <w:bCs/>
          <w:i/>
          <w:iCs/>
        </w:rPr>
      </w:pPr>
      <w:r w:rsidRPr="00B479AE">
        <w:rPr>
          <w:rFonts w:ascii="Baskerville Old Face" w:hAnsi="Baskerville Old Face"/>
          <w:b/>
          <w:bCs/>
          <w:i/>
          <w:iCs/>
        </w:rPr>
        <w:t>S.6 International Protection Stack</w:t>
      </w:r>
    </w:p>
    <w:p w14:paraId="4BA666B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should use a coordinated international protection stack.</w:t>
      </w:r>
    </w:p>
    <w:p w14:paraId="49C05D57"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No single legal mechanism is sufficient.</w:t>
      </w:r>
    </w:p>
    <w:p w14:paraId="73C9B60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A trademark protects public identity.</w:t>
      </w:r>
    </w:p>
    <w:p w14:paraId="1C59528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Copyright protects expression.</w:t>
      </w:r>
    </w:p>
    <w:p w14:paraId="29C00E8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Patents or defensive publication may protect technical inventions where appropriate.</w:t>
      </w:r>
    </w:p>
    <w:p w14:paraId="47FA838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Trade secrets protect non-public implementation details.</w:t>
      </w:r>
    </w:p>
    <w:p w14:paraId="709478C7"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Licenses protect permitted use.</w:t>
      </w:r>
    </w:p>
    <w:p w14:paraId="0AEA66F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Certification policies protect compatibility claims.</w:t>
      </w:r>
    </w:p>
    <w:p w14:paraId="5D7D41E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Data agreements protect evidence.</w:t>
      </w:r>
    </w:p>
    <w:p w14:paraId="29557CB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Dispute-resolution mechanisms protect enforceability.</w:t>
      </w:r>
    </w:p>
    <w:p w14:paraId="4F9ECE8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protection architecture may include the following layers.</w:t>
      </w:r>
    </w:p>
    <w:p w14:paraId="1A66CF0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Trademark / service mark protection.</w:t>
      </w:r>
    </w:p>
    <w:p w14:paraId="752187F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should evaluate trademark or service mark protection for “h•eart•h Prometheus”, official logos, seals, badges, canonical designations, certification marks, and public identity terms across relevant jurisdictions.</w:t>
      </w:r>
    </w:p>
    <w:p w14:paraId="226A576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Where appropriate, international trademark protection may be pursued through the Madrid System or national filings.</w:t>
      </w:r>
    </w:p>
    <w:p w14:paraId="64A75B9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purpose is to protect public identity, prevent confusing use, and preserve trust in official Prometheus designations.</w:t>
      </w:r>
    </w:p>
    <w:p w14:paraId="0371758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Copyright protection.</w:t>
      </w:r>
    </w:p>
    <w:p w14:paraId="32B7062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White Paper text, constitutional language, diagrams, documentation, manuals, interfaces, source-code expression, methodological explanations, and original written materials should be protected through copyright notices, authorship records, publication records, and international copyright frameworks.</w:t>
      </w:r>
    </w:p>
    <w:p w14:paraId="3272CF0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Copyright does not protect abstract ideas.</w:t>
      </w:r>
    </w:p>
    <w:p w14:paraId="797DB58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It protects original expression.</w:t>
      </w:r>
    </w:p>
    <w:p w14:paraId="66AA08C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This distinction should be preserved.</w:t>
      </w:r>
    </w:p>
    <w:p w14:paraId="241ED91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Patent and defensive-publication strategy.</w:t>
      </w:r>
    </w:p>
    <w:p w14:paraId="4E7BF0D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Where genuinely patentable inventions exist, Prometheus may evaluate patent or defensive-publication pathways.</w:t>
      </w:r>
    </w:p>
    <w:p w14:paraId="03D2867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Relevant domains may include evidence-provenance architecture, MRV validation systems, policy engines, canonical registry methods, verification workflows, or AI-governance coordination systems.</w:t>
      </w:r>
    </w:p>
    <w:p w14:paraId="3E7DB62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Patent strategy should be used carefully.</w:t>
      </w:r>
    </w:p>
    <w:p w14:paraId="77C2137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should not patent broad principles of regeneration, ecology, or community stewardship.</w:t>
      </w:r>
    </w:p>
    <w:p w14:paraId="6B70BA0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Where patents are not appropriate, defensive publication may prevent hostile actors from enclosing essential technical methods.</w:t>
      </w:r>
    </w:p>
    <w:p w14:paraId="5E9C9E3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Trade-secret protection.</w:t>
      </w:r>
    </w:p>
    <w:p w14:paraId="396D91F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Certain implementation details should remain confidential until appropriate.</w:t>
      </w:r>
    </w:p>
    <w:p w14:paraId="3B84CA1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These may include non-public algorithms, scoring weights, security procedures, private datasets, key-management procedures, risk matrices, internal review protocols, data-room structures, and sensitive operational methods.</w:t>
      </w:r>
    </w:p>
    <w:p w14:paraId="704940F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Trade secrets require discipline.</w:t>
      </w:r>
    </w:p>
    <w:p w14:paraId="454D826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They must be treated as confidential, access-controlled, documented, and protected through agreements and operational controls.</w:t>
      </w:r>
    </w:p>
    <w:p w14:paraId="4990278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Domain and impersonation protection.</w:t>
      </w:r>
    </w:p>
    <w:p w14:paraId="3A49EAF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should protect official domains and monitor confusingly similar domains.</w:t>
      </w:r>
    </w:p>
    <w:p w14:paraId="40C70B8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Domain dispute mechanisms, including UDRP or equivalent procedures, may be used against cybersquatting, phishing, deceptive forks, or misleading public identity.</w:t>
      </w:r>
    </w:p>
    <w:p w14:paraId="2F11E3B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Domain protection is not cosmetic.</w:t>
      </w:r>
    </w:p>
    <w:p w14:paraId="5C5949E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It is part of public trust infrastructure.</w:t>
      </w:r>
    </w:p>
    <w:p w14:paraId="68760B9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Open-source or source-available licensing.</w:t>
      </w:r>
    </w:p>
    <w:p w14:paraId="13A8BCA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may use open-source, source-available, or hybrid licensing structures depending on the layer involved.</w:t>
      </w:r>
    </w:p>
    <w:p w14:paraId="4B5985F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license structure should distinguish among:</w:t>
      </w:r>
    </w:p>
    <w:p w14:paraId="4474486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constitutional texts;</w:t>
      </w:r>
    </w:p>
    <w:p w14:paraId="3C09F60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documentation;</w:t>
      </w:r>
    </w:p>
    <w:p w14:paraId="652F376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diagrams;</w:t>
      </w:r>
    </w:p>
    <w:p w14:paraId="5F6CC58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APIs;</w:t>
      </w:r>
    </w:p>
    <w:p w14:paraId="6AE3A45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code;</w:t>
      </w:r>
    </w:p>
    <w:p w14:paraId="3A24699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datasets;</w:t>
      </w:r>
    </w:p>
    <w:p w14:paraId="21F35A2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methodologies;</w:t>
      </w:r>
    </w:p>
    <w:p w14:paraId="0FD6B95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marks;</w:t>
      </w:r>
    </w:p>
    <w:p w14:paraId="3B917F1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certification claims;</w:t>
      </w:r>
    </w:p>
    <w:p w14:paraId="57C5ADE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investor-facing materials;</w:t>
      </w:r>
    </w:p>
    <w:p w14:paraId="55AD9697"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data-room materials.</w:t>
      </w:r>
    </w:p>
    <w:p w14:paraId="7F76FB9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Not every layer should have the same license.</w:t>
      </w:r>
    </w:p>
    <w:p w14:paraId="129FB14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license should allow learning, review, and compatible implementation while preserving attribution, notices, source-layer integrity, and anti-misrepresentation rules.</w:t>
      </w:r>
    </w:p>
    <w:p w14:paraId="13615C7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Constitutional rider license.</w:t>
      </w:r>
    </w:p>
    <w:p w14:paraId="19243ED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should attach a Constitutional Rider to relevant texts, code, APIs, datasets, methods, documentation, and certified-use pathways.</w:t>
      </w:r>
    </w:p>
    <w:p w14:paraId="1E8C2F4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The rider should condition Prometheus-compatible use on preserving foundational articles, Eternity Clauses, the Access Covenant, canonical glossary, anti-bypass rules, evidence discipline, and fork-governance boundaries.</w:t>
      </w:r>
    </w:p>
    <w:p w14:paraId="02FF6B5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license grants permission.</w:t>
      </w:r>
    </w:p>
    <w:p w14:paraId="1BC60F0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rider preserves meaning.</w:t>
      </w:r>
    </w:p>
    <w:p w14:paraId="183B1CE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Certification and canonical mark policy.</w:t>
      </w:r>
    </w:p>
    <w:p w14:paraId="2ED135A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should define a certification and mark-use policy for terms such as:</w:t>
      </w:r>
    </w:p>
    <w:p w14:paraId="2B03BF5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Prometheus-compatible;</w:t>
      </w:r>
    </w:p>
    <w:p w14:paraId="49D0B35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Prometheus-canonical;</w:t>
      </w:r>
    </w:p>
    <w:p w14:paraId="667BF92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PRU-ready;</w:t>
      </w:r>
    </w:p>
    <w:p w14:paraId="3D13098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MRV-admissible;</w:t>
      </w:r>
    </w:p>
    <w:p w14:paraId="1E60E27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Source-Layer Verified;</w:t>
      </w:r>
    </w:p>
    <w:p w14:paraId="05DC12E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Canonical Release;</w:t>
      </w:r>
    </w:p>
    <w:p w14:paraId="66CEA39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Compatible Fork;</w:t>
      </w:r>
    </w:p>
    <w:p w14:paraId="206729C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Certified Implementation.</w:t>
      </w:r>
    </w:p>
    <w:p w14:paraId="30BB9C07"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No actor should be allowed to claim canonical or certified status merely by using Prometheus language.</w:t>
      </w:r>
    </w:p>
    <w:p w14:paraId="285D8A5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Certification must be tied to defined review, registry status, methodology conformity, and public-claim boundaries.</w:t>
      </w:r>
    </w:p>
    <w:p w14:paraId="2791F91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AI governance contracts.</w:t>
      </w:r>
    </w:p>
    <w:p w14:paraId="260E938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should create model-provider, agent-operator, API, integration, and deployer terms where AI systems interact with Prometheus materials.</w:t>
      </w:r>
    </w:p>
    <w:p w14:paraId="183E21D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These agreements should preserve assistive-only AI authority, protected-domain review, source-layer fidelity, attribution, non-bypassability, human or governance review, and boundary discipline.</w:t>
      </w:r>
    </w:p>
    <w:p w14:paraId="22A43A3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AI may assist interpretation.</w:t>
      </w:r>
    </w:p>
    <w:p w14:paraId="115A7AB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AI may not create canonical authority by imitation.</w:t>
      </w:r>
    </w:p>
    <w:p w14:paraId="5723A34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Data governance agreements.</w:t>
      </w:r>
    </w:p>
    <w:p w14:paraId="0D3C26A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should use data-processing agreements, data-room terms, MRV data licenses, HSI consent architecture, confidentiality agreements, and access controls where sensitive data is involved.</w:t>
      </w:r>
    </w:p>
    <w:p w14:paraId="57A477B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Protected data may include:</w:t>
      </w:r>
    </w:p>
    <w:p w14:paraId="5B9087A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ecological evidence;</w:t>
      </w:r>
    </w:p>
    <w:p w14:paraId="52B1276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pilot records;</w:t>
      </w:r>
    </w:p>
    <w:p w14:paraId="7140649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field data;</w:t>
      </w:r>
    </w:p>
    <w:p w14:paraId="4E5EEE9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laboratory data;</w:t>
      </w:r>
    </w:p>
    <w:p w14:paraId="2AF3B727"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human-state information;</w:t>
      </w:r>
    </w:p>
    <w:p w14:paraId="62C611A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investor data-room materials;</w:t>
      </w:r>
    </w:p>
    <w:p w14:paraId="63A0469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partner documentation;</w:t>
      </w:r>
    </w:p>
    <w:p w14:paraId="16C1635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private governance records;</w:t>
      </w:r>
    </w:p>
    <w:p w14:paraId="140D52A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risk and methodology files.</w:t>
      </w:r>
    </w:p>
    <w:p w14:paraId="5E27C9A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Data governance is part of Prometheus protection because corrupted, misused, or misrepresented data can damage canonical trust.</w:t>
      </w:r>
    </w:p>
    <w:p w14:paraId="376FB30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Dispute resolution.</w:t>
      </w:r>
    </w:p>
    <w:p w14:paraId="5333151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may use WIPO Arbitration and Mediation, ICC, LCIA, SIAC, or jurisdiction-specific courts depending on the agreement, party, jurisdiction, and dispute type.</w:t>
      </w:r>
    </w:p>
    <w:p w14:paraId="69BBEFA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Dispute pathways should support:</w:t>
      </w:r>
    </w:p>
    <w:p w14:paraId="69E51E7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emergency relief;</w:t>
      </w:r>
    </w:p>
    <w:p w14:paraId="15CEF52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injunctive remedies;</w:t>
      </w:r>
    </w:p>
    <w:p w14:paraId="3F9EBF6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 expert determination;</w:t>
      </w:r>
    </w:p>
    <w:p w14:paraId="482229D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domain and mark disputes;</w:t>
      </w:r>
    </w:p>
    <w:p w14:paraId="61ABD8E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confidentiality enforcement;</w:t>
      </w:r>
    </w:p>
    <w:p w14:paraId="18ACC77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fork-use disputes;</w:t>
      </w:r>
    </w:p>
    <w:p w14:paraId="376C3CB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certification revocation;</w:t>
      </w:r>
    </w:p>
    <w:p w14:paraId="4E627D0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data misuse claims;</w:t>
      </w:r>
    </w:p>
    <w:p w14:paraId="3362ED4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investor-claim misrepresentation;</w:t>
      </w:r>
    </w:p>
    <w:p w14:paraId="75367D8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source-layer misappropriation.</w:t>
      </w:r>
    </w:p>
    <w:p w14:paraId="467BC7F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dispute layer should not be theatrical.</w:t>
      </w:r>
    </w:p>
    <w:p w14:paraId="15B23F1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It should be practical, enforceable, and proportionate.</w:t>
      </w:r>
    </w:p>
    <w:p w14:paraId="722B4DB0" w14:textId="77777777" w:rsidR="006C5552" w:rsidRPr="00B479AE" w:rsidRDefault="006C5552" w:rsidP="006C5552">
      <w:pPr>
        <w:spacing w:line="360" w:lineRule="auto"/>
        <w:rPr>
          <w:rFonts w:ascii="Baskerville Old Face" w:hAnsi="Baskerville Old Face"/>
          <w:b/>
          <w:bCs/>
          <w:i/>
          <w:iCs/>
        </w:rPr>
      </w:pPr>
      <w:r w:rsidRPr="00B479AE">
        <w:rPr>
          <w:rFonts w:ascii="Baskerville Old Face" w:hAnsi="Baskerville Old Face"/>
          <w:b/>
          <w:bCs/>
          <w:i/>
          <w:iCs/>
        </w:rPr>
        <w:t>S.7 Protected Names, Marks, and Designations</w:t>
      </w:r>
    </w:p>
    <w:p w14:paraId="02504E3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should identify and prioritize protected names, marks, designations, and certification terms.</w:t>
      </w:r>
    </w:p>
    <w:p w14:paraId="5DD4DEB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Potential protected terms may include:</w:t>
      </w:r>
    </w:p>
    <w:p w14:paraId="4A7099F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h•eart•h Prometheus;</w:t>
      </w:r>
    </w:p>
    <w:p w14:paraId="5CCFDC97"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Prometheus, where registrable and strategically appropriate;</w:t>
      </w:r>
    </w:p>
    <w:p w14:paraId="2D4E85B7"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Prometheus Regenerative Unit;</w:t>
      </w:r>
    </w:p>
    <w:p w14:paraId="386C96C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PRU, where registrable and sufficiently distinctive;</w:t>
      </w:r>
    </w:p>
    <w:p w14:paraId="38E1D75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Regenerative Asset Pool;</w:t>
      </w:r>
    </w:p>
    <w:p w14:paraId="4B10010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RAP, where registrable and sufficiently distinctive;</w:t>
      </w:r>
    </w:p>
    <w:p w14:paraId="40040EC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Access Covenant;</w:t>
      </w:r>
    </w:p>
    <w:p w14:paraId="76B7F30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Source Layer;</w:t>
      </w:r>
    </w:p>
    <w:p w14:paraId="09F46F9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 source-layer marks;</w:t>
      </w:r>
    </w:p>
    <w:p w14:paraId="01692E4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canonical certification marks;</w:t>
      </w:r>
    </w:p>
    <w:p w14:paraId="3B200A8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official logos, seals, badges, and symbols;</w:t>
      </w:r>
    </w:p>
    <w:p w14:paraId="5741404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Prometheus-compatible;</w:t>
      </w:r>
    </w:p>
    <w:p w14:paraId="7D4CAC0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Prometheus-canonical;</w:t>
      </w:r>
    </w:p>
    <w:p w14:paraId="0171660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MRV-admissible;</w:t>
      </w:r>
    </w:p>
    <w:p w14:paraId="76633B2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PRU-ready;</w:t>
      </w:r>
    </w:p>
    <w:p w14:paraId="57E164F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Source-Layer Verified, if adopted;</w:t>
      </w:r>
    </w:p>
    <w:p w14:paraId="7CEB51A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Canonical Release;</w:t>
      </w:r>
    </w:p>
    <w:p w14:paraId="6AA7C85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Compatible Fork;</w:t>
      </w:r>
    </w:p>
    <w:p w14:paraId="41BE4BD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Certified Implementation.</w:t>
      </w:r>
    </w:p>
    <w:p w14:paraId="3C7119F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Not every term will be registrable in every jurisdiction.</w:t>
      </w:r>
    </w:p>
    <w:p w14:paraId="59FE6A9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Some terms may be descriptive.</w:t>
      </w:r>
    </w:p>
    <w:p w14:paraId="104C8D8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Some may require acquired distinctiveness.</w:t>
      </w:r>
    </w:p>
    <w:p w14:paraId="63DE705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Some may be better protected through certification policy, copyright, license terms, or contractual control rather than trademark registration alone.</w:t>
      </w:r>
    </w:p>
    <w:p w14:paraId="6788ED4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correct strategy is layered:</w:t>
      </w:r>
    </w:p>
    <w:p w14:paraId="0B03D307"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distinctive public identity should be trademarked where possible;</w:t>
      </w:r>
    </w:p>
    <w:p w14:paraId="2CC36E4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technical expression should be copyrighted;</w:t>
      </w:r>
    </w:p>
    <w:p w14:paraId="606ACFF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confidential implementation should be protected as trade secret;</w:t>
      </w:r>
    </w:p>
    <w:p w14:paraId="7CB8403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methodological use should be licensed;</w:t>
      </w:r>
    </w:p>
    <w:p w14:paraId="43838A5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certification claims should be controlled by mark policy;</w:t>
      </w:r>
    </w:p>
    <w:p w14:paraId="286007A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canonical status should be verified through registry and cryptographic release integrity.</w:t>
      </w:r>
    </w:p>
    <w:p w14:paraId="07123A6F" w14:textId="77777777" w:rsidR="006C5552" w:rsidRPr="00B479AE" w:rsidRDefault="006C5552" w:rsidP="006C5552">
      <w:pPr>
        <w:spacing w:line="360" w:lineRule="auto"/>
        <w:rPr>
          <w:rFonts w:ascii="Baskerville Old Face" w:hAnsi="Baskerville Old Face"/>
          <w:b/>
          <w:bCs/>
          <w:i/>
          <w:iCs/>
        </w:rPr>
      </w:pPr>
      <w:r w:rsidRPr="00B479AE">
        <w:rPr>
          <w:rFonts w:ascii="Baskerville Old Face" w:hAnsi="Baskerville Old Face"/>
          <w:b/>
          <w:bCs/>
          <w:i/>
          <w:iCs/>
        </w:rPr>
        <w:t>S.8 Derivative Categories and Fork Governance</w:t>
      </w:r>
    </w:p>
    <w:p w14:paraId="6158609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distinguishes among three broad derivative categories.</w:t>
      </w:r>
    </w:p>
    <w:p w14:paraId="167F019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Compatible derivative.</w:t>
      </w:r>
    </w:p>
    <w:p w14:paraId="216BB05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compatible derivative preserves source-layer fidelity, attribution, canonical meanings, evidence discipline, legal boundaries, public-claim constraints, and anti-bypass rules.</w:t>
      </w:r>
    </w:p>
    <w:p w14:paraId="3B58572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compatible derivative may implement, translate, adapt, or extend Prometheus while remaining faithful to the source layer.</w:t>
      </w:r>
    </w:p>
    <w:p w14:paraId="4713C4A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Independent derivative.</w:t>
      </w:r>
    </w:p>
    <w:p w14:paraId="5C6B82C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An independent derivative uses ideas, inspiration, methods, or general concepts without claiming canonical Prometheus status.</w:t>
      </w:r>
    </w:p>
    <w:p w14:paraId="2384AC7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Independent derivatives should not use Prometheus marks, official identity, certification language, or public claims likely to confuse users, investors, communities, or institutions.</w:t>
      </w:r>
    </w:p>
    <w:p w14:paraId="33D81B9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Misleading or hostile derivative.</w:t>
      </w:r>
    </w:p>
    <w:p w14:paraId="04A7D7C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misleading or hostile derivative uses Prometheus name, marks, language, interface, claims, methods, dashboards, token narratives, or public authority while weakening the source layer, misleading participants, bypassing review, inflating claims, or creating confusion about canonical status.</w:t>
      </w:r>
    </w:p>
    <w:p w14:paraId="360D0E2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legal and constitutional rule is:</w:t>
      </w:r>
    </w:p>
    <w:p w14:paraId="2DE4145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ideas may inspire;</w:t>
      </w:r>
    </w:p>
    <w:p w14:paraId="21ECBC8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canonical expression requires permission;</w:t>
      </w:r>
    </w:p>
    <w:p w14:paraId="12092AA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official identity requires authorization;</w:t>
      </w:r>
    </w:p>
    <w:p w14:paraId="04B56D6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misleading continuity activates correction.</w:t>
      </w:r>
    </w:p>
    <w:p w14:paraId="3F32FF7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fork may be technically permissible while still being non-canonical.</w:t>
      </w:r>
    </w:p>
    <w:p w14:paraId="227FDD37"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A fork may be independent without being hostile.</w:t>
      </w:r>
    </w:p>
    <w:p w14:paraId="1E563E0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fork becomes problematic when it claims lineage without fidelity, authority without authorization, or compatibility without review.</w:t>
      </w:r>
    </w:p>
    <w:p w14:paraId="6D9765F7" w14:textId="77777777" w:rsidR="006C5552" w:rsidRPr="00B479AE" w:rsidRDefault="006C5552" w:rsidP="006C5552">
      <w:pPr>
        <w:spacing w:line="360" w:lineRule="auto"/>
        <w:rPr>
          <w:rFonts w:ascii="Baskerville Old Face" w:hAnsi="Baskerville Old Face"/>
          <w:b/>
          <w:bCs/>
          <w:i/>
          <w:iCs/>
        </w:rPr>
      </w:pPr>
      <w:r w:rsidRPr="00B479AE">
        <w:rPr>
          <w:rFonts w:ascii="Baskerville Old Face" w:hAnsi="Baskerville Old Face"/>
          <w:b/>
          <w:bCs/>
          <w:i/>
          <w:iCs/>
        </w:rPr>
        <w:t>S.9 Fork Status Matrix</w:t>
      </w:r>
    </w:p>
    <w:p w14:paraId="642FAE7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fork governance should distinguish status, not merely existence.</w:t>
      </w:r>
    </w:p>
    <w:p w14:paraId="1445D1B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fork may be classified as:</w:t>
      </w:r>
    </w:p>
    <w:p w14:paraId="558A5CC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Canonical fork.</w:t>
      </w:r>
    </w:p>
    <w:p w14:paraId="3816F4B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fork authorized by the canonical registry, preserving source-layer fidelity and release continuity.</w:t>
      </w:r>
    </w:p>
    <w:p w14:paraId="63B7254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Compatible fork.</w:t>
      </w:r>
    </w:p>
    <w:p w14:paraId="041E57A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fork that preserves attribution, source-layer meanings, boundary rules, and compatibility requirements, but is not the canonical source.</w:t>
      </w:r>
    </w:p>
    <w:p w14:paraId="1B16993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Independent fork.</w:t>
      </w:r>
    </w:p>
    <w:p w14:paraId="4D006EC7"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fork that uses ideas or inspiration while clearly avoiding claims of canonical identity, official status, or Prometheus-certified authority.</w:t>
      </w:r>
    </w:p>
    <w:p w14:paraId="24A6B10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Experimental fork.</w:t>
      </w:r>
    </w:p>
    <w:p w14:paraId="29E2CA4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research or sandbox implementation not suitable for public claims, investor use, PRU / MRV claims, or certified deployment.</w:t>
      </w:r>
    </w:p>
    <w:p w14:paraId="7C7743C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Under-review fork.</w:t>
      </w:r>
    </w:p>
    <w:p w14:paraId="06714E9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fork submitted for compatibility, certification, or canonical review.</w:t>
      </w:r>
    </w:p>
    <w:p w14:paraId="43E1C4F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Non-admissible fork.</w:t>
      </w:r>
    </w:p>
    <w:p w14:paraId="474DE8B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fork that may exist but cannot enter protected pathways such as PRU analysis, MRV admissibility, certification, investor-facing claims, or official registry use.</w:t>
      </w:r>
    </w:p>
    <w:p w14:paraId="12E6463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Quarantined fork.</w:t>
      </w:r>
    </w:p>
    <w:p w14:paraId="271FB41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A fork isolated due to serious risk, such as misleading claims, corrupted source-layer meaning, security concerns, unauthorized token claims, false certification, or public confusion.</w:t>
      </w:r>
    </w:p>
    <w:p w14:paraId="064CE4F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Hostile fork.</w:t>
      </w:r>
    </w:p>
    <w:p w14:paraId="4EF7E4C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 fork that misrepresents Prometheus, appropriates official identity, weakens source-layer protections, impersonates canonical releases, or uses Prometheus language to create unauthorized financial, legal, ecological, or governance claims.</w:t>
      </w:r>
    </w:p>
    <w:p w14:paraId="1711012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fork-governance rule is:</w:t>
      </w:r>
    </w:p>
    <w:p w14:paraId="02664B5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forking may preserve innovation;</w:t>
      </w:r>
    </w:p>
    <w:p w14:paraId="2964894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fidelity preserves lineage;</w:t>
      </w:r>
    </w:p>
    <w:p w14:paraId="10F3C96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registry preserves trust;</w:t>
      </w:r>
    </w:p>
    <w:p w14:paraId="738360D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misrepresentation triggers correction.</w:t>
      </w:r>
    </w:p>
    <w:p w14:paraId="122811AC" w14:textId="77777777" w:rsidR="006C5552" w:rsidRPr="00B479AE" w:rsidRDefault="006C5552" w:rsidP="006C5552">
      <w:pPr>
        <w:spacing w:line="360" w:lineRule="auto"/>
        <w:rPr>
          <w:rFonts w:ascii="Baskerville Old Face" w:hAnsi="Baskerville Old Face"/>
          <w:b/>
          <w:bCs/>
          <w:i/>
          <w:iCs/>
        </w:rPr>
      </w:pPr>
      <w:r w:rsidRPr="00B479AE">
        <w:rPr>
          <w:rFonts w:ascii="Baskerville Old Face" w:hAnsi="Baskerville Old Face"/>
          <w:b/>
          <w:bCs/>
          <w:i/>
          <w:iCs/>
        </w:rPr>
        <w:t>S.10 Certification and Claim Control</w:t>
      </w:r>
    </w:p>
    <w:p w14:paraId="263AB20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should define strict rules for public claims.</w:t>
      </w:r>
    </w:p>
    <w:p w14:paraId="34CD69E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following claims should require authorization, registry status, certification, or defined review:</w:t>
      </w:r>
    </w:p>
    <w:p w14:paraId="476479D7"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Prometheus-compatible;</w:t>
      </w:r>
    </w:p>
    <w:p w14:paraId="74A30C6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Prometheus-canonical;</w:t>
      </w:r>
    </w:p>
    <w:p w14:paraId="2E201A2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official Prometheus implementation;</w:t>
      </w:r>
    </w:p>
    <w:p w14:paraId="2097DCF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certified Prometheus implementation;</w:t>
      </w:r>
    </w:p>
    <w:p w14:paraId="7D052CF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PRU-ready;</w:t>
      </w:r>
    </w:p>
    <w:p w14:paraId="4A9C2C1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MRV-admissible;</w:t>
      </w:r>
    </w:p>
    <w:p w14:paraId="64547F7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PRU-eligible;</w:t>
      </w:r>
    </w:p>
    <w:p w14:paraId="18ABD86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RAP-ready;</w:t>
      </w:r>
    </w:p>
    <w:p w14:paraId="1399697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Source-Layer Verified;</w:t>
      </w:r>
    </w:p>
    <w:p w14:paraId="7F6EEA37"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 Prometheus-approved;</w:t>
      </w:r>
    </w:p>
    <w:p w14:paraId="5D1C3BD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Prometheus-certified;</w:t>
      </w:r>
    </w:p>
    <w:p w14:paraId="1F30645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canonical fork;</w:t>
      </w:r>
    </w:p>
    <w:p w14:paraId="1E8586F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compatible fork;</w:t>
      </w:r>
    </w:p>
    <w:p w14:paraId="039872A7"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verified regenerative asset;</w:t>
      </w:r>
    </w:p>
    <w:p w14:paraId="0A7322E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investor-ready Prometheus asset;</w:t>
      </w:r>
    </w:p>
    <w:p w14:paraId="7E0D934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legal-structured PRU instrument;</w:t>
      </w:r>
    </w:p>
    <w:p w14:paraId="69D936C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tokenized Prometheus instrument;</w:t>
      </w:r>
    </w:p>
    <w:p w14:paraId="4D1784E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Prometheus-backed claim.</w:t>
      </w:r>
    </w:p>
    <w:p w14:paraId="1A5166A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No party should claim compatibility merely because it uses similar language.</w:t>
      </w:r>
    </w:p>
    <w:p w14:paraId="3FDB25D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No party should claim MRV admissibility without methodology review.</w:t>
      </w:r>
    </w:p>
    <w:p w14:paraId="5547DD3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No party should claim PRU readiness without evidence and maturity review.</w:t>
      </w:r>
    </w:p>
    <w:p w14:paraId="40FF13C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No party should claim investor readiness without legal and disclosure review.</w:t>
      </w:r>
    </w:p>
    <w:p w14:paraId="2A8B5EA9" w14:textId="382E5475"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No party should claim canonical status without registry recognition.</w:t>
      </w:r>
      <w:r w:rsidR="00326B07">
        <w:rPr>
          <w:rFonts w:ascii="Baskerville Old Face" w:hAnsi="Baskerville Old Face"/>
          <w:i/>
          <w:iCs/>
        </w:rPr>
        <w:t xml:space="preserve"> </w:t>
      </w:r>
      <w:r w:rsidRPr="00B479AE">
        <w:rPr>
          <w:rFonts w:ascii="Baskerville Old Face" w:hAnsi="Baskerville Old Face"/>
          <w:i/>
          <w:iCs/>
        </w:rPr>
        <w:t>The public-claim rule is:</w:t>
      </w:r>
    </w:p>
    <w:p w14:paraId="3FBB53E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public language must match verified status;</w:t>
      </w:r>
    </w:p>
    <w:p w14:paraId="108ED54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verified status must match evidence;</w:t>
      </w:r>
    </w:p>
    <w:p w14:paraId="5299EC0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evidence must match methodology;</w:t>
      </w:r>
    </w:p>
    <w:p w14:paraId="75FF8D9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methodology must match source-layer rules;</w:t>
      </w:r>
    </w:p>
    <w:p w14:paraId="67E7F90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source-layer rules must match canonical release.</w:t>
      </w:r>
    </w:p>
    <w:p w14:paraId="49486DB6" w14:textId="4A2E1C49" w:rsidR="006C5552" w:rsidRPr="00B479AE" w:rsidRDefault="006C5552" w:rsidP="006C5552">
      <w:pPr>
        <w:spacing w:line="360" w:lineRule="auto"/>
        <w:rPr>
          <w:rFonts w:ascii="Baskerville Old Face" w:hAnsi="Baskerville Old Face"/>
          <w:b/>
          <w:bCs/>
          <w:i/>
          <w:iCs/>
        </w:rPr>
      </w:pPr>
      <w:r w:rsidRPr="00B479AE">
        <w:rPr>
          <w:rFonts w:ascii="Baskerville Old Face" w:hAnsi="Baskerville Old Face"/>
          <w:b/>
          <w:bCs/>
          <w:i/>
          <w:iCs/>
        </w:rPr>
        <w:t>S.11 AI-Generated Replicas and ASI-Scale Fork Risk</w:t>
      </w:r>
    </w:p>
    <w:p w14:paraId="7AA5AA7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must assume that future AI and ASI systems may be able to generate highly convincing imitations.</w:t>
      </w:r>
    </w:p>
    <w:p w14:paraId="408A99A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These systems may imitate:</w:t>
      </w:r>
    </w:p>
    <w:p w14:paraId="2034D16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writing style;</w:t>
      </w:r>
    </w:p>
    <w:p w14:paraId="2552A92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diagrams;</w:t>
      </w:r>
    </w:p>
    <w:p w14:paraId="6F2EED6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terminology;</w:t>
      </w:r>
    </w:p>
    <w:p w14:paraId="7655FB1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governance models;</w:t>
      </w:r>
    </w:p>
    <w:p w14:paraId="5B8E21E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PRU logic;</w:t>
      </w:r>
    </w:p>
    <w:p w14:paraId="76B6991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MRV language;</w:t>
      </w:r>
    </w:p>
    <w:p w14:paraId="561B035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dashboards;</w:t>
      </w:r>
    </w:p>
    <w:p w14:paraId="655BABE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source code;</w:t>
      </w:r>
    </w:p>
    <w:p w14:paraId="08DF40A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investor materials;</w:t>
      </w:r>
    </w:p>
    <w:p w14:paraId="77BEDCF7"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token narratives;</w:t>
      </w:r>
    </w:p>
    <w:p w14:paraId="702FDB5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visual identity;</w:t>
      </w:r>
    </w:p>
    <w:p w14:paraId="76FDF90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constitutional language.</w:t>
      </w:r>
    </w:p>
    <w:p w14:paraId="0848A2A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Similarity will therefore become a weak test.</w:t>
      </w:r>
    </w:p>
    <w:p w14:paraId="65955B7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stronger test is lineage.</w:t>
      </w:r>
    </w:p>
    <w:p w14:paraId="2DE2491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should treat AI-generated similarity as non-canonical unless it can be traced to authorized source-layer materials, signed releases, registry status, and permitted use.</w:t>
      </w:r>
    </w:p>
    <w:p w14:paraId="5D1B741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AI/ASI fork rule is:</w:t>
      </w:r>
    </w:p>
    <w:p w14:paraId="014163B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AI may reproduce form;</w:t>
      </w:r>
    </w:p>
    <w:p w14:paraId="4499F56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only verified lineage preserves authority.</w:t>
      </w:r>
    </w:p>
    <w:p w14:paraId="61697A6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Prometheus-compatible AI systems should be instructed to:</w:t>
      </w:r>
    </w:p>
    <w:p w14:paraId="2689362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cite canonical releases;</w:t>
      </w:r>
    </w:p>
    <w:p w14:paraId="78F0531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 verify hashes where applicable;</w:t>
      </w:r>
    </w:p>
    <w:p w14:paraId="36B12F3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check registry status;</w:t>
      </w:r>
    </w:p>
    <w:p w14:paraId="466C325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distinguish canonical from derivative;</w:t>
      </w:r>
    </w:p>
    <w:p w14:paraId="3FD4B8C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preserve attribution;</w:t>
      </w:r>
    </w:p>
    <w:p w14:paraId="5EC2985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avoid unauthorized claims;</w:t>
      </w:r>
    </w:p>
    <w:p w14:paraId="6A5A415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avoid generating fake certification;</w:t>
      </w:r>
    </w:p>
    <w:p w14:paraId="23890E8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avoid inventing official status;</w:t>
      </w:r>
    </w:p>
    <w:p w14:paraId="5C002BA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avoid collapsing PRU, TRBK, RAP, land rights, governance rights, or investor rights;</w:t>
      </w:r>
    </w:p>
    <w:p w14:paraId="0D97D69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route protected-domain outputs to review.</w:t>
      </w:r>
    </w:p>
    <w:p w14:paraId="150F99A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should also maintain machine-readable verification materials so that future AI agents can check canonical status without relying only on narrative context.</w:t>
      </w:r>
    </w:p>
    <w:p w14:paraId="128548E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These materials may include:</w:t>
      </w:r>
    </w:p>
    <w:p w14:paraId="1E4A54C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RELEASE_MANIFEST.json;</w:t>
      </w:r>
    </w:p>
    <w:p w14:paraId="24A2489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CANONICAL_REGISTRY.json;</w:t>
      </w:r>
    </w:p>
    <w:p w14:paraId="00C829A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public key files;</w:t>
      </w:r>
    </w:p>
    <w:p w14:paraId="19F24F6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signed checksums;</w:t>
      </w:r>
    </w:p>
    <w:p w14:paraId="7FDDA9B7"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fork-status metadata;</w:t>
      </w:r>
    </w:p>
    <w:p w14:paraId="75C4C1C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certification status metadata;</w:t>
      </w:r>
    </w:p>
    <w:p w14:paraId="184A23D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license metadata;</w:t>
      </w:r>
    </w:p>
    <w:p w14:paraId="6F4DCC6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official domain list;</w:t>
      </w:r>
    </w:p>
    <w:p w14:paraId="16A6F7A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official repository list;</w:t>
      </w:r>
    </w:p>
    <w:p w14:paraId="1E7703D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revocation notices;</w:t>
      </w:r>
    </w:p>
    <w:p w14:paraId="56DBA1A7"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 compromised-key notices.</w:t>
      </w:r>
    </w:p>
    <w:p w14:paraId="42D56D3E" w14:textId="77777777" w:rsidR="006C5552" w:rsidRPr="00B479AE" w:rsidRDefault="006C5552" w:rsidP="006C5552">
      <w:pPr>
        <w:spacing w:line="360" w:lineRule="auto"/>
        <w:rPr>
          <w:rFonts w:ascii="Baskerville Old Face" w:hAnsi="Baskerville Old Face"/>
          <w:b/>
          <w:bCs/>
          <w:i/>
          <w:iCs/>
        </w:rPr>
      </w:pPr>
      <w:r w:rsidRPr="00B479AE">
        <w:rPr>
          <w:rFonts w:ascii="Baskerville Old Face" w:hAnsi="Baskerville Old Face"/>
          <w:b/>
          <w:bCs/>
          <w:i/>
          <w:iCs/>
        </w:rPr>
        <w:t>S.12 Offline Continuity and Internet-Independent Survival</w:t>
      </w:r>
    </w:p>
    <w:p w14:paraId="10CCBAB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should not depend on continuous public internet availability for canonical survival.</w:t>
      </w:r>
    </w:p>
    <w:p w14:paraId="1924CEF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Internet availability may fail.</w:t>
      </w:r>
    </w:p>
    <w:p w14:paraId="342569B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Domains may expire.</w:t>
      </w:r>
    </w:p>
    <w:p w14:paraId="1A559F5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Repositories may be removed.</w:t>
      </w:r>
    </w:p>
    <w:p w14:paraId="61CDE0B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Platforms may change policy.</w:t>
      </w:r>
    </w:p>
    <w:p w14:paraId="32326A6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Accounts may be compromised.</w:t>
      </w:r>
    </w:p>
    <w:p w14:paraId="5327D0E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Censorship may occur.</w:t>
      </w:r>
    </w:p>
    <w:p w14:paraId="3986C4B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Cloud infrastructure may fail.</w:t>
      </w:r>
    </w:p>
    <w:p w14:paraId="0235E8F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Search engines may de-rank or misrepresent official sources.</w:t>
      </w:r>
    </w:p>
    <w:p w14:paraId="69380E7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AI systems may hallucinate canonical status.</w:t>
      </w:r>
    </w:p>
    <w:p w14:paraId="268F11C5"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should therefore maintain offline continuity packages.</w:t>
      </w:r>
    </w:p>
    <w:p w14:paraId="59A981B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An offline continuity package may include:</w:t>
      </w:r>
    </w:p>
    <w:p w14:paraId="56E135F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canonical White Paper release;</w:t>
      </w:r>
    </w:p>
    <w:p w14:paraId="18DF6C2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source Markdown;</w:t>
      </w:r>
    </w:p>
    <w:p w14:paraId="4E456CA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PDF institutional release;</w:t>
      </w:r>
    </w:p>
    <w:p w14:paraId="586579D6"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DOCX release;</w:t>
      </w:r>
    </w:p>
    <w:p w14:paraId="47FFF1A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SHA256_SUMS.txt;</w:t>
      </w:r>
    </w:p>
    <w:p w14:paraId="40E6E85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detached signatures;</w:t>
      </w:r>
    </w:p>
    <w:p w14:paraId="756B31E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RELEASE_MANIFEST.json;</w:t>
      </w:r>
    </w:p>
    <w:p w14:paraId="2C6774B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public key;</w:t>
      </w:r>
    </w:p>
    <w:p w14:paraId="17F66B7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 verification instructions;</w:t>
      </w:r>
    </w:p>
    <w:p w14:paraId="6385E19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license and Constitutional Rider;</w:t>
      </w:r>
    </w:p>
    <w:p w14:paraId="222D2A0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fork policy;</w:t>
      </w:r>
    </w:p>
    <w:p w14:paraId="39B1971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canonical registry snapshot;</w:t>
      </w:r>
    </w:p>
    <w:p w14:paraId="6CFE640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official domain and repository list;</w:t>
      </w:r>
    </w:p>
    <w:p w14:paraId="765091D2"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key-rotation policy;</w:t>
      </w:r>
    </w:p>
    <w:p w14:paraId="0BF71C8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compromised-key procedure;</w:t>
      </w:r>
    </w:p>
    <w:p w14:paraId="220D340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institutional archive references;</w:t>
      </w:r>
    </w:p>
    <w:p w14:paraId="6F923FC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printed hash sheet;</w:t>
      </w:r>
    </w:p>
    <w:p w14:paraId="58A6389E"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notarized or timestamped evidence where appropriate;</w:t>
      </w:r>
    </w:p>
    <w:p w14:paraId="7BD6F88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cold-storage backup;</w:t>
      </w:r>
    </w:p>
    <w:p w14:paraId="010A8D2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distributed custodian copies.</w:t>
      </w:r>
    </w:p>
    <w:p w14:paraId="0CD4ABD1"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The offline continuity principle is:</w:t>
      </w:r>
    </w:p>
    <w:p w14:paraId="55D02454"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Prometheus must remain verifiable even when the web is not available.</w:t>
      </w:r>
    </w:p>
    <w:p w14:paraId="2D0E80B9"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Canonical continuity should therefore be stored across multiple media:</w:t>
      </w:r>
    </w:p>
    <w:p w14:paraId="206CFF0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GitHub repository;</w:t>
      </w:r>
    </w:p>
    <w:p w14:paraId="10810790"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official website;</w:t>
      </w:r>
    </w:p>
    <w:p w14:paraId="410BEC7D"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offline encrypted archive;</w:t>
      </w:r>
    </w:p>
    <w:p w14:paraId="017C54B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printed verification packet;</w:t>
      </w:r>
    </w:p>
    <w:p w14:paraId="19CA0FFA"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institutional deposit;</w:t>
      </w:r>
    </w:p>
    <w:p w14:paraId="77D39F1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trusted custodian archive;</w:t>
      </w:r>
    </w:p>
    <w:p w14:paraId="0C8B46AF"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cold-storage device;</w:t>
      </w:r>
    </w:p>
    <w:p w14:paraId="5623531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lastRenderedPageBreak/>
        <w:t>• future decentralized storage where appropriate;</w:t>
      </w:r>
    </w:p>
    <w:p w14:paraId="2438211B"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 notarized or timestamped archive where useful.</w:t>
      </w:r>
    </w:p>
    <w:p w14:paraId="185ACAA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This does not make Prometheus immutable in the sense of never evolving.</w:t>
      </w:r>
    </w:p>
    <w:p w14:paraId="6E1DF55C"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It makes each release verifiably stable.</w:t>
      </w:r>
    </w:p>
    <w:p w14:paraId="0E5AB233"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Future releases may evolve.</w:t>
      </w:r>
    </w:p>
    <w:p w14:paraId="48731808" w14:textId="77777777" w:rsidR="006C5552" w:rsidRPr="00B479AE" w:rsidRDefault="006C5552" w:rsidP="006C5552">
      <w:pPr>
        <w:spacing w:line="360" w:lineRule="auto"/>
        <w:rPr>
          <w:rFonts w:ascii="Baskerville Old Face" w:hAnsi="Baskerville Old Face"/>
          <w:i/>
          <w:iCs/>
        </w:rPr>
      </w:pPr>
      <w:r w:rsidRPr="00B479AE">
        <w:rPr>
          <w:rFonts w:ascii="Baskerville Old Face" w:hAnsi="Baskerville Old Face"/>
          <w:i/>
          <w:iCs/>
        </w:rPr>
        <w:t>Past releases must remain checkable.</w:t>
      </w:r>
    </w:p>
    <w:p w14:paraId="6132592B" w14:textId="03490592" w:rsidR="0077031A" w:rsidRPr="00B479AE" w:rsidRDefault="0077031A" w:rsidP="0077031A">
      <w:pPr>
        <w:spacing w:line="360" w:lineRule="auto"/>
        <w:rPr>
          <w:rFonts w:ascii="Baskerville Old Face" w:hAnsi="Baskerville Old Face"/>
          <w:b/>
          <w:bCs/>
          <w:i/>
          <w:iCs/>
        </w:rPr>
      </w:pPr>
      <w:r w:rsidRPr="00B479AE">
        <w:rPr>
          <w:rFonts w:ascii="Baskerville Old Face" w:hAnsi="Baskerville Old Face"/>
          <w:b/>
          <w:bCs/>
          <w:i/>
          <w:iCs/>
        </w:rPr>
        <w:t xml:space="preserve">S.13 </w:t>
      </w:r>
      <w:r w:rsidR="002F2301" w:rsidRPr="002F2301">
        <w:rPr>
          <w:rFonts w:ascii="Baskerville Old Face" w:hAnsi="Baskerville Old Face"/>
          <w:b/>
          <w:bCs/>
          <w:i/>
          <w:iCs/>
        </w:rPr>
        <w:t>Canonical Protection Baseline</w:t>
      </w:r>
      <w:r w:rsidR="002F2301">
        <w:rPr>
          <w:rFonts w:ascii="Baskerville Old Face" w:hAnsi="Baskerville Old Face"/>
          <w:b/>
          <w:bCs/>
          <w:i/>
          <w:iCs/>
        </w:rPr>
        <w:t xml:space="preserve"> </w:t>
      </w:r>
    </w:p>
    <w:p w14:paraId="1699061A"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Before any major public release, GitHub update, investor circulation, certification claim, institutional distribution, or runtime deployment, Prometheus should preserve a Canonical Protection Baseline.</w:t>
      </w:r>
    </w:p>
    <w:p w14:paraId="078BBE15"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This baseline is not a separate technical accessory.</w:t>
      </w:r>
    </w:p>
    <w:p w14:paraId="1707ECAB"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It is part of the source-layer discipline of Prometheus.</w:t>
      </w:r>
    </w:p>
    <w:p w14:paraId="260F2913"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The baseline protects the relationship among:</w:t>
      </w:r>
    </w:p>
    <w:p w14:paraId="2EA78649"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canonical text;</w:t>
      </w:r>
    </w:p>
    <w:p w14:paraId="6BD763D3"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cryptographic integrity;</w:t>
      </w:r>
    </w:p>
    <w:p w14:paraId="411D9687"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repository continuity;</w:t>
      </w:r>
    </w:p>
    <w:p w14:paraId="2724A311"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Holochain-compatible implementation;</w:t>
      </w:r>
    </w:p>
    <w:p w14:paraId="43909DD7"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runtime documentation;</w:t>
      </w:r>
    </w:p>
    <w:p w14:paraId="1E0412B4"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fork governance;</w:t>
      </w:r>
    </w:p>
    <w:p w14:paraId="1D4E55D0"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public verification;</w:t>
      </w:r>
    </w:p>
    <w:p w14:paraId="613EDEE8"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offline survivability.</w:t>
      </w:r>
    </w:p>
    <w:p w14:paraId="43FA5C06"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The Canonical Protection Baseline should include:</w:t>
      </w:r>
    </w:p>
    <w:p w14:paraId="76A921AD"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final canonical White Paper files;</w:t>
      </w:r>
    </w:p>
    <w:p w14:paraId="517DDF56"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lastRenderedPageBreak/>
        <w:t>• canonical DOCX;</w:t>
      </w:r>
    </w:p>
    <w:p w14:paraId="64EDB8E3"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canonical PDF;</w:t>
      </w:r>
    </w:p>
    <w:p w14:paraId="0EDAC3B8"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canonical Markdown or source text where applicable;</w:t>
      </w:r>
    </w:p>
    <w:p w14:paraId="799328DB"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SHA-256 hashes for each release file;</w:t>
      </w:r>
    </w:p>
    <w:p w14:paraId="1D93508C"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SHA256_SUMS.txt;</w:t>
      </w:r>
    </w:p>
    <w:p w14:paraId="3785CF6B"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detached GPG signatures;</w:t>
      </w:r>
    </w:p>
    <w:p w14:paraId="23731D6E"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RELEASE_MANIFEST.json;</w:t>
      </w:r>
    </w:p>
    <w:p w14:paraId="123CCB79"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signed release manifest;</w:t>
      </w:r>
    </w:p>
    <w:p w14:paraId="41569183"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public key publication;</w:t>
      </w:r>
    </w:p>
    <w:p w14:paraId="31191D0A"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README.md;</w:t>
      </w:r>
    </w:p>
    <w:p w14:paraId="2B7BE94B"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VERIFICATION.md;</w:t>
      </w:r>
    </w:p>
    <w:p w14:paraId="4BB1A1DC"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RELEASE_NOTES.md;</w:t>
      </w:r>
    </w:p>
    <w:p w14:paraId="789B56ED"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REPRODUCIBLE_RELEASE.md;</w:t>
      </w:r>
    </w:p>
    <w:p w14:paraId="7A62B269"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Root_Of_Trust.md;</w:t>
      </w:r>
    </w:p>
    <w:p w14:paraId="37637123"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Runbook.md;</w:t>
      </w:r>
    </w:p>
    <w:p w14:paraId="7CF82374"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Technical verification and cryptographic integrity manual;</w:t>
      </w:r>
    </w:p>
    <w:p w14:paraId="56750DE1"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LICENSE or Constitutional Rider;</w:t>
      </w:r>
    </w:p>
    <w:p w14:paraId="63A24A93"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FORK_POLICY.md;</w:t>
      </w:r>
    </w:p>
    <w:p w14:paraId="6413E170"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CANONICAL_REGISTRY.md;</w:t>
      </w:r>
    </w:p>
    <w:p w14:paraId="69BC5F13"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canonical document index;</w:t>
      </w:r>
    </w:p>
    <w:p w14:paraId="7A98507D"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official repository reference;</w:t>
      </w:r>
    </w:p>
    <w:p w14:paraId="4054BD87"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official contact point;</w:t>
      </w:r>
    </w:p>
    <w:p w14:paraId="0DF7B019"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lastRenderedPageBreak/>
        <w:t>• official domain reference where available;</w:t>
      </w:r>
    </w:p>
    <w:p w14:paraId="722B7091"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copyright notice;</w:t>
      </w:r>
    </w:p>
    <w:p w14:paraId="078A6171"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authorship and release-date records;</w:t>
      </w:r>
    </w:p>
    <w:p w14:paraId="62C8DBC7"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repository synchronization notes;</w:t>
      </w:r>
    </w:p>
    <w:p w14:paraId="4EA4562E"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Holochain or hApp integration notes where applicable;</w:t>
      </w:r>
    </w:p>
    <w:p w14:paraId="118B0A57"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runtime alignment notes where applicable;</w:t>
      </w:r>
    </w:p>
    <w:p w14:paraId="1E18671A"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offline continuity package;</w:t>
      </w:r>
    </w:p>
    <w:p w14:paraId="29380C77"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local backup;</w:t>
      </w:r>
    </w:p>
    <w:p w14:paraId="6642F7A9"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institutional or trusted-custodian backup.</w:t>
      </w:r>
    </w:p>
    <w:p w14:paraId="322404B5"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Where Prometheus is implemented through Holochain-compatible infrastructure, the baseline should also preserve coherence among:</w:t>
      </w:r>
    </w:p>
    <w:p w14:paraId="2AD56654"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canonical documentation;</w:t>
      </w:r>
    </w:p>
    <w:p w14:paraId="57C35E6F"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hApp repository;</w:t>
      </w:r>
    </w:p>
    <w:p w14:paraId="7D0AB1D2"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bridge repository;</w:t>
      </w:r>
    </w:p>
    <w:p w14:paraId="1E54BBE7"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console or interface repository;</w:t>
      </w:r>
    </w:p>
    <w:p w14:paraId="33B95513"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evaluation stack;</w:t>
      </w:r>
    </w:p>
    <w:p w14:paraId="680190AB"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operations documentation;</w:t>
      </w:r>
    </w:p>
    <w:p w14:paraId="1F17D700"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pilot handoff pack;</w:t>
      </w:r>
    </w:p>
    <w:p w14:paraId="709FDD89"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runtime integration notes;</w:t>
      </w:r>
    </w:p>
    <w:p w14:paraId="4002B5FF"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build and deployment runbooks;</w:t>
      </w:r>
    </w:p>
    <w:p w14:paraId="430CE0C3"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verification and troubleshooting procedures;</w:t>
      </w:r>
    </w:p>
    <w:p w14:paraId="60176C9C"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source-layer references;</w:t>
      </w:r>
    </w:p>
    <w:p w14:paraId="7DAE795B"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lastRenderedPageBreak/>
        <w:t>• methodology references;</w:t>
      </w:r>
    </w:p>
    <w:p w14:paraId="29728C59"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release metadata;</w:t>
      </w:r>
    </w:p>
    <w:p w14:paraId="2A7F0893"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 public verification artifacts.</w:t>
      </w:r>
    </w:p>
    <w:p w14:paraId="6678CBDD"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This ensures that Prometheus does not split into a beautiful White Paper on one side and an incoherent runtime implementation on the other.</w:t>
      </w:r>
    </w:p>
    <w:p w14:paraId="4331BCAB"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The canonical document layer and the implementation layer must remain synchronized.</w:t>
      </w:r>
    </w:p>
    <w:p w14:paraId="661FCEBA"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A canonical text without repository continuity becomes difficult to verify.</w:t>
      </w:r>
    </w:p>
    <w:p w14:paraId="6D4A90E8"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A repository without cryptographic integrity becomes easy to confuse.</w:t>
      </w:r>
    </w:p>
    <w:p w14:paraId="60A5FE3A"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A runtime implementation without source-layer fidelity becomes drift.</w:t>
      </w:r>
    </w:p>
    <w:p w14:paraId="5B16F147"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A Holochain-compatible deployment without canonical discipline becomes technically active but constitutionally weak.</w:t>
      </w:r>
    </w:p>
    <w:p w14:paraId="1A331473"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The reason is simple:</w:t>
      </w:r>
    </w:p>
    <w:p w14:paraId="34A44995"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once Prometheus becomes visible, it becomes copyable.</w:t>
      </w:r>
    </w:p>
    <w:p w14:paraId="1DA7AFC0"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Once it becomes copyable, lineage must be verifiable.</w:t>
      </w:r>
    </w:p>
    <w:p w14:paraId="450E0B54"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Once lineage is verifiable, forks can exist without confusing the source.</w:t>
      </w:r>
    </w:p>
    <w:p w14:paraId="46D5604B"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Once implementation begins, runtime behavior must remain aligned with canonical meaning.</w:t>
      </w:r>
    </w:p>
    <w:p w14:paraId="02DC01BB"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The baseline rule is:</w:t>
      </w:r>
    </w:p>
    <w:p w14:paraId="4D3B064D"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canonical text defines meaning;</w:t>
      </w:r>
    </w:p>
    <w:p w14:paraId="6C6D879F"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repository structure preserves access;</w:t>
      </w:r>
    </w:p>
    <w:p w14:paraId="40F8D2D3"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cryptographic sealing preserves integrity;</w:t>
      </w:r>
    </w:p>
    <w:p w14:paraId="24BCD06E"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public verification preserves trust;</w:t>
      </w:r>
    </w:p>
    <w:p w14:paraId="7A94D563"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runtime documentation preserves implementation fidelity;</w:t>
      </w:r>
    </w:p>
    <w:p w14:paraId="3ACB3778"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lastRenderedPageBreak/>
        <w:t>Holochain-compatible deployment must preserve source-layer coherence;</w:t>
      </w:r>
    </w:p>
    <w:p w14:paraId="211BBDDA"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offline continuity preserves survival beyond any single platform.</w:t>
      </w:r>
    </w:p>
    <w:p w14:paraId="404F2412"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The Canonical Protection Baseline therefore protects Prometheus across three dimensions:</w:t>
      </w:r>
    </w:p>
    <w:p w14:paraId="37279224"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meaning;</w:t>
      </w:r>
    </w:p>
    <w:p w14:paraId="041E537C"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integrity;</w:t>
      </w:r>
    </w:p>
    <w:p w14:paraId="1A757ED0"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execution.</w:t>
      </w:r>
    </w:p>
    <w:p w14:paraId="288E9EF9"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Meaning is protected by the source layer.</w:t>
      </w:r>
    </w:p>
    <w:p w14:paraId="02756CC9"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Integrity is protected by hashes, signatures, manifests, and registry references.</w:t>
      </w:r>
    </w:p>
    <w:p w14:paraId="6DDB0294"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Execution is protected by repository synchronization, runtime documentation, Holochain-compatible implementation notes, and deployment discipline.</w:t>
      </w:r>
    </w:p>
    <w:p w14:paraId="05FEE461"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This baseline should be active before broader institutional circulation, investor-facing use, public certification claims, major GitHub updates, or runtime deployment.</w:t>
      </w:r>
    </w:p>
    <w:p w14:paraId="1E8C03FB" w14:textId="77777777" w:rsidR="00631DB0" w:rsidRPr="00B479AE" w:rsidRDefault="00631DB0" w:rsidP="00631DB0">
      <w:pPr>
        <w:spacing w:line="360" w:lineRule="auto"/>
        <w:rPr>
          <w:rFonts w:ascii="Baskerville Old Face" w:hAnsi="Baskerville Old Face"/>
          <w:i/>
          <w:iCs/>
        </w:rPr>
      </w:pPr>
      <w:r w:rsidRPr="00B479AE">
        <w:rPr>
          <w:rFonts w:ascii="Baskerville Old Face" w:hAnsi="Baskerville Old Face"/>
          <w:i/>
          <w:iCs/>
        </w:rPr>
        <w:t>It is the minimum condition for Prometheus to move from authored architecture to verifiable institutional artifact.</w:t>
      </w:r>
    </w:p>
    <w:p w14:paraId="4DB364E5" w14:textId="31DC1372" w:rsidR="00B24243" w:rsidRPr="00B479AE" w:rsidRDefault="00B24243" w:rsidP="00B24243">
      <w:pPr>
        <w:spacing w:line="360" w:lineRule="auto"/>
        <w:rPr>
          <w:rFonts w:ascii="Baskerville Old Face" w:hAnsi="Baskerville Old Face"/>
          <w:b/>
          <w:bCs/>
          <w:i/>
          <w:iCs/>
        </w:rPr>
      </w:pPr>
      <w:r w:rsidRPr="00B479AE">
        <w:rPr>
          <w:rFonts w:ascii="Baskerville Old Face" w:hAnsi="Baskerville Old Face"/>
          <w:b/>
          <w:bCs/>
          <w:i/>
          <w:iCs/>
        </w:rPr>
        <w:t>S.14 Strategic Protection Roadmap</w:t>
      </w:r>
    </w:p>
    <w:p w14:paraId="1A41C1B0"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Prometheus protection should mature through a disciplined sequence of canonical readiness, cryptographic authentication, public verification, repository and runtime coherence, legal identity protection, licensing, institutional enforcement, and long-term continuity.</w:t>
      </w:r>
    </w:p>
    <w:p w14:paraId="67B03B0D"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The roadmap does not treat protection as a single legal filing, a single GitHub repository, a single signature, or a single technical action.</w:t>
      </w:r>
    </w:p>
    <w:p w14:paraId="6ED651D0"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It treats protection as a layered survival architecture.</w:t>
      </w:r>
    </w:p>
    <w:p w14:paraId="2F0D8E93" w14:textId="77777777" w:rsidR="0077031A" w:rsidRPr="00B479AE" w:rsidRDefault="0077031A" w:rsidP="0077031A">
      <w:pPr>
        <w:spacing w:line="360" w:lineRule="auto"/>
        <w:rPr>
          <w:rFonts w:ascii="Baskerville Old Face" w:hAnsi="Baskerville Old Face"/>
          <w:b/>
          <w:bCs/>
          <w:i/>
          <w:iCs/>
        </w:rPr>
      </w:pPr>
      <w:r w:rsidRPr="00B479AE">
        <w:rPr>
          <w:rFonts w:ascii="Baskerville Old Face" w:hAnsi="Baskerville Old Face"/>
          <w:b/>
          <w:bCs/>
          <w:i/>
          <w:iCs/>
        </w:rPr>
        <w:t>Phase 0 — Canonical Readiness and Release Integrity.</w:t>
      </w:r>
    </w:p>
    <w:p w14:paraId="36237A8A"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Before public release, Prometheus should reach canonical readiness.</w:t>
      </w:r>
    </w:p>
    <w:p w14:paraId="0A20D182"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lastRenderedPageBreak/>
        <w:t>This phase confirms that the release artifact is clean, coherent, internally consistent, and suitable for cryptographic sealing, repository publication, and implementation alignment.</w:t>
      </w:r>
    </w:p>
    <w:p w14:paraId="281225BF"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Before release:</w:t>
      </w:r>
    </w:p>
    <w:p w14:paraId="5B3EC8BB"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freeze canonical text;</w:t>
      </w:r>
    </w:p>
    <w:p w14:paraId="12A79E8E"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remove tracked changes and comments;</w:t>
      </w:r>
    </w:p>
    <w:p w14:paraId="437A6149"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normalize document styles;</w:t>
      </w:r>
    </w:p>
    <w:p w14:paraId="48F31419"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verify tables and formulas;</w:t>
      </w:r>
    </w:p>
    <w:p w14:paraId="3056D01C"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verify internal references;</w:t>
      </w:r>
    </w:p>
    <w:p w14:paraId="0D7A9186"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verify glossary consistency;</w:t>
      </w:r>
    </w:p>
    <w:p w14:paraId="322D82DE"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verify protected terminology;</w:t>
      </w:r>
    </w:p>
    <w:p w14:paraId="1702598A"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verify source-layer references;</w:t>
      </w:r>
    </w:p>
    <w:p w14:paraId="5031C345"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verify GitHub repository references;</w:t>
      </w:r>
    </w:p>
    <w:p w14:paraId="201D1A7D"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verify Holochain-compatible implementation references where applicable;</w:t>
      </w:r>
    </w:p>
    <w:p w14:paraId="178E00E2"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verify consistency between White Paper, canonical documents, and runtime documentation;</w:t>
      </w:r>
    </w:p>
    <w:p w14:paraId="3DC49EEA"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scrub metadata where appropriate;</w:t>
      </w:r>
    </w:p>
    <w:p w14:paraId="3B11556B"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confirm copyright notices;</w:t>
      </w:r>
    </w:p>
    <w:p w14:paraId="2306BE9E"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confirm authorship and release-date records;</w:t>
      </w:r>
    </w:p>
    <w:p w14:paraId="54CB7795"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confirm official contact references;</w:t>
      </w:r>
    </w:p>
    <w:p w14:paraId="1CB77436"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prepare verification files;</w:t>
      </w:r>
    </w:p>
    <w:p w14:paraId="44F1F05E"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prepare release manifest;</w:t>
      </w:r>
    </w:p>
    <w:p w14:paraId="109F1B32"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prepare fork policy;</w:t>
      </w:r>
    </w:p>
    <w:p w14:paraId="42E306DC"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prepare Constitutional Rider;</w:t>
      </w:r>
    </w:p>
    <w:p w14:paraId="1A8AFA85"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lastRenderedPageBreak/>
        <w:t>• prepare canonical registry;</w:t>
      </w:r>
    </w:p>
    <w:p w14:paraId="60B97690"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prepare runtime alignment notes where applicable.</w:t>
      </w:r>
    </w:p>
    <w:p w14:paraId="46065FA2"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The purpose of this phase is to ensure that Prometheus does not authenticate an unstable artifact.</w:t>
      </w:r>
    </w:p>
    <w:p w14:paraId="7D8FA436"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Canonical readiness comes before cryptographic authority.</w:t>
      </w:r>
    </w:p>
    <w:p w14:paraId="0A9BAE12" w14:textId="77777777" w:rsidR="0077031A" w:rsidRPr="00B479AE" w:rsidRDefault="0077031A" w:rsidP="0077031A">
      <w:pPr>
        <w:spacing w:line="360" w:lineRule="auto"/>
        <w:rPr>
          <w:rFonts w:ascii="Baskerville Old Face" w:hAnsi="Baskerville Old Face"/>
          <w:b/>
          <w:bCs/>
          <w:i/>
          <w:iCs/>
        </w:rPr>
      </w:pPr>
      <w:r w:rsidRPr="00B479AE">
        <w:rPr>
          <w:rFonts w:ascii="Baskerville Old Face" w:hAnsi="Baskerville Old Face"/>
          <w:b/>
          <w:bCs/>
          <w:i/>
          <w:iCs/>
        </w:rPr>
        <w:t>Phase 1 — Cryptographic Sealing and Release Authentication.</w:t>
      </w:r>
    </w:p>
    <w:p w14:paraId="1171A529"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At release, Prometheus should authenticate the canonical artifact.</w:t>
      </w:r>
    </w:p>
    <w:p w14:paraId="4FD9C759"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This phase transforms the release from an editable document into a verifiable canonical object.</w:t>
      </w:r>
    </w:p>
    <w:p w14:paraId="70C176AC"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At release:</w:t>
      </w:r>
    </w:p>
    <w:p w14:paraId="48F2A06A"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generate canonical DOCX, PDF, and Markdown or source files where applicable;</w:t>
      </w:r>
    </w:p>
    <w:p w14:paraId="1F00ED22"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compute SHA-256 hashes for each release file;</w:t>
      </w:r>
    </w:p>
    <w:p w14:paraId="0195F70A"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create SHA256_SUMS.txt;</w:t>
      </w:r>
    </w:p>
    <w:p w14:paraId="7132EB42"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create RELEASE_MANIFEST.json;</w:t>
      </w:r>
    </w:p>
    <w:p w14:paraId="49783EC2"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sign checksum files through detached signatures;</w:t>
      </w:r>
    </w:p>
    <w:p w14:paraId="250C808E"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sign the release manifest;</w:t>
      </w:r>
    </w:p>
    <w:p w14:paraId="6BAC8686"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create the canonical release package;</w:t>
      </w:r>
    </w:p>
    <w:p w14:paraId="54B1B2B2"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compute the hash of the release package;</w:t>
      </w:r>
    </w:p>
    <w:p w14:paraId="402145C8"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sign the release package;</w:t>
      </w:r>
    </w:p>
    <w:p w14:paraId="577EF1CE"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publish or prepare the public verification key;</w:t>
      </w:r>
    </w:p>
    <w:p w14:paraId="3C0F581C"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prepare verification instructions;</w:t>
      </w:r>
    </w:p>
    <w:p w14:paraId="33B3EFB5"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prepare release notes.</w:t>
      </w:r>
    </w:p>
    <w:p w14:paraId="18FFBBD0"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The purpose of this phase is authentication.</w:t>
      </w:r>
    </w:p>
    <w:p w14:paraId="25D4D1DD"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lastRenderedPageBreak/>
        <w:t>After this phase, any participant should be able to verify whether a file corresponds to the canonical release or has been altered.</w:t>
      </w:r>
    </w:p>
    <w:p w14:paraId="7083C0B5"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The release becomes checkable, attributable, and reproducible.</w:t>
      </w:r>
    </w:p>
    <w:p w14:paraId="0984CD27" w14:textId="77777777" w:rsidR="0077031A" w:rsidRPr="00B479AE" w:rsidRDefault="0077031A" w:rsidP="0077031A">
      <w:pPr>
        <w:spacing w:line="360" w:lineRule="auto"/>
        <w:rPr>
          <w:rFonts w:ascii="Baskerville Old Face" w:hAnsi="Baskerville Old Face"/>
          <w:b/>
          <w:bCs/>
          <w:i/>
          <w:iCs/>
        </w:rPr>
      </w:pPr>
      <w:r w:rsidRPr="00B479AE">
        <w:rPr>
          <w:rFonts w:ascii="Baskerville Old Face" w:hAnsi="Baskerville Old Face"/>
          <w:b/>
          <w:bCs/>
          <w:i/>
          <w:iCs/>
        </w:rPr>
        <w:t>Phase 2 — Public Verification and Canonical Mirror Publication.</w:t>
      </w:r>
    </w:p>
    <w:p w14:paraId="46BF0C23"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Immediately after cryptographic sealing, Prometheus should make the authenticated release publicly verifiable.</w:t>
      </w:r>
    </w:p>
    <w:p w14:paraId="2A4172AF"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This phase publishes the canonical artifact and its verification materials through official online mirrors and registry references.</w:t>
      </w:r>
    </w:p>
    <w:p w14:paraId="2BD9607E"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Immediately after release:</w:t>
      </w:r>
    </w:p>
    <w:p w14:paraId="4D578F19"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update the official GitHub repository;</w:t>
      </w:r>
    </w:p>
    <w:p w14:paraId="33199D4E"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publish canonical release files;</w:t>
      </w:r>
    </w:p>
    <w:p w14:paraId="78B49066"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publish checksum files;</w:t>
      </w:r>
    </w:p>
    <w:p w14:paraId="42149BCE"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publish detached signatures;</w:t>
      </w:r>
    </w:p>
    <w:p w14:paraId="2BAA0654"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publish RELEASE_MANIFEST.json;</w:t>
      </w:r>
    </w:p>
    <w:p w14:paraId="34C18BD9"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publish README.md;</w:t>
      </w:r>
    </w:p>
    <w:p w14:paraId="001EDAAE"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publish VERIFICATION.md;</w:t>
      </w:r>
    </w:p>
    <w:p w14:paraId="3AB7E654"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publish RELEASE_NOTES.md;</w:t>
      </w:r>
    </w:p>
    <w:p w14:paraId="3C0C094C"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publish REPRODUCIBLE_RELEASE.md;</w:t>
      </w:r>
    </w:p>
    <w:p w14:paraId="34CD763C"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publish Root_Of_Trust.md;</w:t>
      </w:r>
    </w:p>
    <w:p w14:paraId="493DBC87"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publish LICENSE or Constitutional Rider;</w:t>
      </w:r>
    </w:p>
    <w:p w14:paraId="607673FD"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publish FORK_POLICY.md;</w:t>
      </w:r>
    </w:p>
    <w:p w14:paraId="3B4C8ECC"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publish CANONICAL_REGISTRY.md;</w:t>
      </w:r>
    </w:p>
    <w:p w14:paraId="030EF271"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publish official contact and repository references;</w:t>
      </w:r>
    </w:p>
    <w:p w14:paraId="6F7793B8"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lastRenderedPageBreak/>
        <w:t>• tag the release;</w:t>
      </w:r>
    </w:p>
    <w:p w14:paraId="596ADC4D"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create a GitHub release package;</w:t>
      </w:r>
    </w:p>
    <w:p w14:paraId="73925A73"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archive the release package externally;</w:t>
      </w:r>
    </w:p>
    <w:p w14:paraId="50A4DDDF"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record the release in the canonical registry.</w:t>
      </w:r>
    </w:p>
    <w:p w14:paraId="5FE083A9"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The purpose of this phase is public verification.</w:t>
      </w:r>
    </w:p>
    <w:p w14:paraId="4327C775"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GitHub, official domains, and public mirrors do not create canonical authority by themselves.</w:t>
      </w:r>
    </w:p>
    <w:p w14:paraId="681B9DE8"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They make canonical authority visible and testable.</w:t>
      </w:r>
    </w:p>
    <w:p w14:paraId="0685B549"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The rule is:</w:t>
      </w:r>
    </w:p>
    <w:p w14:paraId="5288697D"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Phase 1 authenticates the release.</w:t>
      </w:r>
    </w:p>
    <w:p w14:paraId="5643D48C"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Phase 2 makes the authenticated release publicly verifiable.</w:t>
      </w:r>
    </w:p>
    <w:p w14:paraId="033DED88" w14:textId="77777777" w:rsidR="0077031A" w:rsidRPr="00B479AE" w:rsidRDefault="0077031A" w:rsidP="0077031A">
      <w:pPr>
        <w:spacing w:line="360" w:lineRule="auto"/>
        <w:rPr>
          <w:rFonts w:ascii="Baskerville Old Face" w:hAnsi="Baskerville Old Face"/>
          <w:b/>
          <w:bCs/>
          <w:i/>
          <w:iCs/>
        </w:rPr>
      </w:pPr>
      <w:r w:rsidRPr="00B479AE">
        <w:rPr>
          <w:rFonts w:ascii="Baskerville Old Face" w:hAnsi="Baskerville Old Face"/>
          <w:b/>
          <w:bCs/>
          <w:i/>
          <w:iCs/>
        </w:rPr>
        <w:t>Phase 3 — Repository and Runtime Coherence.</w:t>
      </w:r>
    </w:p>
    <w:p w14:paraId="79CE38BE"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Where Prometheus is implemented through Holochain-compatible infrastructure, the canonical release should remain synchronized with the operational repository stack.</w:t>
      </w:r>
    </w:p>
    <w:p w14:paraId="7763D605"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This phase protects the bridge between constitutional meaning and runtime implementation.</w:t>
      </w:r>
    </w:p>
    <w:p w14:paraId="4C167E78"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Repository and runtime coherence may include:</w:t>
      </w:r>
    </w:p>
    <w:p w14:paraId="15FE96CA"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alignment between the White Paper and canonical documentation;</w:t>
      </w:r>
    </w:p>
    <w:p w14:paraId="62EB8B03"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alignment between canonical documentation and hApp implementation notes;</w:t>
      </w:r>
    </w:p>
    <w:p w14:paraId="0140E4CF"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alignment among hApp, bridge, console, evaluation stack, operations documentation, and pilot handoff pack;</w:t>
      </w:r>
    </w:p>
    <w:p w14:paraId="31969033"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preservation of build and deployment runbooks;</w:t>
      </w:r>
    </w:p>
    <w:p w14:paraId="7826B470"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preservation of troubleshooting procedures;</w:t>
      </w:r>
    </w:p>
    <w:p w14:paraId="7FE53611"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preservation of verification and integrity manuals;</w:t>
      </w:r>
    </w:p>
    <w:p w14:paraId="175818B3"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lastRenderedPageBreak/>
        <w:t>• preservation of API, zome, bridge, and console boundaries;</w:t>
      </w:r>
    </w:p>
    <w:p w14:paraId="29B83B82"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preservation of source-layer non-bypassability;</w:t>
      </w:r>
    </w:p>
    <w:p w14:paraId="1BCFB1B6"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preservation of PRU, MRV, RAP, TRBK, HoloFuel, settlement rails, and governance separation;</w:t>
      </w:r>
    </w:p>
    <w:p w14:paraId="09E15189"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preservation of assistive-only AI authority;</w:t>
      </w:r>
    </w:p>
    <w:p w14:paraId="2401B403"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preservation of protected-domain review;</w:t>
      </w:r>
    </w:p>
    <w:p w14:paraId="70639640"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preservation of pilot-first deployment boundaries;</w:t>
      </w:r>
    </w:p>
    <w:p w14:paraId="37881A2C"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preservation of release metadata and canonical references across repositories.</w:t>
      </w:r>
    </w:p>
    <w:p w14:paraId="7B60ECD0"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The purpose of this phase is implementation fidelity.</w:t>
      </w:r>
    </w:p>
    <w:p w14:paraId="5069D7CE"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A canonical White Paper without runtime coherence becomes symbolic.</w:t>
      </w:r>
    </w:p>
    <w:p w14:paraId="0788D793"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A runtime implementation without canonical discipline becomes drift.</w:t>
      </w:r>
    </w:p>
    <w:p w14:paraId="27C2DECC"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Prometheus requires both.</w:t>
      </w:r>
    </w:p>
    <w:p w14:paraId="79E9FB04"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The correct relationship is:</w:t>
      </w:r>
    </w:p>
    <w:p w14:paraId="204FD086"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i/>
          <w:iCs/>
        </w:rPr>
        <w:t xml:space="preserve">canonical source layer </w:t>
      </w:r>
      <w:r w:rsidRPr="00B479AE">
        <w:rPr>
          <w:rFonts w:ascii="Times New Roman" w:hAnsi="Times New Roman" w:cs="Times New Roman"/>
          <w:i/>
          <w:iCs/>
        </w:rPr>
        <w:t>→</w:t>
      </w:r>
      <w:r w:rsidRPr="00B479AE">
        <w:rPr>
          <w:rFonts w:ascii="Baskerville Old Face" w:hAnsi="Baskerville Old Face"/>
          <w:i/>
          <w:iCs/>
        </w:rPr>
        <w:t xml:space="preserve"> repository structure </w:t>
      </w:r>
      <w:r w:rsidRPr="00B479AE">
        <w:rPr>
          <w:rFonts w:ascii="Times New Roman" w:hAnsi="Times New Roman" w:cs="Times New Roman"/>
          <w:i/>
          <w:iCs/>
        </w:rPr>
        <w:t>→</w:t>
      </w:r>
      <w:r w:rsidRPr="00B479AE">
        <w:rPr>
          <w:rFonts w:ascii="Baskerville Old Face" w:hAnsi="Baskerville Old Face"/>
          <w:i/>
          <w:iCs/>
        </w:rPr>
        <w:t xml:space="preserve"> hApp implementation </w:t>
      </w:r>
      <w:r w:rsidRPr="00B479AE">
        <w:rPr>
          <w:rFonts w:ascii="Times New Roman" w:hAnsi="Times New Roman" w:cs="Times New Roman"/>
          <w:i/>
          <w:iCs/>
        </w:rPr>
        <w:t>→</w:t>
      </w:r>
      <w:r w:rsidRPr="00B479AE">
        <w:rPr>
          <w:rFonts w:ascii="Baskerville Old Face" w:hAnsi="Baskerville Old Face"/>
          <w:i/>
          <w:iCs/>
        </w:rPr>
        <w:t xml:space="preserve"> runtime behavior </w:t>
      </w:r>
      <w:r w:rsidRPr="00B479AE">
        <w:rPr>
          <w:rFonts w:ascii="Times New Roman" w:hAnsi="Times New Roman" w:cs="Times New Roman"/>
          <w:i/>
          <w:iCs/>
        </w:rPr>
        <w:t>→</w:t>
      </w:r>
      <w:r w:rsidRPr="00B479AE">
        <w:rPr>
          <w:rFonts w:ascii="Baskerville Old Face" w:hAnsi="Baskerville Old Face"/>
          <w:i/>
          <w:iCs/>
        </w:rPr>
        <w:t xml:space="preserve"> verification </w:t>
      </w:r>
      <w:r w:rsidRPr="00B479AE">
        <w:rPr>
          <w:rFonts w:ascii="Times New Roman" w:hAnsi="Times New Roman" w:cs="Times New Roman"/>
          <w:i/>
          <w:iCs/>
        </w:rPr>
        <w:t>→</w:t>
      </w:r>
      <w:r w:rsidRPr="00B479AE">
        <w:rPr>
          <w:rFonts w:ascii="Baskerville Old Face" w:hAnsi="Baskerville Old Face"/>
          <w:i/>
          <w:iCs/>
        </w:rPr>
        <w:t xml:space="preserve"> governance review.</w:t>
      </w:r>
    </w:p>
    <w:p w14:paraId="30FF7920" w14:textId="77777777" w:rsidR="0077031A" w:rsidRPr="00B479AE" w:rsidRDefault="0077031A" w:rsidP="0077031A">
      <w:pPr>
        <w:spacing w:line="360" w:lineRule="auto"/>
        <w:rPr>
          <w:rFonts w:ascii="Baskerville Old Face" w:hAnsi="Baskerville Old Face"/>
          <w:i/>
          <w:iCs/>
        </w:rPr>
      </w:pPr>
      <w:r w:rsidRPr="00B479AE">
        <w:rPr>
          <w:rFonts w:ascii="Baskerville Old Face" w:hAnsi="Baskerville Old Face"/>
          <w:b/>
          <w:bCs/>
          <w:i/>
          <w:iCs/>
        </w:rPr>
        <w:t>Phase 4 — Legal Identity and Mark Protection</w:t>
      </w:r>
      <w:r w:rsidRPr="00B479AE">
        <w:rPr>
          <w:rFonts w:ascii="Baskerville Old Face" w:hAnsi="Baskerville Old Face"/>
          <w:i/>
          <w:iCs/>
        </w:rPr>
        <w:t>.</w:t>
      </w:r>
    </w:p>
    <w:p w14:paraId="3645ADC5"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After canonical release, Prometheus should begin or continue formal legal identity protection.</w:t>
      </w:r>
    </w:p>
    <w:p w14:paraId="17FDB119" w14:textId="509F5A0A"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This phase protects the names, marks, designations, certification language, public identity, domain identity, and official-use boundaries of Prometheus.</w:t>
      </w:r>
      <w:r w:rsidR="00FA515D" w:rsidRPr="00B479AE">
        <w:rPr>
          <w:rFonts w:ascii="Baskerville Old Face" w:hAnsi="Baskerville Old Face"/>
          <w:i/>
          <w:iCs/>
        </w:rPr>
        <w:t xml:space="preserve"> </w:t>
      </w:r>
      <w:r w:rsidRPr="00B479AE">
        <w:rPr>
          <w:rFonts w:ascii="Baskerville Old Face" w:hAnsi="Baskerville Old Face"/>
          <w:i/>
          <w:iCs/>
        </w:rPr>
        <w:t>After canonical release:</w:t>
      </w:r>
    </w:p>
    <w:p w14:paraId="15B036E9"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 evaluate trademark and service-mark strategy;</w:t>
      </w:r>
    </w:p>
    <w:p w14:paraId="79F295ED"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 identify registrable marks;</w:t>
      </w:r>
    </w:p>
    <w:p w14:paraId="2F83A6D8"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 identify certification marks or controlled designations;</w:t>
      </w:r>
    </w:p>
    <w:p w14:paraId="0A00BF0A"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 prioritize jurisdictions;</w:t>
      </w:r>
    </w:p>
    <w:p w14:paraId="7475958E"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lastRenderedPageBreak/>
        <w:t>• file national or Madrid System trademark applications where appropriate;</w:t>
      </w:r>
    </w:p>
    <w:p w14:paraId="763CCD68"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 define official mark-use rules;</w:t>
      </w:r>
    </w:p>
    <w:p w14:paraId="5E475130"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 define certification-mark use rules;</w:t>
      </w:r>
    </w:p>
    <w:p w14:paraId="07DE212F"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 define compatibility-claim boundaries;</w:t>
      </w:r>
    </w:p>
    <w:p w14:paraId="290AB01F"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 define canonical-status claim boundaries;</w:t>
      </w:r>
    </w:p>
    <w:p w14:paraId="757A970C"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 define enforcement thresholds;</w:t>
      </w:r>
    </w:p>
    <w:p w14:paraId="07F962E9"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 monitor confusing public uses;</w:t>
      </w:r>
    </w:p>
    <w:p w14:paraId="0AF40F32"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 secure relevant domains;</w:t>
      </w:r>
    </w:p>
    <w:p w14:paraId="6B9EEBCC"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 monitor confusingly similar domains;</w:t>
      </w:r>
    </w:p>
    <w:p w14:paraId="18D027F8"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 prepare UDRP or equivalent response pathways;</w:t>
      </w:r>
    </w:p>
    <w:p w14:paraId="25D168FF"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 prepare correction notices for misleading uses;</w:t>
      </w:r>
    </w:p>
    <w:p w14:paraId="700E623A"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 prepare impersonation, phishing, or fake-release response pathways.</w:t>
      </w:r>
    </w:p>
    <w:p w14:paraId="6239CA4C"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The purpose of this phase is to protect public identity without confusing legal ownership with canonical meaning.</w:t>
      </w:r>
    </w:p>
    <w:p w14:paraId="0B3113D1"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Trademark protects identity.</w:t>
      </w:r>
    </w:p>
    <w:p w14:paraId="33250B93"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Certification marks protect controlled public claims.</w:t>
      </w:r>
    </w:p>
    <w:p w14:paraId="5A7EFAA4"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Domain protection protects discoverability and prevents impersonation.</w:t>
      </w:r>
    </w:p>
    <w:p w14:paraId="5C2CCF3E"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Correction notices protect public clarity.</w:t>
      </w:r>
    </w:p>
    <w:p w14:paraId="238D3948"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Copyright protects expression.</w:t>
      </w:r>
    </w:p>
    <w:p w14:paraId="279ECF92"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Cryptographic verification protects release integrity.</w:t>
      </w:r>
    </w:p>
    <w:p w14:paraId="67FD38A7" w14:textId="77777777"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The canonical registry protects lineage.</w:t>
      </w:r>
    </w:p>
    <w:p w14:paraId="1094C670" w14:textId="79F7C61E" w:rsidR="00BD1C37" w:rsidRPr="00B479AE" w:rsidRDefault="00BD1C37" w:rsidP="00BD1C37">
      <w:pPr>
        <w:spacing w:line="360" w:lineRule="auto"/>
        <w:rPr>
          <w:rFonts w:ascii="Baskerville Old Face" w:hAnsi="Baskerville Old Face"/>
          <w:i/>
          <w:iCs/>
        </w:rPr>
      </w:pPr>
      <w:r w:rsidRPr="00B479AE">
        <w:rPr>
          <w:rFonts w:ascii="Baskerville Old Face" w:hAnsi="Baskerville Old Face"/>
          <w:i/>
          <w:iCs/>
        </w:rPr>
        <w:t>The source layer protects meaning.</w:t>
      </w:r>
    </w:p>
    <w:p w14:paraId="72489628" w14:textId="77777777" w:rsidR="00062324" w:rsidRPr="00B479AE" w:rsidRDefault="00062324" w:rsidP="00062324">
      <w:pPr>
        <w:spacing w:line="360" w:lineRule="auto"/>
        <w:rPr>
          <w:rFonts w:ascii="Baskerville Old Face" w:hAnsi="Baskerville Old Face"/>
          <w:b/>
          <w:bCs/>
          <w:i/>
          <w:iCs/>
        </w:rPr>
      </w:pPr>
      <w:r w:rsidRPr="00B479AE">
        <w:rPr>
          <w:rFonts w:ascii="Baskerville Old Face" w:hAnsi="Baskerville Old Face"/>
          <w:b/>
          <w:bCs/>
          <w:i/>
          <w:iCs/>
        </w:rPr>
        <w:lastRenderedPageBreak/>
        <w:t>Phase 5 — Licensing and Contributor Infrastructure.</w:t>
      </w:r>
    </w:p>
    <w:p w14:paraId="7EC9C6AD" w14:textId="77777777" w:rsidR="00062324" w:rsidRPr="00B479AE" w:rsidRDefault="00062324" w:rsidP="00062324">
      <w:pPr>
        <w:spacing w:line="360" w:lineRule="auto"/>
        <w:rPr>
          <w:rFonts w:ascii="Baskerville Old Face" w:hAnsi="Baskerville Old Face"/>
          <w:i/>
          <w:iCs/>
        </w:rPr>
      </w:pPr>
      <w:r w:rsidRPr="00B479AE">
        <w:rPr>
          <w:rFonts w:ascii="Baskerville Old Face" w:hAnsi="Baskerville Old Face"/>
          <w:i/>
          <w:iCs/>
        </w:rPr>
        <w:t>As development expands, Prometheus should define how texts, code, documentation, datasets, methodologies, APIs, interfaces, templates, diagrams, and implementation materials may be used, contributed to, adapted, shared, or integrated.</w:t>
      </w:r>
    </w:p>
    <w:p w14:paraId="7F261A6E" w14:textId="77777777" w:rsidR="00062324" w:rsidRPr="00B479AE" w:rsidRDefault="00062324" w:rsidP="00062324">
      <w:pPr>
        <w:spacing w:line="360" w:lineRule="auto"/>
        <w:rPr>
          <w:rFonts w:ascii="Baskerville Old Face" w:hAnsi="Baskerville Old Face"/>
          <w:i/>
          <w:iCs/>
        </w:rPr>
      </w:pPr>
      <w:r w:rsidRPr="00B479AE">
        <w:rPr>
          <w:rFonts w:ascii="Baskerville Old Face" w:hAnsi="Baskerville Old Face"/>
          <w:i/>
          <w:iCs/>
        </w:rPr>
        <w:t>This phase does not primarily protect public identity.</w:t>
      </w:r>
    </w:p>
    <w:p w14:paraId="32C62224" w14:textId="77777777" w:rsidR="00062324" w:rsidRPr="00B479AE" w:rsidRDefault="00062324" w:rsidP="00062324">
      <w:pPr>
        <w:spacing w:line="360" w:lineRule="auto"/>
        <w:rPr>
          <w:rFonts w:ascii="Baskerville Old Face" w:hAnsi="Baskerville Old Face"/>
          <w:i/>
          <w:iCs/>
        </w:rPr>
      </w:pPr>
      <w:r w:rsidRPr="00B479AE">
        <w:rPr>
          <w:rFonts w:ascii="Baskerville Old Face" w:hAnsi="Baskerville Old Face"/>
          <w:i/>
          <w:iCs/>
        </w:rPr>
        <w:t>That function belongs to mark protection.</w:t>
      </w:r>
    </w:p>
    <w:p w14:paraId="048B8635" w14:textId="248D70A3" w:rsidR="00062324" w:rsidRPr="00B479AE" w:rsidRDefault="00062324" w:rsidP="00062324">
      <w:pPr>
        <w:spacing w:line="360" w:lineRule="auto"/>
        <w:rPr>
          <w:rFonts w:ascii="Baskerville Old Face" w:hAnsi="Baskerville Old Face"/>
          <w:i/>
          <w:iCs/>
        </w:rPr>
      </w:pPr>
      <w:r w:rsidRPr="00B479AE">
        <w:rPr>
          <w:rFonts w:ascii="Baskerville Old Face" w:hAnsi="Baskerville Old Face"/>
          <w:i/>
          <w:iCs/>
        </w:rPr>
        <w:t>This phase governs permission, contribution, reuse, compatibility, attribution, derivative use, methodology integrity, and implementation discipline.</w:t>
      </w:r>
    </w:p>
    <w:p w14:paraId="0D63711B" w14:textId="77777777" w:rsidR="00062324" w:rsidRPr="00B479AE" w:rsidRDefault="00062324" w:rsidP="00062324">
      <w:pPr>
        <w:spacing w:line="360" w:lineRule="auto"/>
        <w:rPr>
          <w:rFonts w:ascii="Baskerville Old Face" w:hAnsi="Baskerville Old Face"/>
          <w:i/>
          <w:iCs/>
        </w:rPr>
      </w:pPr>
      <w:r w:rsidRPr="00B479AE">
        <w:rPr>
          <w:rFonts w:ascii="Baskerville Old Face" w:hAnsi="Baskerville Old Face"/>
          <w:i/>
          <w:iCs/>
        </w:rPr>
        <w:t>• adopt contributor license agreements where needed;</w:t>
      </w:r>
    </w:p>
    <w:p w14:paraId="2BFEBC0D" w14:textId="77777777" w:rsidR="00062324" w:rsidRPr="00B479AE" w:rsidRDefault="00062324" w:rsidP="00062324">
      <w:pPr>
        <w:spacing w:line="360" w:lineRule="auto"/>
        <w:rPr>
          <w:rFonts w:ascii="Baskerville Old Face" w:hAnsi="Baskerville Old Face"/>
          <w:i/>
          <w:iCs/>
        </w:rPr>
      </w:pPr>
      <w:r w:rsidRPr="00B479AE">
        <w:rPr>
          <w:rFonts w:ascii="Baskerville Old Face" w:hAnsi="Baskerville Old Face"/>
          <w:i/>
          <w:iCs/>
        </w:rPr>
        <w:t>• use developer certificate of origin where appropriate;</w:t>
      </w:r>
    </w:p>
    <w:p w14:paraId="7F75F68D" w14:textId="77777777" w:rsidR="00062324" w:rsidRPr="005907F1" w:rsidRDefault="00062324" w:rsidP="00062324">
      <w:pPr>
        <w:spacing w:line="360" w:lineRule="auto"/>
        <w:rPr>
          <w:rFonts w:ascii="Baskerville Old Face" w:hAnsi="Baskerville Old Face"/>
          <w:i/>
          <w:iCs/>
          <w:lang w:val="it-IT"/>
        </w:rPr>
      </w:pPr>
      <w:r w:rsidRPr="005907F1">
        <w:rPr>
          <w:rFonts w:ascii="Baskerville Old Face" w:hAnsi="Baskerville Old Face"/>
          <w:i/>
          <w:iCs/>
          <w:lang w:val="it-IT"/>
        </w:rPr>
        <w:t>• define code license;</w:t>
      </w:r>
    </w:p>
    <w:p w14:paraId="3DEFAFF6" w14:textId="77777777" w:rsidR="00062324" w:rsidRPr="005907F1" w:rsidRDefault="00062324" w:rsidP="00062324">
      <w:pPr>
        <w:spacing w:line="360" w:lineRule="auto"/>
        <w:rPr>
          <w:rFonts w:ascii="Baskerville Old Face" w:hAnsi="Baskerville Old Face"/>
          <w:i/>
          <w:iCs/>
          <w:lang w:val="it-IT"/>
        </w:rPr>
      </w:pPr>
      <w:r w:rsidRPr="005907F1">
        <w:rPr>
          <w:rFonts w:ascii="Baskerville Old Face" w:hAnsi="Baskerville Old Face"/>
          <w:i/>
          <w:iCs/>
          <w:lang w:val="it-IT"/>
        </w:rPr>
        <w:t>• define documentation license;</w:t>
      </w:r>
    </w:p>
    <w:p w14:paraId="052D13DC" w14:textId="77777777" w:rsidR="00062324" w:rsidRPr="005907F1" w:rsidRDefault="00062324" w:rsidP="00062324">
      <w:pPr>
        <w:spacing w:line="360" w:lineRule="auto"/>
        <w:rPr>
          <w:rFonts w:ascii="Baskerville Old Face" w:hAnsi="Baskerville Old Face"/>
          <w:i/>
          <w:iCs/>
          <w:lang w:val="it-IT"/>
        </w:rPr>
      </w:pPr>
      <w:r w:rsidRPr="005907F1">
        <w:rPr>
          <w:rFonts w:ascii="Baskerville Old Face" w:hAnsi="Baskerville Old Face"/>
          <w:i/>
          <w:iCs/>
          <w:lang w:val="it-IT"/>
        </w:rPr>
        <w:t>• define data license;</w:t>
      </w:r>
    </w:p>
    <w:p w14:paraId="45667167" w14:textId="77777777" w:rsidR="00062324" w:rsidRPr="005907F1" w:rsidRDefault="00062324" w:rsidP="00062324">
      <w:pPr>
        <w:spacing w:line="360" w:lineRule="auto"/>
        <w:rPr>
          <w:rFonts w:ascii="Baskerville Old Face" w:hAnsi="Baskerville Old Face"/>
          <w:i/>
          <w:iCs/>
          <w:lang w:val="it-IT"/>
        </w:rPr>
      </w:pPr>
      <w:r w:rsidRPr="005907F1">
        <w:rPr>
          <w:rFonts w:ascii="Baskerville Old Face" w:hAnsi="Baskerville Old Face"/>
          <w:i/>
          <w:iCs/>
          <w:lang w:val="it-IT"/>
        </w:rPr>
        <w:t>• define methodology license;</w:t>
      </w:r>
    </w:p>
    <w:p w14:paraId="124613B9" w14:textId="77777777" w:rsidR="00062324" w:rsidRPr="005907F1" w:rsidRDefault="00062324" w:rsidP="00062324">
      <w:pPr>
        <w:spacing w:line="360" w:lineRule="auto"/>
        <w:rPr>
          <w:rFonts w:ascii="Baskerville Old Face" w:hAnsi="Baskerville Old Face"/>
          <w:i/>
          <w:iCs/>
          <w:lang w:val="it-IT"/>
        </w:rPr>
      </w:pPr>
      <w:r w:rsidRPr="005907F1">
        <w:rPr>
          <w:rFonts w:ascii="Baskerville Old Face" w:hAnsi="Baskerville Old Face"/>
          <w:i/>
          <w:iCs/>
          <w:lang w:val="it-IT"/>
        </w:rPr>
        <w:t>• define API terms;</w:t>
      </w:r>
    </w:p>
    <w:p w14:paraId="3E87C89B" w14:textId="77777777" w:rsidR="00062324" w:rsidRPr="005907F1" w:rsidRDefault="00062324" w:rsidP="00062324">
      <w:pPr>
        <w:spacing w:line="360" w:lineRule="auto"/>
        <w:rPr>
          <w:rFonts w:ascii="Baskerville Old Face" w:hAnsi="Baskerville Old Face"/>
          <w:i/>
          <w:iCs/>
          <w:lang w:val="it-IT"/>
        </w:rPr>
      </w:pPr>
      <w:r w:rsidRPr="005907F1">
        <w:rPr>
          <w:rFonts w:ascii="Baskerville Old Face" w:hAnsi="Baskerville Old Face"/>
          <w:i/>
          <w:iCs/>
          <w:lang w:val="it-IT"/>
        </w:rPr>
        <w:t>• define MRV data terms;</w:t>
      </w:r>
    </w:p>
    <w:p w14:paraId="5DF4774F" w14:textId="77777777" w:rsidR="00062324" w:rsidRPr="005907F1" w:rsidRDefault="00062324" w:rsidP="00062324">
      <w:pPr>
        <w:spacing w:line="360" w:lineRule="auto"/>
        <w:rPr>
          <w:rFonts w:ascii="Baskerville Old Face" w:hAnsi="Baskerville Old Face"/>
          <w:i/>
          <w:iCs/>
          <w:lang w:val="it-IT"/>
        </w:rPr>
      </w:pPr>
      <w:r w:rsidRPr="005907F1">
        <w:rPr>
          <w:rFonts w:ascii="Baskerville Old Face" w:hAnsi="Baskerville Old Face"/>
          <w:i/>
          <w:iCs/>
          <w:lang w:val="it-IT"/>
        </w:rPr>
        <w:t>• define certification terms;</w:t>
      </w:r>
    </w:p>
    <w:p w14:paraId="2778D9A2" w14:textId="77777777" w:rsidR="00062324" w:rsidRPr="005907F1" w:rsidRDefault="00062324" w:rsidP="00062324">
      <w:pPr>
        <w:spacing w:line="360" w:lineRule="auto"/>
        <w:rPr>
          <w:rFonts w:ascii="Baskerville Old Face" w:hAnsi="Baskerville Old Face"/>
          <w:i/>
          <w:iCs/>
          <w:lang w:val="it-IT"/>
        </w:rPr>
      </w:pPr>
      <w:r w:rsidRPr="005907F1">
        <w:rPr>
          <w:rFonts w:ascii="Baskerville Old Face" w:hAnsi="Baskerville Old Face"/>
          <w:i/>
          <w:iCs/>
          <w:lang w:val="it-IT"/>
        </w:rPr>
        <w:t>• define partner-use terms;</w:t>
      </w:r>
    </w:p>
    <w:p w14:paraId="6220BDE5" w14:textId="15B52D69" w:rsidR="00062324" w:rsidRPr="00B479AE" w:rsidRDefault="00062324" w:rsidP="00062324">
      <w:pPr>
        <w:spacing w:line="360" w:lineRule="auto"/>
        <w:rPr>
          <w:rFonts w:ascii="Baskerville Old Face" w:hAnsi="Baskerville Old Face"/>
          <w:i/>
          <w:iCs/>
        </w:rPr>
      </w:pPr>
      <w:r w:rsidRPr="00B479AE">
        <w:rPr>
          <w:rFonts w:ascii="Baskerville Old Face" w:hAnsi="Baskerville Old Face"/>
          <w:i/>
          <w:iCs/>
        </w:rPr>
        <w:t>• define investor-data-room terms.</w:t>
      </w:r>
    </w:p>
    <w:p w14:paraId="268F97E9" w14:textId="77777777" w:rsidR="00B474A6" w:rsidRPr="00B479AE" w:rsidRDefault="00B474A6" w:rsidP="00B474A6">
      <w:pPr>
        <w:spacing w:line="360" w:lineRule="auto"/>
        <w:rPr>
          <w:rFonts w:ascii="Baskerville Old Face" w:hAnsi="Baskerville Old Face"/>
          <w:b/>
          <w:bCs/>
          <w:i/>
          <w:iCs/>
        </w:rPr>
      </w:pPr>
      <w:r w:rsidRPr="00B479AE">
        <w:rPr>
          <w:rFonts w:ascii="Baskerville Old Face" w:hAnsi="Baskerville Old Face"/>
          <w:b/>
          <w:bCs/>
          <w:i/>
          <w:iCs/>
        </w:rPr>
        <w:t>Phase 6 — Institutional Protection and Partnership Governance.</w:t>
      </w:r>
    </w:p>
    <w:p w14:paraId="6DC38D2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As Prometheus moves from canonical release to pilots, partnerships, data rooms, capital conversations, institutional circulation, and implementation alliances, it should establish institutional protection and partnership-governance safeguards.</w:t>
      </w:r>
    </w:p>
    <w:p w14:paraId="0209E96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lastRenderedPageBreak/>
        <w:t>This phase protects Prometheus when external actors begin to interact with the architecture.</w:t>
      </w:r>
    </w:p>
    <w:p w14:paraId="514BFA1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governs the relationship between the source layer and the institutional world.</w:t>
      </w:r>
    </w:p>
    <w:p w14:paraId="6AC6573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is not primarily about public identity.</w:t>
      </w:r>
    </w:p>
    <w:p w14:paraId="560CCA6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That function belongs to mark protection.</w:t>
      </w:r>
    </w:p>
    <w:p w14:paraId="43BE6B6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is not primarily about code, documentation, APIs, or contributor permissions.</w:t>
      </w:r>
    </w:p>
    <w:p w14:paraId="7B2A090E"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That function belongs to licensing and contributor infrastructure.</w:t>
      </w:r>
    </w:p>
    <w:p w14:paraId="16AA4D5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This phase governs institutional use, partner access, data-room discipline, pilot participation, capital-facing conversations, methodology sharing, certification pathways, confidentiality, claim boundaries, and dispute pathways.</w:t>
      </w:r>
    </w:p>
    <w:p w14:paraId="1E666BD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As pilots, partners, and capital pathways mature, Prometheus should establish:</w:t>
      </w:r>
    </w:p>
    <w:p w14:paraId="5A449B8E"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data-room agreements;</w:t>
      </w:r>
    </w:p>
    <w:p w14:paraId="15107F1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confidentiality agreements;</w:t>
      </w:r>
    </w:p>
    <w:p w14:paraId="34E93DE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non-disclosure agreements where appropriate;</w:t>
      </w:r>
    </w:p>
    <w:p w14:paraId="72F95E0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partnership agreements;</w:t>
      </w:r>
    </w:p>
    <w:p w14:paraId="6398FD7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pilot participation agreements;</w:t>
      </w:r>
    </w:p>
    <w:p w14:paraId="7F40D70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MRV methodology-use agreements;</w:t>
      </w:r>
    </w:p>
    <w:p w14:paraId="75854F93"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laboratory and auditor engagement terms;</w:t>
      </w:r>
    </w:p>
    <w:p w14:paraId="164AB15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research collaboration agreements;</w:t>
      </w:r>
    </w:p>
    <w:p w14:paraId="4A812E1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university or institutional partnership terms;</w:t>
      </w:r>
    </w:p>
    <w:p w14:paraId="58D2150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public-sector collaboration terms;</w:t>
      </w:r>
    </w:p>
    <w:p w14:paraId="0E7C896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investor data-room access terms;</w:t>
      </w:r>
    </w:p>
    <w:p w14:paraId="5AAF02B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investor disclaimers;</w:t>
      </w:r>
    </w:p>
    <w:p w14:paraId="0706F97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lastRenderedPageBreak/>
        <w:t>• institutional presentation disclaimers;</w:t>
      </w:r>
    </w:p>
    <w:p w14:paraId="319D6123"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public-claim review procedures;</w:t>
      </w:r>
    </w:p>
    <w:p w14:paraId="7DA44EC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certification review procedures;</w:t>
      </w:r>
    </w:p>
    <w:p w14:paraId="237045E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methodology review procedures;</w:t>
      </w:r>
    </w:p>
    <w:p w14:paraId="25365535"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audit and verification workflows;</w:t>
      </w:r>
    </w:p>
    <w:p w14:paraId="306FA52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adverse-event reporting procedures;</w:t>
      </w:r>
    </w:p>
    <w:p w14:paraId="461E926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correction and withdrawal procedures;</w:t>
      </w:r>
    </w:p>
    <w:p w14:paraId="1DE3EBE3"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misuse and misrepresentation response procedures;</w:t>
      </w:r>
    </w:p>
    <w:p w14:paraId="4BDD353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dispute-resolution clauses;</w:t>
      </w:r>
    </w:p>
    <w:p w14:paraId="004F38F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governing-law and jurisdictional clauses where appropriate;</w:t>
      </w:r>
    </w:p>
    <w:p w14:paraId="7A4998E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official registry-governance procedures.</w:t>
      </w:r>
    </w:p>
    <w:p w14:paraId="747C8839"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The purpose of this phase is to prevent Prometheus from being diluted, misrepresented, overclaimed, prematurely financialized, or institutionally captured during partnership formation.</w:t>
      </w:r>
    </w:p>
    <w:p w14:paraId="6882EFE9"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Institutional protection should preserve the distinction among:</w:t>
      </w:r>
    </w:p>
    <w:p w14:paraId="023AAB92"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research access;</w:t>
      </w:r>
    </w:p>
    <w:p w14:paraId="1FD49F1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pilot participation;</w:t>
      </w:r>
    </w:p>
    <w:p w14:paraId="3AE6E3E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methodology review;</w:t>
      </w:r>
    </w:p>
    <w:p w14:paraId="46C31E5E"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MRV reporting;</w:t>
      </w:r>
    </w:p>
    <w:p w14:paraId="4670CE1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PRU value analysis;</w:t>
      </w:r>
    </w:p>
    <w:p w14:paraId="70A04A29"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capital-readiness review;</w:t>
      </w:r>
    </w:p>
    <w:p w14:paraId="5049EB0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investor-review materials;</w:t>
      </w:r>
    </w:p>
    <w:p w14:paraId="3EC92C4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legally structured instruments;</w:t>
      </w:r>
    </w:p>
    <w:p w14:paraId="46B3778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lastRenderedPageBreak/>
        <w:t>• public impact communication;</w:t>
      </w:r>
    </w:p>
    <w:p w14:paraId="6DFC6B0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certified or canonical use.</w:t>
      </w:r>
    </w:p>
    <w:p w14:paraId="07A3ADB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No partner should receive broader authority than the agreement grants.</w:t>
      </w:r>
    </w:p>
    <w:p w14:paraId="2D4CE13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No data-room access should imply investment entitlement.</w:t>
      </w:r>
    </w:p>
    <w:p w14:paraId="79698FC3"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No pilot participation should imply certification.</w:t>
      </w:r>
    </w:p>
    <w:p w14:paraId="61BD2B4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No research collaboration should imply PRU eligibility.</w:t>
      </w:r>
    </w:p>
    <w:p w14:paraId="3132B50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No investor conversation should imply offering status.</w:t>
      </w:r>
    </w:p>
    <w:p w14:paraId="0157FD7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No institutional presentation should imply endorsement unless expressly authorized.</w:t>
      </w:r>
    </w:p>
    <w:p w14:paraId="27A3F7AE"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No methodology sharing should imply permission to create non-canonical forks, unreviewed claims, or unauthorized public certification.</w:t>
      </w:r>
    </w:p>
    <w:p w14:paraId="5861973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The institutional rule is:</w:t>
      </w:r>
    </w:p>
    <w:p w14:paraId="32F214F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access is not authority;</w:t>
      </w:r>
    </w:p>
    <w:p w14:paraId="0C1C42D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partnership is not certification;</w:t>
      </w:r>
    </w:p>
    <w:p w14:paraId="333E1C63"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review is not endorsement;</w:t>
      </w:r>
    </w:p>
    <w:p w14:paraId="70D3BE5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data-room visibility is not investment entitlement;</w:t>
      </w:r>
    </w:p>
    <w:p w14:paraId="063A925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pilot participation is not canonical status;</w:t>
      </w:r>
    </w:p>
    <w:p w14:paraId="100CA8A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institutional interest is not legal structuring.</w:t>
      </w:r>
    </w:p>
    <w:p w14:paraId="50AF36CE"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Prometheus should also maintain a clear institutional claim-control process.</w:t>
      </w:r>
    </w:p>
    <w:p w14:paraId="6CD66DC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Before any partner, pilot, capital allocator, researcher, media actor, public institution, or technology provider uses Prometheus-related language externally, the relevant claim should be reviewed for:</w:t>
      </w:r>
    </w:p>
    <w:p w14:paraId="793D54A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source-layer fidelity;</w:t>
      </w:r>
    </w:p>
    <w:p w14:paraId="40E6BA2E"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evidence support;</w:t>
      </w:r>
    </w:p>
    <w:p w14:paraId="6E81533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lastRenderedPageBreak/>
        <w:t>• methodology alignment;</w:t>
      </w:r>
    </w:p>
    <w:p w14:paraId="72637E3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legal boundary;</w:t>
      </w:r>
    </w:p>
    <w:p w14:paraId="6DEEC8C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public-claim admissibility;</w:t>
      </w:r>
    </w:p>
    <w:p w14:paraId="7C99FD7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investor-facing risk;</w:t>
      </w:r>
    </w:p>
    <w:p w14:paraId="3A9DC9D3"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no-double-counting risk;</w:t>
      </w:r>
    </w:p>
    <w:p w14:paraId="5254666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token-boundary risk;</w:t>
      </w:r>
    </w:p>
    <w:p w14:paraId="0AE9C44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certification-status accuracy;</w:t>
      </w:r>
    </w:p>
    <w:p w14:paraId="451BB47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registry-status accuracy;</w:t>
      </w:r>
    </w:p>
    <w:p w14:paraId="52E7A09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reputational risk;</w:t>
      </w:r>
    </w:p>
    <w:p w14:paraId="1B0956E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jurisdictional sensitivity.</w:t>
      </w:r>
    </w:p>
    <w:p w14:paraId="50582B7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This phase is especially important because Prometheus is designed to become attractive to many actors at once: regenerative operators, capital allocators, researchers, public institutions, technology providers, communities, auditors, and future digital-instrument developers.</w:t>
      </w:r>
    </w:p>
    <w:p w14:paraId="618879F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Attraction creates adoption.</w:t>
      </w:r>
    </w:p>
    <w:p w14:paraId="4BBC4E6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Adoption creates interpretation risk.</w:t>
      </w:r>
    </w:p>
    <w:p w14:paraId="121986F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Interpretation risk creates the need for institutional discipline.</w:t>
      </w:r>
    </w:p>
    <w:p w14:paraId="785A68C5"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The correct relationship is:</w:t>
      </w:r>
    </w:p>
    <w:p w14:paraId="3F7247A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xml:space="preserve">source layer </w:t>
      </w:r>
      <w:r w:rsidRPr="00B479AE">
        <w:rPr>
          <w:rFonts w:ascii="Times New Roman" w:hAnsi="Times New Roman" w:cs="Times New Roman"/>
          <w:i/>
          <w:iCs/>
        </w:rPr>
        <w:t>→</w:t>
      </w:r>
      <w:r w:rsidRPr="00B479AE">
        <w:rPr>
          <w:rFonts w:ascii="Baskerville Old Face" w:hAnsi="Baskerville Old Face"/>
          <w:i/>
          <w:iCs/>
        </w:rPr>
        <w:t xml:space="preserve"> permitted access </w:t>
      </w:r>
      <w:r w:rsidRPr="00B479AE">
        <w:rPr>
          <w:rFonts w:ascii="Times New Roman" w:hAnsi="Times New Roman" w:cs="Times New Roman"/>
          <w:i/>
          <w:iCs/>
        </w:rPr>
        <w:t>→</w:t>
      </w:r>
      <w:r w:rsidRPr="00B479AE">
        <w:rPr>
          <w:rFonts w:ascii="Baskerville Old Face" w:hAnsi="Baskerville Old Face"/>
          <w:i/>
          <w:iCs/>
        </w:rPr>
        <w:t xml:space="preserve"> defined use </w:t>
      </w:r>
      <w:r w:rsidRPr="00B479AE">
        <w:rPr>
          <w:rFonts w:ascii="Times New Roman" w:hAnsi="Times New Roman" w:cs="Times New Roman"/>
          <w:i/>
          <w:iCs/>
        </w:rPr>
        <w:t>→</w:t>
      </w:r>
      <w:r w:rsidRPr="00B479AE">
        <w:rPr>
          <w:rFonts w:ascii="Baskerville Old Face" w:hAnsi="Baskerville Old Face"/>
          <w:i/>
          <w:iCs/>
        </w:rPr>
        <w:t xml:space="preserve"> review pathway </w:t>
      </w:r>
      <w:r w:rsidRPr="00B479AE">
        <w:rPr>
          <w:rFonts w:ascii="Times New Roman" w:hAnsi="Times New Roman" w:cs="Times New Roman"/>
          <w:i/>
          <w:iCs/>
        </w:rPr>
        <w:t>→</w:t>
      </w:r>
      <w:r w:rsidRPr="00B479AE">
        <w:rPr>
          <w:rFonts w:ascii="Baskerville Old Face" w:hAnsi="Baskerville Old Face"/>
          <w:i/>
          <w:iCs/>
        </w:rPr>
        <w:t xml:space="preserve"> authorized claim </w:t>
      </w:r>
      <w:r w:rsidRPr="00B479AE">
        <w:rPr>
          <w:rFonts w:ascii="Times New Roman" w:hAnsi="Times New Roman" w:cs="Times New Roman"/>
          <w:i/>
          <w:iCs/>
        </w:rPr>
        <w:t>→</w:t>
      </w:r>
      <w:r w:rsidRPr="00B479AE">
        <w:rPr>
          <w:rFonts w:ascii="Baskerville Old Face" w:hAnsi="Baskerville Old Face"/>
          <w:i/>
          <w:iCs/>
        </w:rPr>
        <w:t xml:space="preserve"> registry status where applicable.</w:t>
      </w:r>
    </w:p>
    <w:p w14:paraId="1E329AE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Institutional partnership should strengthen Prometheus.</w:t>
      </w:r>
    </w:p>
    <w:p w14:paraId="166E026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should not create semantic drift.</w:t>
      </w:r>
    </w:p>
    <w:p w14:paraId="155E61B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should not create unauthorized claims.</w:t>
      </w:r>
    </w:p>
    <w:p w14:paraId="60D76379"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should not bypass MRV.</w:t>
      </w:r>
    </w:p>
    <w:p w14:paraId="4210096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lastRenderedPageBreak/>
        <w:t>It should not bypass legal review.</w:t>
      </w:r>
    </w:p>
    <w:p w14:paraId="7C4666B9"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should not collapse PRU, RAP, TRBK, HoloFuel, settlement rails, governance rights, land rights, investor rights, or compliant digital instruments into one undifferentiated narrative.</w:t>
      </w:r>
    </w:p>
    <w:p w14:paraId="33DFB60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Phase 6 therefore protects Prometheus at the point where the architecture meets institutions.</w:t>
      </w:r>
    </w:p>
    <w:p w14:paraId="2856F6E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ensures that external collaboration increases credibility rather than confusion.</w:t>
      </w:r>
    </w:p>
    <w:p w14:paraId="2B4A8C8E"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allows Prometheus to open doors without losing the keys to its own house.</w:t>
      </w:r>
    </w:p>
    <w:p w14:paraId="148A649E" w14:textId="77777777" w:rsidR="00B474A6" w:rsidRPr="00B479AE" w:rsidRDefault="00B474A6" w:rsidP="00B474A6">
      <w:pPr>
        <w:spacing w:line="360" w:lineRule="auto"/>
        <w:rPr>
          <w:rFonts w:ascii="Baskerville Old Face" w:hAnsi="Baskerville Old Face"/>
          <w:b/>
          <w:bCs/>
          <w:i/>
          <w:iCs/>
        </w:rPr>
      </w:pPr>
      <w:r w:rsidRPr="00B479AE">
        <w:rPr>
          <w:rFonts w:ascii="Baskerville Old Face" w:hAnsi="Baskerville Old Face"/>
          <w:b/>
          <w:bCs/>
          <w:i/>
          <w:iCs/>
        </w:rPr>
        <w:t>Phase 7 — International Survivability and Multi-Jurisdictional Continuity.</w:t>
      </w:r>
    </w:p>
    <w:p w14:paraId="1C42B08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As Prometheus expands across jurisdictions, languages, bioregions, institutions, repositories, legal systems, and implementation partners, it should develop an international survivability architecture.</w:t>
      </w:r>
    </w:p>
    <w:p w14:paraId="457B0E8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This phase protects Prometheus from dependency on any single platform, country, legal regime, institutional partner, repository, domain, cloud provider, custodian, or communication channel.</w:t>
      </w:r>
    </w:p>
    <w:p w14:paraId="1CE9F31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is not primarily about partner agreements.</w:t>
      </w:r>
    </w:p>
    <w:p w14:paraId="561F983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That function belongs to institutional protection and partnership governance.</w:t>
      </w:r>
    </w:p>
    <w:p w14:paraId="151F4E2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is not primarily about public identity.</w:t>
      </w:r>
    </w:p>
    <w:p w14:paraId="6D06BFCE"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That function belongs to legal identity and mark protection.</w:t>
      </w:r>
    </w:p>
    <w:p w14:paraId="36F9292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is not primarily about code and contributor permissions.</w:t>
      </w:r>
    </w:p>
    <w:p w14:paraId="0FACF652"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That function belongs to licensing and contributor infrastructure.</w:t>
      </w:r>
    </w:p>
    <w:p w14:paraId="797254E5"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This phase governs long-term continuity across jurisdictions, mirrors, archives, custodians, official translations, legal appendices, public verification channels, and international deployment environments.</w:t>
      </w:r>
    </w:p>
    <w:p w14:paraId="322FBC5E"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As Prometheus scales globally, it should maintain:</w:t>
      </w:r>
    </w:p>
    <w:p w14:paraId="6C5A40A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mirrored repositories;</w:t>
      </w:r>
    </w:p>
    <w:p w14:paraId="5D6E629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official domain references;</w:t>
      </w:r>
    </w:p>
    <w:p w14:paraId="6EC814B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lastRenderedPageBreak/>
        <w:t>• alternative public mirrors;</w:t>
      </w:r>
    </w:p>
    <w:p w14:paraId="0CD07C1E"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offline continuity packages;</w:t>
      </w:r>
    </w:p>
    <w:p w14:paraId="35363C4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institutional deposits;</w:t>
      </w:r>
    </w:p>
    <w:p w14:paraId="7CB33E2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trusted-custodian archives;</w:t>
      </w:r>
    </w:p>
    <w:p w14:paraId="0364D15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cold-storage backups;</w:t>
      </w:r>
    </w:p>
    <w:p w14:paraId="4DBEADD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printed or notarized verification packets where appropriate;</w:t>
      </w:r>
    </w:p>
    <w:p w14:paraId="27212C9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jurisdiction-specific legal appendices where necessary;</w:t>
      </w:r>
    </w:p>
    <w:p w14:paraId="3EB94C6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multilingual official releases where appropriate;</w:t>
      </w:r>
    </w:p>
    <w:p w14:paraId="65B46B7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official translation-control procedures;</w:t>
      </w:r>
    </w:p>
    <w:p w14:paraId="558CD8C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cross-jurisdictional trademark and service-mark strategy;</w:t>
      </w:r>
    </w:p>
    <w:p w14:paraId="17661F5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certification-mark or controlled-designation strategy where appropriate;</w:t>
      </w:r>
    </w:p>
    <w:p w14:paraId="43CE2C65"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WIPO, Madrid System, UDRP, or equivalent pathways where applicable;</w:t>
      </w:r>
    </w:p>
    <w:p w14:paraId="5789F0F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key-rotation procedures;</w:t>
      </w:r>
    </w:p>
    <w:p w14:paraId="61EDF823"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compromised-key notices;</w:t>
      </w:r>
    </w:p>
    <w:p w14:paraId="015550B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repository-compromise response procedures;</w:t>
      </w:r>
    </w:p>
    <w:p w14:paraId="4105B1C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domain-compromise response procedures;</w:t>
      </w:r>
    </w:p>
    <w:p w14:paraId="1281F57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non-canonical fork notices;</w:t>
      </w:r>
    </w:p>
    <w:p w14:paraId="1EB290D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misleading-use notices;</w:t>
      </w:r>
    </w:p>
    <w:p w14:paraId="436ACA2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fake-release response procedures;</w:t>
      </w:r>
    </w:p>
    <w:p w14:paraId="72D99899"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impersonation and phishing response procedures;</w:t>
      </w:r>
    </w:p>
    <w:p w14:paraId="20C0176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public verification protocols for institutional users;</w:t>
      </w:r>
    </w:p>
    <w:p w14:paraId="044E7A9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public verification protocols for AI and agentic systems;</w:t>
      </w:r>
    </w:p>
    <w:p w14:paraId="51C2118E"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lastRenderedPageBreak/>
        <w:t>• official registry snapshots;</w:t>
      </w:r>
    </w:p>
    <w:p w14:paraId="1D28437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machine-readable canonical metadata;</w:t>
      </w:r>
    </w:p>
    <w:p w14:paraId="2CB1D02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release-preservation procedures across time.</w:t>
      </w:r>
    </w:p>
    <w:p w14:paraId="3C8B356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The purpose of this phase is to ensure that Prometheus remains verifiable even if one part of the ecosystem fails.</w:t>
      </w:r>
    </w:p>
    <w:p w14:paraId="438D2E2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repository may disappear.</w:t>
      </w:r>
    </w:p>
    <w:p w14:paraId="1A2F5CD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domain may expire.</w:t>
      </w:r>
    </w:p>
    <w:p w14:paraId="2608739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platform may change policy.</w:t>
      </w:r>
    </w:p>
    <w:p w14:paraId="2D46AA5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jurisdiction may become restrictive.</w:t>
      </w:r>
    </w:p>
    <w:p w14:paraId="0B01A09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custodian may become unavailable.</w:t>
      </w:r>
    </w:p>
    <w:p w14:paraId="587A007E"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partner may misrepresent the framework.</w:t>
      </w:r>
    </w:p>
    <w:p w14:paraId="5B71BA7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fork may imitate the language.</w:t>
      </w:r>
    </w:p>
    <w:p w14:paraId="350C29A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An AI system may generate convincing but non-canonical materials.</w:t>
      </w:r>
    </w:p>
    <w:p w14:paraId="2EA68FC9"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public mirror may be compromised.</w:t>
      </w:r>
    </w:p>
    <w:p w14:paraId="46E6DAA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key may need rotation.</w:t>
      </w:r>
    </w:p>
    <w:p w14:paraId="215E065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Prometheus should remain verifiable under all of these conditions.</w:t>
      </w:r>
    </w:p>
    <w:p w14:paraId="2F2605C2"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The international survivability rule is:</w:t>
      </w:r>
    </w:p>
    <w:p w14:paraId="60B7A842"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no single platform is the source layer;</w:t>
      </w:r>
    </w:p>
    <w:p w14:paraId="00BEE27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no single repository is the canon;</w:t>
      </w:r>
    </w:p>
    <w:p w14:paraId="3601C332"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no single domain is the identity;</w:t>
      </w:r>
    </w:p>
    <w:p w14:paraId="7CAA2D3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no single partner is the authority;</w:t>
      </w:r>
    </w:p>
    <w:p w14:paraId="2795199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no single jurisdiction is the future;</w:t>
      </w:r>
    </w:p>
    <w:p w14:paraId="1E041093"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lastRenderedPageBreak/>
        <w:t>no single AI model is the memory;</w:t>
      </w:r>
    </w:p>
    <w:p w14:paraId="1CFC92E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no single archive is the survival layer.</w:t>
      </w:r>
    </w:p>
    <w:p w14:paraId="209C3D93"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Canonical continuity should be distributed across:</w:t>
      </w:r>
    </w:p>
    <w:p w14:paraId="24F2F6D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source-layer fidelity;</w:t>
      </w:r>
    </w:p>
    <w:p w14:paraId="17F43FB2"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cryptographic verification;</w:t>
      </w:r>
    </w:p>
    <w:p w14:paraId="103C3BE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public registry status;</w:t>
      </w:r>
    </w:p>
    <w:p w14:paraId="71D1BA4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official repositories;</w:t>
      </w:r>
    </w:p>
    <w:p w14:paraId="15E4B8B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official domains;</w:t>
      </w:r>
    </w:p>
    <w:p w14:paraId="029047A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offline continuity packages;</w:t>
      </w:r>
    </w:p>
    <w:p w14:paraId="7419004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institutional archives;</w:t>
      </w:r>
    </w:p>
    <w:p w14:paraId="7E2D336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trusted custodians;</w:t>
      </w:r>
    </w:p>
    <w:p w14:paraId="271A1EC9"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legal identity protection;</w:t>
      </w:r>
    </w:p>
    <w:p w14:paraId="301BBE3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official translation control;</w:t>
      </w:r>
    </w:p>
    <w:p w14:paraId="335C27F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runtime coherence;</w:t>
      </w:r>
    </w:p>
    <w:p w14:paraId="71769B4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public verification procedures.</w:t>
      </w:r>
    </w:p>
    <w:p w14:paraId="6E2FDD7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International expansion should also preserve jurisdictional discipline.</w:t>
      </w:r>
    </w:p>
    <w:p w14:paraId="3D50F76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claim that is permissible in one jurisdiction may not be permissible in another.</w:t>
      </w:r>
    </w:p>
    <w:p w14:paraId="6630E38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mark that is registrable in one jurisdiction may be unavailable in another.</w:t>
      </w:r>
    </w:p>
    <w:p w14:paraId="7C96284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data practice that is acceptable in one jurisdiction may be restricted in another.</w:t>
      </w:r>
    </w:p>
    <w:p w14:paraId="279340D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token, note, fund interest, digital instrument, land right, revenue right, certification claim, or public statement may require different treatment across legal systems.</w:t>
      </w:r>
    </w:p>
    <w:p w14:paraId="572C7D35"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lastRenderedPageBreak/>
        <w:t>Prometheus should therefore treat international deployment as a governed adaptation process, not as automatic replication.</w:t>
      </w:r>
    </w:p>
    <w:p w14:paraId="60CC3E0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The operational rule is:</w:t>
      </w:r>
    </w:p>
    <w:p w14:paraId="16759D3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global reach requires local review;</w:t>
      </w:r>
    </w:p>
    <w:p w14:paraId="391C2F2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local deployment requires source-layer fidelity;</w:t>
      </w:r>
    </w:p>
    <w:p w14:paraId="094AAB0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source-layer fidelity requires canonical verification;</w:t>
      </w:r>
    </w:p>
    <w:p w14:paraId="1090625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canonical verification requires release integrity;</w:t>
      </w:r>
    </w:p>
    <w:p w14:paraId="0E1A91C9"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release integrity requires survivable records.</w:t>
      </w:r>
    </w:p>
    <w:p w14:paraId="2C577322"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Official translations should follow the same principle.</w:t>
      </w:r>
    </w:p>
    <w:p w14:paraId="31E8B22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translation may improve access.</w:t>
      </w:r>
    </w:p>
    <w:p w14:paraId="47072AA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should not silently alter meaning.</w:t>
      </w:r>
    </w:p>
    <w:p w14:paraId="78FB3F9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Where official translations are produced, they should preserve:</w:t>
      </w:r>
    </w:p>
    <w:p w14:paraId="59C4AE7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canonical definitions;</w:t>
      </w:r>
    </w:p>
    <w:p w14:paraId="6967222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legal boundaries;</w:t>
      </w:r>
    </w:p>
    <w:p w14:paraId="349691E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PRU / RAP / MRV separation;</w:t>
      </w:r>
    </w:p>
    <w:p w14:paraId="0F68334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TRBK / HoloFuel / settlement-rail separation;</w:t>
      </w:r>
    </w:p>
    <w:p w14:paraId="2B849F1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public-claim boundaries;</w:t>
      </w:r>
    </w:p>
    <w:p w14:paraId="19D6E1F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no-double-counting discipline;</w:t>
      </w:r>
    </w:p>
    <w:p w14:paraId="63A84AB9"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source-layer terms;</w:t>
      </w:r>
    </w:p>
    <w:p w14:paraId="4A4794A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fork-governance rules;</w:t>
      </w:r>
    </w:p>
    <w:p w14:paraId="371F2875"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institutional disclaimers;</w:t>
      </w:r>
    </w:p>
    <w:p w14:paraId="415FDD2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release metadata;</w:t>
      </w:r>
    </w:p>
    <w:p w14:paraId="15B41A6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lastRenderedPageBreak/>
        <w:t>• version references.</w:t>
      </w:r>
    </w:p>
    <w:p w14:paraId="3965B73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If a translation creates ambiguity, the canonical source-language release should govern unless a formally reviewed multilingual release states otherwise.</w:t>
      </w:r>
    </w:p>
    <w:p w14:paraId="0E326BA3"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Prometheus should also prepare for long-duration public verification.</w:t>
      </w:r>
    </w:p>
    <w:p w14:paraId="3F57F799"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Future users should be able to answer:</w:t>
      </w:r>
    </w:p>
    <w:p w14:paraId="2CC288F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Which release is this?</w:t>
      </w:r>
    </w:p>
    <w:p w14:paraId="3E0C4FA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Who signed it?</w:t>
      </w:r>
    </w:p>
    <w:p w14:paraId="7958AC2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Which hash verifies it?</w:t>
      </w:r>
    </w:p>
    <w:p w14:paraId="59D16959"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Which manifest describes it?</w:t>
      </w:r>
    </w:p>
    <w:p w14:paraId="51C36E0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Which public key verifies the signature?</w:t>
      </w:r>
    </w:p>
    <w:p w14:paraId="51619FB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Which repository mirrored it?</w:t>
      </w:r>
    </w:p>
    <w:p w14:paraId="29393C1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Which registry recognized it?</w:t>
      </w:r>
    </w:p>
    <w:p w14:paraId="13C448C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Which archive preserved it?</w:t>
      </w:r>
    </w:p>
    <w:p w14:paraId="6C28DA2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Which translation status applies?</w:t>
      </w:r>
    </w:p>
    <w:p w14:paraId="7644E3A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Which fork status applies?</w:t>
      </w:r>
    </w:p>
    <w:p w14:paraId="4BDF4CF9"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Which legal boundary applies?</w:t>
      </w:r>
    </w:p>
    <w:p w14:paraId="5098C04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Which runtime version corresponds to it?</w:t>
      </w:r>
    </w:p>
    <w:p w14:paraId="0F162DA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This is the practical meaning of international survivability.</w:t>
      </w:r>
    </w:p>
    <w:p w14:paraId="60E1434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Prometheus does not survive globally by becoming everywhere at once.</w:t>
      </w:r>
    </w:p>
    <w:p w14:paraId="3CDF6AD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survives by remaining verifiable wherever it appears.</w:t>
      </w:r>
    </w:p>
    <w:p w14:paraId="62137939"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Phase 7 therefore protects Prometheus from platform dependency, jurisdictional fragility, archive loss, translation drift, fake releases, hostile forks, public confusion, and institutional capture across borders.</w:t>
      </w:r>
    </w:p>
    <w:p w14:paraId="201E70D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lastRenderedPageBreak/>
        <w:t>It allows Prometheus to internationalize without dissolving.</w:t>
      </w:r>
    </w:p>
    <w:p w14:paraId="4ADC194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allows Prometheus to replicate without losing lineage.</w:t>
      </w:r>
    </w:p>
    <w:p w14:paraId="78C3DBC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allows Prometheus to enter many legal and cultural environments without abandoning its source-layer discipline.</w:t>
      </w:r>
    </w:p>
    <w:p w14:paraId="0CD3CA6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The final principle is:</w:t>
      </w:r>
    </w:p>
    <w:p w14:paraId="340861D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global Prometheus is not one copy everywhere;</w:t>
      </w:r>
    </w:p>
    <w:p w14:paraId="409DD363"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global Prometheus is verifiable continuity across many contexts.</w:t>
      </w:r>
    </w:p>
    <w:p w14:paraId="62042128" w14:textId="77777777" w:rsidR="00B474A6" w:rsidRPr="00B479AE" w:rsidRDefault="00B474A6" w:rsidP="00B474A6">
      <w:pPr>
        <w:spacing w:line="360" w:lineRule="auto"/>
        <w:rPr>
          <w:rFonts w:ascii="Baskerville Old Face" w:hAnsi="Baskerville Old Face"/>
          <w:b/>
          <w:bCs/>
          <w:i/>
          <w:iCs/>
        </w:rPr>
      </w:pPr>
      <w:r w:rsidRPr="00B479AE">
        <w:rPr>
          <w:rFonts w:ascii="Baskerville Old Face" w:hAnsi="Baskerville Old Face"/>
          <w:b/>
          <w:bCs/>
          <w:i/>
          <w:iCs/>
        </w:rPr>
        <w:t>S.15 Legal Survival Architecture</w:t>
      </w:r>
    </w:p>
    <w:p w14:paraId="5378E3F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The Global Legal Survival Architecture of Prometheus is the permanent legal, institutional, cryptographic, documentary, and operational structure through which Prometheus preserves identity, lineage, source-layer fidelity, public trust, and lawful use over time.</w:t>
      </w:r>
    </w:p>
    <w:p w14:paraId="5FCEF5F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is not a single legal filing.</w:t>
      </w:r>
    </w:p>
    <w:p w14:paraId="21BEE025"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is not a single license.</w:t>
      </w:r>
    </w:p>
    <w:p w14:paraId="32A9B5F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is not a single repository.</w:t>
      </w:r>
    </w:p>
    <w:p w14:paraId="33B7C73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is not a single trademark.</w:t>
      </w:r>
    </w:p>
    <w:p w14:paraId="2C6238B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is not a single signature.</w:t>
      </w:r>
    </w:p>
    <w:p w14:paraId="4F266CA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is not a single institution.</w:t>
      </w:r>
    </w:p>
    <w:p w14:paraId="1022B735"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is a layered architecture.</w:t>
      </w:r>
    </w:p>
    <w:p w14:paraId="1EDB27C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Its purpose is to ensure that Prometheus can be authored, verified, published, implemented, licensed, protected, forked, translated, partnered, defended, and institutionalized without losing its canonical meaning.</w:t>
      </w:r>
    </w:p>
    <w:p w14:paraId="5890ACC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The Legal Survival Architecture may include:</w:t>
      </w:r>
    </w:p>
    <w:p w14:paraId="4140C80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trademark and service-mark registrations;</w:t>
      </w:r>
    </w:p>
    <w:p w14:paraId="6D4577F2"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lastRenderedPageBreak/>
        <w:t>• certification mark policies;</w:t>
      </w:r>
    </w:p>
    <w:p w14:paraId="1D1777D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controlled-designation policies;</w:t>
      </w:r>
    </w:p>
    <w:p w14:paraId="285DA04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official mark-use rules;</w:t>
      </w:r>
    </w:p>
    <w:p w14:paraId="2ADA21C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domain and impersonation protection;</w:t>
      </w:r>
    </w:p>
    <w:p w14:paraId="0D4E974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copyright notices;</w:t>
      </w:r>
    </w:p>
    <w:p w14:paraId="1B0F2DCE"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authorship records;</w:t>
      </w:r>
    </w:p>
    <w:p w14:paraId="305D009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publication records;</w:t>
      </w:r>
    </w:p>
    <w:p w14:paraId="7AEC890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canonical release records;</w:t>
      </w:r>
    </w:p>
    <w:p w14:paraId="5F50D7A2"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SHA-256 checksum records;</w:t>
      </w:r>
    </w:p>
    <w:p w14:paraId="3B6D4DD3"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detached GPG signatures;</w:t>
      </w:r>
    </w:p>
    <w:p w14:paraId="6B4F67A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signed release manifests;</w:t>
      </w:r>
    </w:p>
    <w:p w14:paraId="60493163"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public-key verification materials;</w:t>
      </w:r>
    </w:p>
    <w:p w14:paraId="72F87F33"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constitutional rider licenses;</w:t>
      </w:r>
    </w:p>
    <w:p w14:paraId="4234B85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documentation licenses;</w:t>
      </w:r>
    </w:p>
    <w:p w14:paraId="7B91DD4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code licenses;</w:t>
      </w:r>
    </w:p>
    <w:p w14:paraId="25E261D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data licenses;</w:t>
      </w:r>
    </w:p>
    <w:p w14:paraId="78D0D49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methodology licenses;</w:t>
      </w:r>
    </w:p>
    <w:p w14:paraId="7E7984D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API terms;</w:t>
      </w:r>
    </w:p>
    <w:p w14:paraId="16EB1FF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contributor license agreements;</w:t>
      </w:r>
    </w:p>
    <w:p w14:paraId="55367FE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developer certificates of origin;</w:t>
      </w:r>
    </w:p>
    <w:p w14:paraId="26D4AE3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terms of use;</w:t>
      </w:r>
    </w:p>
    <w:p w14:paraId="482C0E6E"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participation agreements;</w:t>
      </w:r>
    </w:p>
    <w:p w14:paraId="5D32705E"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lastRenderedPageBreak/>
        <w:t>• Access Covenant agreements;</w:t>
      </w:r>
    </w:p>
    <w:p w14:paraId="730DC14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data-processing agreements;</w:t>
      </w:r>
    </w:p>
    <w:p w14:paraId="71BBC529"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confidentiality agreements;</w:t>
      </w:r>
    </w:p>
    <w:p w14:paraId="4B879B1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non-disclosure agreements where appropriate;</w:t>
      </w:r>
    </w:p>
    <w:p w14:paraId="2C56DD63"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MRV methodology-use agreements;</w:t>
      </w:r>
    </w:p>
    <w:p w14:paraId="1B77F2B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certification terms;</w:t>
      </w:r>
    </w:p>
    <w:p w14:paraId="63A7F2F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data-room agreements;</w:t>
      </w:r>
    </w:p>
    <w:p w14:paraId="3D217B79"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investor disclaimers;</w:t>
      </w:r>
    </w:p>
    <w:p w14:paraId="488AA733"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institutional presentation disclaimers;</w:t>
      </w:r>
    </w:p>
    <w:p w14:paraId="0A3D2BFE"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partnership agreements;</w:t>
      </w:r>
    </w:p>
    <w:p w14:paraId="67CD684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pilot participation agreements;</w:t>
      </w:r>
    </w:p>
    <w:p w14:paraId="4E26E7D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research collaboration agreements;</w:t>
      </w:r>
    </w:p>
    <w:p w14:paraId="4599718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public-sector collaboration terms;</w:t>
      </w:r>
    </w:p>
    <w:p w14:paraId="2AA5585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laboratory and auditor engagement terms;</w:t>
      </w:r>
    </w:p>
    <w:p w14:paraId="243B6EC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fork-use notices;</w:t>
      </w:r>
    </w:p>
    <w:p w14:paraId="1714B7D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correction notices;</w:t>
      </w:r>
    </w:p>
    <w:p w14:paraId="10DD386E"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misleading-use notices;</w:t>
      </w:r>
    </w:p>
    <w:p w14:paraId="11CA837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non-canonical fork notices;</w:t>
      </w:r>
    </w:p>
    <w:p w14:paraId="21224C3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compromised-key notices;</w:t>
      </w:r>
    </w:p>
    <w:p w14:paraId="3BD2A79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repository-compromise procedures;</w:t>
      </w:r>
    </w:p>
    <w:p w14:paraId="1B74C60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domain-compromise procedures;</w:t>
      </w:r>
    </w:p>
    <w:p w14:paraId="69DE5A9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fake-release response procedures;</w:t>
      </w:r>
    </w:p>
    <w:p w14:paraId="1245BDA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lastRenderedPageBreak/>
        <w:t>• public canonical registry terms;</w:t>
      </w:r>
    </w:p>
    <w:p w14:paraId="18897A0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dispute-resolution clauses;</w:t>
      </w:r>
    </w:p>
    <w:p w14:paraId="6D1A0CA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governing-law and jurisdictional clauses where appropriate;</w:t>
      </w:r>
    </w:p>
    <w:p w14:paraId="1B64DE9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key-management policies;</w:t>
      </w:r>
    </w:p>
    <w:p w14:paraId="07BBA152"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repository governance procedures;</w:t>
      </w:r>
    </w:p>
    <w:p w14:paraId="44287A3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runtime-coherence procedures;</w:t>
      </w:r>
    </w:p>
    <w:p w14:paraId="5FE4748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Holochain-compatible integration notes;</w:t>
      </w:r>
    </w:p>
    <w:p w14:paraId="5A56565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build and deployment runbooks;</w:t>
      </w:r>
    </w:p>
    <w:p w14:paraId="3D3C6EB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public verification rules;</w:t>
      </w:r>
    </w:p>
    <w:p w14:paraId="5270A4D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offline continuity package procedures;</w:t>
      </w:r>
    </w:p>
    <w:p w14:paraId="4670D30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institutional archive procedures;</w:t>
      </w:r>
    </w:p>
    <w:p w14:paraId="715D78B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trusted-custodian continuity procedures;</w:t>
      </w:r>
    </w:p>
    <w:p w14:paraId="29ED841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 official translation-control procedures.</w:t>
      </w:r>
    </w:p>
    <w:p w14:paraId="17F0237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This architecture is not intended to over-legalize Prometheus.</w:t>
      </w:r>
    </w:p>
    <w:p w14:paraId="728D7B45"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is intended to preserve clarity as Prometheus moves from White Paper to canonical release, from canonical release to public verification, from public verification to Holochain-compatible implementation, from implementation to pilot, from pilot to institutional partnership, and from institutional partnership to capital-readiness.</w:t>
      </w:r>
    </w:p>
    <w:p w14:paraId="38BF0D9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regenerative architecture without legal survival discipline can be copied, diluted, misrepresented, prematurely financialized, captured, or severed from its source-layer intent.</w:t>
      </w:r>
    </w:p>
    <w:p w14:paraId="147A0A2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Prometheus should therefore treat legal survival as part of regenerative design.</w:t>
      </w:r>
    </w:p>
    <w:p w14:paraId="28E3D335"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The legal survival architecture should preserve five core separations.</w:t>
      </w:r>
    </w:p>
    <w:p w14:paraId="472A60B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First, it should preserve the separation between canonical meaning and implementation.</w:t>
      </w:r>
    </w:p>
    <w:p w14:paraId="3FCCF265"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lastRenderedPageBreak/>
        <w:t>The source layer defines meaning.</w:t>
      </w:r>
    </w:p>
    <w:p w14:paraId="347BE31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Software implements functions.</w:t>
      </w:r>
    </w:p>
    <w:p w14:paraId="0FC3870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runtime may execute workflows.</w:t>
      </w:r>
    </w:p>
    <w:p w14:paraId="5B1FEEA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dashboard may display signals.</w:t>
      </w:r>
    </w:p>
    <w:p w14:paraId="731492E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repository may mirror artifacts.</w:t>
      </w:r>
    </w:p>
    <w:p w14:paraId="775588C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But none of these layers may rewrite the constitutional meaning of Prometheus without the appropriate canonical process.</w:t>
      </w:r>
    </w:p>
    <w:p w14:paraId="276C3B4B"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Second, it should preserve the separation between identity and use.</w:t>
      </w:r>
    </w:p>
    <w:p w14:paraId="7E2B645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Trademark, service-mark, domain, certification-mark, and controlled-designation rules protect public identity.</w:t>
      </w:r>
    </w:p>
    <w:p w14:paraId="61B645D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Licenses, contributor agreements, API terms, data terms, methodology terms, and partner agreements govern use.</w:t>
      </w:r>
    </w:p>
    <w:p w14:paraId="28A2EF5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party may be allowed to study, contribute to, or implement certain parts of Prometheus without being authorized to claim canonical status, certification, official endorsement, PRU readiness, MRV admissibility, or investor-facing authority.</w:t>
      </w:r>
    </w:p>
    <w:p w14:paraId="0DC50EC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Third, it should preserve the separation between evidence and rights.</w:t>
      </w:r>
    </w:p>
    <w:p w14:paraId="5BD50C9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MRV may produce evidence.</w:t>
      </w:r>
    </w:p>
    <w:p w14:paraId="1751A37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PRU analysis may interpret verified regenerative performance.</w:t>
      </w:r>
    </w:p>
    <w:p w14:paraId="31F93AE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RAP logic may support aggregation.</w:t>
      </w:r>
    </w:p>
    <w:p w14:paraId="4154FFD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Reports may support diligence.</w:t>
      </w:r>
    </w:p>
    <w:p w14:paraId="74E6B73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But rights arise only through valid legal instruments, enforceable structures, disclosure, jurisdiction-specific review, and applicable law.</w:t>
      </w:r>
    </w:p>
    <w:p w14:paraId="52106F7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Evidence may inform legal structuring.</w:t>
      </w:r>
    </w:p>
    <w:p w14:paraId="5B91B71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Evidence does not create rights by itself.</w:t>
      </w:r>
    </w:p>
    <w:p w14:paraId="002A05C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lastRenderedPageBreak/>
        <w:t>Fourth, it should preserve the separation between partnership and authority.</w:t>
      </w:r>
    </w:p>
    <w:p w14:paraId="672BCED9"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research partner is not automatically an official certifier.</w:t>
      </w:r>
    </w:p>
    <w:p w14:paraId="16AB3FD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pilot participant is not automatically a canonical implementation.</w:t>
      </w:r>
    </w:p>
    <w:p w14:paraId="42BCD74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data-room recipient is not automatically an investor.</w:t>
      </w:r>
    </w:p>
    <w:p w14:paraId="619B6CC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An institutional conversation is not automatically an endorsement.</w:t>
      </w:r>
    </w:p>
    <w:p w14:paraId="22A9BC2E"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GitHub contributor is not automatically a protocol steward.</w:t>
      </w:r>
    </w:p>
    <w:p w14:paraId="64A5040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service provider is not automatically a source-layer authority.</w:t>
      </w:r>
    </w:p>
    <w:p w14:paraId="2998802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Access must remain tied to defined use.</w:t>
      </w:r>
    </w:p>
    <w:p w14:paraId="5A78F21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Defined use must remain tied to review.</w:t>
      </w:r>
    </w:p>
    <w:p w14:paraId="6CEC56B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Review must remain tied to authorized claims.</w:t>
      </w:r>
    </w:p>
    <w:p w14:paraId="41C775B5"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Fifth, it should preserve the separation between replication and lineage.</w:t>
      </w:r>
    </w:p>
    <w:p w14:paraId="1BFB88A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Prometheus may be copied, translated, implemented, studied, forked, summarized, or imitated.</w:t>
      </w:r>
    </w:p>
    <w:p w14:paraId="1BB7529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But similarity does not create canonical status.</w:t>
      </w:r>
    </w:p>
    <w:p w14:paraId="62E7C9A9"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Canonical status requires verifiable lineage, source-layer fidelity, cryptographic integrity, registry status, and custodial continuity.</w:t>
      </w:r>
    </w:p>
    <w:p w14:paraId="713046B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The Legal Survival Architecture should therefore operate through the following permanent control layers:</w:t>
      </w:r>
    </w:p>
    <w:p w14:paraId="6414B629"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Identity Control.</w:t>
      </w:r>
    </w:p>
    <w:p w14:paraId="099D363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This layer protects names, marks, domains, seals, badges, certification terms, controlled designations, and public-facing Prometheus identity.</w:t>
      </w:r>
    </w:p>
    <w:p w14:paraId="6F357DFF"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Use Control.</w:t>
      </w:r>
    </w:p>
    <w:p w14:paraId="722F8B4E"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This layer governs licensing, contribution, reuse, APIs, datasets, methodologies, documentation, code, partner access, and implementation materials.</w:t>
      </w:r>
    </w:p>
    <w:p w14:paraId="2500304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lastRenderedPageBreak/>
        <w:t>Claim Control.</w:t>
      </w:r>
    </w:p>
    <w:p w14:paraId="1349519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This layer governs public statements, investor-facing language, certification claims, PRU-related claims, MRV claims, RAP claims, compatible-fork claims, and canonical-status claims.</w:t>
      </w:r>
    </w:p>
    <w:p w14:paraId="7ECBC50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Evidence Control.</w:t>
      </w:r>
    </w:p>
    <w:p w14:paraId="6A51853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This layer governs MRV data, provenance, no-double-counting, auditability, data-room integrity, methodology versioning, and review pathways.</w:t>
      </w:r>
    </w:p>
    <w:p w14:paraId="54705E5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Rights Control.</w:t>
      </w:r>
    </w:p>
    <w:p w14:paraId="75DFA41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This layer governs whether any legal right, investor exposure, token right, revenue right, land right, fund interest, note, security, collateral recognition, guarantee, credit, offset, or compliant digital representation exists.</w:t>
      </w:r>
    </w:p>
    <w:p w14:paraId="1FA5FB1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Runtime Control.</w:t>
      </w:r>
    </w:p>
    <w:p w14:paraId="3D9D7B6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This layer governs repository alignment, Holochain-compatible implementation notes, hApp behavior, bridge behavior, console behavior, evaluation stack behavior, operational runbooks, API boundaries, zome boundaries, and source-layer non-bypassability.</w:t>
      </w:r>
    </w:p>
    <w:p w14:paraId="5D93785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Continuity Control.</w:t>
      </w:r>
    </w:p>
    <w:p w14:paraId="7D7D0A6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This layer governs hashes, signatures, manifests, official repositories, official domains, public keys, registry records, offline continuity packages, archives, custodians, key rotation, and compromised-key procedures.</w:t>
      </w:r>
    </w:p>
    <w:p w14:paraId="41051F55"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Dispute Control.</w:t>
      </w:r>
    </w:p>
    <w:p w14:paraId="7C8FDAE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This layer governs correction notices, misleading-use responses, certification revocation, fork disputes, domain disputes, mark disputes, data misuse claims, confidentiality breaches, investor-claim misrepresentation, and emergency remedies.</w:t>
      </w:r>
    </w:p>
    <w:p w14:paraId="35CE3773"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The legal survival rule is:</w:t>
      </w:r>
    </w:p>
    <w:p w14:paraId="4331F4BE"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identity must be protected;</w:t>
      </w:r>
    </w:p>
    <w:p w14:paraId="6E86FF2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use must be permissioned;</w:t>
      </w:r>
    </w:p>
    <w:p w14:paraId="4BF85F9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lastRenderedPageBreak/>
        <w:t>claims must be reviewable;</w:t>
      </w:r>
    </w:p>
    <w:p w14:paraId="1278735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evidence must be traceable;</w:t>
      </w:r>
    </w:p>
    <w:p w14:paraId="31ED5C4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rights must be legally created;</w:t>
      </w:r>
    </w:p>
    <w:p w14:paraId="79FA8FF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runtime must remain aligned;</w:t>
      </w:r>
    </w:p>
    <w:p w14:paraId="1C721E6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lineage must be verifiable;</w:t>
      </w:r>
    </w:p>
    <w:p w14:paraId="6105DC7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continuity must survive platforms.</w:t>
      </w:r>
    </w:p>
    <w:p w14:paraId="38E89DA6"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This architecture allows Prometheus to remain open without becoming unprotected.</w:t>
      </w:r>
    </w:p>
    <w:p w14:paraId="4EF4B4E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allows collaboration without confusion.</w:t>
      </w:r>
    </w:p>
    <w:p w14:paraId="1CCD0CB0"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allows implementation without drift.</w:t>
      </w:r>
    </w:p>
    <w:p w14:paraId="016C7EB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allows international expansion without dilution.</w:t>
      </w:r>
    </w:p>
    <w:p w14:paraId="3A456CC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allows forks without false continuity.</w:t>
      </w:r>
    </w:p>
    <w:p w14:paraId="146BAAC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allows capital formation without premature financialization.</w:t>
      </w:r>
    </w:p>
    <w:p w14:paraId="01842D8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allows AI assistance without AI-generated authority.</w:t>
      </w:r>
    </w:p>
    <w:p w14:paraId="46D255BA"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It allows public visibility without losing canonical control.</w:t>
      </w:r>
    </w:p>
    <w:p w14:paraId="0E2F8C5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The goal is not to freeze Prometheus.</w:t>
      </w:r>
    </w:p>
    <w:p w14:paraId="51272398"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The goal is to let Prometheus evolve without losing itself.</w:t>
      </w:r>
    </w:p>
    <w:p w14:paraId="658D5715"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living system survives through adaptation.</w:t>
      </w:r>
    </w:p>
    <w:p w14:paraId="7A52AACD"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constitutional system survives through continuity.</w:t>
      </w:r>
    </w:p>
    <w:p w14:paraId="506F6312"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A legal architecture survives through clarity.</w:t>
      </w:r>
    </w:p>
    <w:p w14:paraId="5C389941"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Prometheus requires all three.</w:t>
      </w:r>
    </w:p>
    <w:p w14:paraId="025C4C27"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The final principle is:</w:t>
      </w:r>
    </w:p>
    <w:p w14:paraId="29E2191C"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t>Prometheus legal survival is not defensive bureaucracy.</w:t>
      </w:r>
    </w:p>
    <w:p w14:paraId="61EA0FB4" w14:textId="77777777" w:rsidR="00B474A6" w:rsidRPr="00B479AE" w:rsidRDefault="00B474A6" w:rsidP="00B474A6">
      <w:pPr>
        <w:spacing w:line="360" w:lineRule="auto"/>
        <w:rPr>
          <w:rFonts w:ascii="Baskerville Old Face" w:hAnsi="Baskerville Old Face"/>
          <w:i/>
          <w:iCs/>
        </w:rPr>
      </w:pPr>
      <w:r w:rsidRPr="00B479AE">
        <w:rPr>
          <w:rFonts w:ascii="Baskerville Old Face" w:hAnsi="Baskerville Old Face"/>
          <w:i/>
          <w:iCs/>
        </w:rPr>
        <w:lastRenderedPageBreak/>
        <w:t>It is the governance architecture that allows regeneration to become visible, verifiable, implementable, investable, and globally replicable without being captured, diluted, or misrepresented.</w:t>
      </w:r>
    </w:p>
    <w:p w14:paraId="5257A020" w14:textId="77777777" w:rsidR="00A97DB8" w:rsidRPr="00B479AE" w:rsidRDefault="00A97DB8" w:rsidP="00A97DB8">
      <w:pPr>
        <w:spacing w:line="360" w:lineRule="auto"/>
        <w:rPr>
          <w:rFonts w:ascii="Baskerville Old Face" w:hAnsi="Baskerville Old Face"/>
          <w:b/>
          <w:bCs/>
          <w:i/>
          <w:iCs/>
        </w:rPr>
      </w:pPr>
      <w:r w:rsidRPr="00B479AE">
        <w:rPr>
          <w:rFonts w:ascii="Baskerville Old Face" w:hAnsi="Baskerville Old Face"/>
          <w:b/>
          <w:bCs/>
          <w:i/>
          <w:iCs/>
        </w:rPr>
        <w:t>S.16 Non-Capture Principle</w:t>
      </w:r>
    </w:p>
    <w:p w14:paraId="06A6D95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must protect itself not only from hostile outsiders, but also from internal drift, institutional capture, speculative pressure, platform dependency, semantic dilution, governance shortcuts, and premature simplification.</w:t>
      </w:r>
    </w:p>
    <w:p w14:paraId="49EBF5A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 system designed to regenerate living systems can still be captured if the layers that protect meaning, evidence, rights, governance, implementation, and continuity are collapsed.</w:t>
      </w:r>
    </w:p>
    <w:p w14:paraId="7C3B0F5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Capture may occur through capital.</w:t>
      </w:r>
    </w:p>
    <w:p w14:paraId="00C814A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occur through speculative token narratives.</w:t>
      </w:r>
    </w:p>
    <w:p w14:paraId="16CD56B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occur through investor pressure.</w:t>
      </w:r>
    </w:p>
    <w:p w14:paraId="5E844A4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occur through governance shortcuts.</w:t>
      </w:r>
    </w:p>
    <w:p w14:paraId="14215F3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occur through AI authority drift.</w:t>
      </w:r>
    </w:p>
    <w:p w14:paraId="5F4DA62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occur through dashboard authority confusion.</w:t>
      </w:r>
    </w:p>
    <w:p w14:paraId="40ED023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occur through public-claim overreach.</w:t>
      </w:r>
    </w:p>
    <w:p w14:paraId="5F7AA0B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occur through trademark misuse.</w:t>
      </w:r>
    </w:p>
    <w:p w14:paraId="7E756BA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occur through methodology inflation.</w:t>
      </w:r>
    </w:p>
    <w:p w14:paraId="79B0665E"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occur through fork confusion.</w:t>
      </w:r>
    </w:p>
    <w:p w14:paraId="7F54300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occur through source-layer dilution.</w:t>
      </w:r>
    </w:p>
    <w:p w14:paraId="5BC3CE4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occur through platform dependency.</w:t>
      </w:r>
    </w:p>
    <w:p w14:paraId="01CCF06E"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occur through domain capture.</w:t>
      </w:r>
    </w:p>
    <w:p w14:paraId="2E306AC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occur through repository compromise.</w:t>
      </w:r>
    </w:p>
    <w:p w14:paraId="127C29D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occur through key compromise.</w:t>
      </w:r>
    </w:p>
    <w:p w14:paraId="405DB84E"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lastRenderedPageBreak/>
        <w:t>It may occur through institutional misrepresentation.</w:t>
      </w:r>
    </w:p>
    <w:p w14:paraId="66745FB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occur through partner overreach.</w:t>
      </w:r>
    </w:p>
    <w:p w14:paraId="19884E4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occur through well-intentioned acceleration beyond evidentiary maturity.</w:t>
      </w:r>
    </w:p>
    <w:p w14:paraId="1D3034D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danger is not only malicious attack.</w:t>
      </w:r>
    </w:p>
    <w:p w14:paraId="5D66F7C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deeper danger is category collapse.</w:t>
      </w:r>
    </w:p>
    <w:p w14:paraId="523CCD42"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Category collapse occurs when distinct layers of Prometheus are confused, merged, or used beyond their proper function.</w:t>
      </w:r>
    </w:p>
    <w:p w14:paraId="019B44C2"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For this reason, Prometheus must preserve the separation among:</w:t>
      </w:r>
    </w:p>
    <w:p w14:paraId="3CA9698B"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source layer;</w:t>
      </w:r>
    </w:p>
    <w:p w14:paraId="4A42D3A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canonical releases;</w:t>
      </w:r>
    </w:p>
    <w:p w14:paraId="00BDE6D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public mirrors;</w:t>
      </w:r>
    </w:p>
    <w:p w14:paraId="104E6D2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GitHub repositories;</w:t>
      </w:r>
    </w:p>
    <w:p w14:paraId="2BBF165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Holochain-compatible runtime;</w:t>
      </w:r>
    </w:p>
    <w:p w14:paraId="5CC9C9E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hApp implementation;</w:t>
      </w:r>
    </w:p>
    <w:p w14:paraId="4453C2D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bridge layer;</w:t>
      </w:r>
    </w:p>
    <w:p w14:paraId="5C67073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console or interface layer;</w:t>
      </w:r>
    </w:p>
    <w:p w14:paraId="778C1FD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evaluation stack;</w:t>
      </w:r>
    </w:p>
    <w:p w14:paraId="55AE860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operations documentation;</w:t>
      </w:r>
    </w:p>
    <w:p w14:paraId="2358650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pilot handoff pack;</w:t>
      </w:r>
    </w:p>
    <w:p w14:paraId="1128970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MRV evidence;</w:t>
      </w:r>
    </w:p>
    <w:p w14:paraId="5D35FCEB"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PRU value analysis;</w:t>
      </w:r>
    </w:p>
    <w:p w14:paraId="7B34B15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PRU maturity classification;</w:t>
      </w:r>
    </w:p>
    <w:p w14:paraId="2F852F8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lastRenderedPageBreak/>
        <w:t>• RAP aggregation;</w:t>
      </w:r>
    </w:p>
    <w:p w14:paraId="237C1EF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TRBK governance or participation functions;</w:t>
      </w:r>
    </w:p>
    <w:p w14:paraId="6BBBA41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HoloFuel operational infrastructure;</w:t>
      </w:r>
    </w:p>
    <w:p w14:paraId="189219F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fiat, stablecoin, banking, or settlement rails;</w:t>
      </w:r>
    </w:p>
    <w:p w14:paraId="37F9C61C"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dashboards;</w:t>
      </w:r>
    </w:p>
    <w:p w14:paraId="0431E35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AI-assisted interpretation;</w:t>
      </w:r>
    </w:p>
    <w:p w14:paraId="08EA1DF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legal instruments;</w:t>
      </w:r>
    </w:p>
    <w:p w14:paraId="188BBB5C"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investor rights;</w:t>
      </w:r>
    </w:p>
    <w:p w14:paraId="439F883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land rights;</w:t>
      </w:r>
    </w:p>
    <w:p w14:paraId="5A39B75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revenue rights;</w:t>
      </w:r>
    </w:p>
    <w:p w14:paraId="733B6D2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certification claims;</w:t>
      </w:r>
    </w:p>
    <w:p w14:paraId="49D673B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public impact claims.</w:t>
      </w:r>
    </w:p>
    <w:p w14:paraId="4322F11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No actor, investor, fork, AI system, repository, dashboard, token, foundation, company, partner, contributor, data-room recipient, public institution, certifier, auditor, platform, or implementation may override the source layer by popularity, capital, automation, narrative force, technical convenience, market demand, institutional prestige, or operational dependency.</w:t>
      </w:r>
    </w:p>
    <w:p w14:paraId="2E884B5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Authority must remain downstream from source-layer fidelity, governance process, evidence, legal structure, canonical verification, admissibility review, and permitted-use boundaries.</w:t>
      </w:r>
    </w:p>
    <w:p w14:paraId="3DBDFFE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non-capture principle is therefore:</w:t>
      </w:r>
    </w:p>
    <w:p w14:paraId="3D0DF69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capital may support regeneration;</w:t>
      </w:r>
    </w:p>
    <w:p w14:paraId="5BBAAE6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capital may not govern truth.</w:t>
      </w:r>
    </w:p>
    <w:p w14:paraId="23C1058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AI may assist interpretation;</w:t>
      </w:r>
    </w:p>
    <w:p w14:paraId="3EFCCACE"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AI may not create authority.</w:t>
      </w:r>
    </w:p>
    <w:p w14:paraId="02FD095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lastRenderedPageBreak/>
        <w:t>Dashboards may display signals;</w:t>
      </w:r>
    </w:p>
    <w:p w14:paraId="405D2E65"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dashboards may not authorize rights.</w:t>
      </w:r>
    </w:p>
    <w:p w14:paraId="51C9AAF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Tokens may represent defined functions or rights where legally structured;</w:t>
      </w:r>
    </w:p>
    <w:p w14:paraId="40B0A125"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tokens may not create ecological value by themselves.</w:t>
      </w:r>
    </w:p>
    <w:p w14:paraId="5322D2F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Repositories may mirror releases;</w:t>
      </w:r>
    </w:p>
    <w:p w14:paraId="7A055035"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repositories may not replace the source layer.</w:t>
      </w:r>
    </w:p>
    <w:p w14:paraId="38E2FDB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Holochain-compatible runtime may execute workflows;</w:t>
      </w:r>
    </w:p>
    <w:p w14:paraId="772BFDB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runtime may not rewrite constitutional meaning.</w:t>
      </w:r>
    </w:p>
    <w:p w14:paraId="6DB14412"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Forks may innovate;</w:t>
      </w:r>
    </w:p>
    <w:p w14:paraId="448D6AA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forks may not claim lineage without fidelity.</w:t>
      </w:r>
    </w:p>
    <w:p w14:paraId="0040D20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Partners may collaborate;</w:t>
      </w:r>
    </w:p>
    <w:p w14:paraId="51C6E03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partners may not expand their authority beyond defined agreements.</w:t>
      </w:r>
    </w:p>
    <w:p w14:paraId="559561B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Institutions may validate specific processes;</w:t>
      </w:r>
    </w:p>
    <w:p w14:paraId="5ED3BF9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institutions may not absorb the whole meaning of Prometheus.</w:t>
      </w:r>
    </w:p>
    <w:p w14:paraId="7C69F09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Investors may allocate capital;</w:t>
      </w:r>
    </w:p>
    <w:p w14:paraId="073F26C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investors may not rewrite the constitutional purpose of the system.</w:t>
      </w:r>
    </w:p>
    <w:p w14:paraId="1CBE443B"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This principle is especially important because Prometheus is designed to become attractive.</w:t>
      </w:r>
    </w:p>
    <w:p w14:paraId="4A4C52E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If it succeeds, it may attract capital, technology providers, public institutions, researchers, landowners, developers, communities, wellness operators, hospitality operators, token designers, auditors, certifiers, AI systems, and future digital-instrument developers.</w:t>
      </w:r>
    </w:p>
    <w:p w14:paraId="6D15BFC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Attraction creates scaling pressure.</w:t>
      </w:r>
    </w:p>
    <w:p w14:paraId="766B679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Scaling pressure creates simplification pressure.</w:t>
      </w:r>
    </w:p>
    <w:p w14:paraId="1173244B"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lastRenderedPageBreak/>
        <w:t>Simplification pressure creates semantic risk.</w:t>
      </w:r>
    </w:p>
    <w:p w14:paraId="09440985"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Semantic risk creates capture risk.</w:t>
      </w:r>
    </w:p>
    <w:p w14:paraId="122DF69B"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system must therefore preserve a constitutional firewall between adoption and authority.</w:t>
      </w:r>
    </w:p>
    <w:p w14:paraId="085A5022"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Adoption does not create authority.</w:t>
      </w:r>
    </w:p>
    <w:p w14:paraId="0BC0E832"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Usage does not create canonical status.</w:t>
      </w:r>
    </w:p>
    <w:p w14:paraId="0298705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Investment does not create governance supremacy.</w:t>
      </w:r>
    </w:p>
    <w:p w14:paraId="2D1AEA4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Technical implementation does not create constitutional meaning.</w:t>
      </w:r>
    </w:p>
    <w:p w14:paraId="7C9AD832"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Token demand does not create ecological truth.</w:t>
      </w:r>
    </w:p>
    <w:p w14:paraId="5B64F9A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Market attention does not create admissibility.</w:t>
      </w:r>
    </w:p>
    <w:p w14:paraId="4BCAC03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Public visibility does not create legitimacy.</w:t>
      </w:r>
    </w:p>
    <w:p w14:paraId="3C3C75B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Institutional interest does not create endorsement.</w:t>
      </w:r>
    </w:p>
    <w:p w14:paraId="767DAE3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Data-room access does not create entitlement.</w:t>
      </w:r>
    </w:p>
    <w:p w14:paraId="4E9297E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Pilot participation does not create certification.</w:t>
      </w:r>
    </w:p>
    <w:p w14:paraId="68D9694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should resist financial capture.</w:t>
      </w:r>
    </w:p>
    <w:p w14:paraId="77A8C12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Financial capture occurs when regenerative performance becomes subordinated to short-term valuation narratives, speculative liquidity, excessive leverage, token appreciation, yield extraction, premature securitization, or capital pressure disconnected from evidence.</w:t>
      </w:r>
    </w:p>
    <w:p w14:paraId="2005DDE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financial boundary is:</w:t>
      </w:r>
    </w:p>
    <w:p w14:paraId="1C1E31A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evidence before value;</w:t>
      </w:r>
    </w:p>
    <w:p w14:paraId="4D635B2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admissibility before reporting;</w:t>
      </w:r>
    </w:p>
    <w:p w14:paraId="77AD140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legal structure before rights;</w:t>
      </w:r>
    </w:p>
    <w:p w14:paraId="45E62C1B"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rights before representation;</w:t>
      </w:r>
    </w:p>
    <w:p w14:paraId="2A36E07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lastRenderedPageBreak/>
        <w:t>regeneration before capital.</w:t>
      </w:r>
    </w:p>
    <w:p w14:paraId="164D710C"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should resist AI capture.</w:t>
      </w:r>
    </w:p>
    <w:p w14:paraId="33F6A7F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AI capture occurs when AI-generated outputs, summaries, recommendations, prompts, dashboards, agents, or autonomous workflows begin to function as authority without proper review.</w:t>
      </w:r>
    </w:p>
    <w:p w14:paraId="1896509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AI boundary is:</w:t>
      </w:r>
    </w:p>
    <w:p w14:paraId="599EDB5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AI may help observe;</w:t>
      </w:r>
    </w:p>
    <w:p w14:paraId="3E50952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AI may help interpret;</w:t>
      </w:r>
    </w:p>
    <w:p w14:paraId="3477EEFC"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AI may help compare;</w:t>
      </w:r>
    </w:p>
    <w:p w14:paraId="78181B4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AI may help draft;</w:t>
      </w:r>
    </w:p>
    <w:p w14:paraId="4FDA610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AI may help detect anomalies;</w:t>
      </w:r>
    </w:p>
    <w:p w14:paraId="07CA4B3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AI may help route tasks;</w:t>
      </w:r>
    </w:p>
    <w:p w14:paraId="76B3B9B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but AI may not independently authorize ecological claims, PRU value analysis, token issuance, investor-facing statements, legal rights, governance decisions, source-layer changes, certification claims, or canonical status.</w:t>
      </w:r>
    </w:p>
    <w:p w14:paraId="67E7B72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should resist governance capture.</w:t>
      </w:r>
    </w:p>
    <w:p w14:paraId="3F6A5D1C"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Governance capture occurs when voting power, contributor status, institutional influence, token access, capital contribution, social prestige, technical control, or operational dependency allows one group to distort the source-layer purpose.</w:t>
      </w:r>
    </w:p>
    <w:p w14:paraId="6E82E45E"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governance boundary is:</w:t>
      </w:r>
    </w:p>
    <w:p w14:paraId="2E7FEB4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participation may increase influence;</w:t>
      </w:r>
    </w:p>
    <w:p w14:paraId="7C70CEE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contribution may increase responsibility;</w:t>
      </w:r>
    </w:p>
    <w:p w14:paraId="0EBDD61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review may increase trust;</w:t>
      </w:r>
    </w:p>
    <w:p w14:paraId="23CB4BD5"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but no governance mechanism may bypass foundational principles, human dignity, ecological evidence, legal boundaries, or source-layer continuity.</w:t>
      </w:r>
    </w:p>
    <w:p w14:paraId="4929008C"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lastRenderedPageBreak/>
        <w:t>Prometheus should resist platform capture.</w:t>
      </w:r>
    </w:p>
    <w:p w14:paraId="4506D05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Platform capture occurs when a single repository, cloud provider, domain, app store, AI model, social platform, payment rail, infrastructure provider, custodian, or jurisdiction becomes functionally indispensable to canonical continuity.</w:t>
      </w:r>
    </w:p>
    <w:p w14:paraId="3173F03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platform boundary is:</w:t>
      </w:r>
    </w:p>
    <w:p w14:paraId="47D2B6C2"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platforms may host;</w:t>
      </w:r>
    </w:p>
    <w:p w14:paraId="79BA0F55"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platforms may mirror;</w:t>
      </w:r>
    </w:p>
    <w:p w14:paraId="71EB2E6E"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platforms may distribute;</w:t>
      </w:r>
    </w:p>
    <w:p w14:paraId="66612A3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platforms may compute;</w:t>
      </w:r>
    </w:p>
    <w:p w14:paraId="389D94B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but platforms may not become the canon.</w:t>
      </w:r>
    </w:p>
    <w:p w14:paraId="105EF95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should resist semantic capture.</w:t>
      </w:r>
    </w:p>
    <w:p w14:paraId="268F3AD2"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Semantic capture occurs when language begins to move faster than evidence.</w:t>
      </w:r>
    </w:p>
    <w:p w14:paraId="5FD04C1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occurs when “regenerative” becomes branding.</w:t>
      </w:r>
    </w:p>
    <w:p w14:paraId="5503612C"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occurs when “PRU” becomes price.</w:t>
      </w:r>
    </w:p>
    <w:p w14:paraId="7DB3C0E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occurs when “maturity” becomes rating.</w:t>
      </w:r>
    </w:p>
    <w:p w14:paraId="73FB672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occurs when “dashboard” becomes authority.</w:t>
      </w:r>
    </w:p>
    <w:p w14:paraId="0EB14745"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occurs when “token” becomes ownership.</w:t>
      </w:r>
    </w:p>
    <w:p w14:paraId="4207DE8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occurs when “partnership” becomes endorsement.</w:t>
      </w:r>
    </w:p>
    <w:p w14:paraId="42F0F7A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occurs when “pilot” becomes proof.</w:t>
      </w:r>
    </w:p>
    <w:p w14:paraId="315978E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occurs when “interest” becomes investment.</w:t>
      </w:r>
    </w:p>
    <w:p w14:paraId="507F97A5"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occurs when “potential” becomes value.</w:t>
      </w:r>
    </w:p>
    <w:p w14:paraId="49E98675"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semantic boundary is:</w:t>
      </w:r>
    </w:p>
    <w:p w14:paraId="1ED8177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lastRenderedPageBreak/>
        <w:t>words must follow status;</w:t>
      </w:r>
    </w:p>
    <w:p w14:paraId="6308E55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status must follow evidence;</w:t>
      </w:r>
    </w:p>
    <w:p w14:paraId="6753A59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evidence must follow method;</w:t>
      </w:r>
    </w:p>
    <w:p w14:paraId="0F04109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method must follow review;</w:t>
      </w:r>
    </w:p>
    <w:p w14:paraId="29FCFA9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review must follow governance;</w:t>
      </w:r>
    </w:p>
    <w:p w14:paraId="69268A95"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financial meaning must follow law.</w:t>
      </w:r>
    </w:p>
    <w:p w14:paraId="069F6F8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should resist institutional capture.</w:t>
      </w:r>
    </w:p>
    <w:p w14:paraId="2D85D852"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Institutional capture occurs when a powerful partner, fund, foundation, public body, university, auditor, certifier, platform, or strategic counterparty attempts to define Prometheus in a way that weakens source-layer fidelity, narrows access, privatizes public meaning, or redirects the architecture toward its own institutional interests.</w:t>
      </w:r>
    </w:p>
    <w:p w14:paraId="02C8929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Institutions may participate.</w:t>
      </w:r>
    </w:p>
    <w:p w14:paraId="63AB70C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Institutions may support.</w:t>
      </w:r>
    </w:p>
    <w:p w14:paraId="43138E8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Institutions may verify specific processes.</w:t>
      </w:r>
    </w:p>
    <w:p w14:paraId="604F3C3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Institutions may fund pilots.</w:t>
      </w:r>
    </w:p>
    <w:p w14:paraId="5AC5D0C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Institutions may host research.</w:t>
      </w:r>
    </w:p>
    <w:p w14:paraId="71E7A1C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Institutions may review claims.</w:t>
      </w:r>
    </w:p>
    <w:p w14:paraId="5E37668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But no institution may become the sole owner of Prometheus meaning.</w:t>
      </w:r>
    </w:p>
    <w:p w14:paraId="0E652B4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source layer remains the constitutional reference.</w:t>
      </w:r>
    </w:p>
    <w:p w14:paraId="5A39FB4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canonical registry preserves lineage.</w:t>
      </w:r>
    </w:p>
    <w:p w14:paraId="7D6A1E12"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legal survival architecture preserves enforceability.</w:t>
      </w:r>
    </w:p>
    <w:p w14:paraId="6B1090B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runtime coherence layer preserves implementation fidelity.</w:t>
      </w:r>
    </w:p>
    <w:p w14:paraId="758CF08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non-capture principle preserves purpose.</w:t>
      </w:r>
    </w:p>
    <w:p w14:paraId="3AF47DD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lastRenderedPageBreak/>
        <w:t>Prometheus should therefore maintain anti-capture safeguards across all protected domains.</w:t>
      </w:r>
    </w:p>
    <w:p w14:paraId="508C018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These safeguards may include:</w:t>
      </w:r>
    </w:p>
    <w:p w14:paraId="2624B91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source-layer supremacy;</w:t>
      </w:r>
    </w:p>
    <w:p w14:paraId="69DDA80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canonical release discipline;</w:t>
      </w:r>
    </w:p>
    <w:p w14:paraId="778329D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public verification;</w:t>
      </w:r>
    </w:p>
    <w:p w14:paraId="7DE92A7E"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fork-status classification;</w:t>
      </w:r>
    </w:p>
    <w:p w14:paraId="75101AA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mark-use control;</w:t>
      </w:r>
    </w:p>
    <w:p w14:paraId="05DC8F9B"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claim-control review;</w:t>
      </w:r>
    </w:p>
    <w:p w14:paraId="797DF3A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MRV admissibility rules;</w:t>
      </w:r>
    </w:p>
    <w:p w14:paraId="6FF9B01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legal-structure boundaries;</w:t>
      </w:r>
    </w:p>
    <w:p w14:paraId="58E5AC4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no-double-counting controls;</w:t>
      </w:r>
    </w:p>
    <w:p w14:paraId="7E0F5A7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AI authority boundaries;</w:t>
      </w:r>
    </w:p>
    <w:p w14:paraId="2E0D667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dashboard authority boundaries;</w:t>
      </w:r>
    </w:p>
    <w:p w14:paraId="531F91F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investor-disclosure boundaries;</w:t>
      </w:r>
    </w:p>
    <w:p w14:paraId="7D2F317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partner-agreement boundaries;</w:t>
      </w:r>
    </w:p>
    <w:p w14:paraId="168A0E7B"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governance review pathways;</w:t>
      </w:r>
    </w:p>
    <w:p w14:paraId="495A5395"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dispute-resolution mechanisms;</w:t>
      </w:r>
    </w:p>
    <w:p w14:paraId="29455F3C"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registry-based status verification;</w:t>
      </w:r>
    </w:p>
    <w:p w14:paraId="65634E0C"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offline continuity packages;</w:t>
      </w:r>
    </w:p>
    <w:p w14:paraId="2DB6069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repository and runtime coherence checks;</w:t>
      </w:r>
    </w:p>
    <w:p w14:paraId="3B28903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compromised-key response pathways;</w:t>
      </w:r>
    </w:p>
    <w:p w14:paraId="1E31B6B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fake-release response pathways;</w:t>
      </w:r>
    </w:p>
    <w:p w14:paraId="743B8CC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lastRenderedPageBreak/>
        <w:t>• public correction mechanisms.</w:t>
      </w:r>
    </w:p>
    <w:p w14:paraId="2B94A9A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operational rule is:</w:t>
      </w:r>
    </w:p>
    <w:p w14:paraId="013C385E"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no acceleration without evidence;</w:t>
      </w:r>
    </w:p>
    <w:p w14:paraId="7E4B2E6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no authority without review;</w:t>
      </w:r>
    </w:p>
    <w:p w14:paraId="254152A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no rights without legal structure;</w:t>
      </w:r>
    </w:p>
    <w:p w14:paraId="560DDA6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no claims without admissibility;</w:t>
      </w:r>
    </w:p>
    <w:p w14:paraId="6C81025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no implementation without source-layer fidelity;</w:t>
      </w:r>
    </w:p>
    <w:p w14:paraId="2C441B7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no partnership without defined boundaries;</w:t>
      </w:r>
    </w:p>
    <w:p w14:paraId="4BDED6A2"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no fork without status clarity;</w:t>
      </w:r>
    </w:p>
    <w:p w14:paraId="3EDCF15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no AI output without review where protected domains are involved;</w:t>
      </w:r>
    </w:p>
    <w:p w14:paraId="3D23BDC5"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no capital pathway without governance and legal discipline.</w:t>
      </w:r>
    </w:p>
    <w:p w14:paraId="1F3411A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This is not resistance to growth.</w:t>
      </w:r>
    </w:p>
    <w:p w14:paraId="2B94DF8C"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is the condition for trustworthy growth.</w:t>
      </w:r>
    </w:p>
    <w:p w14:paraId="0950CF1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 regenerative system must be capable of expansion without losing coherence.</w:t>
      </w:r>
    </w:p>
    <w:p w14:paraId="7C252E9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must be capable of attracting capital without becoming extractive.</w:t>
      </w:r>
    </w:p>
    <w:p w14:paraId="39787DFE"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must be capable of using AI without becoming automated authority.</w:t>
      </w:r>
    </w:p>
    <w:p w14:paraId="5E8642E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must be capable of accepting partners without being absorbed by them.</w:t>
      </w:r>
    </w:p>
    <w:p w14:paraId="5FC26D2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must be capable of being implemented without being diluted.</w:t>
      </w:r>
    </w:p>
    <w:p w14:paraId="40E1DF4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must be capable of being forked without confusing lineage.</w:t>
      </w:r>
    </w:p>
    <w:p w14:paraId="343ED75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final non-capture principle is:</w:t>
      </w:r>
    </w:p>
    <w:p w14:paraId="69D91CAB"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may be adopted by many actors;</w:t>
      </w:r>
    </w:p>
    <w:p w14:paraId="492DBF1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may be implemented through many tools;</w:t>
      </w:r>
    </w:p>
    <w:p w14:paraId="7B0794B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lastRenderedPageBreak/>
        <w:t>Prometheus may be studied by many institutions;</w:t>
      </w:r>
    </w:p>
    <w:p w14:paraId="6CE10A6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may be extended by many builders;</w:t>
      </w:r>
    </w:p>
    <w:p w14:paraId="10589D5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may be supported by many forms of capital;</w:t>
      </w:r>
    </w:p>
    <w:p w14:paraId="32989B3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but Prometheus remains itself only while the source layer, evidence discipline, legal boundaries, runtime coherence, and verifiable lineage remain intact.</w:t>
      </w:r>
    </w:p>
    <w:p w14:paraId="36C6CF45" w14:textId="77777777" w:rsidR="00A97DB8" w:rsidRPr="00B479AE" w:rsidRDefault="00A97DB8" w:rsidP="00A97DB8">
      <w:pPr>
        <w:spacing w:line="360" w:lineRule="auto"/>
        <w:rPr>
          <w:rFonts w:ascii="Baskerville Old Face" w:hAnsi="Baskerville Old Face"/>
          <w:b/>
          <w:bCs/>
          <w:i/>
          <w:iCs/>
        </w:rPr>
      </w:pPr>
      <w:r w:rsidRPr="00B479AE">
        <w:rPr>
          <w:rFonts w:ascii="Baskerville Old Face" w:hAnsi="Baskerville Old Face"/>
          <w:b/>
          <w:bCs/>
          <w:i/>
          <w:iCs/>
        </w:rPr>
        <w:t>S.17 Canonical Protection Formula</w:t>
      </w:r>
    </w:p>
    <w:p w14:paraId="040A65C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Prometheus canonical protection formula may be expressed as:</w:t>
      </w:r>
    </w:p>
    <w:p w14:paraId="1DEF69B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Canonical Trust = Source-Layer Fidelity × Release Integrity × Cryptographic Verification × Registry Status × Runtime Coherence × Custodial Continuity × Legal Admissibility</w:t>
      </w:r>
    </w:p>
    <w:p w14:paraId="04B79D4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This formula is not a mathematical enforcement rule.</w:t>
      </w:r>
    </w:p>
    <w:p w14:paraId="131A443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is a constitutional, institutional, technical, and legal discipline for preserving canonical trust.</w:t>
      </w:r>
    </w:p>
    <w:p w14:paraId="71B73F5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Where:</w:t>
      </w:r>
    </w:p>
    <w:p w14:paraId="1E055B7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Source-Layer Fidelity means preservation of constitutional meaning, core definitions, boundary rules, anti-bypass commitments, public-claim discipline, PRU / RAP / MRV separation, TRBK / HoloFuel / settlement-rail separation, and the foundational purpose of Prometheus.</w:t>
      </w:r>
    </w:p>
    <w:p w14:paraId="4E920DD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Release Integrity means that a document, file, codebase, dataset, methodology, dashboard, API, or implementation corresponds to an identified release, version, manifest, and release record.</w:t>
      </w:r>
    </w:p>
    <w:p w14:paraId="5429BA62"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Cryptographic Verification means that hashes, signatures, manifests, public keys, checksum files, and verification procedures confirm identity, integrity, and attribution.</w:t>
      </w:r>
    </w:p>
    <w:p w14:paraId="5FE0342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Registry Status means that the release, implementation, fork, methodology, claim, certification, mark use, or public representation is identified in the official canonical registry or its recognized continuity records.</w:t>
      </w:r>
    </w:p>
    <w:p w14:paraId="373E250C"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Runtime Coherence means that Holochain-compatible implementation, hApp behavior, bridge behavior, console behavior, evaluation-stack behavior, operational runbooks, API boundaries, zome boundaries, and deployment procedures remain aligned with the canonical source layer.</w:t>
      </w:r>
    </w:p>
    <w:p w14:paraId="6620058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lastRenderedPageBreak/>
        <w:t>Custodial Continuity means that official records, offline packages, trusted custodians, institutional deposits, archives, key-rotation records, compromised-key notices, and continuity procedures preserve the release lineage over time.</w:t>
      </w:r>
    </w:p>
    <w:p w14:paraId="75806FB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Legal Admissibility means that any public claim, investor-facing use, certification claim, PRU-related interpretation, digital representation, partnership use, data-room use, or capital-facing pathway remains within the applicable legal, contractual, disclosure, jurisdictional, and governance boundary.</w:t>
      </w:r>
    </w:p>
    <w:p w14:paraId="5B4ACCB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If any factor is weak, canonical trust is weakened.</w:t>
      </w:r>
    </w:p>
    <w:p w14:paraId="5F9C97D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If source-layer fidelity fails, similarity is insufficient.</w:t>
      </w:r>
    </w:p>
    <w:p w14:paraId="1579192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If release integrity fails, the artifact is unstable.</w:t>
      </w:r>
    </w:p>
    <w:p w14:paraId="61C59F3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If cryptographic verification fails, the artifact is not reliably attributable.</w:t>
      </w:r>
    </w:p>
    <w:p w14:paraId="7578E7F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If registry status is missing, public users cannot verify status.</w:t>
      </w:r>
    </w:p>
    <w:p w14:paraId="3A683F1B"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If runtime coherence fails, implementation drifts from meaning.</w:t>
      </w:r>
    </w:p>
    <w:p w14:paraId="4C49CE3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If custodial continuity fails, long-term survival becomes fragile.</w:t>
      </w:r>
    </w:p>
    <w:p w14:paraId="4678106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If legal admissibility fails, public or institutional use becomes unsafe.</w:t>
      </w:r>
    </w:p>
    <w:p w14:paraId="071A411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This formula clarifies that Prometheus canonical trust is not produced by visibility alone.</w:t>
      </w:r>
    </w:p>
    <w:p w14:paraId="154105D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is not produced by a GitHub repository alone.</w:t>
      </w:r>
    </w:p>
    <w:p w14:paraId="7A8A298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is not produced by a signature alone.</w:t>
      </w:r>
    </w:p>
    <w:p w14:paraId="2167F5C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is not produced by a domain alone.</w:t>
      </w:r>
    </w:p>
    <w:p w14:paraId="2C4C0BE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is not produced by popularity alone.</w:t>
      </w:r>
    </w:p>
    <w:p w14:paraId="7C70D95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is not produced by institutional adoption alone.</w:t>
      </w:r>
    </w:p>
    <w:p w14:paraId="104E71DE"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is not produced by technical deployment alone.</w:t>
      </w:r>
    </w:p>
    <w:p w14:paraId="2C72F8F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emerges from the convergence of meaning, release integrity, cryptographic proof, registry recognition, runtime fidelity, custodial continuity, and legal discipline.</w:t>
      </w:r>
    </w:p>
    <w:p w14:paraId="51C6C33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lastRenderedPageBreak/>
        <w:t>The canonical protection formula should guide all major Prometheus decisions involving:</w:t>
      </w:r>
    </w:p>
    <w:p w14:paraId="513D30B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public releases;</w:t>
      </w:r>
    </w:p>
    <w:p w14:paraId="3382946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GitHub publication;</w:t>
      </w:r>
    </w:p>
    <w:p w14:paraId="3383140C"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repository mirrors;</w:t>
      </w:r>
    </w:p>
    <w:p w14:paraId="46A4DCC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Holochain-compatible deployment;</w:t>
      </w:r>
    </w:p>
    <w:p w14:paraId="3DB6EF5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hApp updates;</w:t>
      </w:r>
    </w:p>
    <w:p w14:paraId="2E090B7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bridge updates;</w:t>
      </w:r>
    </w:p>
    <w:p w14:paraId="2C0A924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console updates;</w:t>
      </w:r>
    </w:p>
    <w:p w14:paraId="2C9B704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evaluation-stack updates;</w:t>
      </w:r>
    </w:p>
    <w:p w14:paraId="622F71F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pilot handoff packages;</w:t>
      </w:r>
    </w:p>
    <w:p w14:paraId="5133FB9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public claims;</w:t>
      </w:r>
    </w:p>
    <w:p w14:paraId="5247375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certification claims;</w:t>
      </w:r>
    </w:p>
    <w:p w14:paraId="112368B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investor-facing materials;</w:t>
      </w:r>
    </w:p>
    <w:p w14:paraId="1673FE7C"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legal wrappers;</w:t>
      </w:r>
    </w:p>
    <w:p w14:paraId="7AF686A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fork recognition;</w:t>
      </w:r>
    </w:p>
    <w:p w14:paraId="5E98A9EE"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translation status;</w:t>
      </w:r>
    </w:p>
    <w:p w14:paraId="21BBF3A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AI-generated materials;</w:t>
      </w:r>
    </w:p>
    <w:p w14:paraId="427EAECC"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institutional partnerships;</w:t>
      </w:r>
    </w:p>
    <w:p w14:paraId="1104A83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data-room access;</w:t>
      </w:r>
    </w:p>
    <w:p w14:paraId="7AB72E15"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capital-readiness materials.</w:t>
      </w:r>
    </w:p>
    <w:p w14:paraId="606FDA7B"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formula also creates a practical audit test.</w:t>
      </w:r>
    </w:p>
    <w:p w14:paraId="3E1D8E7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lastRenderedPageBreak/>
        <w:t>For any Prometheus artifact, reviewer, builder, partner, investor, AI agent, auditor, or institutional user should be able to ask:</w:t>
      </w:r>
    </w:p>
    <w:p w14:paraId="0EEED5F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Does this preserve the source layer?</w:t>
      </w:r>
    </w:p>
    <w:p w14:paraId="7B92B4F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Does this correspond to an identified release?</w:t>
      </w:r>
    </w:p>
    <w:p w14:paraId="4636A62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Can this file or claim be cryptographically verified?</w:t>
      </w:r>
    </w:p>
    <w:p w14:paraId="3991086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Is its status recorded in the canonical registry?</w:t>
      </w:r>
    </w:p>
    <w:p w14:paraId="0BFC0FEB"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Does the runtime behavior match the canonical meaning?</w:t>
      </w:r>
    </w:p>
    <w:p w14:paraId="5FFB5C32"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Is the release preserved through trusted continuity records?</w:t>
      </w:r>
    </w:p>
    <w:p w14:paraId="490CE25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Is the intended use legally and contractually admissible?</w:t>
      </w:r>
    </w:p>
    <w:p w14:paraId="0E5457A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If the answer to any of these questions is uncertain, the artifact, claim, implementation, fork, report, or pathway should remain under review.</w:t>
      </w:r>
    </w:p>
    <w:p w14:paraId="54B3B46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Canonical trust should not be assumed.</w:t>
      </w:r>
    </w:p>
    <w:p w14:paraId="0D1BB9BE"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should be demonstrated.</w:t>
      </w:r>
    </w:p>
    <w:p w14:paraId="7BB172F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expanded formula may also be expressed operationally as:</w:t>
      </w:r>
    </w:p>
    <w:p w14:paraId="6193FF0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Canonical Trust = Meaning × Integrity × Verification × Registry × Runtime × Continuity × Admissibility</w:t>
      </w:r>
    </w:p>
    <w:p w14:paraId="05ABFAF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This protects Prometheus from seven failure modes:</w:t>
      </w:r>
    </w:p>
    <w:p w14:paraId="31C8023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meaning drift;</w:t>
      </w:r>
    </w:p>
    <w:p w14:paraId="6109D71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file alteration;</w:t>
      </w:r>
    </w:p>
    <w:p w14:paraId="518C6DE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false attribution;</w:t>
      </w:r>
    </w:p>
    <w:p w14:paraId="1361491B"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fake canonical status;</w:t>
      </w:r>
    </w:p>
    <w:p w14:paraId="163E52E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implementation drift;</w:t>
      </w:r>
    </w:p>
    <w:p w14:paraId="6FFEFCF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archive fragility;</w:t>
      </w:r>
    </w:p>
    <w:p w14:paraId="243BB7D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lastRenderedPageBreak/>
        <w:t>legal overreach.</w:t>
      </w:r>
    </w:p>
    <w:p w14:paraId="2209B09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formula is deliberately multiplicative.</w:t>
      </w:r>
    </w:p>
    <w:p w14:paraId="68C77A3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 high score in one dimension cannot fully compensate for collapse in another.</w:t>
      </w:r>
    </w:p>
    <w:p w14:paraId="47A9BF5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 famous repository cannot compensate for source-layer drift.</w:t>
      </w:r>
    </w:p>
    <w:p w14:paraId="561E617E"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 valid signature cannot compensate for an overclaiming investor document.</w:t>
      </w:r>
    </w:p>
    <w:p w14:paraId="668F066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 strong legal wrapper cannot compensate for weak MRV evidence.</w:t>
      </w:r>
    </w:p>
    <w:p w14:paraId="17F558E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 technically functional hApp cannot compensate for constitutional mismatch.</w:t>
      </w:r>
    </w:p>
    <w:p w14:paraId="3A60C50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 beautiful public narrative cannot compensate for missing verification.</w:t>
      </w:r>
    </w:p>
    <w:p w14:paraId="2D7363F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canonical trust is therefore systemic.</w:t>
      </w:r>
    </w:p>
    <w:p w14:paraId="3ECF3DC5"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is not a brand claim.</w:t>
      </w:r>
    </w:p>
    <w:p w14:paraId="2F81812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is not a technical label.</w:t>
      </w:r>
    </w:p>
    <w:p w14:paraId="1643FC0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is not a marketing designation.</w:t>
      </w:r>
    </w:p>
    <w:p w14:paraId="49274F2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is a living continuity condition.</w:t>
      </w:r>
    </w:p>
    <w:p w14:paraId="0413C1F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operational rule is:</w:t>
      </w:r>
    </w:p>
    <w:p w14:paraId="0504E8D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meaning must remain faithful;</w:t>
      </w:r>
    </w:p>
    <w:p w14:paraId="2864435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files must remain verifiable;</w:t>
      </w:r>
    </w:p>
    <w:p w14:paraId="29790B6C"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claims must remain bounded;</w:t>
      </w:r>
    </w:p>
    <w:p w14:paraId="23B7F06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runtime must remain coherent;</w:t>
      </w:r>
    </w:p>
    <w:p w14:paraId="628E3B7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rights must remain legally structured;</w:t>
      </w:r>
    </w:p>
    <w:p w14:paraId="058B355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records must remain survivable;</w:t>
      </w:r>
    </w:p>
    <w:p w14:paraId="488A3BE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lineage must remain checkable.</w:t>
      </w:r>
    </w:p>
    <w:p w14:paraId="7A28B29B"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This formula allows Prometheus to evolve without dissolving.</w:t>
      </w:r>
    </w:p>
    <w:p w14:paraId="0658CC2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lastRenderedPageBreak/>
        <w:t>It allows new releases without losing old lineage.</w:t>
      </w:r>
    </w:p>
    <w:p w14:paraId="179D1172"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allows forks without false continuity.</w:t>
      </w:r>
    </w:p>
    <w:p w14:paraId="7FB3000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allows implementation without semantic drift.</w:t>
      </w:r>
    </w:p>
    <w:p w14:paraId="11140C0B"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allows institutional adoption without capture.</w:t>
      </w:r>
    </w:p>
    <w:p w14:paraId="491EC83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allows AI assistance without invented authority.</w:t>
      </w:r>
    </w:p>
    <w:p w14:paraId="3CF3544C"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allows global expansion without losing the source.</w:t>
      </w:r>
    </w:p>
    <w:p w14:paraId="6B2C475B" w14:textId="77777777" w:rsidR="00A97DB8" w:rsidRPr="00B479AE" w:rsidRDefault="00A97DB8" w:rsidP="00A97DB8">
      <w:pPr>
        <w:spacing w:line="360" w:lineRule="auto"/>
        <w:rPr>
          <w:rFonts w:ascii="Baskerville Old Face" w:hAnsi="Baskerville Old Face"/>
          <w:b/>
          <w:bCs/>
          <w:i/>
          <w:iCs/>
        </w:rPr>
      </w:pPr>
      <w:r w:rsidRPr="00B479AE">
        <w:rPr>
          <w:rFonts w:ascii="Baskerville Old Face" w:hAnsi="Baskerville Old Face"/>
          <w:b/>
          <w:bCs/>
          <w:i/>
          <w:iCs/>
        </w:rPr>
        <w:t>S.18 Final Protection Principle</w:t>
      </w:r>
    </w:p>
    <w:p w14:paraId="1CBA5B75"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does not survive by preventing all forks.</w:t>
      </w:r>
    </w:p>
    <w:p w14:paraId="3453527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survives by making lineage verifiable.</w:t>
      </w:r>
    </w:p>
    <w:p w14:paraId="7B8FC3EB"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does not survive by controlling every implementation.</w:t>
      </w:r>
    </w:p>
    <w:p w14:paraId="555C180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survives by preserving the distinction between canonical, compatible, independent, under review, restricted, non-admissible, quarantined, revoked, misleading, and hostile use.</w:t>
      </w:r>
    </w:p>
    <w:p w14:paraId="49121EDB"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does not survive by depending on a single website, repository, company, platform, token, AI model, custodian, institution, jurisdiction, cloud provider, domain, or public narrative.</w:t>
      </w:r>
    </w:p>
    <w:p w14:paraId="5736836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survives through source-layer fidelity, signed releases, cryptographic verification, registry continuity, runtime coherence, legal discipline, offline resilience, distributed custodianship, institutional boundaries, and long-duration stewardship.</w:t>
      </w:r>
    </w:p>
    <w:p w14:paraId="615B3FE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may spread through many forms.</w:t>
      </w:r>
    </w:p>
    <w:p w14:paraId="04AFAA6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appear as a White Paper.</w:t>
      </w:r>
    </w:p>
    <w:p w14:paraId="62292CAC"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appear as a repository.</w:t>
      </w:r>
    </w:p>
    <w:p w14:paraId="60A3BAF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appear as a Holochain-compatible hApp.</w:t>
      </w:r>
    </w:p>
    <w:p w14:paraId="044898E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appear as a dashboard.</w:t>
      </w:r>
    </w:p>
    <w:p w14:paraId="701FBE52"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appear as a methodology.</w:t>
      </w:r>
    </w:p>
    <w:p w14:paraId="0CD5442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lastRenderedPageBreak/>
        <w:t>It may appear as a pilot.</w:t>
      </w:r>
    </w:p>
    <w:p w14:paraId="6CA4697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appear as an OHE.</w:t>
      </w:r>
    </w:p>
    <w:p w14:paraId="7A6E6672"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appear as MRV documentation.</w:t>
      </w:r>
    </w:p>
    <w:p w14:paraId="785D256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appear as PRU value analysis.</w:t>
      </w:r>
    </w:p>
    <w:p w14:paraId="2871330B"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appear as a Regenerative Asset Pool.</w:t>
      </w:r>
    </w:p>
    <w:p w14:paraId="19BFF74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appear as a legal wrapper.</w:t>
      </w:r>
    </w:p>
    <w:p w14:paraId="747D2C5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appear as a data room.</w:t>
      </w:r>
    </w:p>
    <w:p w14:paraId="0119DFA5"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appear as a partner implementation.</w:t>
      </w:r>
    </w:p>
    <w:p w14:paraId="58A563AE"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appear as a public registry.</w:t>
      </w:r>
    </w:p>
    <w:p w14:paraId="5BEDE08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may appear as a future compliant institutional or digital representation.</w:t>
      </w:r>
    </w:p>
    <w:p w14:paraId="4FCB89F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But Prometheus remains Prometheus only when the lineage remains verifiable and the source-layer meaning remains intact.</w:t>
      </w:r>
    </w:p>
    <w:p w14:paraId="4E778F6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 fork may copy the form of Prometheus.</w:t>
      </w:r>
    </w:p>
    <w:p w14:paraId="5BC6679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Only fidelity to the source layer preserves the lineage of Prometheus.</w:t>
      </w:r>
    </w:p>
    <w:p w14:paraId="65811CF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 model may imitate the language of Prometheus.</w:t>
      </w:r>
    </w:p>
    <w:p w14:paraId="25420FE5"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Only verified release history preserves authority.</w:t>
      </w:r>
    </w:p>
    <w:p w14:paraId="726892F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 partner may use Prometheus concepts.</w:t>
      </w:r>
    </w:p>
    <w:p w14:paraId="30D9FDB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Only defined agreements preserve permitted use.</w:t>
      </w:r>
    </w:p>
    <w:p w14:paraId="35E7517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 repository may host Prometheus files.</w:t>
      </w:r>
    </w:p>
    <w:p w14:paraId="062DF37E"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Only cryptographic verification preserves integrity.</w:t>
      </w:r>
    </w:p>
    <w:p w14:paraId="2BE2DC6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 runtime may execute Prometheus workflows.</w:t>
      </w:r>
    </w:p>
    <w:p w14:paraId="392E14A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Only source-layer coherence preserves meaning.</w:t>
      </w:r>
    </w:p>
    <w:p w14:paraId="37DB8EE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lastRenderedPageBreak/>
        <w:t>A token may represent a defined instrument where legally structured.</w:t>
      </w:r>
    </w:p>
    <w:p w14:paraId="7D06294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Only the underlying legal right defines the representation.</w:t>
      </w:r>
    </w:p>
    <w:p w14:paraId="70698DA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An investor may review Prometheus materials.</w:t>
      </w:r>
    </w:p>
    <w:p w14:paraId="1C6D6225"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Only legal structure creates investor rights.</w:t>
      </w:r>
    </w:p>
    <w:p w14:paraId="2B5AEAC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An AI system may assist interpretation.</w:t>
      </w:r>
    </w:p>
    <w:p w14:paraId="59ECA24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Only review, evidence, governance, and law create authority.</w:t>
      </w:r>
    </w:p>
    <w:p w14:paraId="6619CE5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final protection principle is therefore:</w:t>
      </w:r>
    </w:p>
    <w:p w14:paraId="070EA07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may be open;</w:t>
      </w:r>
    </w:p>
    <w:p w14:paraId="572E2D6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but openness must not mean confusion.</w:t>
      </w:r>
    </w:p>
    <w:p w14:paraId="218F8E4C"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may be forkable;</w:t>
      </w:r>
    </w:p>
    <w:p w14:paraId="1B52CBF5"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but forkability must not mean false continuity.</w:t>
      </w:r>
    </w:p>
    <w:p w14:paraId="52674162"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may be investable;</w:t>
      </w:r>
    </w:p>
    <w:p w14:paraId="5E441C1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but investability must not mean premature financialization.</w:t>
      </w:r>
    </w:p>
    <w:p w14:paraId="75F6E09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may be technical;</w:t>
      </w:r>
    </w:p>
    <w:p w14:paraId="1B1213B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but technical execution must not override constitutional meaning.</w:t>
      </w:r>
    </w:p>
    <w:p w14:paraId="1F8A07E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may use AI;</w:t>
      </w:r>
    </w:p>
    <w:p w14:paraId="0D5DEEE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but AI must not become sovereign authority.</w:t>
      </w:r>
    </w:p>
    <w:p w14:paraId="67A2E06B"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may use tokens;</w:t>
      </w:r>
    </w:p>
    <w:p w14:paraId="6E88542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but tokens must not replace living-system value.</w:t>
      </w:r>
    </w:p>
    <w:p w14:paraId="7F11D3A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may enter institutions;</w:t>
      </w:r>
    </w:p>
    <w:p w14:paraId="69F1AC5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but institutions must not capture its purpose.</w:t>
      </w:r>
    </w:p>
    <w:p w14:paraId="776E985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may cross jurisdictions;</w:t>
      </w:r>
    </w:p>
    <w:p w14:paraId="68D74E05"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lastRenderedPageBreak/>
        <w:t>but international expansion must not dissolve source-layer fidelity.</w:t>
      </w:r>
    </w:p>
    <w:p w14:paraId="26D8FEF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may evolve;</w:t>
      </w:r>
    </w:p>
    <w:p w14:paraId="6DB9375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but evolution must not become amnesia.</w:t>
      </w:r>
    </w:p>
    <w:p w14:paraId="758C217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final sequence is:</w:t>
      </w:r>
    </w:p>
    <w:p w14:paraId="1BED135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 xml:space="preserve">source layer </w:t>
      </w:r>
      <w:r w:rsidRPr="00B479AE">
        <w:rPr>
          <w:rFonts w:ascii="Times New Roman" w:hAnsi="Times New Roman" w:cs="Times New Roman"/>
          <w:i/>
          <w:iCs/>
        </w:rPr>
        <w:t>→</w:t>
      </w:r>
      <w:r w:rsidRPr="00B479AE">
        <w:rPr>
          <w:rFonts w:ascii="Baskerville Old Face" w:hAnsi="Baskerville Old Face"/>
          <w:i/>
          <w:iCs/>
        </w:rPr>
        <w:t xml:space="preserve"> canonical release </w:t>
      </w:r>
      <w:r w:rsidRPr="00B479AE">
        <w:rPr>
          <w:rFonts w:ascii="Times New Roman" w:hAnsi="Times New Roman" w:cs="Times New Roman"/>
          <w:i/>
          <w:iCs/>
        </w:rPr>
        <w:t>→</w:t>
      </w:r>
      <w:r w:rsidRPr="00B479AE">
        <w:rPr>
          <w:rFonts w:ascii="Baskerville Old Face" w:hAnsi="Baskerville Old Face"/>
          <w:i/>
          <w:iCs/>
        </w:rPr>
        <w:t xml:space="preserve"> cryptographic verification </w:t>
      </w:r>
      <w:r w:rsidRPr="00B479AE">
        <w:rPr>
          <w:rFonts w:ascii="Times New Roman" w:hAnsi="Times New Roman" w:cs="Times New Roman"/>
          <w:i/>
          <w:iCs/>
        </w:rPr>
        <w:t>→</w:t>
      </w:r>
      <w:r w:rsidRPr="00B479AE">
        <w:rPr>
          <w:rFonts w:ascii="Baskerville Old Face" w:hAnsi="Baskerville Old Face"/>
          <w:i/>
          <w:iCs/>
        </w:rPr>
        <w:t xml:space="preserve"> registry status </w:t>
      </w:r>
      <w:r w:rsidRPr="00B479AE">
        <w:rPr>
          <w:rFonts w:ascii="Times New Roman" w:hAnsi="Times New Roman" w:cs="Times New Roman"/>
          <w:i/>
          <w:iCs/>
        </w:rPr>
        <w:t>→</w:t>
      </w:r>
      <w:r w:rsidRPr="00B479AE">
        <w:rPr>
          <w:rFonts w:ascii="Baskerville Old Face" w:hAnsi="Baskerville Old Face"/>
          <w:i/>
          <w:iCs/>
        </w:rPr>
        <w:t xml:space="preserve"> runtime coherence </w:t>
      </w:r>
      <w:r w:rsidRPr="00B479AE">
        <w:rPr>
          <w:rFonts w:ascii="Times New Roman" w:hAnsi="Times New Roman" w:cs="Times New Roman"/>
          <w:i/>
          <w:iCs/>
        </w:rPr>
        <w:t>→</w:t>
      </w:r>
      <w:r w:rsidRPr="00B479AE">
        <w:rPr>
          <w:rFonts w:ascii="Baskerville Old Face" w:hAnsi="Baskerville Old Face"/>
          <w:i/>
          <w:iCs/>
        </w:rPr>
        <w:t xml:space="preserve"> legal admissibility </w:t>
      </w:r>
      <w:r w:rsidRPr="00B479AE">
        <w:rPr>
          <w:rFonts w:ascii="Times New Roman" w:hAnsi="Times New Roman" w:cs="Times New Roman"/>
          <w:i/>
          <w:iCs/>
        </w:rPr>
        <w:t>→</w:t>
      </w:r>
      <w:r w:rsidRPr="00B479AE">
        <w:rPr>
          <w:rFonts w:ascii="Baskerville Old Face" w:hAnsi="Baskerville Old Face"/>
          <w:i/>
          <w:iCs/>
        </w:rPr>
        <w:t xml:space="preserve"> institutional use </w:t>
      </w:r>
      <w:r w:rsidRPr="00B479AE">
        <w:rPr>
          <w:rFonts w:ascii="Times New Roman" w:hAnsi="Times New Roman" w:cs="Times New Roman"/>
          <w:i/>
          <w:iCs/>
        </w:rPr>
        <w:t>→</w:t>
      </w:r>
      <w:r w:rsidRPr="00B479AE">
        <w:rPr>
          <w:rFonts w:ascii="Baskerville Old Face" w:hAnsi="Baskerville Old Face"/>
          <w:i/>
          <w:iCs/>
        </w:rPr>
        <w:t xml:space="preserve"> global continuity.</w:t>
      </w:r>
    </w:p>
    <w:p w14:paraId="710B0E12"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final boundary is:</w:t>
      </w:r>
    </w:p>
    <w:p w14:paraId="5027CE36"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life before abstraction;</w:t>
      </w:r>
    </w:p>
    <w:p w14:paraId="221EC942"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evidence before authority;</w:t>
      </w:r>
    </w:p>
    <w:p w14:paraId="121BA21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review before execution;</w:t>
      </w:r>
    </w:p>
    <w:p w14:paraId="4925761D"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legal structure before rights;</w:t>
      </w:r>
    </w:p>
    <w:p w14:paraId="3D310DC1"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rights before representation;</w:t>
      </w:r>
    </w:p>
    <w:p w14:paraId="1DE96913"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regeneration before capital;</w:t>
      </w:r>
    </w:p>
    <w:p w14:paraId="1E70CE14"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lineage before popularity;</w:t>
      </w:r>
    </w:p>
    <w:p w14:paraId="689E966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source-layer fidelity before scale.</w:t>
      </w:r>
    </w:p>
    <w:p w14:paraId="26FBDB2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Canonical continuity is the immortality layer of Prometheus.</w:t>
      </w:r>
    </w:p>
    <w:p w14:paraId="27137828"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Not because it freezes Prometheus forever.</w:t>
      </w:r>
    </w:p>
    <w:p w14:paraId="30F55C37"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Because it allows Prometheus to change without forgetting what it is for.</w:t>
      </w:r>
    </w:p>
    <w:p w14:paraId="4FDF80F9"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does not need to prevent the future.</w:t>
      </w:r>
    </w:p>
    <w:p w14:paraId="4C63A5E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It needs to enter the future with memory.</w:t>
      </w:r>
    </w:p>
    <w:p w14:paraId="25DF5EE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The final principle is:</w:t>
      </w:r>
    </w:p>
    <w:p w14:paraId="0548F700"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Prometheus may spread through many forms;</w:t>
      </w:r>
    </w:p>
    <w:p w14:paraId="5B38731F"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lastRenderedPageBreak/>
        <w:t>Prometheus remains itself only through verifiable lineage;</w:t>
      </w:r>
    </w:p>
    <w:p w14:paraId="1FA547FA" w14:textId="77777777" w:rsidR="00A97DB8" w:rsidRPr="00B479AE" w:rsidRDefault="00A97DB8" w:rsidP="00A97DB8">
      <w:pPr>
        <w:spacing w:line="360" w:lineRule="auto"/>
        <w:rPr>
          <w:rFonts w:ascii="Baskerville Old Face" w:hAnsi="Baskerville Old Face"/>
          <w:i/>
          <w:iCs/>
        </w:rPr>
      </w:pPr>
      <w:r w:rsidRPr="00B479AE">
        <w:rPr>
          <w:rFonts w:ascii="Baskerville Old Face" w:hAnsi="Baskerville Old Face"/>
          <w:i/>
          <w:iCs/>
        </w:rPr>
        <w:t>and verifiable lineage survives only when meaning, evidence, law, runtime, and custody remain aligned.</w:t>
      </w:r>
    </w:p>
    <w:p w14:paraId="33828DA9" w14:textId="77777777" w:rsidR="005E3F7F" w:rsidRPr="00B479AE" w:rsidRDefault="005E3F7F" w:rsidP="005E3F7F">
      <w:pPr>
        <w:spacing w:line="360" w:lineRule="auto"/>
        <w:rPr>
          <w:rFonts w:ascii="Baskerville Old Face" w:hAnsi="Baskerville Old Face"/>
          <w:b/>
          <w:bCs/>
          <w:i/>
          <w:iCs/>
        </w:rPr>
      </w:pPr>
      <w:r w:rsidRPr="00B479AE">
        <w:rPr>
          <w:rFonts w:ascii="Baskerville Old Face" w:hAnsi="Baskerville Old Face"/>
          <w:b/>
          <w:bCs/>
          <w:i/>
          <w:iCs/>
        </w:rPr>
        <w:t>To Future Builders</w:t>
      </w:r>
    </w:p>
    <w:p w14:paraId="05CB2DE8" w14:textId="5DDFAE9B" w:rsidR="003F3D80" w:rsidRPr="00B479AE" w:rsidRDefault="003F3D80" w:rsidP="005E3F7F">
      <w:pPr>
        <w:spacing w:line="360" w:lineRule="auto"/>
        <w:rPr>
          <w:rFonts w:ascii="Baskerville Old Face" w:hAnsi="Baskerville Old Face"/>
          <w:i/>
          <w:iCs/>
        </w:rPr>
      </w:pPr>
      <w:r w:rsidRPr="00B479AE">
        <w:rPr>
          <w:rFonts w:ascii="Baskerville Old Face" w:hAnsi="Baskerville Old Face"/>
          <w:i/>
          <w:iCs/>
        </w:rPr>
        <w:t>This framework was written in a time of ecological overshoot, institutional fragmentation, and collapsing trust.</w:t>
      </w:r>
    </w:p>
    <w:p w14:paraId="2889A57D"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It was written under the assumption that future generations may inherit tools more capable than ours, systems more automated than ours, models more predictive than ours, and infrastructures more powerful than ours.</w:t>
      </w:r>
    </w:p>
    <w:p w14:paraId="439E78C3"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But greater capability does not guarantee greater wisdom.</w:t>
      </w:r>
    </w:p>
    <w:p w14:paraId="318BAE34"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Greater intelligence does not guarantee greater responsibility.</w:t>
      </w:r>
    </w:p>
    <w:p w14:paraId="56A6C0CE"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Greater speed does not guarantee greater truth.</w:t>
      </w:r>
    </w:p>
    <w:p w14:paraId="563F765A"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Greater capital does not guarantee greater life.</w:t>
      </w:r>
    </w:p>
    <w:p w14:paraId="5BAC3A87"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For this reason, the purpose of this White Paper is not merely to describe a regenerative infrastructure.</w:t>
      </w:r>
    </w:p>
    <w:p w14:paraId="794E3318"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It is to preserve a discipline.</w:t>
      </w:r>
    </w:p>
    <w:p w14:paraId="480B08B1"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If you inherit Prometheus in a future phase of its evolution, do not ask only whether it can scale.</w:t>
      </w:r>
    </w:p>
    <w:p w14:paraId="6A595A92"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Ask whether it can preserve coherence under expansion.</w:t>
      </w:r>
    </w:p>
    <w:p w14:paraId="00F47EF1"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Do not ask only whether it can generate value.</w:t>
      </w:r>
    </w:p>
    <w:p w14:paraId="3EB6863E"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Ask whether that value remains accountable to the living systems from which all durable value ultimately arises.</w:t>
      </w:r>
    </w:p>
    <w:p w14:paraId="7B48D62F"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Do not ask only whether the system is more intelligent.</w:t>
      </w:r>
    </w:p>
    <w:p w14:paraId="344DB054"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Ask whether its intelligence remains bounded by responsibility, reviewability, humility, and respect for the conditions of life.</w:t>
      </w:r>
    </w:p>
    <w:p w14:paraId="237245AF"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lastRenderedPageBreak/>
        <w:t>Do not ask only whether the runtime works.</w:t>
      </w:r>
    </w:p>
    <w:p w14:paraId="71E802C5"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Ask whether runtime behavior remains faithful to the source layer.</w:t>
      </w:r>
    </w:p>
    <w:p w14:paraId="6CBF223F"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Do not ask only whether a release is visible.</w:t>
      </w:r>
    </w:p>
    <w:p w14:paraId="7B91AD44"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Ask whether it is verifiable.</w:t>
      </w:r>
    </w:p>
    <w:p w14:paraId="1EB0F694"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Do not ask only whether a fork is innovative.</w:t>
      </w:r>
    </w:p>
    <w:p w14:paraId="05F03C66"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Ask whether it preserves lineage or declares independence honestly.</w:t>
      </w:r>
    </w:p>
    <w:p w14:paraId="6C49C41B"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Do not ask only whether a token, instrument, note, fund, dashboard, report, or digital representation is technically possible.</w:t>
      </w:r>
    </w:p>
    <w:p w14:paraId="64F542B5"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Ask whether evidence, admissibility, legal structure, rights, disclosure, and governance are mature enough to support it.</w:t>
      </w:r>
    </w:p>
    <w:p w14:paraId="300D002F"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Prometheus was not created so that abstraction could outrun life.</w:t>
      </w:r>
    </w:p>
    <w:p w14:paraId="7DCCCA29"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It was created so that capital, technology, governance, law, and intelligence could become accountable to life.</w:t>
      </w:r>
    </w:p>
    <w:p w14:paraId="347484DA"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You may change the tools.</w:t>
      </w:r>
    </w:p>
    <w:p w14:paraId="75195FB5"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You may refine the models.</w:t>
      </w:r>
    </w:p>
    <w:p w14:paraId="69798BA7"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You may improve the implementation.</w:t>
      </w:r>
    </w:p>
    <w:p w14:paraId="76EF6AE5"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You may replace the interface.</w:t>
      </w:r>
    </w:p>
    <w:p w14:paraId="59E4BC3D"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You may upgrade the runtime.</w:t>
      </w:r>
    </w:p>
    <w:p w14:paraId="3716637A"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You may discover better ways to measure soil, water, biodiversity, human stewardship, territorial resilience, and ecological coherence.</w:t>
      </w:r>
    </w:p>
    <w:p w14:paraId="70F307B3"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You may create better MRV methods.</w:t>
      </w:r>
    </w:p>
    <w:p w14:paraId="367B49B3"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You may design stronger Holochain-compatible hApps.</w:t>
      </w:r>
    </w:p>
    <w:p w14:paraId="32C7329E"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You may improve bridge, console, registry, evaluation, and reporting systems.</w:t>
      </w:r>
    </w:p>
    <w:p w14:paraId="1EEDA208"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lastRenderedPageBreak/>
        <w:t>You may build better legal wrappers, better data rooms, better public registries, better institutional pathways, and better verification protocols.</w:t>
      </w:r>
    </w:p>
    <w:p w14:paraId="1D6DBD16"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But do not allow speed to outrun meaning.</w:t>
      </w:r>
    </w:p>
    <w:p w14:paraId="15FBC6F7"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Do not allow implementation to outrun constitutional integrity.</w:t>
      </w:r>
    </w:p>
    <w:p w14:paraId="770CC0A0"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Do not allow automation to outrun review.</w:t>
      </w:r>
    </w:p>
    <w:p w14:paraId="3F46C498"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Do not allow dashboards to outrun evidence.</w:t>
      </w:r>
    </w:p>
    <w:p w14:paraId="18F0C879"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Do not allow PRU language to outrun admissibility.</w:t>
      </w:r>
    </w:p>
    <w:p w14:paraId="684787D8"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Do not allow capital-readiness to outrun legal structure.</w:t>
      </w:r>
    </w:p>
    <w:p w14:paraId="1B336B06"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Do not allow representation to outrun rights.</w:t>
      </w:r>
    </w:p>
    <w:p w14:paraId="1E9D7AD5"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Do not allow tokenization to outrun the asset it claims to represent.</w:t>
      </w:r>
    </w:p>
    <w:p w14:paraId="1A7DF2F5"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Do not allow popularity to outrun lineage.</w:t>
      </w:r>
    </w:p>
    <w:p w14:paraId="6CDE4F9B"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Do not allow AI to imitate authority.</w:t>
      </w:r>
    </w:p>
    <w:p w14:paraId="27A0ECC3"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Do not allow institutions to absorb meaning.</w:t>
      </w:r>
    </w:p>
    <w:p w14:paraId="63A7CDA1"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Do not allow investors to rewrite purpose.</w:t>
      </w:r>
    </w:p>
    <w:p w14:paraId="37887CB2"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Do not allow forks to borrow the name while abandoning the source.</w:t>
      </w:r>
    </w:p>
    <w:p w14:paraId="0A247F06"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Prometheus may evolve.</w:t>
      </w:r>
    </w:p>
    <w:p w14:paraId="3529D229"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It must evolve.</w:t>
      </w:r>
    </w:p>
    <w:p w14:paraId="20704597"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A living architecture that cannot adapt will eventually become brittle.</w:t>
      </w:r>
    </w:p>
    <w:p w14:paraId="0E2A6B67"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But evolution is not amnesia.</w:t>
      </w:r>
    </w:p>
    <w:p w14:paraId="0C671514"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Adaptation is not dilution.</w:t>
      </w:r>
    </w:p>
    <w:p w14:paraId="69A05EC1"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Expansion is not authority.</w:t>
      </w:r>
    </w:p>
    <w:p w14:paraId="485FFEAF"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Replication is not continuity.</w:t>
      </w:r>
    </w:p>
    <w:p w14:paraId="25BA60FC"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lastRenderedPageBreak/>
        <w:t>Similarity is not lineage.</w:t>
      </w:r>
    </w:p>
    <w:p w14:paraId="7A275C1D"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A future Prometheus release may be more advanced than this one.</w:t>
      </w:r>
    </w:p>
    <w:p w14:paraId="5305CA0E"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It may be more computational.</w:t>
      </w:r>
    </w:p>
    <w:p w14:paraId="20256F4D"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It may be more distributed.</w:t>
      </w:r>
    </w:p>
    <w:p w14:paraId="572BAC3F"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It may be more institutional.</w:t>
      </w:r>
    </w:p>
    <w:p w14:paraId="417BCD78"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It may be more legally structured.</w:t>
      </w:r>
    </w:p>
    <w:p w14:paraId="4586539A"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It may be more deeply integrated with living landscapes, bioregional networks, public systems, capital markets, and artificial intelligence.</w:t>
      </w:r>
    </w:p>
    <w:p w14:paraId="4D422112"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But it must still answer the oldest question:</w:t>
      </w:r>
    </w:p>
    <w:p w14:paraId="7CFB9F7B"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Does this serve life?</w:t>
      </w:r>
    </w:p>
    <w:p w14:paraId="5C2219C2"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If the answer becomes unclear, pause.</w:t>
      </w:r>
    </w:p>
    <w:p w14:paraId="23430CDB"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If the evidence becomes weak, review.</w:t>
      </w:r>
    </w:p>
    <w:p w14:paraId="5E50FE2E"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If the language becomes inflated, correct.</w:t>
      </w:r>
    </w:p>
    <w:p w14:paraId="643415A2"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If capital pressures the system to move faster than admissibility, slow down.</w:t>
      </w:r>
    </w:p>
    <w:p w14:paraId="3D2EC969"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If AI begins to act as authority, restore review.</w:t>
      </w:r>
    </w:p>
    <w:p w14:paraId="46F187A7"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If a partner claims more than it has been granted, return to the registry.</w:t>
      </w:r>
    </w:p>
    <w:p w14:paraId="3AEDE896"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If a fork becomes confusing, classify it.</w:t>
      </w:r>
    </w:p>
    <w:p w14:paraId="540090F1"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If a release cannot be verified, do not trust it.</w:t>
      </w:r>
    </w:p>
    <w:p w14:paraId="34C54E36"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If the source layer is weakened, protect it before scaling.</w:t>
      </w:r>
    </w:p>
    <w:p w14:paraId="10562D3C"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Prometheus survives through memory.</w:t>
      </w:r>
    </w:p>
    <w:p w14:paraId="55121270"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Not nostalgic memory.</w:t>
      </w:r>
    </w:p>
    <w:p w14:paraId="315A4302"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Operational memory.</w:t>
      </w:r>
    </w:p>
    <w:p w14:paraId="6EC961EA"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lastRenderedPageBreak/>
        <w:t>Cryptographic memory.</w:t>
      </w:r>
    </w:p>
    <w:p w14:paraId="3EBE4512"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Ecological memory.</w:t>
      </w:r>
    </w:p>
    <w:p w14:paraId="246C8F25"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Legal memory.</w:t>
      </w:r>
    </w:p>
    <w:p w14:paraId="73BC3C7B"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Governance memory.</w:t>
      </w:r>
    </w:p>
    <w:p w14:paraId="176923D0"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Repository memory.</w:t>
      </w:r>
    </w:p>
    <w:p w14:paraId="378F900B"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Runtime memory.</w:t>
      </w:r>
    </w:p>
    <w:p w14:paraId="1995D9A7"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Custodial memory.</w:t>
      </w:r>
    </w:p>
    <w:p w14:paraId="24CBA579"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Living memory.</w:t>
      </w:r>
    </w:p>
    <w:p w14:paraId="3397E993"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Its continuity depends on the alignment of source-layer fidelity, release integrity, cryptographic verification, registry status, runtime coherence, legal admissibility, custodial continuity, and living purpose.</w:t>
      </w:r>
    </w:p>
    <w:p w14:paraId="65E88557"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Let future builders inherit not only the architecture, but also the discipline that prevents architecture from becoming capture.</w:t>
      </w:r>
    </w:p>
    <w:p w14:paraId="24504BC0"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Let them know that Prometheus was never meant to be preserved by rigidity, but by verifiable lineage, source-layer fidelity, reviewable evidence, legal clarity, runtime coherence, custodial continuity, and living purpose.</w:t>
      </w:r>
    </w:p>
    <w:p w14:paraId="3776C2DE"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If this framework deserves to survive, it will not be because it remained unchanged.</w:t>
      </w:r>
    </w:p>
    <w:p w14:paraId="621E8860"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It will be because it learned how to evolve without forgetting what it was for.</w:t>
      </w:r>
    </w:p>
    <w:p w14:paraId="4862C0E3"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May future builders inherit stronger systems.</w:t>
      </w:r>
    </w:p>
    <w:p w14:paraId="0F8EA187"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But let them also inherit stronger constraints.</w:t>
      </w:r>
    </w:p>
    <w:p w14:paraId="6DD78272"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Let them inherit architectures capable not only of growth, but of fidelity.</w:t>
      </w:r>
    </w:p>
    <w:p w14:paraId="7FB43769"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Let them inherit tools powerful enough to coordinate regeneration and boundaries strong enough to prevent extraction from returning under a new name.</w:t>
      </w:r>
    </w:p>
    <w:p w14:paraId="3FBEBBD8"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Let them inherit intelligence that serves humility.</w:t>
      </w:r>
    </w:p>
    <w:p w14:paraId="13391B53"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lastRenderedPageBreak/>
        <w:t>Let them inherit capital that serves life.</w:t>
      </w:r>
    </w:p>
    <w:p w14:paraId="10D9E811"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Let them inherit governance that serves evidence.</w:t>
      </w:r>
    </w:p>
    <w:p w14:paraId="12A88E66"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Let them inherit law that serves clarity.</w:t>
      </w:r>
    </w:p>
    <w:p w14:paraId="676B97B3"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Let them inherit technology that serves relationship.</w:t>
      </w:r>
    </w:p>
    <w:p w14:paraId="25A79428"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Let them inherit abundance without amnesia.</w:t>
      </w:r>
    </w:p>
    <w:p w14:paraId="28EB8C1D"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Let them inherit Prometheus not as a monument, but as a living covenant.</w:t>
      </w:r>
    </w:p>
    <w:p w14:paraId="6F6AF63F"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Constitutional maxims</w:t>
      </w:r>
    </w:p>
    <w:p w14:paraId="7575B430"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Scope before scale.</w:t>
      </w:r>
    </w:p>
    <w:p w14:paraId="3F8E8575"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Validation before execution.</w:t>
      </w:r>
    </w:p>
    <w:p w14:paraId="59A2A242"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Life before abstraction.</w:t>
      </w:r>
    </w:p>
    <w:p w14:paraId="4F37A620"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Evidence before authority.</w:t>
      </w:r>
    </w:p>
    <w:p w14:paraId="24ED05E6"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Review before automation.</w:t>
      </w:r>
    </w:p>
    <w:p w14:paraId="34080E17"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Admissibility before value.</w:t>
      </w:r>
    </w:p>
    <w:p w14:paraId="34115169"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Legal structure before rights.</w:t>
      </w:r>
    </w:p>
    <w:p w14:paraId="176D06CF"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Rights before representation.</w:t>
      </w:r>
    </w:p>
    <w:p w14:paraId="4CAAE89F"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Regeneration before capital.</w:t>
      </w:r>
    </w:p>
    <w:p w14:paraId="53AB0928"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Stewardship before monetization.</w:t>
      </w:r>
    </w:p>
    <w:p w14:paraId="638B24DC"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Coherence before expansion.</w:t>
      </w:r>
    </w:p>
    <w:p w14:paraId="6C120A40"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Semantics before speed.</w:t>
      </w:r>
    </w:p>
    <w:p w14:paraId="0B201C89"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Runtime fidelity before deployment.</w:t>
      </w:r>
    </w:p>
    <w:p w14:paraId="69F35ACE"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Repository visibility before public reliance.</w:t>
      </w:r>
    </w:p>
    <w:p w14:paraId="37EF8307"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Cryptographic verification before canonical trust.</w:t>
      </w:r>
    </w:p>
    <w:p w14:paraId="7A82767C"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lastRenderedPageBreak/>
        <w:t>Registry status before public claim.</w:t>
      </w:r>
    </w:p>
    <w:p w14:paraId="7A08762B"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Source-layer fidelity before implementation.</w:t>
      </w:r>
    </w:p>
    <w:p w14:paraId="31AA4B07"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Human dignity before optimization.</w:t>
      </w:r>
    </w:p>
    <w:p w14:paraId="6D0D2BAC"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Ecological reality before financial convenience.</w:t>
      </w:r>
    </w:p>
    <w:p w14:paraId="2D516769"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No dashboard is authority by itself.</w:t>
      </w:r>
    </w:p>
    <w:p w14:paraId="26F8FFC9"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No AI output is authority by itself.</w:t>
      </w:r>
    </w:p>
    <w:p w14:paraId="3979974A"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No token creates ecological value by itself.</w:t>
      </w:r>
    </w:p>
    <w:p w14:paraId="08ADC07C"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No fork creates lineage by itself.</w:t>
      </w:r>
    </w:p>
    <w:p w14:paraId="0CBE1D48"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No investment creates legitimacy by itself.</w:t>
      </w:r>
    </w:p>
    <w:p w14:paraId="74760A86"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No institution owns the meaning of Prometheus by itself.</w:t>
      </w:r>
    </w:p>
    <w:p w14:paraId="6F7EBFCC"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No durable value can emerge from the degradation of life-support systems.</w:t>
      </w:r>
    </w:p>
    <w:p w14:paraId="6C90DE88"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Future generations are present stakeholders.</w:t>
      </w:r>
    </w:p>
    <w:p w14:paraId="0CB5F721"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The source layer is the memory of Prometheus.</w:t>
      </w:r>
    </w:p>
    <w:p w14:paraId="3BD659DF"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Verifiable lineage is the continuity of Prometheus.</w:t>
      </w:r>
    </w:p>
    <w:p w14:paraId="29429249"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Living systems are the origin of Prometheus.</w:t>
      </w:r>
    </w:p>
    <w:p w14:paraId="79F2BEED" w14:textId="77777777" w:rsidR="005E3F7F" w:rsidRPr="00B479AE" w:rsidRDefault="005E3F7F" w:rsidP="005E3F7F">
      <w:pPr>
        <w:spacing w:line="360" w:lineRule="auto"/>
        <w:rPr>
          <w:rFonts w:ascii="Baskerville Old Face" w:hAnsi="Baskerville Old Face"/>
          <w:i/>
          <w:iCs/>
        </w:rPr>
      </w:pPr>
      <w:r w:rsidRPr="00B479AE">
        <w:rPr>
          <w:rFonts w:ascii="Baskerville Old Face" w:hAnsi="Baskerville Old Face"/>
          <w:i/>
          <w:iCs/>
        </w:rPr>
        <w:t>Regeneration is the purpose of Prometheus.</w:t>
      </w:r>
    </w:p>
    <w:p w14:paraId="247ABCF3" w14:textId="29C4A325" w:rsidR="001A374E" w:rsidRPr="00B479AE" w:rsidRDefault="001A374E" w:rsidP="001A374E">
      <w:pPr>
        <w:spacing w:line="360" w:lineRule="auto"/>
        <w:rPr>
          <w:rFonts w:ascii="Baskerville Old Face" w:hAnsi="Baskerville Old Face"/>
          <w:i/>
          <w:iCs/>
        </w:rPr>
      </w:pPr>
      <w:r w:rsidRPr="00B479AE">
        <w:rPr>
          <w:rFonts w:ascii="Baskerville Old Face" w:hAnsi="Baskerville Old Face"/>
          <w:b/>
          <w:bCs/>
          <w:i/>
          <w:iCs/>
        </w:rPr>
        <w:t>Constitutional documents and cryptographic integrity</w:t>
      </w:r>
    </w:p>
    <w:p w14:paraId="6DC214DA" w14:textId="77777777" w:rsidR="00AB7F5C" w:rsidRPr="00B479AE" w:rsidRDefault="00AB7F5C" w:rsidP="00AB7F5C">
      <w:pPr>
        <w:spacing w:line="360" w:lineRule="auto"/>
        <w:rPr>
          <w:rFonts w:ascii="Baskerville Old Face" w:hAnsi="Baskerville Old Face"/>
          <w:i/>
          <w:iCs/>
        </w:rPr>
      </w:pPr>
      <w:r w:rsidRPr="00B479AE">
        <w:rPr>
          <w:rFonts w:ascii="Baskerville Old Face" w:hAnsi="Baskerville Old Face"/>
          <w:i/>
          <w:iCs/>
        </w:rPr>
        <w:t>The following section identifies the constitutional documents and verification artifacts intended to support the canonical release of this White Paper.</w:t>
      </w:r>
    </w:p>
    <w:p w14:paraId="1F3EA739" w14:textId="77777777" w:rsidR="00AB7F5C" w:rsidRPr="00B479AE" w:rsidRDefault="00AB7F5C" w:rsidP="00AB7F5C">
      <w:pPr>
        <w:spacing w:line="360" w:lineRule="auto"/>
        <w:rPr>
          <w:rFonts w:ascii="Baskerville Old Face" w:hAnsi="Baskerville Old Face"/>
          <w:i/>
          <w:iCs/>
        </w:rPr>
      </w:pPr>
      <w:r w:rsidRPr="00B479AE">
        <w:rPr>
          <w:rFonts w:ascii="Baskerville Old Face" w:hAnsi="Baskerville Old Face"/>
          <w:i/>
          <w:iCs/>
        </w:rPr>
        <w:t>Until the final release package has been exported, hashed, signed, and published through the official verification materials, this section should be interpreted as a release-preparation record rather than as final cryptographic certification.</w:t>
      </w:r>
    </w:p>
    <w:p w14:paraId="374F4B58" w14:textId="77777777" w:rsidR="00AB7F5C" w:rsidRPr="00B479AE" w:rsidRDefault="00AB7F5C" w:rsidP="00AB7F5C">
      <w:pPr>
        <w:spacing w:line="360" w:lineRule="auto"/>
        <w:rPr>
          <w:rFonts w:ascii="Baskerville Old Face" w:hAnsi="Baskerville Old Face"/>
          <w:i/>
          <w:iCs/>
        </w:rPr>
      </w:pPr>
      <w:r w:rsidRPr="00B479AE">
        <w:rPr>
          <w:rFonts w:ascii="Baskerville Old Face" w:hAnsi="Baskerville Old Face"/>
          <w:i/>
          <w:iCs/>
        </w:rPr>
        <w:lastRenderedPageBreak/>
        <w:t>The final canonical release should identify the exact DOCX, PDF, Markdown or source files, checksum files, detached signatures, release manifest, public key, repository reference, and verification instructions associated with the signed release package.</w:t>
      </w:r>
    </w:p>
    <w:p w14:paraId="66106C8C" w14:textId="20069358" w:rsidR="001616A3" w:rsidRPr="00B479AE" w:rsidRDefault="001616A3" w:rsidP="00AB7F5C">
      <w:pPr>
        <w:spacing w:line="360" w:lineRule="auto"/>
        <w:rPr>
          <w:rFonts w:ascii="Baskerville Old Face" w:hAnsi="Baskerville Old Face"/>
          <w:b/>
          <w:bCs/>
          <w:i/>
          <w:iCs/>
        </w:rPr>
      </w:pPr>
      <w:r w:rsidRPr="00B479AE">
        <w:rPr>
          <w:rFonts w:ascii="Baskerville Old Face" w:hAnsi="Baskerville Old Face"/>
          <w:b/>
          <w:bCs/>
          <w:i/>
          <w:iCs/>
        </w:rPr>
        <w:t>Part 1: Incorporated constitutional documents</w:t>
      </w:r>
    </w:p>
    <w:p w14:paraId="36347AAC" w14:textId="77777777" w:rsidR="00A8509D" w:rsidRPr="00B479AE" w:rsidRDefault="00A8509D" w:rsidP="00A8509D">
      <w:pPr>
        <w:spacing w:line="360" w:lineRule="auto"/>
        <w:rPr>
          <w:rFonts w:ascii="Baskerville Old Face" w:hAnsi="Baskerville Old Face"/>
          <w:i/>
          <w:iCs/>
        </w:rPr>
      </w:pPr>
      <w:r w:rsidRPr="00B479AE">
        <w:rPr>
          <w:rFonts w:ascii="Baskerville Old Face" w:hAnsi="Baskerville Old Face"/>
          <w:i/>
          <w:iCs/>
        </w:rPr>
        <w:t>The h•eart•h Prometheus sovereign syntropy framework constitutes the fundamental law of the system. This White Paper is its authoritative exposition.</w:t>
      </w:r>
    </w:p>
    <w:p w14:paraId="1652EAFC" w14:textId="77777777" w:rsidR="00A8509D" w:rsidRPr="00B479AE" w:rsidRDefault="00A8509D" w:rsidP="00A8509D">
      <w:pPr>
        <w:spacing w:line="360" w:lineRule="auto"/>
        <w:rPr>
          <w:rFonts w:ascii="Baskerville Old Face" w:hAnsi="Baskerville Old Face"/>
          <w:i/>
          <w:iCs/>
        </w:rPr>
      </w:pPr>
      <w:r w:rsidRPr="00B479AE">
        <w:rPr>
          <w:rFonts w:ascii="Baskerville Old Face" w:hAnsi="Baskerville Old Face"/>
          <w:i/>
          <w:iCs/>
        </w:rPr>
        <w:t>All system components and the h•eart•h Prometheus kernel operate under three constitutionally incorporated documents, forming an indivisible legal-technical trinity:</w:t>
      </w:r>
    </w:p>
    <w:p w14:paraId="060D7881" w14:textId="77777777" w:rsidR="00A8509D" w:rsidRPr="00B479AE" w:rsidRDefault="00A8509D" w:rsidP="00A8509D">
      <w:pPr>
        <w:spacing w:line="360" w:lineRule="auto"/>
        <w:rPr>
          <w:rFonts w:ascii="Baskerville Old Face" w:hAnsi="Baskerville Old Face"/>
          <w:i/>
          <w:iCs/>
        </w:rPr>
      </w:pPr>
      <w:r w:rsidRPr="00B479AE">
        <w:rPr>
          <w:rFonts w:ascii="Baskerville Old Face" w:hAnsi="Baskerville Old Face"/>
          <w:i/>
          <w:iCs/>
        </w:rPr>
        <w:t>• Syntropic Sovereignty Header</w:t>
      </w:r>
      <w:r w:rsidRPr="00B479AE">
        <w:rPr>
          <w:rFonts w:ascii="Baskerville Old Face" w:hAnsi="Baskerville Old Face"/>
          <w:i/>
          <w:iCs/>
        </w:rPr>
        <w:br/>
        <w:t>File: Syntropic_Sovereignty_Header.md</w:t>
      </w:r>
      <w:r w:rsidRPr="00B479AE">
        <w:rPr>
          <w:rFonts w:ascii="Baskerville Old Face" w:hAnsi="Baskerville Old Face"/>
          <w:i/>
          <w:iCs/>
        </w:rPr>
        <w:br/>
        <w:t>Role: Cryptographic enforcement of syntropic logic at the data-packet level; implements Article XI.</w:t>
      </w:r>
      <w:r w:rsidRPr="00B479AE">
        <w:rPr>
          <w:rFonts w:ascii="Baskerville Old Face" w:hAnsi="Baskerville Old Face"/>
          <w:i/>
          <w:iCs/>
        </w:rPr>
        <w:br/>
        <w:t>SHA-256: to be generated upon canonical release.</w:t>
      </w:r>
    </w:p>
    <w:p w14:paraId="4DD48DC2" w14:textId="77777777" w:rsidR="00A8509D" w:rsidRPr="00B479AE" w:rsidRDefault="00A8509D" w:rsidP="00A8509D">
      <w:pPr>
        <w:spacing w:line="360" w:lineRule="auto"/>
        <w:rPr>
          <w:rFonts w:ascii="Baskerville Old Face" w:hAnsi="Baskerville Old Face"/>
          <w:i/>
          <w:iCs/>
        </w:rPr>
      </w:pPr>
      <w:r w:rsidRPr="00B479AE">
        <w:rPr>
          <w:rFonts w:ascii="Baskerville Old Face" w:hAnsi="Baskerville Old Face"/>
          <w:i/>
          <w:iCs/>
        </w:rPr>
        <w:t>• h•eart•h intelligence Manifesto</w:t>
      </w:r>
      <w:r w:rsidRPr="00B479AE">
        <w:rPr>
          <w:rFonts w:ascii="Baskerville Old Face" w:hAnsi="Baskerville Old Face"/>
          <w:i/>
          <w:iCs/>
        </w:rPr>
        <w:br/>
        <w:t>File: h•eart•h_intelligence_Manifesto.md</w:t>
      </w:r>
      <w:r w:rsidRPr="00B479AE">
        <w:rPr>
          <w:rFonts w:ascii="Baskerville Old Face" w:hAnsi="Baskerville Old Face"/>
          <w:i/>
          <w:iCs/>
        </w:rPr>
        <w:br/>
        <w:t>Role: Ethical and philosophical foundation defining the spiral of abundance and the sacred pact.</w:t>
      </w:r>
      <w:r w:rsidRPr="00B479AE">
        <w:rPr>
          <w:rFonts w:ascii="Baskerville Old Face" w:hAnsi="Baskerville Old Face"/>
          <w:i/>
          <w:iCs/>
        </w:rPr>
        <w:br/>
        <w:t>SHA-256: to be generated upon canonical release.</w:t>
      </w:r>
    </w:p>
    <w:p w14:paraId="6E4F1B59" w14:textId="77777777" w:rsidR="00A8509D" w:rsidRPr="00B479AE" w:rsidRDefault="00A8509D" w:rsidP="00A8509D">
      <w:pPr>
        <w:spacing w:line="360" w:lineRule="auto"/>
        <w:rPr>
          <w:rFonts w:ascii="Baskerville Old Face" w:hAnsi="Baskerville Old Face"/>
          <w:i/>
          <w:iCs/>
        </w:rPr>
      </w:pPr>
      <w:r w:rsidRPr="00B479AE">
        <w:rPr>
          <w:rFonts w:ascii="Baskerville Old Face" w:hAnsi="Baskerville Old Face"/>
          <w:i/>
          <w:iCs/>
        </w:rPr>
        <w:t>• CAL-1.0 Syntropic rider license</w:t>
      </w:r>
      <w:r w:rsidRPr="00B479AE">
        <w:rPr>
          <w:rFonts w:ascii="Baskerville Old Face" w:hAnsi="Baskerville Old Face"/>
          <w:i/>
          <w:iCs/>
        </w:rPr>
        <w:br/>
        <w:t>File: CAL-1.0_Syntropic_rider_license.md</w:t>
      </w:r>
      <w:r w:rsidRPr="00B479AE">
        <w:rPr>
          <w:rFonts w:ascii="Baskerville Old Face" w:hAnsi="Baskerville Old Face"/>
          <w:i/>
          <w:iCs/>
        </w:rPr>
        <w:br/>
        <w:t>Role: Legal bridge ensuring that software usage remains in service of life, binding all code to constitutional principles.</w:t>
      </w:r>
      <w:r w:rsidRPr="00B479AE">
        <w:rPr>
          <w:rFonts w:ascii="Baskerville Old Face" w:hAnsi="Baskerville Old Face"/>
          <w:i/>
          <w:iCs/>
        </w:rPr>
        <w:br/>
        <w:t>SHA-256: to be generated upon canonical release.</w:t>
      </w:r>
    </w:p>
    <w:p w14:paraId="2DF9CEED" w14:textId="77777777" w:rsidR="001E790F" w:rsidRPr="001E790F" w:rsidRDefault="004E6F0B" w:rsidP="001E790F">
      <w:pPr>
        <w:spacing w:line="360" w:lineRule="auto"/>
        <w:rPr>
          <w:rFonts w:ascii="Baskerville Old Face" w:hAnsi="Baskerville Old Face"/>
          <w:i/>
          <w:iCs/>
        </w:rPr>
      </w:pPr>
      <w:r w:rsidRPr="00B479AE">
        <w:rPr>
          <w:rFonts w:ascii="Baskerville Old Face" w:hAnsi="Baskerville Old Face"/>
          <w:i/>
          <w:iCs/>
        </w:rPr>
        <w:t xml:space="preserve">Cryptographic incorporation principle: these documents are incorporated into the Prometheus constitutional framework by reference to their SHA-256 hashes. Their canonical identity is defined by the exact hashed versions identified in the release materials. </w:t>
      </w:r>
      <w:r w:rsidR="001E790F" w:rsidRPr="001E790F">
        <w:rPr>
          <w:rFonts w:ascii="Baskerville Old Face" w:hAnsi="Baskerville Old Face"/>
          <w:i/>
          <w:iCs/>
        </w:rPr>
        <w:t>Use, implementation, contribution, participation, protected access, or reliance within Prometheus pathways constitutes acceptance of the incorporated documents in their verified hashed versions, subject to the Access Covenant, the applicable participation provisions, and the canonical release records.</w:t>
      </w:r>
    </w:p>
    <w:p w14:paraId="21CF7FEF" w14:textId="77777777" w:rsidR="00E94442" w:rsidRDefault="00E94442" w:rsidP="001616A3">
      <w:pPr>
        <w:spacing w:line="360" w:lineRule="auto"/>
        <w:rPr>
          <w:rFonts w:ascii="Baskerville Old Face" w:hAnsi="Baskerville Old Face"/>
          <w:b/>
          <w:bCs/>
          <w:i/>
          <w:iCs/>
        </w:rPr>
      </w:pPr>
    </w:p>
    <w:p w14:paraId="3022E26F" w14:textId="77777777" w:rsidR="00E94442" w:rsidRDefault="00E94442" w:rsidP="001616A3">
      <w:pPr>
        <w:spacing w:line="360" w:lineRule="auto"/>
        <w:rPr>
          <w:rFonts w:ascii="Baskerville Old Face" w:hAnsi="Baskerville Old Face"/>
          <w:b/>
          <w:bCs/>
          <w:i/>
          <w:iCs/>
        </w:rPr>
      </w:pPr>
    </w:p>
    <w:p w14:paraId="6480148A" w14:textId="306BBC48" w:rsidR="001616A3" w:rsidRPr="00B479AE" w:rsidRDefault="001616A3" w:rsidP="001616A3">
      <w:pPr>
        <w:spacing w:line="360" w:lineRule="auto"/>
        <w:rPr>
          <w:rFonts w:ascii="Baskerville Old Face" w:hAnsi="Baskerville Old Face"/>
          <w:b/>
          <w:bCs/>
          <w:i/>
          <w:iCs/>
        </w:rPr>
      </w:pPr>
      <w:r w:rsidRPr="00B479AE">
        <w:rPr>
          <w:rFonts w:ascii="Baskerville Old Face" w:hAnsi="Baskerville Old Face"/>
          <w:b/>
          <w:bCs/>
          <w:i/>
          <w:iCs/>
        </w:rPr>
        <w:lastRenderedPageBreak/>
        <w:t>Part 2: Verification and cryptographic integrity materials</w:t>
      </w:r>
    </w:p>
    <w:p w14:paraId="20C39030" w14:textId="0FD2F177" w:rsidR="00AB7F5C" w:rsidRPr="00B479AE" w:rsidRDefault="00AB7F5C" w:rsidP="001616A3">
      <w:pPr>
        <w:spacing w:line="360" w:lineRule="auto"/>
        <w:rPr>
          <w:rFonts w:ascii="Baskerville Old Face" w:hAnsi="Baskerville Old Face"/>
          <w:i/>
          <w:iCs/>
        </w:rPr>
      </w:pPr>
      <w:r w:rsidRPr="00B479AE">
        <w:rPr>
          <w:rFonts w:ascii="Baskerville Old Face" w:hAnsi="Baskerville Old Face"/>
          <w:i/>
          <w:iCs/>
        </w:rPr>
        <w:t>Upon final release, this White Paper should be digitally signed to support authenticity and integrity verification.</w:t>
      </w:r>
    </w:p>
    <w:p w14:paraId="30DBD515" w14:textId="130124DD" w:rsidR="001616A3" w:rsidRPr="00B479AE" w:rsidRDefault="001616A3" w:rsidP="000E6A2A">
      <w:pPr>
        <w:spacing w:line="360" w:lineRule="auto"/>
        <w:rPr>
          <w:rFonts w:ascii="Baskerville Old Face" w:hAnsi="Baskerville Old Face"/>
          <w:i/>
          <w:iCs/>
        </w:rPr>
      </w:pPr>
      <w:r w:rsidRPr="00B479AE">
        <w:rPr>
          <w:rFonts w:ascii="Baskerville Old Face" w:hAnsi="Baskerville Old Face"/>
          <w:i/>
          <w:iCs/>
        </w:rPr>
        <w:t>Anyone can verify the signature using standard OpenPGP tools.</w:t>
      </w:r>
    </w:p>
    <w:p w14:paraId="29CF4972" w14:textId="77777777" w:rsidR="000E6A2A" w:rsidRPr="00B479AE" w:rsidRDefault="000E6A2A" w:rsidP="000E6A2A">
      <w:pPr>
        <w:spacing w:line="360" w:lineRule="auto"/>
        <w:rPr>
          <w:rFonts w:ascii="Baskerville Old Face" w:hAnsi="Baskerville Old Face"/>
          <w:i/>
          <w:iCs/>
        </w:rPr>
      </w:pPr>
      <w:r w:rsidRPr="00B479AE">
        <w:rPr>
          <w:rFonts w:ascii="Baskerville Old Face" w:hAnsi="Baskerville Old Face"/>
          <w:i/>
          <w:iCs/>
        </w:rPr>
        <w:t>• Digitally signed document: to be generated upon canonical release.</w:t>
      </w:r>
    </w:p>
    <w:p w14:paraId="10416113" w14:textId="77777777" w:rsidR="000E6A2A" w:rsidRPr="00B479AE" w:rsidRDefault="000E6A2A" w:rsidP="000E6A2A">
      <w:pPr>
        <w:spacing w:line="360" w:lineRule="auto"/>
        <w:rPr>
          <w:rFonts w:ascii="Baskerville Old Face" w:hAnsi="Baskerville Old Face"/>
          <w:i/>
          <w:iCs/>
        </w:rPr>
      </w:pPr>
      <w:r w:rsidRPr="00B479AE">
        <w:rPr>
          <w:rFonts w:ascii="Baskerville Old Face" w:hAnsi="Baskerville Old Face"/>
          <w:i/>
          <w:iCs/>
        </w:rPr>
        <w:t>• SHA-256: to be generated upon canonical release.</w:t>
      </w:r>
    </w:p>
    <w:p w14:paraId="3735D465" w14:textId="77777777" w:rsidR="000E6A2A" w:rsidRPr="00B479AE" w:rsidRDefault="000E6A2A" w:rsidP="000E6A2A">
      <w:pPr>
        <w:spacing w:line="360" w:lineRule="auto"/>
        <w:rPr>
          <w:rFonts w:ascii="Baskerville Old Face" w:hAnsi="Baskerville Old Face"/>
          <w:i/>
          <w:iCs/>
        </w:rPr>
      </w:pPr>
      <w:r w:rsidRPr="00B479AE">
        <w:rPr>
          <w:rFonts w:ascii="Baskerville Old Face" w:hAnsi="Baskerville Old Face"/>
          <w:i/>
          <w:iCs/>
        </w:rPr>
        <w:t>• Digital signature file: to be generated upon canonical release.</w:t>
      </w:r>
    </w:p>
    <w:p w14:paraId="2721ECE7" w14:textId="77777777" w:rsidR="000E6A2A" w:rsidRPr="00B479AE" w:rsidRDefault="000E6A2A" w:rsidP="000E6A2A">
      <w:pPr>
        <w:spacing w:line="360" w:lineRule="auto"/>
        <w:rPr>
          <w:rFonts w:ascii="Baskerville Old Face" w:hAnsi="Baskerville Old Face"/>
          <w:i/>
          <w:iCs/>
        </w:rPr>
      </w:pPr>
      <w:r w:rsidRPr="00B479AE">
        <w:rPr>
          <w:rFonts w:ascii="Baskerville Old Face" w:hAnsi="Baskerville Old Face"/>
          <w:i/>
          <w:iCs/>
        </w:rPr>
        <w:t>• Signer: to be confirmed upon canonical release.</w:t>
      </w:r>
    </w:p>
    <w:p w14:paraId="5B8A14F6" w14:textId="77777777" w:rsidR="000E6A2A" w:rsidRPr="00B479AE" w:rsidRDefault="000E6A2A" w:rsidP="000E6A2A">
      <w:pPr>
        <w:spacing w:line="360" w:lineRule="auto"/>
        <w:rPr>
          <w:rFonts w:ascii="Baskerville Old Face" w:hAnsi="Baskerville Old Face"/>
          <w:i/>
          <w:iCs/>
        </w:rPr>
      </w:pPr>
      <w:r w:rsidRPr="00B479AE">
        <w:rPr>
          <w:rFonts w:ascii="Baskerville Old Face" w:hAnsi="Baskerville Old Face"/>
          <w:i/>
          <w:iCs/>
        </w:rPr>
        <w:t>• Key ID: to be confirmed upon canonical release.</w:t>
      </w:r>
    </w:p>
    <w:p w14:paraId="5B53004D" w14:textId="77777777" w:rsidR="000E6A2A" w:rsidRPr="00B479AE" w:rsidRDefault="000E6A2A" w:rsidP="000E6A2A">
      <w:pPr>
        <w:spacing w:line="360" w:lineRule="auto"/>
        <w:rPr>
          <w:rFonts w:ascii="Baskerville Old Face" w:hAnsi="Baskerville Old Face"/>
          <w:i/>
          <w:iCs/>
        </w:rPr>
      </w:pPr>
      <w:r w:rsidRPr="00B479AE">
        <w:rPr>
          <w:rFonts w:ascii="Baskerville Old Face" w:hAnsi="Baskerville Old Face"/>
          <w:i/>
          <w:iCs/>
        </w:rPr>
        <w:t>• Short key ID: to be confirmed upon canonical release.</w:t>
      </w:r>
    </w:p>
    <w:p w14:paraId="65E40BCE" w14:textId="1A3F6922" w:rsidR="000E6A2A" w:rsidRPr="00B479AE" w:rsidRDefault="000E6A2A" w:rsidP="000E6A2A">
      <w:pPr>
        <w:spacing w:line="360" w:lineRule="auto"/>
        <w:rPr>
          <w:rFonts w:ascii="Baskerville Old Face" w:hAnsi="Baskerville Old Face"/>
          <w:i/>
          <w:iCs/>
        </w:rPr>
      </w:pPr>
      <w:r w:rsidRPr="00B479AE">
        <w:rPr>
          <w:rFonts w:ascii="Baskerville Old Face" w:hAnsi="Baskerville Old Face"/>
          <w:i/>
          <w:iCs/>
        </w:rPr>
        <w:t>• Key fingerprint: to be confirmed upon canonical release.</w:t>
      </w:r>
    </w:p>
    <w:p w14:paraId="60EEEC6E" w14:textId="77777777" w:rsidR="001616A3" w:rsidRPr="00B479AE" w:rsidRDefault="001616A3" w:rsidP="001616A3">
      <w:pPr>
        <w:spacing w:line="360" w:lineRule="auto"/>
        <w:rPr>
          <w:rFonts w:ascii="Baskerville Old Face" w:hAnsi="Baskerville Old Face"/>
          <w:i/>
          <w:iCs/>
        </w:rPr>
      </w:pPr>
      <w:r w:rsidRPr="00B479AE">
        <w:rPr>
          <w:rFonts w:ascii="Baskerville Old Face" w:hAnsi="Baskerville Old Face"/>
          <w:i/>
          <w:iCs/>
        </w:rPr>
        <w:t>Complete verification materials, including detailed technical specifications, verification commands, package integrity checks, and release metadata, are distributed separately through the verification and reproducibility set, including:</w:t>
      </w:r>
    </w:p>
    <w:p w14:paraId="68523CF2" w14:textId="77777777" w:rsidR="001616A3" w:rsidRPr="00B479AE" w:rsidRDefault="001616A3" w:rsidP="001616A3">
      <w:pPr>
        <w:spacing w:line="360" w:lineRule="auto"/>
        <w:rPr>
          <w:rFonts w:ascii="Baskerville Old Face" w:hAnsi="Baskerville Old Face"/>
          <w:i/>
          <w:iCs/>
        </w:rPr>
      </w:pPr>
      <w:r w:rsidRPr="00B479AE">
        <w:rPr>
          <w:rFonts w:ascii="Baskerville Old Face" w:hAnsi="Baskerville Old Face"/>
          <w:i/>
          <w:iCs/>
        </w:rPr>
        <w:t xml:space="preserve">• Technical_verification_&amp;_cryptographic_integrity_manual.md  </w:t>
      </w:r>
    </w:p>
    <w:p w14:paraId="35F902A1" w14:textId="77777777" w:rsidR="001616A3" w:rsidRPr="00B479AE" w:rsidRDefault="001616A3" w:rsidP="001616A3">
      <w:pPr>
        <w:spacing w:line="360" w:lineRule="auto"/>
        <w:rPr>
          <w:rFonts w:ascii="Baskerville Old Face" w:hAnsi="Baskerville Old Face"/>
          <w:i/>
          <w:iCs/>
        </w:rPr>
      </w:pPr>
      <w:r w:rsidRPr="00B479AE">
        <w:rPr>
          <w:rFonts w:ascii="Baskerville Old Face" w:hAnsi="Baskerville Old Face"/>
          <w:i/>
          <w:iCs/>
        </w:rPr>
        <w:t xml:space="preserve">• VERIFICATION.md  </w:t>
      </w:r>
    </w:p>
    <w:p w14:paraId="2CE6B7DA" w14:textId="77777777" w:rsidR="001616A3" w:rsidRPr="00B479AE" w:rsidRDefault="001616A3" w:rsidP="001616A3">
      <w:pPr>
        <w:spacing w:line="360" w:lineRule="auto"/>
        <w:rPr>
          <w:rFonts w:ascii="Baskerville Old Face" w:hAnsi="Baskerville Old Face"/>
          <w:i/>
          <w:iCs/>
        </w:rPr>
      </w:pPr>
      <w:r w:rsidRPr="00B479AE">
        <w:rPr>
          <w:rFonts w:ascii="Baskerville Old Face" w:hAnsi="Baskerville Old Face"/>
          <w:i/>
          <w:iCs/>
        </w:rPr>
        <w:t xml:space="preserve">• SHA256_SUMS.txt  </w:t>
      </w:r>
    </w:p>
    <w:p w14:paraId="38B12DDD" w14:textId="2A27E61C" w:rsidR="001616A3" w:rsidRPr="00B479AE" w:rsidRDefault="001616A3" w:rsidP="001616A3">
      <w:pPr>
        <w:spacing w:line="360" w:lineRule="auto"/>
        <w:rPr>
          <w:rFonts w:ascii="Baskerville Old Face" w:hAnsi="Baskerville Old Face"/>
          <w:i/>
          <w:iCs/>
        </w:rPr>
      </w:pPr>
      <w:r w:rsidRPr="00B479AE">
        <w:rPr>
          <w:rFonts w:ascii="Baskerville Old Face" w:hAnsi="Baskerville Old Face"/>
          <w:i/>
          <w:iCs/>
        </w:rPr>
        <w:t>• RELEASE_MANIFEST.json</w:t>
      </w:r>
    </w:p>
    <w:p w14:paraId="105C5A6E" w14:textId="57B397B0" w:rsidR="00ED2FE7" w:rsidRPr="00B479AE" w:rsidRDefault="00ED2FE7" w:rsidP="00291CD1">
      <w:pPr>
        <w:spacing w:line="360" w:lineRule="auto"/>
        <w:rPr>
          <w:rFonts w:ascii="Baskerville Old Face" w:hAnsi="Baskerville Old Face"/>
          <w:b/>
          <w:bCs/>
          <w:i/>
          <w:iCs/>
        </w:rPr>
      </w:pPr>
      <w:r w:rsidRPr="00B479AE">
        <w:rPr>
          <w:rFonts w:ascii="Baskerville Old Face" w:hAnsi="Baskerville Old Face"/>
          <w:b/>
          <w:bCs/>
          <w:i/>
          <w:iCs/>
        </w:rPr>
        <w:t xml:space="preserve">Contribution discipline and implementation reviewability </w:t>
      </w:r>
    </w:p>
    <w:p w14:paraId="274036AA" w14:textId="77777777" w:rsidR="00ED2FE7" w:rsidRPr="00B479AE" w:rsidRDefault="00ED2FE7" w:rsidP="00ED2FE7">
      <w:pPr>
        <w:spacing w:line="360" w:lineRule="auto"/>
        <w:rPr>
          <w:rFonts w:ascii="Baskerville Old Face" w:hAnsi="Baskerville Old Face"/>
          <w:i/>
          <w:iCs/>
        </w:rPr>
      </w:pPr>
      <w:r w:rsidRPr="00B479AE">
        <w:rPr>
          <w:rFonts w:ascii="Baskerville Old Face" w:hAnsi="Baskerville Old Face"/>
          <w:i/>
          <w:iCs/>
        </w:rPr>
        <w:t>Prometheus codebase contribution is governed by pilot-first contribution discipline. Contributions are expected to preserve semantic fidelity, explicit validation, reviewability, scope discipline, and technical traceability.</w:t>
      </w:r>
    </w:p>
    <w:p w14:paraId="2AC73679" w14:textId="77777777" w:rsidR="00ED2FE7" w:rsidRPr="00B479AE" w:rsidRDefault="00ED2FE7" w:rsidP="00ED2FE7">
      <w:pPr>
        <w:spacing w:line="360" w:lineRule="auto"/>
        <w:rPr>
          <w:rFonts w:ascii="Baskerville Old Face" w:hAnsi="Baskerville Old Face"/>
          <w:i/>
          <w:iCs/>
        </w:rPr>
      </w:pPr>
      <w:r w:rsidRPr="00B479AE">
        <w:rPr>
          <w:rFonts w:ascii="Baskerville Old Face" w:hAnsi="Baskerville Old Face"/>
          <w:i/>
          <w:iCs/>
        </w:rPr>
        <w:t>Changes affecting canonical semantics, validation logic, or subsystem boundaries should be proposed explicitly rather than silently absorbed into implementation.</w:t>
      </w:r>
    </w:p>
    <w:p w14:paraId="753F0786" w14:textId="7EF0BB91" w:rsidR="00ED2FE7" w:rsidRPr="00B479AE" w:rsidRDefault="00ED2FE7" w:rsidP="00ED2FE7">
      <w:pPr>
        <w:spacing w:line="360" w:lineRule="auto"/>
        <w:rPr>
          <w:rFonts w:ascii="Baskerville Old Face" w:hAnsi="Baskerville Old Face"/>
          <w:i/>
          <w:iCs/>
        </w:rPr>
      </w:pPr>
      <w:r w:rsidRPr="00B479AE">
        <w:rPr>
          <w:rFonts w:ascii="Baskerville Old Face" w:hAnsi="Baskerville Old Face"/>
          <w:i/>
          <w:iCs/>
        </w:rPr>
        <w:lastRenderedPageBreak/>
        <w:t>This contribution discipline is necessary to preserve pilot correctness, reduce architectural drift, and maintain continuity between constitutional specification, implementation behavior, and release provenance.</w:t>
      </w:r>
    </w:p>
    <w:p w14:paraId="2063A3AF" w14:textId="77777777" w:rsidR="001616A3" w:rsidRPr="00B479AE" w:rsidRDefault="00962BEE" w:rsidP="00962BEE">
      <w:pPr>
        <w:spacing w:line="360" w:lineRule="auto"/>
        <w:rPr>
          <w:rFonts w:ascii="Baskerville Old Face" w:hAnsi="Baskerville Old Face"/>
          <w:i/>
          <w:iCs/>
        </w:rPr>
      </w:pPr>
      <w:r w:rsidRPr="00B479AE">
        <w:rPr>
          <w:rFonts w:ascii="Baskerville Old Face" w:hAnsi="Baskerville Old Face"/>
          <w:i/>
          <w:iCs/>
        </w:rPr>
        <w:t>Without reviewability, continuity decays.</w:t>
      </w:r>
      <w:r w:rsidR="001616A3" w:rsidRPr="00B479AE">
        <w:rPr>
          <w:rFonts w:ascii="Baskerville Old Face" w:hAnsi="Baskerville Old Face"/>
          <w:i/>
          <w:iCs/>
        </w:rPr>
        <w:t xml:space="preserve"> </w:t>
      </w:r>
    </w:p>
    <w:p w14:paraId="07D0560B" w14:textId="39522BB5" w:rsidR="00ED2FE7" w:rsidRPr="00B479AE" w:rsidRDefault="00962BEE" w:rsidP="00962BEE">
      <w:pPr>
        <w:spacing w:line="360" w:lineRule="auto"/>
        <w:rPr>
          <w:rFonts w:ascii="Baskerville Old Face" w:hAnsi="Baskerville Old Face"/>
          <w:i/>
          <w:iCs/>
        </w:rPr>
      </w:pPr>
      <w:r w:rsidRPr="00B479AE">
        <w:rPr>
          <w:rFonts w:ascii="Baskerville Old Face" w:hAnsi="Baskerville Old Face"/>
          <w:i/>
          <w:iCs/>
        </w:rPr>
        <w:t>Without continuity, constitutional intent becomes vulnerable to drift.</w:t>
      </w:r>
    </w:p>
    <w:p w14:paraId="23A5EB50" w14:textId="77777777" w:rsidR="00C74EB2" w:rsidRPr="00B479AE" w:rsidRDefault="00C74EB2" w:rsidP="00C74EB2">
      <w:pPr>
        <w:spacing w:line="360" w:lineRule="auto"/>
        <w:rPr>
          <w:rFonts w:ascii="Baskerville Old Face" w:hAnsi="Baskerville Old Face"/>
          <w:i/>
          <w:iCs/>
        </w:rPr>
      </w:pPr>
      <w:r w:rsidRPr="00B479AE">
        <w:rPr>
          <w:rFonts w:ascii="Baskerville Old Face" w:hAnsi="Baskerville Old Face"/>
          <w:i/>
          <w:iCs/>
        </w:rPr>
        <w:t>Publication date: to be confirmed upon canonical release.</w:t>
      </w:r>
    </w:p>
    <w:p w14:paraId="464FD7E9" w14:textId="2F411443" w:rsidR="0060387A" w:rsidRPr="00B479AE" w:rsidRDefault="00C74EB2" w:rsidP="00C74EB2">
      <w:pPr>
        <w:spacing w:line="360" w:lineRule="auto"/>
        <w:rPr>
          <w:rFonts w:ascii="Baskerville Old Face" w:hAnsi="Baskerville Old Face"/>
          <w:i/>
          <w:iCs/>
        </w:rPr>
      </w:pPr>
      <w:r w:rsidRPr="00B479AE">
        <w:rPr>
          <w:rFonts w:ascii="Baskerville Old Face" w:hAnsi="Baskerville Old Face"/>
          <w:i/>
          <w:iCs/>
        </w:rPr>
        <w:t>Verification suite: OpenPGP + SHA-256, to be finalized upon canonical release.</w:t>
      </w:r>
    </w:p>
    <w:p w14:paraId="65ACB156" w14:textId="77777777" w:rsidR="00C74EB2" w:rsidRPr="00B479AE" w:rsidRDefault="00C74EB2" w:rsidP="0075045B">
      <w:pPr>
        <w:spacing w:line="360" w:lineRule="auto"/>
        <w:rPr>
          <w:rFonts w:ascii="Baskerville Old Face" w:hAnsi="Baskerville Old Face"/>
          <w:i/>
          <w:iCs/>
        </w:rPr>
      </w:pPr>
    </w:p>
    <w:p w14:paraId="629EB307" w14:textId="6EB30AA8" w:rsidR="0075045B" w:rsidRPr="00B479AE" w:rsidRDefault="0075045B" w:rsidP="0075045B">
      <w:pPr>
        <w:spacing w:line="360" w:lineRule="auto"/>
        <w:rPr>
          <w:rFonts w:ascii="Baskerville Old Face" w:hAnsi="Baskerville Old Face"/>
          <w:i/>
          <w:iCs/>
        </w:rPr>
      </w:pPr>
      <w:r w:rsidRPr="00B479AE">
        <w:rPr>
          <w:rFonts w:ascii="Baskerville Old Face" w:hAnsi="Baskerville Old Face"/>
          <w:i/>
          <w:iCs/>
        </w:rPr>
        <w:t>“Life has no meaning. Each of us has meaning and we bring it to life. It is a waste to be asking the question when you are the answer.”</w:t>
      </w:r>
    </w:p>
    <w:p w14:paraId="7D46EDC1" w14:textId="77777777" w:rsidR="0075045B" w:rsidRPr="00B479AE" w:rsidRDefault="0075045B" w:rsidP="0075045B">
      <w:pPr>
        <w:spacing w:line="360" w:lineRule="auto"/>
        <w:rPr>
          <w:rFonts w:ascii="Baskerville Old Face" w:hAnsi="Baskerville Old Face"/>
          <w:i/>
          <w:iCs/>
        </w:rPr>
      </w:pPr>
      <w:r w:rsidRPr="00B479AE">
        <w:rPr>
          <w:rFonts w:ascii="Baskerville Old Face" w:hAnsi="Baskerville Old Face"/>
          <w:i/>
          <w:iCs/>
        </w:rPr>
        <w:t>— Joseph Campbell</w:t>
      </w:r>
    </w:p>
    <w:p w14:paraId="251C10A2" w14:textId="732B3E98" w:rsidR="0075045B" w:rsidRPr="00B479AE" w:rsidRDefault="0075045B" w:rsidP="0075045B">
      <w:pPr>
        <w:spacing w:line="360" w:lineRule="auto"/>
        <w:rPr>
          <w:rFonts w:ascii="Baskerville Old Face" w:hAnsi="Baskerville Old Face"/>
          <w:i/>
          <w:iCs/>
        </w:rPr>
      </w:pPr>
      <w:r w:rsidRPr="00B479AE">
        <w:rPr>
          <w:rFonts w:ascii="Baskerville Old Face" w:hAnsi="Baskerville Old Face"/>
          <w:b/>
          <w:bCs/>
          <w:i/>
          <w:iCs/>
        </w:rPr>
        <w:t>In Unity</w:t>
      </w:r>
    </w:p>
    <w:p w14:paraId="40B6D2B8" w14:textId="77777777" w:rsidR="0075045B" w:rsidRPr="00B479AE" w:rsidRDefault="0075045B" w:rsidP="0075045B">
      <w:pPr>
        <w:spacing w:line="360" w:lineRule="auto"/>
        <w:rPr>
          <w:rFonts w:ascii="Baskerville Old Face" w:hAnsi="Baskerville Old Face"/>
          <w:i/>
          <w:iCs/>
        </w:rPr>
      </w:pPr>
      <w:r w:rsidRPr="00B479AE">
        <w:rPr>
          <w:rFonts w:ascii="Baskerville Old Face" w:hAnsi="Baskerville Old Face"/>
          <w:i/>
          <w:iCs/>
        </w:rPr>
        <w:t>Uwohali Tuccio</w:t>
      </w:r>
    </w:p>
    <w:p w14:paraId="40BEBBB4" w14:textId="77777777" w:rsidR="0075045B" w:rsidRPr="00B479AE" w:rsidRDefault="0075045B" w:rsidP="0075045B">
      <w:pPr>
        <w:spacing w:line="360" w:lineRule="auto"/>
        <w:rPr>
          <w:rFonts w:ascii="Baskerville Old Face" w:hAnsi="Baskerville Old Face"/>
          <w:b/>
          <w:bCs/>
          <w:i/>
          <w:iCs/>
        </w:rPr>
      </w:pPr>
      <w:r w:rsidRPr="00B479AE">
        <w:rPr>
          <w:rFonts w:ascii="Baskerville Old Face" w:hAnsi="Baskerville Old Face"/>
          <w:i/>
          <w:iCs/>
          <w:noProof/>
        </w:rPr>
        <w:drawing>
          <wp:inline distT="0" distB="0" distL="0" distR="0" wp14:anchorId="3BD5829B" wp14:editId="09003A4C">
            <wp:extent cx="838200" cy="455177"/>
            <wp:effectExtent l="0" t="0" r="0" b="2540"/>
            <wp:docPr id="3196544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68676" cy="471727"/>
                    </a:xfrm>
                    <a:prstGeom prst="rect">
                      <a:avLst/>
                    </a:prstGeom>
                    <a:noFill/>
                    <a:ln>
                      <a:noFill/>
                    </a:ln>
                  </pic:spPr>
                </pic:pic>
              </a:graphicData>
            </a:graphic>
          </wp:inline>
        </w:drawing>
      </w:r>
    </w:p>
    <w:p w14:paraId="7033C094" w14:textId="77777777" w:rsidR="0075045B" w:rsidRPr="00B479AE" w:rsidRDefault="0075045B" w:rsidP="0075045B">
      <w:pPr>
        <w:rPr>
          <w:rFonts w:ascii="Baskerville Old Face" w:hAnsi="Baskerville Old Face"/>
          <w:b/>
          <w:bCs/>
          <w:i/>
          <w:iCs/>
        </w:rPr>
      </w:pPr>
      <w:r w:rsidRPr="00B479AE">
        <w:rPr>
          <w:rFonts w:ascii="Baskerville Old Face" w:hAnsi="Baskerville Old Face"/>
          <w:b/>
          <w:bCs/>
          <w:i/>
          <w:iCs/>
        </w:rPr>
        <w:t>Work for Nature,</w:t>
      </w:r>
    </w:p>
    <w:p w14:paraId="2E55FBBA" w14:textId="04CB3EC5" w:rsidR="0075045B" w:rsidRPr="008C0EA1" w:rsidRDefault="0075045B" w:rsidP="0075045B">
      <w:pPr>
        <w:rPr>
          <w:rFonts w:ascii="Baskerville Old Face" w:hAnsi="Baskerville Old Face"/>
          <w:i/>
          <w:iCs/>
        </w:rPr>
      </w:pPr>
      <w:r w:rsidRPr="00B479AE">
        <w:rPr>
          <w:rFonts w:ascii="Baskerville Old Face" w:hAnsi="Baskerville Old Face"/>
          <w:b/>
          <w:bCs/>
          <w:i/>
          <w:iCs/>
        </w:rPr>
        <w:t>and Nature will work for you</w:t>
      </w:r>
    </w:p>
    <w:sectPr w:rsidR="0075045B" w:rsidRPr="008C0EA1">
      <w:footerReference w:type="default" r:id="rId72"/>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C3B45" w14:textId="77777777" w:rsidR="000A233A" w:rsidRPr="00B479AE" w:rsidRDefault="000A233A" w:rsidP="00F16AFD">
      <w:pPr>
        <w:spacing w:before="0"/>
      </w:pPr>
      <w:r w:rsidRPr="00B479AE">
        <w:separator/>
      </w:r>
    </w:p>
  </w:endnote>
  <w:endnote w:type="continuationSeparator" w:id="0">
    <w:p w14:paraId="2BE9D538" w14:textId="77777777" w:rsidR="000A233A" w:rsidRPr="00B479AE" w:rsidRDefault="000A233A" w:rsidP="00F16AFD">
      <w:pPr>
        <w:spacing w:before="0"/>
      </w:pPr>
      <w:r w:rsidRPr="00B479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4876965"/>
      <w:docPartObj>
        <w:docPartGallery w:val="Page Numbers (Bottom of Page)"/>
        <w:docPartUnique/>
      </w:docPartObj>
    </w:sdtPr>
    <w:sdtContent>
      <w:p w14:paraId="65EB7E22" w14:textId="5125434F" w:rsidR="00E336CD" w:rsidRPr="00B479AE" w:rsidRDefault="00E336CD">
        <w:pPr>
          <w:pStyle w:val="Pidipagina"/>
          <w:jc w:val="right"/>
        </w:pPr>
        <w:r w:rsidRPr="00B479AE">
          <w:fldChar w:fldCharType="begin"/>
        </w:r>
        <w:r w:rsidRPr="00B479AE">
          <w:instrText>PAGE   \* MERGEFORMAT</w:instrText>
        </w:r>
        <w:r w:rsidRPr="00B479AE">
          <w:fldChar w:fldCharType="separate"/>
        </w:r>
        <w:r w:rsidRPr="00B479AE">
          <w:t>2</w:t>
        </w:r>
        <w:r w:rsidRPr="00B479AE">
          <w:fldChar w:fldCharType="end"/>
        </w:r>
      </w:p>
    </w:sdtContent>
  </w:sdt>
  <w:p w14:paraId="562C9F1E" w14:textId="332D24DA" w:rsidR="00F16AFD" w:rsidRPr="00B479AE" w:rsidRDefault="00F16AFD" w:rsidP="00F16AFD">
    <w:pPr>
      <w:pStyle w:val="Pidipagina"/>
      <w:spacing w:line="360" w:lineRule="auto"/>
      <w:jc w:val="right"/>
      <w:rPr>
        <w:rFonts w:ascii="Baskerville Old Face" w:hAnsi="Baskerville Old Face"/>
        <w:color w:val="5B9BD5" w:themeColor="accent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78558" w14:textId="77777777" w:rsidR="000A233A" w:rsidRPr="00B479AE" w:rsidRDefault="000A233A" w:rsidP="00F16AFD">
      <w:pPr>
        <w:spacing w:before="0"/>
      </w:pPr>
      <w:r w:rsidRPr="00B479AE">
        <w:separator/>
      </w:r>
    </w:p>
  </w:footnote>
  <w:footnote w:type="continuationSeparator" w:id="0">
    <w:p w14:paraId="791A30B3" w14:textId="77777777" w:rsidR="000A233A" w:rsidRPr="00B479AE" w:rsidRDefault="000A233A" w:rsidP="00F16AFD">
      <w:pPr>
        <w:spacing w:before="0"/>
      </w:pPr>
      <w:r w:rsidRPr="00B479A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91F01"/>
    <w:multiLevelType w:val="multilevel"/>
    <w:tmpl w:val="2B1C5EB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4555B1"/>
    <w:multiLevelType w:val="multilevel"/>
    <w:tmpl w:val="3C32B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AB0C66"/>
    <w:multiLevelType w:val="multilevel"/>
    <w:tmpl w:val="B6928B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D96925"/>
    <w:multiLevelType w:val="multilevel"/>
    <w:tmpl w:val="D7AC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01C21"/>
    <w:multiLevelType w:val="multilevel"/>
    <w:tmpl w:val="A8B6C53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8E7559"/>
    <w:multiLevelType w:val="multilevel"/>
    <w:tmpl w:val="54A826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D804CB"/>
    <w:multiLevelType w:val="multilevel"/>
    <w:tmpl w:val="1A00F91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6B540B"/>
    <w:multiLevelType w:val="multilevel"/>
    <w:tmpl w:val="DE702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957C30"/>
    <w:multiLevelType w:val="multilevel"/>
    <w:tmpl w:val="3DA8E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6A05B6"/>
    <w:multiLevelType w:val="multilevel"/>
    <w:tmpl w:val="8C1E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A002B2"/>
    <w:multiLevelType w:val="multilevel"/>
    <w:tmpl w:val="2C4A6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3B2DAC"/>
    <w:multiLevelType w:val="multilevel"/>
    <w:tmpl w:val="9DD6A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E75E51"/>
    <w:multiLevelType w:val="multilevel"/>
    <w:tmpl w:val="43C40D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F66F65"/>
    <w:multiLevelType w:val="multilevel"/>
    <w:tmpl w:val="8F02E6D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6C5306"/>
    <w:multiLevelType w:val="multilevel"/>
    <w:tmpl w:val="9612C01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DA6B1A"/>
    <w:multiLevelType w:val="multilevel"/>
    <w:tmpl w:val="05943D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DB349E"/>
    <w:multiLevelType w:val="multilevel"/>
    <w:tmpl w:val="85C08FF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68007E"/>
    <w:multiLevelType w:val="multilevel"/>
    <w:tmpl w:val="08D0519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530D71"/>
    <w:multiLevelType w:val="multilevel"/>
    <w:tmpl w:val="BB203F0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D023300"/>
    <w:multiLevelType w:val="multilevel"/>
    <w:tmpl w:val="845E8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8C5C86"/>
    <w:multiLevelType w:val="multilevel"/>
    <w:tmpl w:val="97948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CB5607"/>
    <w:multiLevelType w:val="multilevel"/>
    <w:tmpl w:val="0C289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F310390"/>
    <w:multiLevelType w:val="multilevel"/>
    <w:tmpl w:val="AAC6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FC40571"/>
    <w:multiLevelType w:val="multilevel"/>
    <w:tmpl w:val="0472F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437B6E"/>
    <w:multiLevelType w:val="multilevel"/>
    <w:tmpl w:val="2278B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511D99"/>
    <w:multiLevelType w:val="multilevel"/>
    <w:tmpl w:val="42A4085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F12F91"/>
    <w:multiLevelType w:val="multilevel"/>
    <w:tmpl w:val="094CE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3778B1"/>
    <w:multiLevelType w:val="multilevel"/>
    <w:tmpl w:val="040CA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78239C"/>
    <w:multiLevelType w:val="multilevel"/>
    <w:tmpl w:val="7F06A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C9234C"/>
    <w:multiLevelType w:val="multilevel"/>
    <w:tmpl w:val="C40E0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BE262A7"/>
    <w:multiLevelType w:val="multilevel"/>
    <w:tmpl w:val="E5CC836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7253D0"/>
    <w:multiLevelType w:val="multilevel"/>
    <w:tmpl w:val="18942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CC5680"/>
    <w:multiLevelType w:val="multilevel"/>
    <w:tmpl w:val="58EEF7A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A1D59EE"/>
    <w:multiLevelType w:val="multilevel"/>
    <w:tmpl w:val="97A052C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E360B2"/>
    <w:multiLevelType w:val="multilevel"/>
    <w:tmpl w:val="98C2C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134AF8"/>
    <w:multiLevelType w:val="multilevel"/>
    <w:tmpl w:val="8C9013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0EF6913"/>
    <w:multiLevelType w:val="multilevel"/>
    <w:tmpl w:val="9A7615F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1124298"/>
    <w:multiLevelType w:val="multilevel"/>
    <w:tmpl w:val="0868BB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56318B"/>
    <w:multiLevelType w:val="multilevel"/>
    <w:tmpl w:val="ADB6B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1F611D"/>
    <w:multiLevelType w:val="multilevel"/>
    <w:tmpl w:val="BC803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37C1D61"/>
    <w:multiLevelType w:val="multilevel"/>
    <w:tmpl w:val="AE685F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5871C3F"/>
    <w:multiLevelType w:val="multilevel"/>
    <w:tmpl w:val="AB765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6305860"/>
    <w:multiLevelType w:val="multilevel"/>
    <w:tmpl w:val="6228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5B3096"/>
    <w:multiLevelType w:val="multilevel"/>
    <w:tmpl w:val="59B628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5E1C87"/>
    <w:multiLevelType w:val="multilevel"/>
    <w:tmpl w:val="1DA0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2F2671"/>
    <w:multiLevelType w:val="multilevel"/>
    <w:tmpl w:val="D0A6E97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6D5BE2"/>
    <w:multiLevelType w:val="multilevel"/>
    <w:tmpl w:val="5D981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1486982">
    <w:abstractNumId w:val="11"/>
  </w:num>
  <w:num w:numId="2" w16cid:durableId="1647934632">
    <w:abstractNumId w:val="46"/>
  </w:num>
  <w:num w:numId="3" w16cid:durableId="1286352356">
    <w:abstractNumId w:val="9"/>
  </w:num>
  <w:num w:numId="4" w16cid:durableId="1114784150">
    <w:abstractNumId w:val="38"/>
  </w:num>
  <w:num w:numId="5" w16cid:durableId="2043288630">
    <w:abstractNumId w:val="28"/>
  </w:num>
  <w:num w:numId="6" w16cid:durableId="1483038043">
    <w:abstractNumId w:val="39"/>
  </w:num>
  <w:num w:numId="7" w16cid:durableId="559443090">
    <w:abstractNumId w:val="27"/>
  </w:num>
  <w:num w:numId="8" w16cid:durableId="826937102">
    <w:abstractNumId w:val="44"/>
  </w:num>
  <w:num w:numId="9" w16cid:durableId="1484587551">
    <w:abstractNumId w:val="42"/>
  </w:num>
  <w:num w:numId="10" w16cid:durableId="1027291166">
    <w:abstractNumId w:val="26"/>
  </w:num>
  <w:num w:numId="11" w16cid:durableId="247345666">
    <w:abstractNumId w:val="34"/>
  </w:num>
  <w:num w:numId="12" w16cid:durableId="949317582">
    <w:abstractNumId w:val="20"/>
  </w:num>
  <w:num w:numId="13" w16cid:durableId="253168431">
    <w:abstractNumId w:val="7"/>
  </w:num>
  <w:num w:numId="14" w16cid:durableId="1019164807">
    <w:abstractNumId w:val="19"/>
  </w:num>
  <w:num w:numId="15" w16cid:durableId="1121925532">
    <w:abstractNumId w:val="3"/>
  </w:num>
  <w:num w:numId="16" w16cid:durableId="901864767">
    <w:abstractNumId w:val="29"/>
  </w:num>
  <w:num w:numId="17" w16cid:durableId="1574199942">
    <w:abstractNumId w:val="23"/>
  </w:num>
  <w:num w:numId="18" w16cid:durableId="770861788">
    <w:abstractNumId w:val="10"/>
  </w:num>
  <w:num w:numId="19" w16cid:durableId="1120221234">
    <w:abstractNumId w:val="41"/>
  </w:num>
  <w:num w:numId="20" w16cid:durableId="1025012694">
    <w:abstractNumId w:val="8"/>
  </w:num>
  <w:num w:numId="21" w16cid:durableId="240674727">
    <w:abstractNumId w:val="31"/>
  </w:num>
  <w:num w:numId="22" w16cid:durableId="1756903547">
    <w:abstractNumId w:val="1"/>
  </w:num>
  <w:num w:numId="23" w16cid:durableId="1487933637">
    <w:abstractNumId w:val="40"/>
  </w:num>
  <w:num w:numId="24" w16cid:durableId="16153119">
    <w:abstractNumId w:val="43"/>
  </w:num>
  <w:num w:numId="25" w16cid:durableId="1094861109">
    <w:abstractNumId w:val="17"/>
  </w:num>
  <w:num w:numId="26" w16cid:durableId="1407066509">
    <w:abstractNumId w:val="35"/>
  </w:num>
  <w:num w:numId="27" w16cid:durableId="1094478929">
    <w:abstractNumId w:val="25"/>
  </w:num>
  <w:num w:numId="28" w16cid:durableId="1878003626">
    <w:abstractNumId w:val="13"/>
  </w:num>
  <w:num w:numId="29" w16cid:durableId="1170605634">
    <w:abstractNumId w:val="24"/>
  </w:num>
  <w:num w:numId="30" w16cid:durableId="1830949285">
    <w:abstractNumId w:val="30"/>
  </w:num>
  <w:num w:numId="31" w16cid:durableId="1664426849">
    <w:abstractNumId w:val="12"/>
  </w:num>
  <w:num w:numId="32" w16cid:durableId="221605066">
    <w:abstractNumId w:val="45"/>
  </w:num>
  <w:num w:numId="33" w16cid:durableId="2002927084">
    <w:abstractNumId w:val="32"/>
  </w:num>
  <w:num w:numId="34" w16cid:durableId="989091517">
    <w:abstractNumId w:val="18"/>
  </w:num>
  <w:num w:numId="35" w16cid:durableId="34090634">
    <w:abstractNumId w:val="36"/>
  </w:num>
  <w:num w:numId="36" w16cid:durableId="1966620731">
    <w:abstractNumId w:val="14"/>
  </w:num>
  <w:num w:numId="37" w16cid:durableId="938874597">
    <w:abstractNumId w:val="33"/>
  </w:num>
  <w:num w:numId="38" w16cid:durableId="683484149">
    <w:abstractNumId w:val="0"/>
  </w:num>
  <w:num w:numId="39" w16cid:durableId="1395006178">
    <w:abstractNumId w:val="21"/>
  </w:num>
  <w:num w:numId="40" w16cid:durableId="1069117420">
    <w:abstractNumId w:val="5"/>
  </w:num>
  <w:num w:numId="41" w16cid:durableId="1341541338">
    <w:abstractNumId w:val="2"/>
  </w:num>
  <w:num w:numId="42" w16cid:durableId="146098291">
    <w:abstractNumId w:val="22"/>
  </w:num>
  <w:num w:numId="43" w16cid:durableId="1069039418">
    <w:abstractNumId w:val="16"/>
  </w:num>
  <w:num w:numId="44" w16cid:durableId="1747222139">
    <w:abstractNumId w:val="37"/>
  </w:num>
  <w:num w:numId="45" w16cid:durableId="1174219901">
    <w:abstractNumId w:val="6"/>
  </w:num>
  <w:num w:numId="46" w16cid:durableId="729574233">
    <w:abstractNumId w:val="4"/>
  </w:num>
  <w:num w:numId="47" w16cid:durableId="323902255">
    <w:abstractNumId w:val="15"/>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DA1"/>
    <w:rsid w:val="00003758"/>
    <w:rsid w:val="00011A12"/>
    <w:rsid w:val="00016B4B"/>
    <w:rsid w:val="000172EA"/>
    <w:rsid w:val="000174AD"/>
    <w:rsid w:val="000209B3"/>
    <w:rsid w:val="000227B2"/>
    <w:rsid w:val="00024136"/>
    <w:rsid w:val="00024713"/>
    <w:rsid w:val="0002515C"/>
    <w:rsid w:val="000255D8"/>
    <w:rsid w:val="00026F2F"/>
    <w:rsid w:val="00030CF1"/>
    <w:rsid w:val="000339F3"/>
    <w:rsid w:val="000350E2"/>
    <w:rsid w:val="00035442"/>
    <w:rsid w:val="00037D64"/>
    <w:rsid w:val="0004381A"/>
    <w:rsid w:val="00045B1E"/>
    <w:rsid w:val="000529F6"/>
    <w:rsid w:val="00052FE3"/>
    <w:rsid w:val="00053A8C"/>
    <w:rsid w:val="00055592"/>
    <w:rsid w:val="00055E2D"/>
    <w:rsid w:val="00055E47"/>
    <w:rsid w:val="00057D0A"/>
    <w:rsid w:val="0006098A"/>
    <w:rsid w:val="00060E0B"/>
    <w:rsid w:val="00062324"/>
    <w:rsid w:val="00062CC2"/>
    <w:rsid w:val="00066A67"/>
    <w:rsid w:val="00070DC0"/>
    <w:rsid w:val="00073ADE"/>
    <w:rsid w:val="000746FB"/>
    <w:rsid w:val="000776F7"/>
    <w:rsid w:val="000801ED"/>
    <w:rsid w:val="00080B17"/>
    <w:rsid w:val="00081B9D"/>
    <w:rsid w:val="00082C5B"/>
    <w:rsid w:val="00084149"/>
    <w:rsid w:val="000855FE"/>
    <w:rsid w:val="00094199"/>
    <w:rsid w:val="000946A7"/>
    <w:rsid w:val="0009605B"/>
    <w:rsid w:val="00097B34"/>
    <w:rsid w:val="000A1FA7"/>
    <w:rsid w:val="000A233A"/>
    <w:rsid w:val="000A3CB1"/>
    <w:rsid w:val="000A3F1F"/>
    <w:rsid w:val="000A51D1"/>
    <w:rsid w:val="000B0E24"/>
    <w:rsid w:val="000B38D2"/>
    <w:rsid w:val="000B4FA6"/>
    <w:rsid w:val="000B4FC0"/>
    <w:rsid w:val="000B50C9"/>
    <w:rsid w:val="000B6757"/>
    <w:rsid w:val="000D2179"/>
    <w:rsid w:val="000D340F"/>
    <w:rsid w:val="000D373B"/>
    <w:rsid w:val="000E2E08"/>
    <w:rsid w:val="000E3479"/>
    <w:rsid w:val="000E383F"/>
    <w:rsid w:val="000E6A2A"/>
    <w:rsid w:val="000F0C3C"/>
    <w:rsid w:val="000F12BA"/>
    <w:rsid w:val="000F700F"/>
    <w:rsid w:val="000F7A67"/>
    <w:rsid w:val="000F7D11"/>
    <w:rsid w:val="00102B8E"/>
    <w:rsid w:val="001033E1"/>
    <w:rsid w:val="001041CA"/>
    <w:rsid w:val="001063DF"/>
    <w:rsid w:val="001069F8"/>
    <w:rsid w:val="001121B9"/>
    <w:rsid w:val="00112DE6"/>
    <w:rsid w:val="00113253"/>
    <w:rsid w:val="001135BA"/>
    <w:rsid w:val="0011478E"/>
    <w:rsid w:val="001149CC"/>
    <w:rsid w:val="00114A2C"/>
    <w:rsid w:val="00115082"/>
    <w:rsid w:val="00116600"/>
    <w:rsid w:val="00117C69"/>
    <w:rsid w:val="00122124"/>
    <w:rsid w:val="00124B17"/>
    <w:rsid w:val="00125EFA"/>
    <w:rsid w:val="00126CF3"/>
    <w:rsid w:val="00126E9E"/>
    <w:rsid w:val="00130196"/>
    <w:rsid w:val="0013231B"/>
    <w:rsid w:val="00132CCC"/>
    <w:rsid w:val="0013480E"/>
    <w:rsid w:val="00137ECB"/>
    <w:rsid w:val="00144C3A"/>
    <w:rsid w:val="001500AD"/>
    <w:rsid w:val="001509BE"/>
    <w:rsid w:val="001530F7"/>
    <w:rsid w:val="00154780"/>
    <w:rsid w:val="00155321"/>
    <w:rsid w:val="001554F8"/>
    <w:rsid w:val="00156658"/>
    <w:rsid w:val="0015689C"/>
    <w:rsid w:val="001616A3"/>
    <w:rsid w:val="00163089"/>
    <w:rsid w:val="0016340F"/>
    <w:rsid w:val="0016516D"/>
    <w:rsid w:val="00171599"/>
    <w:rsid w:val="00174206"/>
    <w:rsid w:val="001746D2"/>
    <w:rsid w:val="001759CF"/>
    <w:rsid w:val="00175E64"/>
    <w:rsid w:val="0017714E"/>
    <w:rsid w:val="001820B3"/>
    <w:rsid w:val="001825B9"/>
    <w:rsid w:val="0018262E"/>
    <w:rsid w:val="00182886"/>
    <w:rsid w:val="00182D02"/>
    <w:rsid w:val="001835FB"/>
    <w:rsid w:val="0018363D"/>
    <w:rsid w:val="00183F1B"/>
    <w:rsid w:val="001866E1"/>
    <w:rsid w:val="0018797F"/>
    <w:rsid w:val="0019221F"/>
    <w:rsid w:val="00192AA9"/>
    <w:rsid w:val="00193796"/>
    <w:rsid w:val="00195A7A"/>
    <w:rsid w:val="001A0AC2"/>
    <w:rsid w:val="001A2F4D"/>
    <w:rsid w:val="001A374E"/>
    <w:rsid w:val="001A3981"/>
    <w:rsid w:val="001A5041"/>
    <w:rsid w:val="001A7A01"/>
    <w:rsid w:val="001A7DE7"/>
    <w:rsid w:val="001B0A1E"/>
    <w:rsid w:val="001B111A"/>
    <w:rsid w:val="001B193F"/>
    <w:rsid w:val="001B64C6"/>
    <w:rsid w:val="001C094B"/>
    <w:rsid w:val="001C0DFB"/>
    <w:rsid w:val="001C2F0A"/>
    <w:rsid w:val="001C3967"/>
    <w:rsid w:val="001C4171"/>
    <w:rsid w:val="001D10C4"/>
    <w:rsid w:val="001D20D6"/>
    <w:rsid w:val="001D2CE6"/>
    <w:rsid w:val="001D5D4C"/>
    <w:rsid w:val="001D73D2"/>
    <w:rsid w:val="001E2174"/>
    <w:rsid w:val="001E2FEB"/>
    <w:rsid w:val="001E5F17"/>
    <w:rsid w:val="001E790F"/>
    <w:rsid w:val="001E7C83"/>
    <w:rsid w:val="00202BAB"/>
    <w:rsid w:val="0020351E"/>
    <w:rsid w:val="00203D37"/>
    <w:rsid w:val="00203F87"/>
    <w:rsid w:val="00206654"/>
    <w:rsid w:val="002067CD"/>
    <w:rsid w:val="002067D3"/>
    <w:rsid w:val="00206B23"/>
    <w:rsid w:val="00207932"/>
    <w:rsid w:val="0021188B"/>
    <w:rsid w:val="002125A7"/>
    <w:rsid w:val="0021333A"/>
    <w:rsid w:val="00214562"/>
    <w:rsid w:val="00216C03"/>
    <w:rsid w:val="002227F6"/>
    <w:rsid w:val="0022282D"/>
    <w:rsid w:val="00222FD9"/>
    <w:rsid w:val="002275BF"/>
    <w:rsid w:val="00227A47"/>
    <w:rsid w:val="00227FD8"/>
    <w:rsid w:val="002305E8"/>
    <w:rsid w:val="00230EF7"/>
    <w:rsid w:val="002329D5"/>
    <w:rsid w:val="0023584E"/>
    <w:rsid w:val="00236316"/>
    <w:rsid w:val="00236FDC"/>
    <w:rsid w:val="002407A9"/>
    <w:rsid w:val="00241E64"/>
    <w:rsid w:val="00243481"/>
    <w:rsid w:val="00245487"/>
    <w:rsid w:val="00245800"/>
    <w:rsid w:val="00247312"/>
    <w:rsid w:val="00253482"/>
    <w:rsid w:val="00254A18"/>
    <w:rsid w:val="002551D7"/>
    <w:rsid w:val="002566F6"/>
    <w:rsid w:val="00256EFE"/>
    <w:rsid w:val="00257CD9"/>
    <w:rsid w:val="002602C5"/>
    <w:rsid w:val="00260E6C"/>
    <w:rsid w:val="00263E26"/>
    <w:rsid w:val="002648C8"/>
    <w:rsid w:val="00265CB5"/>
    <w:rsid w:val="002748C2"/>
    <w:rsid w:val="002819DC"/>
    <w:rsid w:val="00283327"/>
    <w:rsid w:val="00286784"/>
    <w:rsid w:val="00286B8B"/>
    <w:rsid w:val="00286F95"/>
    <w:rsid w:val="00287C00"/>
    <w:rsid w:val="00290D30"/>
    <w:rsid w:val="00291CD1"/>
    <w:rsid w:val="00294114"/>
    <w:rsid w:val="00294A31"/>
    <w:rsid w:val="00296D72"/>
    <w:rsid w:val="002975D2"/>
    <w:rsid w:val="002A1957"/>
    <w:rsid w:val="002A1FFB"/>
    <w:rsid w:val="002A483C"/>
    <w:rsid w:val="002A5030"/>
    <w:rsid w:val="002A5F86"/>
    <w:rsid w:val="002A7CA3"/>
    <w:rsid w:val="002B37CD"/>
    <w:rsid w:val="002B4800"/>
    <w:rsid w:val="002B56EF"/>
    <w:rsid w:val="002C059C"/>
    <w:rsid w:val="002C57D8"/>
    <w:rsid w:val="002C6686"/>
    <w:rsid w:val="002C72FD"/>
    <w:rsid w:val="002D00A3"/>
    <w:rsid w:val="002D078A"/>
    <w:rsid w:val="002D3356"/>
    <w:rsid w:val="002D39D7"/>
    <w:rsid w:val="002D6C8D"/>
    <w:rsid w:val="002D71B7"/>
    <w:rsid w:val="002E1A9B"/>
    <w:rsid w:val="002E24FF"/>
    <w:rsid w:val="002E55C7"/>
    <w:rsid w:val="002E5EB1"/>
    <w:rsid w:val="002E7C95"/>
    <w:rsid w:val="002F0EC7"/>
    <w:rsid w:val="002F2301"/>
    <w:rsid w:val="002F4CAA"/>
    <w:rsid w:val="002F5AA1"/>
    <w:rsid w:val="002F6D47"/>
    <w:rsid w:val="002F74D9"/>
    <w:rsid w:val="00300F32"/>
    <w:rsid w:val="00303AFE"/>
    <w:rsid w:val="00305A28"/>
    <w:rsid w:val="00305E1A"/>
    <w:rsid w:val="00307598"/>
    <w:rsid w:val="00307BCC"/>
    <w:rsid w:val="0031220A"/>
    <w:rsid w:val="00314051"/>
    <w:rsid w:val="003148B1"/>
    <w:rsid w:val="003154A1"/>
    <w:rsid w:val="00315BCB"/>
    <w:rsid w:val="003164F6"/>
    <w:rsid w:val="0031685B"/>
    <w:rsid w:val="00317015"/>
    <w:rsid w:val="00317A04"/>
    <w:rsid w:val="00317D51"/>
    <w:rsid w:val="00321544"/>
    <w:rsid w:val="0032243D"/>
    <w:rsid w:val="003241C9"/>
    <w:rsid w:val="00324863"/>
    <w:rsid w:val="00326B07"/>
    <w:rsid w:val="00330623"/>
    <w:rsid w:val="00330C84"/>
    <w:rsid w:val="0033760D"/>
    <w:rsid w:val="00345732"/>
    <w:rsid w:val="00347567"/>
    <w:rsid w:val="003512D2"/>
    <w:rsid w:val="003527C9"/>
    <w:rsid w:val="00352DF1"/>
    <w:rsid w:val="0035305E"/>
    <w:rsid w:val="00356654"/>
    <w:rsid w:val="00361466"/>
    <w:rsid w:val="00363D55"/>
    <w:rsid w:val="003645E1"/>
    <w:rsid w:val="003648B0"/>
    <w:rsid w:val="0036529B"/>
    <w:rsid w:val="00366325"/>
    <w:rsid w:val="00366A5C"/>
    <w:rsid w:val="00371E94"/>
    <w:rsid w:val="00372E09"/>
    <w:rsid w:val="00374715"/>
    <w:rsid w:val="00374FA2"/>
    <w:rsid w:val="003756D8"/>
    <w:rsid w:val="00376407"/>
    <w:rsid w:val="00376E98"/>
    <w:rsid w:val="00377C1C"/>
    <w:rsid w:val="003812E7"/>
    <w:rsid w:val="003814A6"/>
    <w:rsid w:val="00381A59"/>
    <w:rsid w:val="00383EF8"/>
    <w:rsid w:val="003860F5"/>
    <w:rsid w:val="0039233A"/>
    <w:rsid w:val="003929C7"/>
    <w:rsid w:val="00392FEB"/>
    <w:rsid w:val="00394CA0"/>
    <w:rsid w:val="003950E8"/>
    <w:rsid w:val="0039773C"/>
    <w:rsid w:val="003A1979"/>
    <w:rsid w:val="003A4D1A"/>
    <w:rsid w:val="003A51B5"/>
    <w:rsid w:val="003A6101"/>
    <w:rsid w:val="003B4CEA"/>
    <w:rsid w:val="003B7FAC"/>
    <w:rsid w:val="003C15DE"/>
    <w:rsid w:val="003C21DB"/>
    <w:rsid w:val="003C2F5E"/>
    <w:rsid w:val="003C487D"/>
    <w:rsid w:val="003C6834"/>
    <w:rsid w:val="003D074F"/>
    <w:rsid w:val="003D2AF3"/>
    <w:rsid w:val="003D32C0"/>
    <w:rsid w:val="003D4AF8"/>
    <w:rsid w:val="003D597B"/>
    <w:rsid w:val="003E0920"/>
    <w:rsid w:val="003E3388"/>
    <w:rsid w:val="003E50B2"/>
    <w:rsid w:val="003F10E0"/>
    <w:rsid w:val="003F12B5"/>
    <w:rsid w:val="003F216D"/>
    <w:rsid w:val="003F3254"/>
    <w:rsid w:val="003F34C2"/>
    <w:rsid w:val="003F3D80"/>
    <w:rsid w:val="003F69B8"/>
    <w:rsid w:val="003F77F3"/>
    <w:rsid w:val="00400451"/>
    <w:rsid w:val="00403246"/>
    <w:rsid w:val="00404771"/>
    <w:rsid w:val="00404936"/>
    <w:rsid w:val="00406066"/>
    <w:rsid w:val="004104F0"/>
    <w:rsid w:val="00410962"/>
    <w:rsid w:val="00410ECF"/>
    <w:rsid w:val="00415F33"/>
    <w:rsid w:val="00417105"/>
    <w:rsid w:val="0042123A"/>
    <w:rsid w:val="00434146"/>
    <w:rsid w:val="00435C69"/>
    <w:rsid w:val="00443C13"/>
    <w:rsid w:val="004463DC"/>
    <w:rsid w:val="004501E2"/>
    <w:rsid w:val="0045075B"/>
    <w:rsid w:val="00451F16"/>
    <w:rsid w:val="00454744"/>
    <w:rsid w:val="00455470"/>
    <w:rsid w:val="004579FF"/>
    <w:rsid w:val="004623E5"/>
    <w:rsid w:val="00462AB9"/>
    <w:rsid w:val="00462EE1"/>
    <w:rsid w:val="0046329D"/>
    <w:rsid w:val="00470710"/>
    <w:rsid w:val="004731C7"/>
    <w:rsid w:val="0047714B"/>
    <w:rsid w:val="0048375A"/>
    <w:rsid w:val="004841C6"/>
    <w:rsid w:val="00485EB2"/>
    <w:rsid w:val="00486C9C"/>
    <w:rsid w:val="00490767"/>
    <w:rsid w:val="004921F0"/>
    <w:rsid w:val="00492FF7"/>
    <w:rsid w:val="0049395D"/>
    <w:rsid w:val="00494FF8"/>
    <w:rsid w:val="00495751"/>
    <w:rsid w:val="00495E1A"/>
    <w:rsid w:val="0049739F"/>
    <w:rsid w:val="0049747F"/>
    <w:rsid w:val="00497D3D"/>
    <w:rsid w:val="004A2720"/>
    <w:rsid w:val="004A30A4"/>
    <w:rsid w:val="004B547C"/>
    <w:rsid w:val="004B594A"/>
    <w:rsid w:val="004B68FF"/>
    <w:rsid w:val="004C0E9C"/>
    <w:rsid w:val="004C2DCB"/>
    <w:rsid w:val="004D2423"/>
    <w:rsid w:val="004D2B76"/>
    <w:rsid w:val="004D4B47"/>
    <w:rsid w:val="004D4CB6"/>
    <w:rsid w:val="004D7179"/>
    <w:rsid w:val="004E08FC"/>
    <w:rsid w:val="004E0B40"/>
    <w:rsid w:val="004E337A"/>
    <w:rsid w:val="004E4C69"/>
    <w:rsid w:val="004E6C6F"/>
    <w:rsid w:val="004E6F0B"/>
    <w:rsid w:val="004E6F64"/>
    <w:rsid w:val="004E7C51"/>
    <w:rsid w:val="004F18B2"/>
    <w:rsid w:val="004F2E2D"/>
    <w:rsid w:val="004F4873"/>
    <w:rsid w:val="004F54AE"/>
    <w:rsid w:val="004F6C57"/>
    <w:rsid w:val="005002F4"/>
    <w:rsid w:val="005009A7"/>
    <w:rsid w:val="005018FF"/>
    <w:rsid w:val="00503079"/>
    <w:rsid w:val="00503107"/>
    <w:rsid w:val="00504071"/>
    <w:rsid w:val="00504741"/>
    <w:rsid w:val="00505666"/>
    <w:rsid w:val="00506231"/>
    <w:rsid w:val="00507366"/>
    <w:rsid w:val="005105DD"/>
    <w:rsid w:val="00510D31"/>
    <w:rsid w:val="00512A74"/>
    <w:rsid w:val="005135B8"/>
    <w:rsid w:val="005155F3"/>
    <w:rsid w:val="005163BB"/>
    <w:rsid w:val="00517888"/>
    <w:rsid w:val="00520328"/>
    <w:rsid w:val="005206A1"/>
    <w:rsid w:val="00520D47"/>
    <w:rsid w:val="00521199"/>
    <w:rsid w:val="005213A5"/>
    <w:rsid w:val="005213EF"/>
    <w:rsid w:val="00525B32"/>
    <w:rsid w:val="00527403"/>
    <w:rsid w:val="00527ED0"/>
    <w:rsid w:val="00531A13"/>
    <w:rsid w:val="00533E9C"/>
    <w:rsid w:val="00534035"/>
    <w:rsid w:val="00535280"/>
    <w:rsid w:val="00536EA2"/>
    <w:rsid w:val="00541853"/>
    <w:rsid w:val="00541F75"/>
    <w:rsid w:val="00544193"/>
    <w:rsid w:val="0055036C"/>
    <w:rsid w:val="00551284"/>
    <w:rsid w:val="00551B3C"/>
    <w:rsid w:val="00551CDD"/>
    <w:rsid w:val="005535E4"/>
    <w:rsid w:val="00554765"/>
    <w:rsid w:val="0055683A"/>
    <w:rsid w:val="00557874"/>
    <w:rsid w:val="0056003A"/>
    <w:rsid w:val="00561710"/>
    <w:rsid w:val="00561EC2"/>
    <w:rsid w:val="00562881"/>
    <w:rsid w:val="00564F01"/>
    <w:rsid w:val="00571162"/>
    <w:rsid w:val="0057166A"/>
    <w:rsid w:val="0057368F"/>
    <w:rsid w:val="00573DE3"/>
    <w:rsid w:val="005748AF"/>
    <w:rsid w:val="005756CA"/>
    <w:rsid w:val="00576CEF"/>
    <w:rsid w:val="00580507"/>
    <w:rsid w:val="005816F9"/>
    <w:rsid w:val="00583291"/>
    <w:rsid w:val="0058421D"/>
    <w:rsid w:val="00586C06"/>
    <w:rsid w:val="0059048F"/>
    <w:rsid w:val="005907F1"/>
    <w:rsid w:val="005920C4"/>
    <w:rsid w:val="00592BC8"/>
    <w:rsid w:val="005949BB"/>
    <w:rsid w:val="00594B5E"/>
    <w:rsid w:val="00595C3F"/>
    <w:rsid w:val="00595E38"/>
    <w:rsid w:val="00596183"/>
    <w:rsid w:val="00596DF7"/>
    <w:rsid w:val="005A0BB1"/>
    <w:rsid w:val="005A3560"/>
    <w:rsid w:val="005A4FBD"/>
    <w:rsid w:val="005B1EB4"/>
    <w:rsid w:val="005B2766"/>
    <w:rsid w:val="005B6847"/>
    <w:rsid w:val="005C176F"/>
    <w:rsid w:val="005C3A0B"/>
    <w:rsid w:val="005C4A31"/>
    <w:rsid w:val="005C576E"/>
    <w:rsid w:val="005D0524"/>
    <w:rsid w:val="005D0C0B"/>
    <w:rsid w:val="005D2731"/>
    <w:rsid w:val="005D35BE"/>
    <w:rsid w:val="005D4FEF"/>
    <w:rsid w:val="005D53DA"/>
    <w:rsid w:val="005D5DF8"/>
    <w:rsid w:val="005D690B"/>
    <w:rsid w:val="005D6E73"/>
    <w:rsid w:val="005E01B7"/>
    <w:rsid w:val="005E3B7E"/>
    <w:rsid w:val="005E3F7F"/>
    <w:rsid w:val="005E4912"/>
    <w:rsid w:val="005E549A"/>
    <w:rsid w:val="005E62B4"/>
    <w:rsid w:val="005F1C49"/>
    <w:rsid w:val="005F2392"/>
    <w:rsid w:val="005F2CFD"/>
    <w:rsid w:val="005F39C9"/>
    <w:rsid w:val="006003D2"/>
    <w:rsid w:val="00603555"/>
    <w:rsid w:val="0060387A"/>
    <w:rsid w:val="00603932"/>
    <w:rsid w:val="00605AEB"/>
    <w:rsid w:val="00605CA8"/>
    <w:rsid w:val="00613BCE"/>
    <w:rsid w:val="00615B97"/>
    <w:rsid w:val="00615CB3"/>
    <w:rsid w:val="00617D04"/>
    <w:rsid w:val="00620EBC"/>
    <w:rsid w:val="0062229F"/>
    <w:rsid w:val="00626476"/>
    <w:rsid w:val="00627097"/>
    <w:rsid w:val="00631DB0"/>
    <w:rsid w:val="00632CDC"/>
    <w:rsid w:val="00634787"/>
    <w:rsid w:val="00634F35"/>
    <w:rsid w:val="0063797C"/>
    <w:rsid w:val="00643E0B"/>
    <w:rsid w:val="00646A63"/>
    <w:rsid w:val="00650EBA"/>
    <w:rsid w:val="006525EA"/>
    <w:rsid w:val="00654C75"/>
    <w:rsid w:val="006556E1"/>
    <w:rsid w:val="00656837"/>
    <w:rsid w:val="0065758D"/>
    <w:rsid w:val="006602F4"/>
    <w:rsid w:val="00662857"/>
    <w:rsid w:val="00662F6C"/>
    <w:rsid w:val="00664FE3"/>
    <w:rsid w:val="006709B0"/>
    <w:rsid w:val="00672CE3"/>
    <w:rsid w:val="00674E24"/>
    <w:rsid w:val="00675451"/>
    <w:rsid w:val="00675E39"/>
    <w:rsid w:val="00676D74"/>
    <w:rsid w:val="00681762"/>
    <w:rsid w:val="00681C3F"/>
    <w:rsid w:val="006821AE"/>
    <w:rsid w:val="006821DC"/>
    <w:rsid w:val="0068305C"/>
    <w:rsid w:val="00684509"/>
    <w:rsid w:val="006904BD"/>
    <w:rsid w:val="00692445"/>
    <w:rsid w:val="006925F3"/>
    <w:rsid w:val="00692770"/>
    <w:rsid w:val="00693436"/>
    <w:rsid w:val="00694457"/>
    <w:rsid w:val="0069638B"/>
    <w:rsid w:val="00696C82"/>
    <w:rsid w:val="006A03A9"/>
    <w:rsid w:val="006A0772"/>
    <w:rsid w:val="006A0784"/>
    <w:rsid w:val="006A2159"/>
    <w:rsid w:val="006A481B"/>
    <w:rsid w:val="006B042F"/>
    <w:rsid w:val="006B071F"/>
    <w:rsid w:val="006B1FFE"/>
    <w:rsid w:val="006B33BB"/>
    <w:rsid w:val="006B3A10"/>
    <w:rsid w:val="006B3E16"/>
    <w:rsid w:val="006B736E"/>
    <w:rsid w:val="006C247E"/>
    <w:rsid w:val="006C3B58"/>
    <w:rsid w:val="006C3EDD"/>
    <w:rsid w:val="006C40C8"/>
    <w:rsid w:val="006C484B"/>
    <w:rsid w:val="006C5552"/>
    <w:rsid w:val="006D0D7E"/>
    <w:rsid w:val="006D30BB"/>
    <w:rsid w:val="006D3A4A"/>
    <w:rsid w:val="006D76C0"/>
    <w:rsid w:val="006E2851"/>
    <w:rsid w:val="006E2BDB"/>
    <w:rsid w:val="006E57F2"/>
    <w:rsid w:val="006E5ADA"/>
    <w:rsid w:val="006E6B19"/>
    <w:rsid w:val="006E7A3C"/>
    <w:rsid w:val="006F0BB5"/>
    <w:rsid w:val="006F3B48"/>
    <w:rsid w:val="006F49C2"/>
    <w:rsid w:val="006F52BD"/>
    <w:rsid w:val="007006CC"/>
    <w:rsid w:val="0070290B"/>
    <w:rsid w:val="00703004"/>
    <w:rsid w:val="00704A40"/>
    <w:rsid w:val="007065D2"/>
    <w:rsid w:val="00706698"/>
    <w:rsid w:val="00706AA9"/>
    <w:rsid w:val="007107E5"/>
    <w:rsid w:val="007113D5"/>
    <w:rsid w:val="00711E80"/>
    <w:rsid w:val="0071576E"/>
    <w:rsid w:val="007159B3"/>
    <w:rsid w:val="00715A88"/>
    <w:rsid w:val="00716126"/>
    <w:rsid w:val="00717435"/>
    <w:rsid w:val="00724ECA"/>
    <w:rsid w:val="007275DF"/>
    <w:rsid w:val="00731693"/>
    <w:rsid w:val="00732B11"/>
    <w:rsid w:val="00733666"/>
    <w:rsid w:val="00735CFC"/>
    <w:rsid w:val="0073612C"/>
    <w:rsid w:val="0073770B"/>
    <w:rsid w:val="00737CC2"/>
    <w:rsid w:val="007476A7"/>
    <w:rsid w:val="0075045B"/>
    <w:rsid w:val="0075288E"/>
    <w:rsid w:val="00754BEA"/>
    <w:rsid w:val="007556FF"/>
    <w:rsid w:val="00755A35"/>
    <w:rsid w:val="00755F76"/>
    <w:rsid w:val="00756479"/>
    <w:rsid w:val="00756B84"/>
    <w:rsid w:val="007622F1"/>
    <w:rsid w:val="00762641"/>
    <w:rsid w:val="007628C5"/>
    <w:rsid w:val="007631C1"/>
    <w:rsid w:val="00764A6E"/>
    <w:rsid w:val="00765110"/>
    <w:rsid w:val="00766C82"/>
    <w:rsid w:val="0077031A"/>
    <w:rsid w:val="007704C6"/>
    <w:rsid w:val="00773D85"/>
    <w:rsid w:val="00774E81"/>
    <w:rsid w:val="00777477"/>
    <w:rsid w:val="00777D65"/>
    <w:rsid w:val="00780A10"/>
    <w:rsid w:val="00782142"/>
    <w:rsid w:val="00784064"/>
    <w:rsid w:val="00785603"/>
    <w:rsid w:val="007861BA"/>
    <w:rsid w:val="00786A2C"/>
    <w:rsid w:val="00786B9F"/>
    <w:rsid w:val="00787CC2"/>
    <w:rsid w:val="00790939"/>
    <w:rsid w:val="00791714"/>
    <w:rsid w:val="00791756"/>
    <w:rsid w:val="007938EA"/>
    <w:rsid w:val="0079701E"/>
    <w:rsid w:val="007A1513"/>
    <w:rsid w:val="007A32A1"/>
    <w:rsid w:val="007A3FC5"/>
    <w:rsid w:val="007A4B90"/>
    <w:rsid w:val="007A502C"/>
    <w:rsid w:val="007A7A8D"/>
    <w:rsid w:val="007B1C82"/>
    <w:rsid w:val="007B5F12"/>
    <w:rsid w:val="007B60B8"/>
    <w:rsid w:val="007B75CB"/>
    <w:rsid w:val="007C05F1"/>
    <w:rsid w:val="007C1A5D"/>
    <w:rsid w:val="007C27A1"/>
    <w:rsid w:val="007C2FA8"/>
    <w:rsid w:val="007C4B42"/>
    <w:rsid w:val="007C5DB8"/>
    <w:rsid w:val="007D0A8E"/>
    <w:rsid w:val="007D399B"/>
    <w:rsid w:val="007D430D"/>
    <w:rsid w:val="007D46AD"/>
    <w:rsid w:val="007D4DB4"/>
    <w:rsid w:val="007D662E"/>
    <w:rsid w:val="007E03C6"/>
    <w:rsid w:val="007E454C"/>
    <w:rsid w:val="007E5400"/>
    <w:rsid w:val="007E565D"/>
    <w:rsid w:val="007F7B84"/>
    <w:rsid w:val="007F7F87"/>
    <w:rsid w:val="00803DF2"/>
    <w:rsid w:val="00806DDB"/>
    <w:rsid w:val="008102A4"/>
    <w:rsid w:val="00812032"/>
    <w:rsid w:val="0081212F"/>
    <w:rsid w:val="008128A3"/>
    <w:rsid w:val="00815814"/>
    <w:rsid w:val="00816FBC"/>
    <w:rsid w:val="00817655"/>
    <w:rsid w:val="0082005D"/>
    <w:rsid w:val="00820EDE"/>
    <w:rsid w:val="008216C1"/>
    <w:rsid w:val="00824FA3"/>
    <w:rsid w:val="0082750C"/>
    <w:rsid w:val="0083032A"/>
    <w:rsid w:val="0083088F"/>
    <w:rsid w:val="00834FBC"/>
    <w:rsid w:val="00836E00"/>
    <w:rsid w:val="0084040C"/>
    <w:rsid w:val="00841368"/>
    <w:rsid w:val="008433BD"/>
    <w:rsid w:val="008468B8"/>
    <w:rsid w:val="008512A6"/>
    <w:rsid w:val="0085140F"/>
    <w:rsid w:val="00852FE6"/>
    <w:rsid w:val="00861965"/>
    <w:rsid w:val="008659FE"/>
    <w:rsid w:val="0086621A"/>
    <w:rsid w:val="008663C2"/>
    <w:rsid w:val="00866B35"/>
    <w:rsid w:val="00866FE4"/>
    <w:rsid w:val="00867AA9"/>
    <w:rsid w:val="00871101"/>
    <w:rsid w:val="00873AE4"/>
    <w:rsid w:val="00876739"/>
    <w:rsid w:val="0087733D"/>
    <w:rsid w:val="008777FA"/>
    <w:rsid w:val="00880AA1"/>
    <w:rsid w:val="0088118B"/>
    <w:rsid w:val="00882D30"/>
    <w:rsid w:val="008846D7"/>
    <w:rsid w:val="00884DFB"/>
    <w:rsid w:val="00887DEC"/>
    <w:rsid w:val="008914D5"/>
    <w:rsid w:val="00891C92"/>
    <w:rsid w:val="00895BCD"/>
    <w:rsid w:val="008969D0"/>
    <w:rsid w:val="008A2613"/>
    <w:rsid w:val="008A324F"/>
    <w:rsid w:val="008B2960"/>
    <w:rsid w:val="008B3117"/>
    <w:rsid w:val="008B3841"/>
    <w:rsid w:val="008B46A5"/>
    <w:rsid w:val="008B52AC"/>
    <w:rsid w:val="008B5776"/>
    <w:rsid w:val="008C0EA1"/>
    <w:rsid w:val="008C172F"/>
    <w:rsid w:val="008C3C0B"/>
    <w:rsid w:val="008C6A26"/>
    <w:rsid w:val="008C7339"/>
    <w:rsid w:val="008D03BC"/>
    <w:rsid w:val="008D2AB2"/>
    <w:rsid w:val="008D2F66"/>
    <w:rsid w:val="008D31A3"/>
    <w:rsid w:val="008D31F7"/>
    <w:rsid w:val="008D3670"/>
    <w:rsid w:val="008D48D0"/>
    <w:rsid w:val="008D67A4"/>
    <w:rsid w:val="008E06EE"/>
    <w:rsid w:val="008E06FC"/>
    <w:rsid w:val="008E20E1"/>
    <w:rsid w:val="008E3A23"/>
    <w:rsid w:val="008E417C"/>
    <w:rsid w:val="008E534D"/>
    <w:rsid w:val="008E7DDD"/>
    <w:rsid w:val="0090099F"/>
    <w:rsid w:val="009062F7"/>
    <w:rsid w:val="00906D45"/>
    <w:rsid w:val="00907AC8"/>
    <w:rsid w:val="00911591"/>
    <w:rsid w:val="0091235E"/>
    <w:rsid w:val="00913B57"/>
    <w:rsid w:val="00914B4F"/>
    <w:rsid w:val="00916868"/>
    <w:rsid w:val="00920FD5"/>
    <w:rsid w:val="009217A9"/>
    <w:rsid w:val="00922C6C"/>
    <w:rsid w:val="00924E13"/>
    <w:rsid w:val="0092737A"/>
    <w:rsid w:val="00927FB7"/>
    <w:rsid w:val="0093113B"/>
    <w:rsid w:val="0093194D"/>
    <w:rsid w:val="009327F1"/>
    <w:rsid w:val="00932A6A"/>
    <w:rsid w:val="009348E4"/>
    <w:rsid w:val="00935482"/>
    <w:rsid w:val="009367B6"/>
    <w:rsid w:val="00940985"/>
    <w:rsid w:val="00940C40"/>
    <w:rsid w:val="009423DC"/>
    <w:rsid w:val="009439B1"/>
    <w:rsid w:val="00943E1B"/>
    <w:rsid w:val="00945C77"/>
    <w:rsid w:val="00947BC6"/>
    <w:rsid w:val="00947F0E"/>
    <w:rsid w:val="00952316"/>
    <w:rsid w:val="009533EB"/>
    <w:rsid w:val="00954974"/>
    <w:rsid w:val="00954AEB"/>
    <w:rsid w:val="00954E92"/>
    <w:rsid w:val="00956877"/>
    <w:rsid w:val="0096062F"/>
    <w:rsid w:val="00962BEE"/>
    <w:rsid w:val="009636B7"/>
    <w:rsid w:val="00965BC8"/>
    <w:rsid w:val="00965E5E"/>
    <w:rsid w:val="00966854"/>
    <w:rsid w:val="00972387"/>
    <w:rsid w:val="009738F8"/>
    <w:rsid w:val="00977994"/>
    <w:rsid w:val="009832F7"/>
    <w:rsid w:val="00987E76"/>
    <w:rsid w:val="00987F93"/>
    <w:rsid w:val="00991F4B"/>
    <w:rsid w:val="00992901"/>
    <w:rsid w:val="00992FFD"/>
    <w:rsid w:val="00993E6E"/>
    <w:rsid w:val="00994463"/>
    <w:rsid w:val="00995F3D"/>
    <w:rsid w:val="009960AF"/>
    <w:rsid w:val="009960F8"/>
    <w:rsid w:val="009966EC"/>
    <w:rsid w:val="009A0225"/>
    <w:rsid w:val="009A2A7C"/>
    <w:rsid w:val="009A3549"/>
    <w:rsid w:val="009A41C0"/>
    <w:rsid w:val="009A61EB"/>
    <w:rsid w:val="009A66DC"/>
    <w:rsid w:val="009A6A48"/>
    <w:rsid w:val="009A7D8A"/>
    <w:rsid w:val="009B13BB"/>
    <w:rsid w:val="009B1DC3"/>
    <w:rsid w:val="009B26A7"/>
    <w:rsid w:val="009B4B5B"/>
    <w:rsid w:val="009B501C"/>
    <w:rsid w:val="009B5877"/>
    <w:rsid w:val="009B5C78"/>
    <w:rsid w:val="009B650E"/>
    <w:rsid w:val="009B77C6"/>
    <w:rsid w:val="009B7AD6"/>
    <w:rsid w:val="009C0B5F"/>
    <w:rsid w:val="009C1063"/>
    <w:rsid w:val="009C34E9"/>
    <w:rsid w:val="009C3ABC"/>
    <w:rsid w:val="009C6992"/>
    <w:rsid w:val="009C7BED"/>
    <w:rsid w:val="009D194F"/>
    <w:rsid w:val="009D1DE3"/>
    <w:rsid w:val="009D2AA8"/>
    <w:rsid w:val="009D2BCA"/>
    <w:rsid w:val="009D5C7D"/>
    <w:rsid w:val="009D7859"/>
    <w:rsid w:val="009D7F50"/>
    <w:rsid w:val="009E2235"/>
    <w:rsid w:val="009E40A1"/>
    <w:rsid w:val="009E4616"/>
    <w:rsid w:val="009E59FB"/>
    <w:rsid w:val="009E78FA"/>
    <w:rsid w:val="009F15EA"/>
    <w:rsid w:val="009F4A1D"/>
    <w:rsid w:val="009F54BC"/>
    <w:rsid w:val="009F5995"/>
    <w:rsid w:val="009F5E9F"/>
    <w:rsid w:val="009F6835"/>
    <w:rsid w:val="009F6FB8"/>
    <w:rsid w:val="00A0203D"/>
    <w:rsid w:val="00A0498B"/>
    <w:rsid w:val="00A056E3"/>
    <w:rsid w:val="00A1442A"/>
    <w:rsid w:val="00A15B86"/>
    <w:rsid w:val="00A15E1F"/>
    <w:rsid w:val="00A15F15"/>
    <w:rsid w:val="00A17709"/>
    <w:rsid w:val="00A20718"/>
    <w:rsid w:val="00A2199B"/>
    <w:rsid w:val="00A245A4"/>
    <w:rsid w:val="00A25DE1"/>
    <w:rsid w:val="00A3082F"/>
    <w:rsid w:val="00A31323"/>
    <w:rsid w:val="00A31B4D"/>
    <w:rsid w:val="00A3259A"/>
    <w:rsid w:val="00A41624"/>
    <w:rsid w:val="00A4229D"/>
    <w:rsid w:val="00A434CE"/>
    <w:rsid w:val="00A4366B"/>
    <w:rsid w:val="00A50C63"/>
    <w:rsid w:val="00A5210D"/>
    <w:rsid w:val="00A56DA1"/>
    <w:rsid w:val="00A62734"/>
    <w:rsid w:val="00A637EA"/>
    <w:rsid w:val="00A66D42"/>
    <w:rsid w:val="00A67A98"/>
    <w:rsid w:val="00A70225"/>
    <w:rsid w:val="00A7094C"/>
    <w:rsid w:val="00A71D28"/>
    <w:rsid w:val="00A72D64"/>
    <w:rsid w:val="00A73C1A"/>
    <w:rsid w:val="00A740BD"/>
    <w:rsid w:val="00A751C4"/>
    <w:rsid w:val="00A75549"/>
    <w:rsid w:val="00A77274"/>
    <w:rsid w:val="00A802C6"/>
    <w:rsid w:val="00A8031B"/>
    <w:rsid w:val="00A8129F"/>
    <w:rsid w:val="00A813E3"/>
    <w:rsid w:val="00A839FD"/>
    <w:rsid w:val="00A84C22"/>
    <w:rsid w:val="00A8509D"/>
    <w:rsid w:val="00A86015"/>
    <w:rsid w:val="00A86E17"/>
    <w:rsid w:val="00A90E81"/>
    <w:rsid w:val="00A92B22"/>
    <w:rsid w:val="00A92C11"/>
    <w:rsid w:val="00A938B4"/>
    <w:rsid w:val="00A94C8F"/>
    <w:rsid w:val="00A94EB3"/>
    <w:rsid w:val="00A95BCD"/>
    <w:rsid w:val="00A95C38"/>
    <w:rsid w:val="00A97DB8"/>
    <w:rsid w:val="00A97E8A"/>
    <w:rsid w:val="00AA1884"/>
    <w:rsid w:val="00AA1A42"/>
    <w:rsid w:val="00AA291E"/>
    <w:rsid w:val="00AA4638"/>
    <w:rsid w:val="00AA559B"/>
    <w:rsid w:val="00AA6463"/>
    <w:rsid w:val="00AA7B3A"/>
    <w:rsid w:val="00AB03DD"/>
    <w:rsid w:val="00AB066C"/>
    <w:rsid w:val="00AB1107"/>
    <w:rsid w:val="00AB3F47"/>
    <w:rsid w:val="00AB4EB3"/>
    <w:rsid w:val="00AB5531"/>
    <w:rsid w:val="00AB7F5C"/>
    <w:rsid w:val="00AC0B22"/>
    <w:rsid w:val="00AC22E5"/>
    <w:rsid w:val="00AC2F5E"/>
    <w:rsid w:val="00AC3737"/>
    <w:rsid w:val="00AC5B61"/>
    <w:rsid w:val="00AD18E9"/>
    <w:rsid w:val="00AD1EA5"/>
    <w:rsid w:val="00AD559D"/>
    <w:rsid w:val="00AD72E1"/>
    <w:rsid w:val="00AE4FD8"/>
    <w:rsid w:val="00AE7446"/>
    <w:rsid w:val="00AF3715"/>
    <w:rsid w:val="00AF3D4D"/>
    <w:rsid w:val="00AF44F4"/>
    <w:rsid w:val="00AF451C"/>
    <w:rsid w:val="00AF523E"/>
    <w:rsid w:val="00AF6C05"/>
    <w:rsid w:val="00B02393"/>
    <w:rsid w:val="00B039A0"/>
    <w:rsid w:val="00B047F1"/>
    <w:rsid w:val="00B0485D"/>
    <w:rsid w:val="00B0736B"/>
    <w:rsid w:val="00B074DA"/>
    <w:rsid w:val="00B07BF1"/>
    <w:rsid w:val="00B118AA"/>
    <w:rsid w:val="00B12CCC"/>
    <w:rsid w:val="00B13B31"/>
    <w:rsid w:val="00B155D6"/>
    <w:rsid w:val="00B16B56"/>
    <w:rsid w:val="00B17416"/>
    <w:rsid w:val="00B22FA3"/>
    <w:rsid w:val="00B24243"/>
    <w:rsid w:val="00B245FC"/>
    <w:rsid w:val="00B258B3"/>
    <w:rsid w:val="00B25C47"/>
    <w:rsid w:val="00B3326E"/>
    <w:rsid w:val="00B33ACB"/>
    <w:rsid w:val="00B33AFB"/>
    <w:rsid w:val="00B3499D"/>
    <w:rsid w:val="00B34AE8"/>
    <w:rsid w:val="00B359D3"/>
    <w:rsid w:val="00B40BB6"/>
    <w:rsid w:val="00B4237E"/>
    <w:rsid w:val="00B44F62"/>
    <w:rsid w:val="00B45DD4"/>
    <w:rsid w:val="00B46769"/>
    <w:rsid w:val="00B474A6"/>
    <w:rsid w:val="00B479AE"/>
    <w:rsid w:val="00B50E92"/>
    <w:rsid w:val="00B51EA6"/>
    <w:rsid w:val="00B5357B"/>
    <w:rsid w:val="00B5415F"/>
    <w:rsid w:val="00B556FB"/>
    <w:rsid w:val="00B62386"/>
    <w:rsid w:val="00B63981"/>
    <w:rsid w:val="00B669EA"/>
    <w:rsid w:val="00B66CFA"/>
    <w:rsid w:val="00B7045C"/>
    <w:rsid w:val="00B7151C"/>
    <w:rsid w:val="00B830F1"/>
    <w:rsid w:val="00B84136"/>
    <w:rsid w:val="00B90064"/>
    <w:rsid w:val="00B9012B"/>
    <w:rsid w:val="00B9019F"/>
    <w:rsid w:val="00B90855"/>
    <w:rsid w:val="00B9218C"/>
    <w:rsid w:val="00B92560"/>
    <w:rsid w:val="00B9396D"/>
    <w:rsid w:val="00B9500B"/>
    <w:rsid w:val="00B95061"/>
    <w:rsid w:val="00B961DF"/>
    <w:rsid w:val="00B9652A"/>
    <w:rsid w:val="00B96D64"/>
    <w:rsid w:val="00BA00F1"/>
    <w:rsid w:val="00BA2BFE"/>
    <w:rsid w:val="00BA3CCD"/>
    <w:rsid w:val="00BA4EF9"/>
    <w:rsid w:val="00BA5D3D"/>
    <w:rsid w:val="00BA62C1"/>
    <w:rsid w:val="00BA7066"/>
    <w:rsid w:val="00BA7693"/>
    <w:rsid w:val="00BA7AD4"/>
    <w:rsid w:val="00BB0484"/>
    <w:rsid w:val="00BB2B44"/>
    <w:rsid w:val="00BB351D"/>
    <w:rsid w:val="00BC1066"/>
    <w:rsid w:val="00BC1A01"/>
    <w:rsid w:val="00BC3460"/>
    <w:rsid w:val="00BC52DC"/>
    <w:rsid w:val="00BD0A80"/>
    <w:rsid w:val="00BD0E4E"/>
    <w:rsid w:val="00BD1C37"/>
    <w:rsid w:val="00BD2232"/>
    <w:rsid w:val="00BD2C67"/>
    <w:rsid w:val="00BD3616"/>
    <w:rsid w:val="00BD3E6C"/>
    <w:rsid w:val="00BD4B5F"/>
    <w:rsid w:val="00BD7A8A"/>
    <w:rsid w:val="00BE069D"/>
    <w:rsid w:val="00BE5BB7"/>
    <w:rsid w:val="00BE67C9"/>
    <w:rsid w:val="00BE7242"/>
    <w:rsid w:val="00BE78E1"/>
    <w:rsid w:val="00BF1A97"/>
    <w:rsid w:val="00BF3687"/>
    <w:rsid w:val="00BF3A17"/>
    <w:rsid w:val="00BF5C9D"/>
    <w:rsid w:val="00BF784A"/>
    <w:rsid w:val="00BF7DC2"/>
    <w:rsid w:val="00C00E82"/>
    <w:rsid w:val="00C012F0"/>
    <w:rsid w:val="00C02022"/>
    <w:rsid w:val="00C03BCF"/>
    <w:rsid w:val="00C057A2"/>
    <w:rsid w:val="00C05FFF"/>
    <w:rsid w:val="00C075B7"/>
    <w:rsid w:val="00C07BE4"/>
    <w:rsid w:val="00C108C7"/>
    <w:rsid w:val="00C109C2"/>
    <w:rsid w:val="00C118E6"/>
    <w:rsid w:val="00C11EE8"/>
    <w:rsid w:val="00C1285F"/>
    <w:rsid w:val="00C1554E"/>
    <w:rsid w:val="00C1581F"/>
    <w:rsid w:val="00C15FBF"/>
    <w:rsid w:val="00C2708B"/>
    <w:rsid w:val="00C37A2A"/>
    <w:rsid w:val="00C50DE7"/>
    <w:rsid w:val="00C51663"/>
    <w:rsid w:val="00C53243"/>
    <w:rsid w:val="00C537B9"/>
    <w:rsid w:val="00C543BB"/>
    <w:rsid w:val="00C57E8C"/>
    <w:rsid w:val="00C6078D"/>
    <w:rsid w:val="00C60AF6"/>
    <w:rsid w:val="00C61DC2"/>
    <w:rsid w:val="00C668CD"/>
    <w:rsid w:val="00C7027D"/>
    <w:rsid w:val="00C71062"/>
    <w:rsid w:val="00C74EB2"/>
    <w:rsid w:val="00C83C31"/>
    <w:rsid w:val="00C91C6A"/>
    <w:rsid w:val="00C9297D"/>
    <w:rsid w:val="00C93410"/>
    <w:rsid w:val="00C9344B"/>
    <w:rsid w:val="00C93D76"/>
    <w:rsid w:val="00C94B57"/>
    <w:rsid w:val="00C9756E"/>
    <w:rsid w:val="00CA4128"/>
    <w:rsid w:val="00CB2F0E"/>
    <w:rsid w:val="00CB41C0"/>
    <w:rsid w:val="00CB433C"/>
    <w:rsid w:val="00CB55DC"/>
    <w:rsid w:val="00CC0E50"/>
    <w:rsid w:val="00CC626F"/>
    <w:rsid w:val="00CC6E6B"/>
    <w:rsid w:val="00CC71FB"/>
    <w:rsid w:val="00CD068F"/>
    <w:rsid w:val="00CD0B93"/>
    <w:rsid w:val="00CD1490"/>
    <w:rsid w:val="00CD3A77"/>
    <w:rsid w:val="00CD643F"/>
    <w:rsid w:val="00CE0E36"/>
    <w:rsid w:val="00CE0E3A"/>
    <w:rsid w:val="00CE171C"/>
    <w:rsid w:val="00CE3DCB"/>
    <w:rsid w:val="00CE531E"/>
    <w:rsid w:val="00CE7A3F"/>
    <w:rsid w:val="00CE7BB9"/>
    <w:rsid w:val="00CF1F0F"/>
    <w:rsid w:val="00CF2B97"/>
    <w:rsid w:val="00CF43FC"/>
    <w:rsid w:val="00CF458B"/>
    <w:rsid w:val="00CF6A65"/>
    <w:rsid w:val="00CF7407"/>
    <w:rsid w:val="00D053E3"/>
    <w:rsid w:val="00D06839"/>
    <w:rsid w:val="00D07477"/>
    <w:rsid w:val="00D078E8"/>
    <w:rsid w:val="00D1089D"/>
    <w:rsid w:val="00D12F2C"/>
    <w:rsid w:val="00D133CF"/>
    <w:rsid w:val="00D138F1"/>
    <w:rsid w:val="00D14ADF"/>
    <w:rsid w:val="00D15A53"/>
    <w:rsid w:val="00D15AFC"/>
    <w:rsid w:val="00D17A3E"/>
    <w:rsid w:val="00D231EE"/>
    <w:rsid w:val="00D2489E"/>
    <w:rsid w:val="00D25A99"/>
    <w:rsid w:val="00D30921"/>
    <w:rsid w:val="00D31BC6"/>
    <w:rsid w:val="00D37DF5"/>
    <w:rsid w:val="00D41E7F"/>
    <w:rsid w:val="00D42369"/>
    <w:rsid w:val="00D44767"/>
    <w:rsid w:val="00D45617"/>
    <w:rsid w:val="00D45977"/>
    <w:rsid w:val="00D46989"/>
    <w:rsid w:val="00D46A2A"/>
    <w:rsid w:val="00D47A1E"/>
    <w:rsid w:val="00D47F4B"/>
    <w:rsid w:val="00D5008E"/>
    <w:rsid w:val="00D5175B"/>
    <w:rsid w:val="00D52189"/>
    <w:rsid w:val="00D52842"/>
    <w:rsid w:val="00D52A07"/>
    <w:rsid w:val="00D52CFD"/>
    <w:rsid w:val="00D53654"/>
    <w:rsid w:val="00D5605F"/>
    <w:rsid w:val="00D61215"/>
    <w:rsid w:val="00D63AEE"/>
    <w:rsid w:val="00D66B42"/>
    <w:rsid w:val="00D7057C"/>
    <w:rsid w:val="00D71AA3"/>
    <w:rsid w:val="00D753C8"/>
    <w:rsid w:val="00D76314"/>
    <w:rsid w:val="00D76BE7"/>
    <w:rsid w:val="00D8054B"/>
    <w:rsid w:val="00D8085B"/>
    <w:rsid w:val="00D834D2"/>
    <w:rsid w:val="00D86805"/>
    <w:rsid w:val="00D87132"/>
    <w:rsid w:val="00D917AD"/>
    <w:rsid w:val="00D91D8B"/>
    <w:rsid w:val="00D92255"/>
    <w:rsid w:val="00D92F9D"/>
    <w:rsid w:val="00D938CA"/>
    <w:rsid w:val="00D939BD"/>
    <w:rsid w:val="00D93BA7"/>
    <w:rsid w:val="00D942F5"/>
    <w:rsid w:val="00D96218"/>
    <w:rsid w:val="00DA00AE"/>
    <w:rsid w:val="00DA46A7"/>
    <w:rsid w:val="00DA4759"/>
    <w:rsid w:val="00DA6009"/>
    <w:rsid w:val="00DA6D5F"/>
    <w:rsid w:val="00DA769A"/>
    <w:rsid w:val="00DA7E62"/>
    <w:rsid w:val="00DB1870"/>
    <w:rsid w:val="00DB2EED"/>
    <w:rsid w:val="00DB465C"/>
    <w:rsid w:val="00DB5B20"/>
    <w:rsid w:val="00DC1A30"/>
    <w:rsid w:val="00DC357B"/>
    <w:rsid w:val="00DD0214"/>
    <w:rsid w:val="00DD0285"/>
    <w:rsid w:val="00DD0CC1"/>
    <w:rsid w:val="00DD592F"/>
    <w:rsid w:val="00DD63BB"/>
    <w:rsid w:val="00DD71E4"/>
    <w:rsid w:val="00DD750B"/>
    <w:rsid w:val="00DE0C99"/>
    <w:rsid w:val="00DE1016"/>
    <w:rsid w:val="00DE2B59"/>
    <w:rsid w:val="00DE5966"/>
    <w:rsid w:val="00DE59BF"/>
    <w:rsid w:val="00DF0BB6"/>
    <w:rsid w:val="00DF18AE"/>
    <w:rsid w:val="00DF285C"/>
    <w:rsid w:val="00DF35AF"/>
    <w:rsid w:val="00DF3F28"/>
    <w:rsid w:val="00E00F02"/>
    <w:rsid w:val="00E015C8"/>
    <w:rsid w:val="00E01C92"/>
    <w:rsid w:val="00E01DA2"/>
    <w:rsid w:val="00E02F9C"/>
    <w:rsid w:val="00E07363"/>
    <w:rsid w:val="00E118CC"/>
    <w:rsid w:val="00E11B73"/>
    <w:rsid w:val="00E13512"/>
    <w:rsid w:val="00E147E5"/>
    <w:rsid w:val="00E16484"/>
    <w:rsid w:val="00E166F2"/>
    <w:rsid w:val="00E20B3C"/>
    <w:rsid w:val="00E2305C"/>
    <w:rsid w:val="00E24B0F"/>
    <w:rsid w:val="00E2561E"/>
    <w:rsid w:val="00E265AF"/>
    <w:rsid w:val="00E26766"/>
    <w:rsid w:val="00E26FEF"/>
    <w:rsid w:val="00E274E3"/>
    <w:rsid w:val="00E316E7"/>
    <w:rsid w:val="00E32470"/>
    <w:rsid w:val="00E336CD"/>
    <w:rsid w:val="00E36FCB"/>
    <w:rsid w:val="00E41AA4"/>
    <w:rsid w:val="00E43153"/>
    <w:rsid w:val="00E43A4B"/>
    <w:rsid w:val="00E46BF9"/>
    <w:rsid w:val="00E4717B"/>
    <w:rsid w:val="00E518DA"/>
    <w:rsid w:val="00E5505E"/>
    <w:rsid w:val="00E56DD9"/>
    <w:rsid w:val="00E56E9A"/>
    <w:rsid w:val="00E57404"/>
    <w:rsid w:val="00E6319E"/>
    <w:rsid w:val="00E64CB6"/>
    <w:rsid w:val="00E70838"/>
    <w:rsid w:val="00E71F80"/>
    <w:rsid w:val="00E80235"/>
    <w:rsid w:val="00E80FF1"/>
    <w:rsid w:val="00E83CD3"/>
    <w:rsid w:val="00E83E5E"/>
    <w:rsid w:val="00E844A6"/>
    <w:rsid w:val="00E853F8"/>
    <w:rsid w:val="00E8768A"/>
    <w:rsid w:val="00E87DBC"/>
    <w:rsid w:val="00E9257D"/>
    <w:rsid w:val="00E92FB4"/>
    <w:rsid w:val="00E92FFB"/>
    <w:rsid w:val="00E94442"/>
    <w:rsid w:val="00E94653"/>
    <w:rsid w:val="00E95427"/>
    <w:rsid w:val="00E95DDF"/>
    <w:rsid w:val="00E96542"/>
    <w:rsid w:val="00E96BFD"/>
    <w:rsid w:val="00EA0E80"/>
    <w:rsid w:val="00EA244B"/>
    <w:rsid w:val="00EA35D9"/>
    <w:rsid w:val="00EA3620"/>
    <w:rsid w:val="00EA58C8"/>
    <w:rsid w:val="00EA6D0D"/>
    <w:rsid w:val="00EA6FBF"/>
    <w:rsid w:val="00EB05C1"/>
    <w:rsid w:val="00EB0717"/>
    <w:rsid w:val="00EB179E"/>
    <w:rsid w:val="00EB33E7"/>
    <w:rsid w:val="00EB6B86"/>
    <w:rsid w:val="00EC0EA3"/>
    <w:rsid w:val="00EC30FA"/>
    <w:rsid w:val="00EC400C"/>
    <w:rsid w:val="00EC63EC"/>
    <w:rsid w:val="00EC6874"/>
    <w:rsid w:val="00EC7037"/>
    <w:rsid w:val="00EC71E1"/>
    <w:rsid w:val="00ED0C7A"/>
    <w:rsid w:val="00ED0D46"/>
    <w:rsid w:val="00ED2A29"/>
    <w:rsid w:val="00ED2FE7"/>
    <w:rsid w:val="00ED4476"/>
    <w:rsid w:val="00ED6EAE"/>
    <w:rsid w:val="00ED784C"/>
    <w:rsid w:val="00EE31E5"/>
    <w:rsid w:val="00EE3995"/>
    <w:rsid w:val="00EE4094"/>
    <w:rsid w:val="00EE4728"/>
    <w:rsid w:val="00EE499A"/>
    <w:rsid w:val="00EE59CF"/>
    <w:rsid w:val="00EE7E97"/>
    <w:rsid w:val="00EF0D3F"/>
    <w:rsid w:val="00EF0FC0"/>
    <w:rsid w:val="00EF1D15"/>
    <w:rsid w:val="00EF2C31"/>
    <w:rsid w:val="00EF369E"/>
    <w:rsid w:val="00EF6C2B"/>
    <w:rsid w:val="00F018FA"/>
    <w:rsid w:val="00F027A7"/>
    <w:rsid w:val="00F048A1"/>
    <w:rsid w:val="00F05EE7"/>
    <w:rsid w:val="00F060B4"/>
    <w:rsid w:val="00F07907"/>
    <w:rsid w:val="00F1414F"/>
    <w:rsid w:val="00F15B2F"/>
    <w:rsid w:val="00F16AFD"/>
    <w:rsid w:val="00F17054"/>
    <w:rsid w:val="00F2035C"/>
    <w:rsid w:val="00F20FC6"/>
    <w:rsid w:val="00F236B3"/>
    <w:rsid w:val="00F25F3A"/>
    <w:rsid w:val="00F30DC0"/>
    <w:rsid w:val="00F32B9F"/>
    <w:rsid w:val="00F3399A"/>
    <w:rsid w:val="00F33F3D"/>
    <w:rsid w:val="00F347C0"/>
    <w:rsid w:val="00F3796A"/>
    <w:rsid w:val="00F410E4"/>
    <w:rsid w:val="00F426A8"/>
    <w:rsid w:val="00F42E84"/>
    <w:rsid w:val="00F42EAC"/>
    <w:rsid w:val="00F437F3"/>
    <w:rsid w:val="00F43CD8"/>
    <w:rsid w:val="00F440C7"/>
    <w:rsid w:val="00F506A0"/>
    <w:rsid w:val="00F5405B"/>
    <w:rsid w:val="00F54685"/>
    <w:rsid w:val="00F574FB"/>
    <w:rsid w:val="00F612ED"/>
    <w:rsid w:val="00F6392F"/>
    <w:rsid w:val="00F670FC"/>
    <w:rsid w:val="00F67E46"/>
    <w:rsid w:val="00F707F3"/>
    <w:rsid w:val="00F7085C"/>
    <w:rsid w:val="00F71CC0"/>
    <w:rsid w:val="00F730F7"/>
    <w:rsid w:val="00F85E7E"/>
    <w:rsid w:val="00F90AA4"/>
    <w:rsid w:val="00F912A0"/>
    <w:rsid w:val="00F93F12"/>
    <w:rsid w:val="00F93F8B"/>
    <w:rsid w:val="00F96F7C"/>
    <w:rsid w:val="00FA515D"/>
    <w:rsid w:val="00FA7C73"/>
    <w:rsid w:val="00FA7D39"/>
    <w:rsid w:val="00FB3BCF"/>
    <w:rsid w:val="00FB4427"/>
    <w:rsid w:val="00FB6906"/>
    <w:rsid w:val="00FB6A35"/>
    <w:rsid w:val="00FC1850"/>
    <w:rsid w:val="00FC37A9"/>
    <w:rsid w:val="00FC5550"/>
    <w:rsid w:val="00FC6249"/>
    <w:rsid w:val="00FC656B"/>
    <w:rsid w:val="00FC6BCD"/>
    <w:rsid w:val="00FD4048"/>
    <w:rsid w:val="00FD43AF"/>
    <w:rsid w:val="00FD5AC8"/>
    <w:rsid w:val="00FD6380"/>
    <w:rsid w:val="00FE08A7"/>
    <w:rsid w:val="00FE19E4"/>
    <w:rsid w:val="00FE1D86"/>
    <w:rsid w:val="00FE4E2E"/>
    <w:rsid w:val="00FE5924"/>
    <w:rsid w:val="00FE5D9D"/>
    <w:rsid w:val="00FE78DE"/>
    <w:rsid w:val="00FE7C79"/>
    <w:rsid w:val="00FF163B"/>
    <w:rsid w:val="00FF64B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C37CA4"/>
  <w15:chartTrackingRefBased/>
  <w15:docId w15:val="{BD1E0544-5DE2-485D-AB79-5DD7C44D4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before="24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0"/>
    </w:pPr>
    <w:rPr>
      <w:lang w:val="en-US"/>
    </w:rPr>
  </w:style>
  <w:style w:type="paragraph" w:styleId="Titolo1">
    <w:name w:val="heading 1"/>
    <w:basedOn w:val="Normale"/>
    <w:next w:val="Normale"/>
    <w:link w:val="Titolo1Carattere"/>
    <w:uiPriority w:val="9"/>
    <w:qFormat/>
    <w:rsid w:val="00A56DA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A56DA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A56DA1"/>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unhideWhenUsed/>
    <w:qFormat/>
    <w:rsid w:val="00A56DA1"/>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unhideWhenUsed/>
    <w:qFormat/>
    <w:rsid w:val="00A56DA1"/>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A56DA1"/>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56DA1"/>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56DA1"/>
    <w:pPr>
      <w:keepNext/>
      <w:keepLines/>
      <w:spacing w:before="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56DA1"/>
    <w:pPr>
      <w:keepNext/>
      <w:keepLines/>
      <w:spacing w:before="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56DA1"/>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A56DA1"/>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A56DA1"/>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rsid w:val="00A56DA1"/>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rsid w:val="00A56DA1"/>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A56DA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56DA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56DA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56DA1"/>
    <w:rPr>
      <w:rFonts w:eastAsiaTheme="majorEastAsia" w:cstheme="majorBidi"/>
      <w:color w:val="272727" w:themeColor="text1" w:themeTint="D8"/>
    </w:rPr>
  </w:style>
  <w:style w:type="paragraph" w:styleId="Titolo">
    <w:name w:val="Title"/>
    <w:basedOn w:val="Normale"/>
    <w:next w:val="Normale"/>
    <w:link w:val="TitoloCarattere"/>
    <w:uiPriority w:val="10"/>
    <w:qFormat/>
    <w:rsid w:val="00A56DA1"/>
    <w:pPr>
      <w:spacing w:before="0"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56DA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56DA1"/>
    <w:pPr>
      <w:numPr>
        <w:ilvl w:val="1"/>
      </w:numPr>
      <w:spacing w:after="160"/>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56DA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56DA1"/>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A56DA1"/>
    <w:rPr>
      <w:i/>
      <w:iCs/>
      <w:color w:val="404040" w:themeColor="text1" w:themeTint="BF"/>
    </w:rPr>
  </w:style>
  <w:style w:type="paragraph" w:styleId="Paragrafoelenco">
    <w:name w:val="List Paragraph"/>
    <w:basedOn w:val="Normale"/>
    <w:uiPriority w:val="34"/>
    <w:qFormat/>
    <w:rsid w:val="00A56DA1"/>
    <w:pPr>
      <w:ind w:left="720"/>
      <w:contextualSpacing/>
    </w:pPr>
  </w:style>
  <w:style w:type="character" w:styleId="Enfasiintensa">
    <w:name w:val="Intense Emphasis"/>
    <w:basedOn w:val="Carpredefinitoparagrafo"/>
    <w:uiPriority w:val="21"/>
    <w:qFormat/>
    <w:rsid w:val="00A56DA1"/>
    <w:rPr>
      <w:i/>
      <w:iCs/>
      <w:color w:val="2F5496" w:themeColor="accent1" w:themeShade="BF"/>
    </w:rPr>
  </w:style>
  <w:style w:type="paragraph" w:styleId="Citazioneintensa">
    <w:name w:val="Intense Quote"/>
    <w:basedOn w:val="Normale"/>
    <w:next w:val="Normale"/>
    <w:link w:val="CitazioneintensaCarattere"/>
    <w:uiPriority w:val="30"/>
    <w:qFormat/>
    <w:rsid w:val="00A56DA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A56DA1"/>
    <w:rPr>
      <w:i/>
      <w:iCs/>
      <w:color w:val="2F5496" w:themeColor="accent1" w:themeShade="BF"/>
    </w:rPr>
  </w:style>
  <w:style w:type="character" w:styleId="Riferimentointenso">
    <w:name w:val="Intense Reference"/>
    <w:basedOn w:val="Carpredefinitoparagrafo"/>
    <w:uiPriority w:val="32"/>
    <w:qFormat/>
    <w:rsid w:val="00A56DA1"/>
    <w:rPr>
      <w:b/>
      <w:bCs/>
      <w:smallCaps/>
      <w:color w:val="2F5496" w:themeColor="accent1" w:themeShade="BF"/>
      <w:spacing w:val="5"/>
    </w:rPr>
  </w:style>
  <w:style w:type="paragraph" w:customStyle="1" w:styleId="msonormal0">
    <w:name w:val="msonormal"/>
    <w:basedOn w:val="Normale"/>
    <w:rsid w:val="00347567"/>
    <w:pPr>
      <w:spacing w:before="100" w:beforeAutospacing="1" w:after="100" w:afterAutospacing="1"/>
    </w:pPr>
    <w:rPr>
      <w:rFonts w:ascii="Times New Roman" w:eastAsia="Times New Roman" w:hAnsi="Times New Roman" w:cs="Times New Roman"/>
      <w:kern w:val="0"/>
      <w:lang w:eastAsia="it-IT"/>
      <w14:ligatures w14:val="none"/>
    </w:rPr>
  </w:style>
  <w:style w:type="paragraph" w:customStyle="1" w:styleId="ds-markdown-paragraph">
    <w:name w:val="ds-markdown-paragraph"/>
    <w:basedOn w:val="Normale"/>
    <w:rsid w:val="00347567"/>
    <w:pPr>
      <w:spacing w:before="100" w:beforeAutospacing="1" w:after="100" w:afterAutospacing="1"/>
    </w:pPr>
    <w:rPr>
      <w:rFonts w:ascii="Times New Roman" w:eastAsia="Times New Roman" w:hAnsi="Times New Roman" w:cs="Times New Roman"/>
      <w:kern w:val="0"/>
      <w:lang w:eastAsia="it-IT"/>
      <w14:ligatures w14:val="none"/>
    </w:rPr>
  </w:style>
  <w:style w:type="character" w:styleId="Enfasigrassetto">
    <w:name w:val="Strong"/>
    <w:basedOn w:val="Carpredefinitoparagrafo"/>
    <w:uiPriority w:val="22"/>
    <w:qFormat/>
    <w:rsid w:val="00347567"/>
    <w:rPr>
      <w:b/>
      <w:bCs/>
    </w:rPr>
  </w:style>
  <w:style w:type="character" w:styleId="Enfasicorsivo">
    <w:name w:val="Emphasis"/>
    <w:basedOn w:val="Carpredefinitoparagrafo"/>
    <w:uiPriority w:val="20"/>
    <w:qFormat/>
    <w:rsid w:val="00347567"/>
    <w:rPr>
      <w:i/>
      <w:iCs/>
    </w:rPr>
  </w:style>
  <w:style w:type="character" w:customStyle="1" w:styleId="d813de27">
    <w:name w:val="d813de27"/>
    <w:basedOn w:val="Carpredefinitoparagrafo"/>
    <w:rsid w:val="00347567"/>
  </w:style>
  <w:style w:type="paragraph" w:styleId="PreformattatoHTML">
    <w:name w:val="HTML Preformatted"/>
    <w:basedOn w:val="Normale"/>
    <w:link w:val="PreformattatoHTMLCarattere"/>
    <w:uiPriority w:val="99"/>
    <w:semiHidden/>
    <w:unhideWhenUsed/>
    <w:rsid w:val="00347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pPr>
    <w:rPr>
      <w:rFonts w:ascii="Courier New" w:eastAsia="Times New Roman" w:hAnsi="Courier New" w:cs="Courier New"/>
      <w:kern w:val="0"/>
      <w:sz w:val="20"/>
      <w:szCs w:val="20"/>
      <w:lang w:eastAsia="it-IT"/>
      <w14:ligatures w14:val="none"/>
    </w:rPr>
  </w:style>
  <w:style w:type="character" w:customStyle="1" w:styleId="PreformattatoHTMLCarattere">
    <w:name w:val="Preformattato HTML Carattere"/>
    <w:basedOn w:val="Carpredefinitoparagrafo"/>
    <w:link w:val="PreformattatoHTML"/>
    <w:uiPriority w:val="99"/>
    <w:semiHidden/>
    <w:rsid w:val="00347567"/>
    <w:rPr>
      <w:rFonts w:ascii="Courier New" w:eastAsia="Times New Roman" w:hAnsi="Courier New" w:cs="Courier New"/>
      <w:kern w:val="0"/>
      <w:sz w:val="20"/>
      <w:szCs w:val="20"/>
      <w:lang w:eastAsia="it-IT"/>
      <w14:ligatures w14:val="none"/>
    </w:rPr>
  </w:style>
  <w:style w:type="character" w:customStyle="1" w:styleId="token">
    <w:name w:val="token"/>
    <w:basedOn w:val="Carpredefinitoparagrafo"/>
    <w:rsid w:val="00347567"/>
  </w:style>
  <w:style w:type="character" w:styleId="CodiceHTML">
    <w:name w:val="HTML Code"/>
    <w:basedOn w:val="Carpredefinitoparagrafo"/>
    <w:uiPriority w:val="99"/>
    <w:semiHidden/>
    <w:unhideWhenUsed/>
    <w:rsid w:val="008E20E1"/>
    <w:rPr>
      <w:rFonts w:ascii="Courier New" w:eastAsia="Times New Roman" w:hAnsi="Courier New" w:cs="Courier New"/>
      <w:sz w:val="20"/>
      <w:szCs w:val="20"/>
    </w:rPr>
  </w:style>
  <w:style w:type="character" w:styleId="Collegamentoipertestuale">
    <w:name w:val="Hyperlink"/>
    <w:basedOn w:val="Carpredefinitoparagrafo"/>
    <w:uiPriority w:val="99"/>
    <w:unhideWhenUsed/>
    <w:rsid w:val="008E20E1"/>
    <w:rPr>
      <w:color w:val="0000FF"/>
      <w:u w:val="single"/>
    </w:rPr>
  </w:style>
  <w:style w:type="character" w:styleId="Collegamentovisitato">
    <w:name w:val="FollowedHyperlink"/>
    <w:basedOn w:val="Carpredefinitoparagrafo"/>
    <w:uiPriority w:val="99"/>
    <w:semiHidden/>
    <w:unhideWhenUsed/>
    <w:rsid w:val="008E20E1"/>
    <w:rPr>
      <w:color w:val="800080"/>
      <w:u w:val="single"/>
    </w:rPr>
  </w:style>
  <w:style w:type="character" w:styleId="Menzionenonrisolta">
    <w:name w:val="Unresolved Mention"/>
    <w:basedOn w:val="Carpredefinitoparagrafo"/>
    <w:uiPriority w:val="99"/>
    <w:semiHidden/>
    <w:unhideWhenUsed/>
    <w:rsid w:val="008E20E1"/>
    <w:rPr>
      <w:color w:val="605E5C"/>
      <w:shd w:val="clear" w:color="auto" w:fill="E1DFDD"/>
    </w:rPr>
  </w:style>
  <w:style w:type="paragraph" w:styleId="Intestazione">
    <w:name w:val="header"/>
    <w:basedOn w:val="Normale"/>
    <w:link w:val="IntestazioneCarattere"/>
    <w:uiPriority w:val="99"/>
    <w:unhideWhenUsed/>
    <w:rsid w:val="00F16AFD"/>
    <w:pPr>
      <w:tabs>
        <w:tab w:val="center" w:pos="4819"/>
        <w:tab w:val="right" w:pos="9638"/>
      </w:tabs>
      <w:spacing w:before="0"/>
    </w:pPr>
  </w:style>
  <w:style w:type="character" w:customStyle="1" w:styleId="IntestazioneCarattere">
    <w:name w:val="Intestazione Carattere"/>
    <w:basedOn w:val="Carpredefinitoparagrafo"/>
    <w:link w:val="Intestazione"/>
    <w:uiPriority w:val="99"/>
    <w:rsid w:val="00F16AFD"/>
  </w:style>
  <w:style w:type="paragraph" w:styleId="Pidipagina">
    <w:name w:val="footer"/>
    <w:basedOn w:val="Normale"/>
    <w:link w:val="PidipaginaCarattere"/>
    <w:uiPriority w:val="99"/>
    <w:unhideWhenUsed/>
    <w:rsid w:val="00F16AFD"/>
    <w:pPr>
      <w:tabs>
        <w:tab w:val="center" w:pos="4819"/>
        <w:tab w:val="right" w:pos="9638"/>
      </w:tabs>
      <w:spacing w:before="0"/>
    </w:pPr>
  </w:style>
  <w:style w:type="character" w:customStyle="1" w:styleId="PidipaginaCarattere">
    <w:name w:val="Piè di pagina Carattere"/>
    <w:basedOn w:val="Carpredefinitoparagrafo"/>
    <w:link w:val="Pidipagina"/>
    <w:uiPriority w:val="99"/>
    <w:rsid w:val="00F16AFD"/>
  </w:style>
  <w:style w:type="table" w:styleId="Grigliatabella">
    <w:name w:val="Table Grid"/>
    <w:basedOn w:val="Tabellanormale"/>
    <w:uiPriority w:val="39"/>
    <w:rsid w:val="000F12BA"/>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eWeb">
    <w:name w:val="Normal (Web)"/>
    <w:basedOn w:val="Normale"/>
    <w:uiPriority w:val="99"/>
    <w:semiHidden/>
    <w:unhideWhenUsed/>
    <w:rsid w:val="0021188B"/>
    <w:rPr>
      <w:rFonts w:ascii="Times New Roman" w:hAnsi="Times New Roman" w:cs="Times New Roman"/>
    </w:rPr>
  </w:style>
  <w:style w:type="paragraph" w:styleId="Nessunaspaziatura">
    <w:name w:val="No Spacing"/>
    <w:uiPriority w:val="1"/>
    <w:qFormat/>
    <w:rsid w:val="001D73D2"/>
    <w:pPr>
      <w:spacing w:before="0" w:after="0"/>
    </w:pPr>
  </w:style>
  <w:style w:type="character" w:customStyle="1" w:styleId="katex-display">
    <w:name w:val="katex-display"/>
    <w:basedOn w:val="Carpredefinitoparagrafo"/>
    <w:rsid w:val="00BE67C9"/>
  </w:style>
  <w:style w:type="character" w:customStyle="1" w:styleId="katex">
    <w:name w:val="katex"/>
    <w:basedOn w:val="Carpredefinitoparagrafo"/>
    <w:rsid w:val="00BE67C9"/>
  </w:style>
  <w:style w:type="character" w:customStyle="1" w:styleId="katex-mathml">
    <w:name w:val="katex-mathml"/>
    <w:basedOn w:val="Carpredefinitoparagrafo"/>
    <w:rsid w:val="00BE67C9"/>
  </w:style>
  <w:style w:type="character" w:customStyle="1" w:styleId="katex-html">
    <w:name w:val="katex-html"/>
    <w:basedOn w:val="Carpredefinitoparagrafo"/>
    <w:rsid w:val="00BE67C9"/>
  </w:style>
  <w:style w:type="character" w:customStyle="1" w:styleId="base">
    <w:name w:val="base"/>
    <w:basedOn w:val="Carpredefinitoparagrafo"/>
    <w:rsid w:val="00BE67C9"/>
  </w:style>
  <w:style w:type="character" w:customStyle="1" w:styleId="strut">
    <w:name w:val="strut"/>
    <w:basedOn w:val="Carpredefinitoparagrafo"/>
    <w:rsid w:val="00BE67C9"/>
  </w:style>
  <w:style w:type="character" w:customStyle="1" w:styleId="mord">
    <w:name w:val="mord"/>
    <w:basedOn w:val="Carpredefinitoparagrafo"/>
    <w:rsid w:val="00BE67C9"/>
  </w:style>
  <w:style w:type="character" w:customStyle="1" w:styleId="mspace">
    <w:name w:val="mspace"/>
    <w:basedOn w:val="Carpredefinitoparagrafo"/>
    <w:rsid w:val="00BE67C9"/>
  </w:style>
  <w:style w:type="character" w:customStyle="1" w:styleId="mrel">
    <w:name w:val="mrel"/>
    <w:basedOn w:val="Carpredefinitoparagrafo"/>
    <w:rsid w:val="00BE67C9"/>
  </w:style>
  <w:style w:type="character" w:customStyle="1" w:styleId="mopen">
    <w:name w:val="mopen"/>
    <w:basedOn w:val="Carpredefinitoparagrafo"/>
    <w:rsid w:val="00BE67C9"/>
  </w:style>
  <w:style w:type="character" w:customStyle="1" w:styleId="mpunct">
    <w:name w:val="mpunct"/>
    <w:basedOn w:val="Carpredefinitoparagrafo"/>
    <w:rsid w:val="00BE67C9"/>
  </w:style>
  <w:style w:type="character" w:customStyle="1" w:styleId="msupsub">
    <w:name w:val="msupsub"/>
    <w:basedOn w:val="Carpredefinitoparagrafo"/>
    <w:rsid w:val="00BE67C9"/>
  </w:style>
  <w:style w:type="character" w:customStyle="1" w:styleId="vlist-t">
    <w:name w:val="vlist-t"/>
    <w:basedOn w:val="Carpredefinitoparagrafo"/>
    <w:rsid w:val="00BE67C9"/>
  </w:style>
  <w:style w:type="character" w:customStyle="1" w:styleId="vlist-r">
    <w:name w:val="vlist-r"/>
    <w:basedOn w:val="Carpredefinitoparagrafo"/>
    <w:rsid w:val="00BE67C9"/>
  </w:style>
  <w:style w:type="character" w:customStyle="1" w:styleId="vlist">
    <w:name w:val="vlist"/>
    <w:basedOn w:val="Carpredefinitoparagrafo"/>
    <w:rsid w:val="00BE67C9"/>
  </w:style>
  <w:style w:type="character" w:customStyle="1" w:styleId="pstrut">
    <w:name w:val="pstrut"/>
    <w:basedOn w:val="Carpredefinitoparagrafo"/>
    <w:rsid w:val="00BE67C9"/>
  </w:style>
  <w:style w:type="character" w:customStyle="1" w:styleId="sizing">
    <w:name w:val="sizing"/>
    <w:basedOn w:val="Carpredefinitoparagrafo"/>
    <w:rsid w:val="00BE67C9"/>
  </w:style>
  <w:style w:type="character" w:customStyle="1" w:styleId="mclose">
    <w:name w:val="mclose"/>
    <w:basedOn w:val="Carpredefinitoparagrafo"/>
    <w:rsid w:val="00BE67C9"/>
  </w:style>
  <w:style w:type="character" w:customStyle="1" w:styleId="vlist-s">
    <w:name w:val="vlist-s"/>
    <w:basedOn w:val="Carpredefinitoparagrafo"/>
    <w:rsid w:val="00BE67C9"/>
  </w:style>
  <w:style w:type="character" w:customStyle="1" w:styleId="minner">
    <w:name w:val="minner"/>
    <w:basedOn w:val="Carpredefinitoparagrafo"/>
    <w:rsid w:val="00BE67C9"/>
  </w:style>
  <w:style w:type="character" w:customStyle="1" w:styleId="mbin">
    <w:name w:val="mbin"/>
    <w:basedOn w:val="Carpredefinitoparagrafo"/>
    <w:rsid w:val="00BE67C9"/>
  </w:style>
  <w:style w:type="character" w:customStyle="1" w:styleId="mop">
    <w:name w:val="mop"/>
    <w:basedOn w:val="Carpredefinitoparagrafo"/>
    <w:rsid w:val="00BE67C9"/>
  </w:style>
  <w:style w:type="character" w:customStyle="1" w:styleId="thinbox">
    <w:name w:val="thinbox"/>
    <w:basedOn w:val="Carpredefinitoparagrafo"/>
    <w:rsid w:val="00BE67C9"/>
  </w:style>
  <w:style w:type="character" w:customStyle="1" w:styleId="rlap">
    <w:name w:val="rlap"/>
    <w:basedOn w:val="Carpredefinitoparagrafo"/>
    <w:rsid w:val="00BE67C9"/>
  </w:style>
  <w:style w:type="character" w:customStyle="1" w:styleId="inner">
    <w:name w:val="inner"/>
    <w:basedOn w:val="Carpredefinitoparagrafo"/>
    <w:rsid w:val="00BE67C9"/>
  </w:style>
  <w:style w:type="character" w:customStyle="1" w:styleId="fix">
    <w:name w:val="fix"/>
    <w:basedOn w:val="Carpredefinitoparagrafo"/>
    <w:rsid w:val="00BE67C9"/>
  </w:style>
  <w:style w:type="character" w:customStyle="1" w:styleId="mfrac">
    <w:name w:val="mfrac"/>
    <w:basedOn w:val="Carpredefinitoparagrafo"/>
    <w:rsid w:val="00BE67C9"/>
  </w:style>
  <w:style w:type="character" w:customStyle="1" w:styleId="frac-line">
    <w:name w:val="frac-line"/>
    <w:basedOn w:val="Carpredefinitoparagrafo"/>
    <w:rsid w:val="00BE67C9"/>
  </w:style>
  <w:style w:type="character" w:customStyle="1" w:styleId="delimsizing">
    <w:name w:val="delimsizing"/>
    <w:basedOn w:val="Carpredefinitoparagrafo"/>
    <w:rsid w:val="00BE67C9"/>
  </w:style>
  <w:style w:type="character" w:customStyle="1" w:styleId="mtable">
    <w:name w:val="mtable"/>
    <w:basedOn w:val="Carpredefinitoparagrafo"/>
    <w:rsid w:val="00913B57"/>
  </w:style>
  <w:style w:type="character" w:customStyle="1" w:styleId="col-align-l">
    <w:name w:val="col-align-l"/>
    <w:basedOn w:val="Carpredefinitoparagrafo"/>
    <w:rsid w:val="00913B57"/>
  </w:style>
  <w:style w:type="character" w:customStyle="1" w:styleId="arraycolsep">
    <w:name w:val="arraycolsep"/>
    <w:basedOn w:val="Carpredefinitoparagrafo"/>
    <w:rsid w:val="00913B57"/>
  </w:style>
  <w:style w:type="character" w:styleId="Testosegnaposto">
    <w:name w:val="Placeholder Text"/>
    <w:basedOn w:val="Carpredefinitoparagrafo"/>
    <w:uiPriority w:val="99"/>
    <w:semiHidden/>
    <w:rsid w:val="00A4229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i.heart-intelligence.earth/graphql" TargetMode="External"/><Relationship Id="rId21" Type="http://schemas.openxmlformats.org/officeDocument/2006/relationships/hyperlink" Target="https://github.com/Uwohali/hearth-prometheus-whitepaper" TargetMode="External"/><Relationship Id="rId42" Type="http://schemas.openxmlformats.org/officeDocument/2006/relationships/hyperlink" Target="https://doi.org/10.1126/science.1097396" TargetMode="External"/><Relationship Id="rId47" Type="http://schemas.openxmlformats.org/officeDocument/2006/relationships/hyperlink" Target="https://doi.org/10.4161/15592324.2014.991574" TargetMode="External"/><Relationship Id="rId63" Type="http://schemas.openxmlformats.org/officeDocument/2006/relationships/hyperlink" Target="https://earthexplorer.usgs.gov/" TargetMode="External"/><Relationship Id="rId68" Type="http://schemas.openxmlformats.org/officeDocument/2006/relationships/hyperlink" Target="https://www.thethingsnetwork.org/" TargetMode="External"/><Relationship Id="rId2" Type="http://schemas.openxmlformats.org/officeDocument/2006/relationships/numbering" Target="numbering.xml"/><Relationship Id="rId16" Type="http://schemas.openxmlformats.org/officeDocument/2006/relationships/hyperlink" Target="https://www.wenger-trayner.com/introduction-to-communities-of-practice/?utm_source=chatgpt.com" TargetMode="External"/><Relationship Id="rId29" Type="http://schemas.openxmlformats.org/officeDocument/2006/relationships/hyperlink" Target="https://doi.org/10.1126/science.1259855" TargetMode="External"/><Relationship Id="rId11" Type="http://schemas.openxmlformats.org/officeDocument/2006/relationships/image" Target="media/image4.jpeg"/><Relationship Id="rId24" Type="http://schemas.openxmlformats.org/officeDocument/2006/relationships/hyperlink" Target="https://digital-strategy.ec.europa.eu/en/policies/regulatory-framework-ai?utm_source=chatgpt.com" TargetMode="External"/><Relationship Id="rId32" Type="http://schemas.openxmlformats.org/officeDocument/2006/relationships/hyperlink" Target="https://doi.org/10.1038/s43017-022-00287-8" TargetMode="External"/><Relationship Id="rId37" Type="http://schemas.openxmlformats.org/officeDocument/2006/relationships/hyperlink" Target="https://agendagotsch.com/en/our-videos/" TargetMode="External"/><Relationship Id="rId40" Type="http://schemas.openxmlformats.org/officeDocument/2006/relationships/hyperlink" Target="https://doi.org/10.1007/978-3-319-26777-7_4" TargetMode="External"/><Relationship Id="rId45" Type="http://schemas.openxmlformats.org/officeDocument/2006/relationships/hyperlink" Target="https://doi.org/10.1038/nature13855" TargetMode="External"/><Relationship Id="rId53" Type="http://schemas.openxmlformats.org/officeDocument/2006/relationships/hyperlink" Target="https://coinmarketcap.com/academy/glossary/regenerative-finance-refi" TargetMode="External"/><Relationship Id="rId58" Type="http://schemas.openxmlformats.org/officeDocument/2006/relationships/hyperlink" Target="https://a4ws.org/" TargetMode="External"/><Relationship Id="rId66" Type="http://schemas.openxmlformats.org/officeDocument/2006/relationships/hyperlink" Target="https://unsloth.ai/"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gml.noaa.gov/" TargetMode="External"/><Relationship Id="rId19" Type="http://schemas.openxmlformats.org/officeDocument/2006/relationships/hyperlink" Target="https://reinventingorganizationswiki.com/en/theory/evolutionary-purpose/?utm_source=chatgpt.com" TargetMode="External"/><Relationship Id="rId14" Type="http://schemas.openxmlformats.org/officeDocument/2006/relationships/hyperlink" Target="https://www.sociocracyforall.org/consent-decision-making/?utm_source=chatgpt.com" TargetMode="External"/><Relationship Id="rId22" Type="http://schemas.openxmlformats.org/officeDocument/2006/relationships/hyperlink" Target="https://www.wipo.int/en/web/madrid-system?utm_source=chatgpt.com" TargetMode="External"/><Relationship Id="rId27" Type="http://schemas.openxmlformats.org/officeDocument/2006/relationships/hyperlink" Target="https://api.heart-intelligence.earth/grpc/v1/%7Bservice%7D/%7Bmethod%7D" TargetMode="External"/><Relationship Id="rId30" Type="http://schemas.openxmlformats.org/officeDocument/2006/relationships/hyperlink" Target="https://doi.org/10.1126/sciadv.adh2458" TargetMode="External"/><Relationship Id="rId35" Type="http://schemas.openxmlformats.org/officeDocument/2006/relationships/hyperlink" Target="https://capitalinstitute.org/wp-content/uploads/2015/04/2015-Regenerative-Capitalism-4-20-15-final.pdf" TargetMode="External"/><Relationship Id="rId43" Type="http://schemas.openxmlformats.org/officeDocument/2006/relationships/hyperlink" Target="https://doi.org/10.1038/nature16069" TargetMode="External"/><Relationship Id="rId48" Type="http://schemas.openxmlformats.org/officeDocument/2006/relationships/hyperlink" Target="https://doi.org/10.1038/41557" TargetMode="External"/><Relationship Id="rId56" Type="http://schemas.openxmlformats.org/officeDocument/2006/relationships/hyperlink" Target="https://verra.org/methodologies/" TargetMode="External"/><Relationship Id="rId64" Type="http://schemas.openxmlformats.org/officeDocument/2006/relationships/hyperlink" Target="https://livingatlas.arcgis.com/" TargetMode="External"/><Relationship Id="rId69" Type="http://schemas.openxmlformats.org/officeDocument/2006/relationships/hyperlink" Target="https://www.heartmath.org/science/" TargetMode="External"/><Relationship Id="rId8" Type="http://schemas.openxmlformats.org/officeDocument/2006/relationships/image" Target="media/image1.jpeg"/><Relationship Id="rId51" Type="http://schemas.openxmlformats.org/officeDocument/2006/relationships/hyperlink" Target="https://developer.holochain.org/" TargetMode="External"/><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hyperlink" Target="https://journals.sagepub.com/doi/10.2307/2666999?utm_source=chatgpt.com" TargetMode="External"/><Relationship Id="rId25" Type="http://schemas.openxmlformats.org/officeDocument/2006/relationships/hyperlink" Target="https://api.heart-intelligence.earth/v1" TargetMode="External"/><Relationship Id="rId33" Type="http://schemas.openxmlformats.org/officeDocument/2006/relationships/hyperlink" Target="https://www.stockholmresilience.org/research/planetary-boundaries.html" TargetMode="External"/><Relationship Id="rId38" Type="http://schemas.openxmlformats.org/officeDocument/2006/relationships/hyperlink" Target="https://doi.org/10.1007/BF00705143" TargetMode="External"/><Relationship Id="rId46" Type="http://schemas.openxmlformats.org/officeDocument/2006/relationships/hyperlink" Target="https://doi.org/10.1007/s13593-017-0429-0" TargetMode="External"/><Relationship Id="rId59" Type="http://schemas.openxmlformats.org/officeDocument/2006/relationships/hyperlink" Target="https://www.climateactionreserve.org/" TargetMode="External"/><Relationship Id="rId67" Type="http://schemas.openxmlformats.org/officeDocument/2006/relationships/hyperlink" Target="https://dragino.com/products/agriculture-weather-station/item/335-se02-lb.html" TargetMode="External"/><Relationship Id="rId20" Type="http://schemas.openxmlformats.org/officeDocument/2006/relationships/hyperlink" Target="https://www.stockholmresilience.org/research/planetary-boundaries.html?utm_source=chatgpt.com" TargetMode="External"/><Relationship Id="rId41" Type="http://schemas.openxmlformats.org/officeDocument/2006/relationships/hyperlink" Target="https://mountaintimefarm.com/pages/the-economics-of-syntropic-agroforestry" TargetMode="External"/><Relationship Id="rId54" Type="http://schemas.openxmlformats.org/officeDocument/2006/relationships/hyperlink" Target="https://coinmarketcap.com/community/articles/6908eff5babf112a65445824/" TargetMode="External"/><Relationship Id="rId62" Type="http://schemas.openxmlformats.org/officeDocument/2006/relationships/hyperlink" Target="https://scihub.copernicus.eu/" TargetMode="External"/><Relationship Id="rId70" Type="http://schemas.openxmlformats.org/officeDocument/2006/relationships/hyperlink" Target="https://doi.org/10.1177/2753613025140882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actu-environnement.com/media/pdf/ostrom_1990.pdf?utm_source=chatgpt.com" TargetMode="External"/><Relationship Id="rId23" Type="http://schemas.openxmlformats.org/officeDocument/2006/relationships/hyperlink" Target="https://github.com/Uwohali/hearth-prometheus-whitepaper" TargetMode="External"/><Relationship Id="rId28" Type="http://schemas.openxmlformats.org/officeDocument/2006/relationships/hyperlink" Target="https://doi.org/10.1038/461472a" TargetMode="External"/><Relationship Id="rId36" Type="http://schemas.openxmlformats.org/officeDocument/2006/relationships/hyperlink" Target="https://centerforneweconomics.org/" TargetMode="External"/><Relationship Id="rId49" Type="http://schemas.openxmlformats.org/officeDocument/2006/relationships/hyperlink" Target="https://doi.org/10.1016/j.fbr.2012.01.001" TargetMode="External"/><Relationship Id="rId57" Type="http://schemas.openxmlformats.org/officeDocument/2006/relationships/hyperlink" Target="https://www.planvivo.org/" TargetMode="External"/><Relationship Id="rId10" Type="http://schemas.openxmlformats.org/officeDocument/2006/relationships/image" Target="media/image3.jpeg"/><Relationship Id="rId31" Type="http://schemas.openxmlformats.org/officeDocument/2006/relationships/hyperlink" Target="https://doi.org/10.1021/acs.est.1c04158" TargetMode="External"/><Relationship Id="rId44" Type="http://schemas.openxmlformats.org/officeDocument/2006/relationships/hyperlink" Target="https://doi.org/10.1023/A:1016125726789" TargetMode="External"/><Relationship Id="rId52" Type="http://schemas.openxmlformats.org/officeDocument/2006/relationships/hyperlink" Target="https://developer.holochain.org/resources/glossary" TargetMode="External"/><Relationship Id="rId60" Type="http://schemas.openxmlformats.org/officeDocument/2006/relationships/hyperlink" Target="https://ozonewatch.gsfc.nasa.gov/" TargetMode="External"/><Relationship Id="rId65" Type="http://schemas.openxmlformats.org/officeDocument/2006/relationships/hyperlink" Target="https://www.climatewatchdata.org/"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www.wired.com/2009/02/ted-seth-godin?utm_source=chatgpt.com" TargetMode="External"/><Relationship Id="rId18" Type="http://schemas.openxmlformats.org/officeDocument/2006/relationships/hyperlink" Target="https://selfdeterminationtheory.org/SDT/documents/2000_RyanDeci_SDT.pdf" TargetMode="External"/><Relationship Id="rId39" Type="http://schemas.openxmlformats.org/officeDocument/2006/relationships/hyperlink" Target="https://doi.org/10.1007/s13593-016-0407-9" TargetMode="External"/><Relationship Id="rId34" Type="http://schemas.openxmlformats.org/officeDocument/2006/relationships/hyperlink" Target="https://planetaryhealthcheck.org/" TargetMode="External"/><Relationship Id="rId50" Type="http://schemas.openxmlformats.org/officeDocument/2006/relationships/hyperlink" Target="https://holochain.org/" TargetMode="External"/><Relationship Id="rId55" Type="http://schemas.openxmlformats.org/officeDocument/2006/relationships/hyperlink" Target="https://www.grassecon.org/food-forests" TargetMode="External"/><Relationship Id="rId7" Type="http://schemas.openxmlformats.org/officeDocument/2006/relationships/endnotes" Target="endnotes.xml"/><Relationship Id="rId71" Type="http://schemas.openxmlformats.org/officeDocument/2006/relationships/hyperlink" Target="https://github.com/Uwohali/hearth-prometheus-whitepaper"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56EB6B-BC29-4277-8676-F49A4F1D04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1084</Pages>
  <Words>191151</Words>
  <Characters>1089567</Characters>
  <Application>Microsoft Office Word</Application>
  <DocSecurity>0</DocSecurity>
  <Lines>9079</Lines>
  <Paragraphs>2556</Paragraphs>
  <ScaleCrop>false</ScaleCrop>
  <Manager>Uwohali Tuccio</Manager>
  <Company>Permaculture DAO LLC</Company>
  <LinksUpToDate>false</LinksUpToDate>
  <CharactersWithSpaces>1278162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h•eart•h Prometheus — Regenerative Infrastructure for a Living Economy</dc:title>
  <dc:subject>Verified Regeneration as a Candidate Investable Real-World Asset Class</dc:subject>
  <dc:creator>h•eart•h intelligence initiative</dc:creator>
  <cp:keywords>Prometheus, regenerative infrastructure, MRV, PRU, Holochain, Valueflows, OHE, RAP</cp:keywords>
  <dc:description>Canonical pre-release document</dc:description>
  <cp:lastModifiedBy>Giovanni Tuccio</cp:lastModifiedBy>
  <cp:revision>64</cp:revision>
  <dcterms:created xsi:type="dcterms:W3CDTF">2026-05-29T06:22:00Z</dcterms:created>
  <dcterms:modified xsi:type="dcterms:W3CDTF">2026-05-29T17:05:00Z</dcterms:modified>
</cp:coreProperties>
</file>