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BB0C3A" w14:textId="77777777" w:rsidR="000B7381" w:rsidRDefault="00000000" w:rsidP="00E549B3">
      <w:pPr>
        <w:pStyle w:val="Ttulo"/>
        <w:jc w:val="center"/>
      </w:pPr>
      <w:r>
        <w:t>Aguas Andinas continuidad y eficiencia operacional</w:t>
      </w:r>
    </w:p>
    <w:p w14:paraId="5DD1033B" w14:textId="7088DED1" w:rsidR="000B7381" w:rsidRDefault="00000000" w:rsidP="00E549B3">
      <w:pPr>
        <w:pStyle w:val="Subttulo"/>
        <w:jc w:val="center"/>
      </w:pPr>
      <w:r>
        <w:t>Profesor Viktor Tapia</w:t>
      </w:r>
    </w:p>
    <w:p w14:paraId="3675D982" w14:textId="77777777" w:rsidR="000B7381" w:rsidRDefault="00000000">
      <w:r>
        <w:t>Desarrolle este caso en un equipo de tres integrantes. Debe convertir datos imperfectos en una recomendación verificable mediante Python, indicadores y un dashboard. Las empresas son reales; datos, instalaciones, encargos, metas y resultados de estos ejercicios son simulados.</w:t>
      </w:r>
    </w:p>
    <w:p w14:paraId="6226195B" w14:textId="77777777" w:rsidR="000B7381" w:rsidRDefault="00000000">
      <w:pPr>
        <w:pStyle w:val="Ttulo1"/>
      </w:pPr>
      <w:r>
        <w:t>Decisión y alcance</w:t>
      </w:r>
    </w:p>
    <w:p w14:paraId="6AA79CAF" w14:textId="77777777" w:rsidR="000B7381" w:rsidRDefault="00000000">
      <w:r>
        <w:t>Priorizar tres sectores para inspección considerando continuidad, diferencia de volúmenes, energía y confiabilidad de medición. Separar evidencia de operación de incertidumbre por sensores; no inferir potabilidad ni cumplimiento regulatorio.</w:t>
      </w:r>
    </w:p>
    <w:p w14:paraId="3B32E39B" w14:textId="77777777" w:rsidR="000B7381" w:rsidRDefault="00000000">
      <w:r>
        <w:t>Cada fila es un sector durante una hora UTC. Hay 30 sectores disjuntos. Agosto a diciembre tiene una grilla esperada de 110.160 sector horas, pero se entregan 100.000 lecturas nuevas. Las horas ausentes deben permanecer visibles en la cobertura.</w:t>
      </w:r>
    </w:p>
    <w:p w14:paraId="2A5278B8" w14:textId="77777777" w:rsidR="000B7381" w:rsidRDefault="00000000">
      <w:pPr>
        <w:pStyle w:val="Ttulo1"/>
      </w:pPr>
      <w:r>
        <w:t>Datos y cortes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048"/>
      </w:tblGrid>
      <w:tr w:rsidR="000B7381" w14:paraId="0CE53DF4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EDE24B" w14:textId="77777777" w:rsidR="000B7381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Lote principal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F1A9C" w14:textId="77777777" w:rsidR="000B7381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Filas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7C9175" w14:textId="77777777" w:rsidR="000B7381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Período y corte UTC</w:t>
            </w:r>
          </w:p>
        </w:tc>
      </w:tr>
      <w:tr w:rsidR="000B7381" w14:paraId="4599D54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866446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Base original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1B8D5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130972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C9055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Enero a junio · 8 de julio de 2025</w:t>
            </w:r>
          </w:p>
        </w:tc>
      </w:tr>
      <w:tr w:rsidR="000B7381" w14:paraId="4969AE0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730A6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Actualización original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22AD1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22432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17DF3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Julio · 8 de agosto de 2025</w:t>
            </w:r>
          </w:p>
        </w:tc>
      </w:tr>
      <w:tr w:rsidR="000B7381" w14:paraId="668EAE7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5A804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Ampliación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4B961D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100000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ACFB2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Agosto a diciembre · 8 de enero de 2026</w:t>
            </w:r>
          </w:p>
        </w:tc>
      </w:tr>
      <w:tr w:rsidR="000B7381" w14:paraId="01C0FCC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C8CE8D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8A23B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253404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649550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Incluye copias exactas originales</w:t>
            </w:r>
          </w:p>
        </w:tc>
      </w:tr>
    </w:tbl>
    <w:p w14:paraId="63AE022F" w14:textId="77777777" w:rsidR="000B7381" w:rsidRDefault="000B7381">
      <w:pPr>
        <w:spacing w:after="0"/>
      </w:pPr>
    </w:p>
    <w:p w14:paraId="25969F24" w14:textId="77777777" w:rsidR="000B7381" w:rsidRDefault="00000000">
      <w:r>
        <w:t>Las 100.000 filas nuevas tienen claves principales distintas de las originales. Las tablas complementarias se suman a ese volumen. Los archivos originales no se modificaron. Use los tres lotes desde E1; E4 verifica reingesta y un cambio de reglas, no un lote secreto.</w:t>
      </w:r>
    </w:p>
    <w:p w14:paraId="1E63FF4C" w14:textId="77777777" w:rsidR="000B7381" w:rsidRDefault="00000000">
      <w:r>
        <w:t>Los estados históricos no se actualizan retroactivamente. Cada lote conserva su fecha de corte. Las tablas complementarias de operación cubren agosto a diciembre; una ausencia de cobertura previa no equivale a cero actividad.</w:t>
      </w:r>
    </w:p>
    <w:p w14:paraId="7D45CA91" w14:textId="77777777" w:rsidR="000B7381" w:rsidRDefault="00000000">
      <w:r>
        <w:br w:type="page"/>
      </w:r>
    </w:p>
    <w:p w14:paraId="79791336" w14:textId="77777777" w:rsidR="000B7381" w:rsidRDefault="00000000">
      <w:pPr>
        <w:pStyle w:val="Ttulo1"/>
      </w:pPr>
      <w:r>
        <w:lastRenderedPageBreak/>
        <w:t>Modelo de datos y evaluación</w:t>
      </w:r>
    </w:p>
    <w:p w14:paraId="34E2E618" w14:textId="77777777" w:rsidR="000B7381" w:rsidRDefault="00000000">
      <w:pPr>
        <w:pStyle w:val="Ttulo2"/>
      </w:pPr>
      <w:r>
        <w:t>sectores historial</w:t>
      </w:r>
    </w:p>
    <w:p w14:paraId="7FA1FAB6" w14:textId="77777777" w:rsidR="000B7381" w:rsidRDefault="00000000">
      <w:r>
        <w:t>Sector más hora dentro de la vigencia. Las conexiones cambian desde octubre; usar la ponderación correspondiente a cada hora.</w:t>
      </w:r>
    </w:p>
    <w:p w14:paraId="041C09B6" w14:textId="77777777" w:rsidR="000B7381" w:rsidRDefault="00000000">
      <w:pPr>
        <w:pStyle w:val="Ttulo2"/>
      </w:pPr>
      <w:r>
        <w:t>tarifas energia</w:t>
      </w:r>
    </w:p>
    <w:p w14:paraId="42AD4CAE" w14:textId="77777777" w:rsidR="000B7381" w:rsidRDefault="00000000">
      <w:r>
        <w:t>N:1 por sector_id y mes, solo agosto a diciembre. Costo de energía igual a kWh por tarifa CLP/kWh.</w:t>
      </w:r>
    </w:p>
    <w:p w14:paraId="0D638695" w14:textId="77777777" w:rsidR="000B7381" w:rsidRDefault="00000000">
      <w:pPr>
        <w:pStyle w:val="Ttulo2"/>
      </w:pPr>
      <w:r>
        <w:t>metas 2025 ancho</w:t>
      </w:r>
    </w:p>
    <w:p w14:paraId="3E2EADAA" w14:textId="77777777" w:rsidR="000B7381" w:rsidRDefault="00000000">
      <w:r>
        <w:t>Sector, indicador y mes. Meta de continuidad docente, no estándar regulatorio.</w:t>
      </w:r>
    </w:p>
    <w:p w14:paraId="1FC91AB1" w14:textId="77777777" w:rsidR="000B7381" w:rsidRDefault="00000000">
      <w:pPr>
        <w:pStyle w:val="Ttulo2"/>
      </w:pPr>
      <w:r>
        <w:t>Grilla esperada</w:t>
      </w:r>
    </w:p>
    <w:p w14:paraId="0111BA2B" w14:textId="77777777" w:rsidR="000B7381" w:rsidRDefault="00000000">
      <w:r>
        <w:t>Construir calendario UTC por hora y 30 sectores. Left join desde calendario a hechos limpios para detectar lecturas ausentes.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1584"/>
        <w:gridCol w:w="1584"/>
        <w:gridCol w:w="2736"/>
      </w:tblGrid>
      <w:tr w:rsidR="000B7381" w14:paraId="090C3C6D" w14:textId="77777777">
        <w:trPr>
          <w:cantSplit/>
          <w:tblHeader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1FAA23" w14:textId="77777777" w:rsidR="000B7381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CEC220" w14:textId="77777777" w:rsidR="000B7381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Semana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A40EC" w14:textId="77777777" w:rsidR="000B7381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Peso curso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96033" w14:textId="77777777" w:rsidR="000B7381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Modalidad</w:t>
            </w:r>
          </w:p>
        </w:tc>
      </w:tr>
      <w:tr w:rsidR="000B7381" w14:paraId="380BF569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76E868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E1 Diagnóstico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BEAA36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49796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10%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88114A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Equipo</w:t>
            </w:r>
          </w:p>
        </w:tc>
      </w:tr>
      <w:tr w:rsidR="000B7381" w14:paraId="2C3CB99C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D29975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E2 Preparación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5EEF3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CCB21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15%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C96537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Equipo</w:t>
            </w:r>
          </w:p>
        </w:tc>
      </w:tr>
      <w:tr w:rsidR="000B7381" w14:paraId="5CC3E95B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96C37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E3 Dashboard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94BF3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D39E8A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25%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75F850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Equipo</w:t>
            </w:r>
          </w:p>
        </w:tc>
      </w:tr>
      <w:tr w:rsidR="000B7381" w14:paraId="3CA46DC9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C2F28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E4 Defensa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A0F56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15 a 16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FB2F1C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10%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4B08FB" w14:textId="77777777" w:rsidR="000B7381" w:rsidRDefault="00000000">
            <w:pPr>
              <w:spacing w:before="40" w:after="40" w:line="240" w:lineRule="auto"/>
            </w:pPr>
            <w:r>
              <w:rPr>
                <w:sz w:val="20"/>
              </w:rPr>
              <w:t>Individual</w:t>
            </w:r>
          </w:p>
        </w:tc>
      </w:tr>
    </w:tbl>
    <w:p w14:paraId="0B148CD8" w14:textId="77777777" w:rsidR="000B7381" w:rsidRDefault="000B7381">
      <w:pPr>
        <w:spacing w:after="0"/>
      </w:pPr>
    </w:p>
    <w:p w14:paraId="2E6BDF43" w14:textId="77777777" w:rsidR="000B7381" w:rsidRDefault="00000000">
      <w:r>
        <w:t>E1 a E4 suman 60% del curso. Se mantienen controles de lectura 20% y certamen práctico 20%. Las fechas definitivas se publican en el aula virtual. Los cuatro documentos de la carpeta entregas contienen instrucciones y rúbricas específicas.</w:t>
      </w:r>
    </w:p>
    <w:p w14:paraId="7B60C7EE" w14:textId="77777777" w:rsidR="000B7381" w:rsidRDefault="00000000">
      <w:pPr>
        <w:pStyle w:val="Ttulo2"/>
      </w:pPr>
      <w:r>
        <w:t>Archivos de trabajo</w:t>
      </w:r>
    </w:p>
    <w:p w14:paraId="4AE2F750" w14:textId="77777777" w:rsidR="000B7381" w:rsidRDefault="00000000">
      <w:r>
        <w:t>Lea diccionario_datos.csv y metadatos.json. Abra 00_inicio.ipynb desde esta carpeta. Conserve originales; registre políticas, exclusiones y dependencias. Cada equipo entrega un solo caso. No se requiere entrenar modelos predictivos.</w:t>
      </w:r>
    </w:p>
    <w:p w14:paraId="003689AA" w14:textId="77777777" w:rsidR="000B7381" w:rsidRDefault="00000000">
      <w:pPr>
        <w:pStyle w:val="Ttulo2"/>
      </w:pPr>
      <w:r>
        <w:t>Referencias</w:t>
      </w:r>
    </w:p>
    <w:p w14:paraId="474BEAD1" w14:textId="77777777" w:rsidR="000B7381" w:rsidRDefault="00000000">
      <w:r>
        <w:t>Contexto público: https://www.aguasandinasinversionistas.cl/</w:t>
      </w:r>
    </w:p>
    <w:p w14:paraId="467C2646" w14:textId="77777777" w:rsidR="000B7381" w:rsidRDefault="00000000">
      <w:r>
        <w:t>Método: pandas (uniones y datos ausentes), Wickham (2014), Tidy Data, y Munzner (2014). Enlaces completos en README.md; métodos revisados el 1 de octubre de 2026.</w:t>
      </w:r>
    </w:p>
    <w:sectPr w:rsidR="000B7381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84E5BD" w14:textId="77777777" w:rsidR="00F364CE" w:rsidRDefault="00F364CE">
      <w:pPr>
        <w:spacing w:after="0" w:line="240" w:lineRule="auto"/>
      </w:pPr>
      <w:r>
        <w:separator/>
      </w:r>
    </w:p>
  </w:endnote>
  <w:endnote w:type="continuationSeparator" w:id="0">
    <w:p w14:paraId="11E98D00" w14:textId="77777777" w:rsidR="00F364CE" w:rsidRDefault="00F36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2DB2E5" w14:textId="77777777" w:rsidR="000B7381" w:rsidRDefault="00000000">
    <w:pPr>
      <w:pStyle w:val="Piedepgina"/>
      <w:jc w:val="right"/>
    </w:pPr>
    <w:proofErr w:type="spellStart"/>
    <w:r>
      <w:rPr>
        <w:sz w:val="18"/>
      </w:rPr>
      <w:t>Visualización</w:t>
    </w:r>
    <w:proofErr w:type="spellEnd"/>
    <w:r>
      <w:rPr>
        <w:sz w:val="18"/>
      </w:rPr>
      <w:t xml:space="preserve"> de Datos · </w:t>
    </w:r>
    <w:r>
      <w:fldChar w:fldCharType="begin"/>
    </w:r>
    <w:r>
      <w:instrText>PAGE</w:instrText>
    </w:r>
    <w:r>
      <w:fldChar w:fldCharType="separate"/>
    </w:r>
    <w:r w:rsidR="00E549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67A54" w14:textId="77777777" w:rsidR="00F364CE" w:rsidRDefault="00F364CE">
      <w:pPr>
        <w:spacing w:after="0" w:line="240" w:lineRule="auto"/>
      </w:pPr>
      <w:r>
        <w:separator/>
      </w:r>
    </w:p>
  </w:footnote>
  <w:footnote w:type="continuationSeparator" w:id="0">
    <w:p w14:paraId="6046521C" w14:textId="77777777" w:rsidR="00F364CE" w:rsidRDefault="00F36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18560" w14:textId="77777777" w:rsidR="00E549B3" w:rsidRPr="00DF3C6E" w:rsidRDefault="00E549B3" w:rsidP="00E549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Arial" w:hAnsi="Times New Roman" w:cs="Times New Roman"/>
        <w:sz w:val="13"/>
        <w:szCs w:val="13"/>
        <w:lang w:val="es-CL" w:eastAsia="es-MX"/>
      </w:rPr>
    </w:pPr>
    <w:r w:rsidRPr="00DF3C6E">
      <w:rPr>
        <w:rFonts w:ascii="Times New Roman" w:eastAsia="Times New Roman" w:hAnsi="Times New Roman" w:cs="Times New Roman"/>
        <w:noProof/>
        <w:color w:val="auto"/>
        <w:sz w:val="18"/>
        <w:szCs w:val="18"/>
        <w:lang w:val="es-CL" w:eastAsia="es-MX"/>
      </w:rPr>
      <w:drawing>
        <wp:anchor distT="57150" distB="57150" distL="57150" distR="57150" simplePos="0" relativeHeight="251659264" behindDoc="0" locked="0" layoutInCell="1" hidden="0" allowOverlap="1" wp14:anchorId="0A37828E" wp14:editId="0E9839EF">
          <wp:simplePos x="0" y="0"/>
          <wp:positionH relativeFrom="column">
            <wp:posOffset>-60556</wp:posOffset>
          </wp:positionH>
          <wp:positionV relativeFrom="paragraph">
            <wp:posOffset>-123825</wp:posOffset>
          </wp:positionV>
          <wp:extent cx="349250" cy="470535"/>
          <wp:effectExtent l="0" t="0" r="6350" b="0"/>
          <wp:wrapSquare wrapText="bothSides" distT="57150" distB="57150" distL="57150" distR="57150"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250" cy="470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Arial" w:hAnsi="Times New Roman" w:cs="Times New Roman"/>
        <w:sz w:val="13"/>
        <w:szCs w:val="13"/>
        <w:lang w:val="es-CL" w:eastAsia="es-MX"/>
      </w:rPr>
      <w:t xml:space="preserve">                 </w:t>
    </w:r>
    <w:r w:rsidRPr="00DF3C6E">
      <w:rPr>
        <w:rFonts w:ascii="Times New Roman" w:eastAsia="Arial" w:hAnsi="Times New Roman" w:cs="Times New Roman"/>
        <w:sz w:val="13"/>
        <w:szCs w:val="13"/>
        <w:lang w:val="es-CL" w:eastAsia="es-MX"/>
      </w:rPr>
      <w:t>UNIVERSIDAD DE SANTIAGO DE CHILE</w:t>
    </w:r>
  </w:p>
  <w:p w14:paraId="56965C56" w14:textId="77777777" w:rsidR="00E549B3" w:rsidRPr="00DF3C6E" w:rsidRDefault="00E549B3" w:rsidP="00E549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Arial" w:hAnsi="Times New Roman" w:cs="Times New Roman"/>
        <w:sz w:val="13"/>
        <w:szCs w:val="13"/>
        <w:lang w:val="es-CL" w:eastAsia="es-MX"/>
      </w:rPr>
    </w:pPr>
    <w:r>
      <w:rPr>
        <w:rFonts w:ascii="Times New Roman" w:eastAsia="Arial" w:hAnsi="Times New Roman" w:cs="Times New Roman"/>
        <w:sz w:val="13"/>
        <w:szCs w:val="13"/>
        <w:lang w:val="es-CL" w:eastAsia="es-MX"/>
      </w:rPr>
      <w:t xml:space="preserve">                 </w:t>
    </w:r>
    <w:r w:rsidRPr="00DF3C6E">
      <w:rPr>
        <w:rFonts w:ascii="Times New Roman" w:eastAsia="Arial" w:hAnsi="Times New Roman" w:cs="Times New Roman"/>
        <w:sz w:val="13"/>
        <w:szCs w:val="13"/>
        <w:lang w:val="es-CL" w:eastAsia="es-MX"/>
      </w:rPr>
      <w:t>DEPARTAMENTO DE INFORMÁTICA</w:t>
    </w:r>
  </w:p>
  <w:p w14:paraId="61612C60" w14:textId="77777777" w:rsidR="00E549B3" w:rsidRPr="00DF3C6E" w:rsidRDefault="00E549B3" w:rsidP="00E549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sz w:val="18"/>
        <w:szCs w:val="18"/>
        <w:lang w:val="es-CL" w:eastAsia="es-MX"/>
      </w:rPr>
    </w:pPr>
    <w:r>
      <w:rPr>
        <w:rFonts w:ascii="Times New Roman" w:eastAsia="Arial" w:hAnsi="Times New Roman" w:cs="Times New Roman"/>
        <w:sz w:val="13"/>
        <w:szCs w:val="13"/>
        <w:lang w:val="es-CL" w:eastAsia="es-MX"/>
      </w:rPr>
      <w:t xml:space="preserve">                 </w:t>
    </w:r>
    <w:r w:rsidRPr="00DF3C6E">
      <w:rPr>
        <w:rFonts w:ascii="Times New Roman" w:eastAsia="Arial" w:hAnsi="Times New Roman" w:cs="Times New Roman"/>
        <w:sz w:val="13"/>
        <w:szCs w:val="13"/>
        <w:lang w:val="es-CL" w:eastAsia="es-MX"/>
      </w:rPr>
      <w:t>SANTIAGO</w:t>
    </w:r>
    <w:r w:rsidRPr="00DF3C6E">
      <w:rPr>
        <w:rFonts w:ascii="Times New Roman" w:eastAsia="Times New Roman" w:hAnsi="Times New Roman" w:cs="Times New Roman"/>
        <w:sz w:val="24"/>
        <w:szCs w:val="24"/>
        <w:lang w:val="es-CL" w:eastAsia="es-MX"/>
      </w:rPr>
      <w:tab/>
    </w:r>
  </w:p>
  <w:p w14:paraId="67F0569C" w14:textId="77777777" w:rsidR="00E549B3" w:rsidRPr="00157E6C" w:rsidRDefault="00E549B3" w:rsidP="00E549B3">
    <w:pPr>
      <w:pStyle w:val="Encabezado"/>
    </w:pPr>
    <w:r w:rsidRPr="00DF3C6E">
      <w:rPr>
        <w:rFonts w:ascii="Times New Roman" w:eastAsia="Times New Roman" w:hAnsi="Times New Roman" w:cs="Times New Roman"/>
        <w:noProof/>
        <w:sz w:val="24"/>
        <w:szCs w:val="24"/>
        <w:lang w:val="es-CL"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F35015" wp14:editId="1153E955">
              <wp:simplePos x="0" y="0"/>
              <wp:positionH relativeFrom="column">
                <wp:posOffset>0</wp:posOffset>
              </wp:positionH>
              <wp:positionV relativeFrom="paragraph">
                <wp:posOffset>93980</wp:posOffset>
              </wp:positionV>
              <wp:extent cx="5940000" cy="0"/>
              <wp:effectExtent l="0" t="0" r="16510" b="12700"/>
              <wp:wrapNone/>
              <wp:docPr id="1730410072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C658AAD" id="Conector recto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pt" to="467.7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" strokecolor="windowText" strokeweight="1pt"/>
          </w:pict>
        </mc:Fallback>
      </mc:AlternateContent>
    </w:r>
    <w:r w:rsidRPr="00DF3C6E">
      <w:rPr>
        <w:rFonts w:ascii="Times New Roman" w:eastAsia="Times New Roman" w:hAnsi="Times New Roman" w:cs="Times New Roman"/>
        <w:sz w:val="24"/>
        <w:szCs w:val="24"/>
        <w:lang w:val="es-CL" w:eastAsia="es-MX"/>
      </w:rPr>
      <w:tab/>
    </w:r>
  </w:p>
  <w:p w14:paraId="3C1D2935" w14:textId="77777777" w:rsidR="00E549B3" w:rsidRDefault="00E549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407744">
    <w:abstractNumId w:val="8"/>
  </w:num>
  <w:num w:numId="2" w16cid:durableId="442456575">
    <w:abstractNumId w:val="6"/>
  </w:num>
  <w:num w:numId="3" w16cid:durableId="1252280791">
    <w:abstractNumId w:val="5"/>
  </w:num>
  <w:num w:numId="4" w16cid:durableId="1495487240">
    <w:abstractNumId w:val="4"/>
  </w:num>
  <w:num w:numId="5" w16cid:durableId="322709493">
    <w:abstractNumId w:val="7"/>
  </w:num>
  <w:num w:numId="6" w16cid:durableId="560597814">
    <w:abstractNumId w:val="3"/>
  </w:num>
  <w:num w:numId="7" w16cid:durableId="1238829539">
    <w:abstractNumId w:val="2"/>
  </w:num>
  <w:num w:numId="8" w16cid:durableId="2005665793">
    <w:abstractNumId w:val="1"/>
  </w:num>
  <w:num w:numId="9" w16cid:durableId="10848395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381"/>
    <w:rsid w:val="0015074B"/>
    <w:rsid w:val="0029639D"/>
    <w:rsid w:val="00326F90"/>
    <w:rsid w:val="00AA1D8D"/>
    <w:rsid w:val="00B47730"/>
    <w:rsid w:val="00C67687"/>
    <w:rsid w:val="00CB0664"/>
    <w:rsid w:val="00E549B3"/>
    <w:rsid w:val="00F364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36840"/>
  <w14:defaultImageDpi w14:val="300"/>
  <w15:docId w15:val="{44C2983B-035F-3D41-9A55-EE68B526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2560</Characters>
  <Application>Microsoft Office Word</Application>
  <DocSecurity>0</DocSecurity>
  <Lines>116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Aguas Andinas continuidad y eficiencia operacional</dc:title>
  <dc:subject/>
  <dc:creator>Viktor Tapia</dc:creator>
  <cp:keywords/>
  <dc:description>generated by python-docx</dc:description>
  <cp:lastModifiedBy>Viktor Tapia</cp:lastModifiedBy>
  <cp:revision>2</cp:revision>
  <dcterms:created xsi:type="dcterms:W3CDTF">2013-12-23T23:15:00Z</dcterms:created>
  <dcterms:modified xsi:type="dcterms:W3CDTF">2026-10-06T12:27:00Z</dcterms:modified>
  <cp:category/>
</cp:coreProperties>
</file>