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2A06" w14:textId="77777777" w:rsidR="0096693F" w:rsidRPr="0096693F" w:rsidRDefault="0096693F" w:rsidP="0096693F">
      <w:r w:rsidRPr="0096693F">
        <w:t xml:space="preserve">Una red táctica basada en el estándar GSM/EDGE es una infraestructura de telecomunicaciones celulares </w:t>
      </w:r>
      <w:r w:rsidRPr="0096693F">
        <w:rPr>
          <w:b/>
          <w:bCs/>
        </w:rPr>
        <w:t>diseñada específicamente para misiones críticas, entornos de combate o situaciones de emergencia</w:t>
      </w:r>
      <w:r w:rsidRPr="0096693F">
        <w:t xml:space="preserve">, donde la resiliencia, la seguridad y la disponibilidad de la red son requisitos innegociables. A diferencia de las redes comerciales tradicionales, estas redes </w:t>
      </w:r>
      <w:r w:rsidRPr="0096693F">
        <w:rPr>
          <w:b/>
          <w:bCs/>
        </w:rPr>
        <w:t>deben ser transportables, de rápido despliegue y capaces de operar bajo condiciones de movilidad extrema y alta interferencia</w:t>
      </w:r>
      <w:r w:rsidRPr="0096693F">
        <w:t>.</w:t>
      </w:r>
    </w:p>
    <w:p w14:paraId="7D9BEA7D" w14:textId="77777777" w:rsidR="0096693F" w:rsidRPr="0096693F" w:rsidRDefault="0096693F" w:rsidP="0096693F">
      <w:r w:rsidRPr="0096693F">
        <w:t>El uso de la arquitectura GSM (Sistema Global para Comunicaciones Móviles) y su evolución EDGE (Tasas de Datos Mejoradas para la Evolución de GSM) proporciona una base robusta para estas operaciones mediante las siguientes características técnicas y tácticas:</w:t>
      </w:r>
    </w:p>
    <w:p w14:paraId="617FB418" w14:textId="77777777" w:rsidR="0096693F" w:rsidRPr="0096693F" w:rsidRDefault="0096693F" w:rsidP="0096693F">
      <w:pPr>
        <w:numPr>
          <w:ilvl w:val="0"/>
          <w:numId w:val="1"/>
        </w:numPr>
      </w:pPr>
      <w:r w:rsidRPr="0096693F">
        <w:rPr>
          <w:b/>
          <w:bCs/>
        </w:rPr>
        <w:t>Gestión eficiente del espectro (FDMA/TDMA):</w:t>
      </w:r>
      <w:r w:rsidRPr="0096693F">
        <w:t xml:space="preserve"> Utilizan el Acceso Múltiple por División de Frecuencia (FDMA) y de Tiempo (TDMA) en canales de 200 kHz, lo que permite que una sola estación base gestione de manera controlada y estructurada múltiples conexiones simultáneas.</w:t>
      </w:r>
    </w:p>
    <w:p w14:paraId="7B2CF221" w14:textId="77777777" w:rsidR="0096693F" w:rsidRPr="0096693F" w:rsidRDefault="0096693F" w:rsidP="0096693F">
      <w:pPr>
        <w:numPr>
          <w:ilvl w:val="0"/>
          <w:numId w:val="1"/>
        </w:numPr>
      </w:pPr>
      <w:r w:rsidRPr="0096693F">
        <w:rPr>
          <w:b/>
          <w:bCs/>
        </w:rPr>
        <w:t>Robustez y eficiencia energética:</w:t>
      </w:r>
      <w:r w:rsidRPr="0096693F">
        <w:t xml:space="preserve"> La modulación GMSK utilizada en GSM permite el uso de amplificadores de potencia no lineales altamente eficientes. Esto es fundamental para </w:t>
      </w:r>
      <w:r w:rsidRPr="0096693F">
        <w:rPr>
          <w:b/>
          <w:bCs/>
        </w:rPr>
        <w:t>maximizar la vida útil de la batería en los terminales tácticos de los soldados</w:t>
      </w:r>
      <w:r w:rsidRPr="0096693F">
        <w:t>.</w:t>
      </w:r>
    </w:p>
    <w:p w14:paraId="0651CE08" w14:textId="77777777" w:rsidR="0096693F" w:rsidRPr="0096693F" w:rsidRDefault="0096693F" w:rsidP="0096693F">
      <w:pPr>
        <w:numPr>
          <w:ilvl w:val="0"/>
          <w:numId w:val="1"/>
        </w:numPr>
      </w:pPr>
      <w:r w:rsidRPr="0096693F">
        <w:rPr>
          <w:b/>
          <w:bCs/>
        </w:rPr>
        <w:t>Adaptación Dinámica del Enlace (</w:t>
      </w:r>
      <w:proofErr w:type="gramStart"/>
      <w:r w:rsidRPr="0096693F">
        <w:rPr>
          <w:b/>
          <w:bCs/>
        </w:rPr>
        <w:t>Link</w:t>
      </w:r>
      <w:proofErr w:type="gramEnd"/>
      <w:r w:rsidRPr="0096693F">
        <w:rPr>
          <w:b/>
          <w:bCs/>
        </w:rPr>
        <w:t xml:space="preserve"> </w:t>
      </w:r>
      <w:proofErr w:type="spellStart"/>
      <w:r w:rsidRPr="0096693F">
        <w:rPr>
          <w:b/>
          <w:bCs/>
        </w:rPr>
        <w:t>Adaptation</w:t>
      </w:r>
      <w:proofErr w:type="spellEnd"/>
      <w:r w:rsidRPr="0096693F">
        <w:rPr>
          <w:b/>
          <w:bCs/>
        </w:rPr>
        <w:t>):</w:t>
      </w:r>
      <w:r w:rsidRPr="0096693F">
        <w:t xml:space="preserve"> EDGE incorpora múltiples esquemas de modulación y codificación (MCS). En condiciones de combate o interferencia severa, el sistema puede degradar automáticamente la transmisión desde un esquema de alta velocidad (como MCS-9 con 8-PSK) a uno de alta robustez (como MCS-1 con GMSK) para </w:t>
      </w:r>
      <w:r w:rsidRPr="0096693F">
        <w:rPr>
          <w:b/>
          <w:bCs/>
        </w:rPr>
        <w:t>mantener la conectividad a expensas de la velocidad de transferencia</w:t>
      </w:r>
      <w:r w:rsidRPr="0096693F">
        <w:t>. Esto permite soportar de forma dinámica desde voz de baja latencia hasta aplicaciones de video y sensores en tiempo real.</w:t>
      </w:r>
    </w:p>
    <w:p w14:paraId="0B59CE12" w14:textId="77777777" w:rsidR="0096693F" w:rsidRPr="0096693F" w:rsidRDefault="0096693F" w:rsidP="0096693F">
      <w:pPr>
        <w:numPr>
          <w:ilvl w:val="0"/>
          <w:numId w:val="1"/>
        </w:numPr>
      </w:pPr>
      <w:r w:rsidRPr="0096693F">
        <w:rPr>
          <w:b/>
          <w:bCs/>
        </w:rPr>
        <w:t>Integración con Radios Definidos por Software (SDR):</w:t>
      </w:r>
      <w:r w:rsidRPr="0096693F">
        <w:t xml:space="preserve"> La combinación de la arquitectura GSM/EDGE con tecnología SDR hace que estas redes sean ideales para el entorno táctico. El software permite </w:t>
      </w:r>
      <w:r w:rsidRPr="0096693F">
        <w:rPr>
          <w:b/>
          <w:bCs/>
        </w:rPr>
        <w:t>modificar formas de onda, cambiar cifrados y alterar planes de frecuencia dinámicamente</w:t>
      </w:r>
      <w:r w:rsidRPr="0096693F">
        <w:t>, adaptándose con rapidez a las amenazas en constante evolución sin necesidad de cambiar el hardware.</w:t>
      </w:r>
    </w:p>
    <w:p w14:paraId="0F432EC1" w14:textId="77777777" w:rsidR="0096693F" w:rsidRPr="0096693F" w:rsidRDefault="0096693F" w:rsidP="0096693F">
      <w:pPr>
        <w:numPr>
          <w:ilvl w:val="0"/>
          <w:numId w:val="1"/>
        </w:numPr>
      </w:pPr>
      <w:r w:rsidRPr="0096693F">
        <w:rPr>
          <w:b/>
          <w:bCs/>
        </w:rPr>
        <w:t>Mitigación de interferencias, Doppler y "</w:t>
      </w:r>
      <w:proofErr w:type="spellStart"/>
      <w:r w:rsidRPr="0096693F">
        <w:rPr>
          <w:b/>
          <w:bCs/>
        </w:rPr>
        <w:t>Jamming</w:t>
      </w:r>
      <w:proofErr w:type="spellEnd"/>
      <w:r w:rsidRPr="0096693F">
        <w:rPr>
          <w:b/>
          <w:bCs/>
        </w:rPr>
        <w:t>":</w:t>
      </w:r>
      <w:r w:rsidRPr="0096693F">
        <w:t xml:space="preserve"> La movilidad táctica (por ejemplo, el uso de vehículos blindados) genera cambios drásticos en la frecuencia (efecto Doppler) que reducen el tiempo de coherencia de la señal, y los entornos urbanos en conflicto provocan desvanecimientos profundos de la señal (fading de Rayleigh). Para combatir esto y los intentos </w:t>
      </w:r>
      <w:r w:rsidRPr="0096693F">
        <w:lastRenderedPageBreak/>
        <w:t xml:space="preserve">de interferencia intencionada del enemigo, </w:t>
      </w:r>
      <w:r w:rsidRPr="0096693F">
        <w:rPr>
          <w:b/>
          <w:bCs/>
        </w:rPr>
        <w:t>las redes tácticas emplean técnicas de salto de frecuencia (</w:t>
      </w:r>
      <w:proofErr w:type="spellStart"/>
      <w:r w:rsidRPr="0096693F">
        <w:rPr>
          <w:b/>
          <w:bCs/>
        </w:rPr>
        <w:t>Frequency</w:t>
      </w:r>
      <w:proofErr w:type="spellEnd"/>
      <w:r w:rsidRPr="0096693F">
        <w:rPr>
          <w:b/>
          <w:bCs/>
        </w:rPr>
        <w:t xml:space="preserve"> Hopping)</w:t>
      </w:r>
      <w:r w:rsidRPr="0096693F">
        <w:t xml:space="preserve"> y algoritmos de estimación de canal extremadamente precisos.</w:t>
      </w:r>
    </w:p>
    <w:p w14:paraId="1F656E05" w14:textId="77777777" w:rsidR="0096693F" w:rsidRPr="0096693F" w:rsidRDefault="0096693F" w:rsidP="0096693F">
      <w:pPr>
        <w:numPr>
          <w:ilvl w:val="0"/>
          <w:numId w:val="1"/>
        </w:numPr>
      </w:pPr>
      <w:r w:rsidRPr="0096693F">
        <w:rPr>
          <w:b/>
          <w:bCs/>
        </w:rPr>
        <w:t>Planificación celular y de clústeres adaptada:</w:t>
      </w:r>
      <w:r w:rsidRPr="0096693F">
        <w:t xml:space="preserve"> Mientras que una red comercial busca optimizar el espectro económicamente usando agrupaciones (clústeres) de 3 o 4 células, </w:t>
      </w:r>
      <w:r w:rsidRPr="0096693F">
        <w:rPr>
          <w:b/>
          <w:bCs/>
        </w:rPr>
        <w:t>las redes tácticas prefieren clústeres de 7 o más células (N=7)</w:t>
      </w:r>
      <w:r w:rsidRPr="0096693F">
        <w:t xml:space="preserve">. Esto aumenta la distancia geométrica en la que se reutiliza una frecuencia, brindando mayor inmunidad ante la interferencia </w:t>
      </w:r>
      <w:proofErr w:type="spellStart"/>
      <w:r w:rsidRPr="0096693F">
        <w:t>co-canal</w:t>
      </w:r>
      <w:proofErr w:type="spellEnd"/>
      <w:r w:rsidRPr="0096693F">
        <w:t xml:space="preserve"> provocada por adversarios o por un despliegue masivo de fuerzas aliadas. Además, se aplica la sectorización de antenas direccionales (de 120° o 60°) para direccionar y mejorar la calidad de la señal.</w:t>
      </w:r>
    </w:p>
    <w:p w14:paraId="113A695F" w14:textId="77777777" w:rsidR="0096693F" w:rsidRPr="0096693F" w:rsidRDefault="0096693F" w:rsidP="0096693F">
      <w:pPr>
        <w:numPr>
          <w:ilvl w:val="0"/>
          <w:numId w:val="1"/>
        </w:numPr>
      </w:pPr>
      <w:r w:rsidRPr="0096693F">
        <w:rPr>
          <w:b/>
          <w:bCs/>
        </w:rPr>
        <w:t>Cumplimiento de normativas (Directiva RED):</w:t>
      </w:r>
      <w:r w:rsidRPr="0096693F">
        <w:t xml:space="preserve"> A pesar de su uso táctico/militar, la tendencia a utilizar tecnología comercial adaptada (COTS) obliga a que estos sistemas cumplan con normativas como la Directiva de Equipos Radioeléctricos (RED) de Europa. Esto garantiza una alta inmunidad a interferencias electromagnéticas (EMC) y </w:t>
      </w:r>
      <w:r w:rsidRPr="0096693F">
        <w:rPr>
          <w:b/>
          <w:bCs/>
        </w:rPr>
        <w:t>asegura que la red táctica no contamine el espectro ni interfiera con otros sistemas críticos aliados</w:t>
      </w:r>
      <w:r w:rsidRPr="0096693F">
        <w:t>, como radares de aviación o comunicaciones satelitales (SATCOM).</w:t>
      </w:r>
    </w:p>
    <w:p w14:paraId="08E913CB" w14:textId="77777777" w:rsidR="0096693F" w:rsidRDefault="0096693F" w:rsidP="0096693F">
      <w:pPr>
        <w:rPr>
          <w:b/>
          <w:bCs/>
        </w:rPr>
      </w:pPr>
      <w:r w:rsidRPr="0096693F">
        <w:t xml:space="preserve">En conclusión, una red táctica GSM/EDGE toma un estándar comercial probado y lo adapta mediante planificación dinámica, programación SDR y técnicas de mitigación de interferencias para </w:t>
      </w:r>
      <w:r w:rsidRPr="0096693F">
        <w:rPr>
          <w:b/>
          <w:bCs/>
        </w:rPr>
        <w:t>garantizar el éxito de misiones donde la invisibilidad y la robustez de las comunicaciones dictan la supervivencia en el campo de operaciones</w:t>
      </w:r>
    </w:p>
    <w:p w14:paraId="0122DDF9" w14:textId="77777777" w:rsidR="0096693F" w:rsidRDefault="0096693F" w:rsidP="0096693F">
      <w:pPr>
        <w:rPr>
          <w:b/>
          <w:bCs/>
        </w:rPr>
      </w:pPr>
    </w:p>
    <w:p w14:paraId="04885FA4" w14:textId="77777777" w:rsidR="00215B88" w:rsidRPr="00215B88" w:rsidRDefault="00215B88" w:rsidP="00215B88">
      <w:r w:rsidRPr="00215B88">
        <w:t xml:space="preserve">El efecto Doppler, originado por la movilidad relativa entre un transmisor y un receptor (por ejemplo, vehículos en movimiento), provoca un desplazamiento y dispersión de las frecuencias de la señal de radio. Esto está inversamente relacionado con el </w:t>
      </w:r>
      <w:r w:rsidRPr="00215B88">
        <w:rPr>
          <w:b/>
          <w:bCs/>
        </w:rPr>
        <w:t>tiempo de coherencia</w:t>
      </w:r>
      <w:r w:rsidRPr="00215B88">
        <w:t>, que es la duración durante la cual las características del canal permanecen estables. Si la velocidad es alta, el tiempo de coherencia se reduce drásticamente. Si este tiempo de coherencia llega a ser menor que la duración del símbolo o de la ráfaga (</w:t>
      </w:r>
      <w:proofErr w:type="spellStart"/>
      <w:r w:rsidRPr="00215B88">
        <w:t>timeslot</w:t>
      </w:r>
      <w:proofErr w:type="spellEnd"/>
      <w:r w:rsidRPr="00215B88">
        <w:t xml:space="preserve">), se produce </w:t>
      </w:r>
      <w:r w:rsidRPr="00215B88">
        <w:rPr>
          <w:b/>
          <w:bCs/>
        </w:rPr>
        <w:t>desvanecimiento rápido (</w:t>
      </w:r>
      <w:proofErr w:type="spellStart"/>
      <w:r w:rsidRPr="00215B88">
        <w:rPr>
          <w:b/>
          <w:bCs/>
        </w:rPr>
        <w:t>fast</w:t>
      </w:r>
      <w:proofErr w:type="spellEnd"/>
      <w:r w:rsidRPr="00215B88">
        <w:rPr>
          <w:b/>
          <w:bCs/>
        </w:rPr>
        <w:t xml:space="preserve"> fading)</w:t>
      </w:r>
      <w:r w:rsidRPr="00215B88">
        <w:t xml:space="preserve"> y la respuesta del canal cambia significativamente durante la transmisión de los datos. Para estabilizar la comunicación durante ese </w:t>
      </w:r>
      <w:proofErr w:type="spellStart"/>
      <w:r w:rsidRPr="00215B88">
        <w:t>timeslot</w:t>
      </w:r>
      <w:proofErr w:type="spellEnd"/>
      <w:r w:rsidRPr="00215B88">
        <w:t>, los receptores deben utilizar la secuencia de entrenamiento (</w:t>
      </w:r>
      <w:proofErr w:type="spellStart"/>
      <w:r w:rsidRPr="00215B88">
        <w:t>midamble</w:t>
      </w:r>
      <w:proofErr w:type="spellEnd"/>
      <w:r w:rsidRPr="00215B88">
        <w:t>) para que los algoritmos de estimación de canal realicen ajustes extremadamente precisos frente a estos cambios súbitos.</w:t>
      </w:r>
    </w:p>
    <w:p w14:paraId="7EC9C448" w14:textId="77777777" w:rsidR="00215B88" w:rsidRPr="00215B88" w:rsidRDefault="00215B88" w:rsidP="00215B88">
      <w:r w:rsidRPr="00215B88">
        <w:lastRenderedPageBreak/>
        <w:t xml:space="preserve">La tecnología EDGE introduce el esquema de modulación </w:t>
      </w:r>
      <w:r w:rsidRPr="00215B88">
        <w:rPr>
          <w:b/>
          <w:bCs/>
        </w:rPr>
        <w:t>8-PSK</w:t>
      </w:r>
      <w:r w:rsidRPr="00215B88">
        <w:t xml:space="preserve"> (codificación por desplazamiento de fase de 8 niveles, específicamente -</w:t>
      </w:r>
      <w:proofErr w:type="spellStart"/>
      <w:r w:rsidRPr="00215B88">
        <w:t>shifted</w:t>
      </w:r>
      <w:proofErr w:type="spellEnd"/>
      <w:r w:rsidRPr="00215B88">
        <w:t xml:space="preserve"> 8PSK). En la modulación GMSK original de GSM, cada símbolo transporta solo 1 bit de información. Con 8-PSK, existen ocho símbolos distinguibles, permitiendo que </w:t>
      </w:r>
      <w:r w:rsidRPr="00215B88">
        <w:rPr>
          <w:b/>
          <w:bCs/>
        </w:rPr>
        <w:t>cada símbolo transporte 3 bits de información</w:t>
      </w:r>
      <w:r w:rsidRPr="00215B88">
        <w:t xml:space="preserve">. Dado que la tasa de símbolos se mantiene sin cambios en 270.833 </w:t>
      </w:r>
      <w:proofErr w:type="spellStart"/>
      <w:r w:rsidRPr="00215B88">
        <w:t>ksps</w:t>
      </w:r>
      <w:proofErr w:type="spellEnd"/>
      <w:r w:rsidRPr="00215B88">
        <w:t xml:space="preserve">, el uso de 8-PSK </w:t>
      </w:r>
      <w:r w:rsidRPr="00215B88">
        <w:rPr>
          <w:b/>
          <w:bCs/>
        </w:rPr>
        <w:t>triplica directamente la tasa bruta de transferencia de bits</w:t>
      </w:r>
      <w:r w:rsidRPr="00215B88">
        <w:t xml:space="preserve"> del enlace de radio, pasando de 270 kbps a 810 kbps dentro del mismo ancho de banda.</w:t>
      </w:r>
    </w:p>
    <w:p w14:paraId="1D7BF6B8" w14:textId="77777777" w:rsidR="00215B88" w:rsidRPr="00215B88" w:rsidRDefault="00215B88" w:rsidP="00215B88">
      <w:r w:rsidRPr="00215B88">
        <w:t>En escenarios tácticos y hostiles, el salto de frecuencia (</w:t>
      </w:r>
      <w:proofErr w:type="spellStart"/>
      <w:r w:rsidRPr="00215B88">
        <w:t>Frequency</w:t>
      </w:r>
      <w:proofErr w:type="spellEnd"/>
      <w:r w:rsidRPr="00215B88">
        <w:t xml:space="preserve"> Hopping) ofrece como ventaja principal el </w:t>
      </w:r>
      <w:r w:rsidRPr="00215B88">
        <w:rPr>
          <w:b/>
          <w:bCs/>
        </w:rPr>
        <w:t>promediado de la interferencia</w:t>
      </w:r>
      <w:r w:rsidRPr="00215B88">
        <w:t>. Al cambiar constantemente la frecuencia portadora, se impide que la comunicación se degrade completamente ante intentos de interferencia intencionada ("</w:t>
      </w:r>
      <w:proofErr w:type="spellStart"/>
      <w:r w:rsidRPr="00215B88">
        <w:t>jamming</w:t>
      </w:r>
      <w:proofErr w:type="spellEnd"/>
      <w:r w:rsidRPr="00215B88">
        <w:t xml:space="preserve">") focalizada en una frecuencia. Simultáneamente, ayuda a mitigar las pérdidas causadas por caídas profundas de señal que afectan a frecuencias específicas debido al efecto </w:t>
      </w:r>
      <w:proofErr w:type="spellStart"/>
      <w:r w:rsidRPr="00215B88">
        <w:t>multitrayecto</w:t>
      </w:r>
      <w:proofErr w:type="spellEnd"/>
      <w:r w:rsidRPr="00215B88">
        <w:t>.</w:t>
      </w:r>
    </w:p>
    <w:p w14:paraId="37B4AE5C" w14:textId="77777777" w:rsidR="00215B88" w:rsidRPr="00215B88" w:rsidRDefault="00215B88" w:rsidP="00215B88">
      <w:r w:rsidRPr="00215B88">
        <w:t>La diferencia clave entre ambos radica en la presencia o ausencia de una línea de visión directa entre el transmisor y el receptor:</w:t>
      </w:r>
    </w:p>
    <w:p w14:paraId="2991DE22" w14:textId="77777777" w:rsidR="00215B88" w:rsidRPr="00215B88" w:rsidRDefault="00215B88" w:rsidP="00215B88">
      <w:pPr>
        <w:numPr>
          <w:ilvl w:val="0"/>
          <w:numId w:val="2"/>
        </w:numPr>
      </w:pPr>
      <w:r w:rsidRPr="00215B88">
        <w:rPr>
          <w:b/>
          <w:bCs/>
        </w:rPr>
        <w:t>Modelo de Desvanecimiento Rayleigh:</w:t>
      </w:r>
      <w:r w:rsidRPr="00215B88">
        <w:t xml:space="preserve"> Asume un entorno </w:t>
      </w:r>
      <w:r w:rsidRPr="00215B88">
        <w:rPr>
          <w:b/>
          <w:bCs/>
        </w:rPr>
        <w:t>sin línea de visión directa (NLOS)</w:t>
      </w:r>
      <w:r w:rsidRPr="00215B88">
        <w:t xml:space="preserve">, donde la señal llega exclusivamente por múltiples caminos aleatorios tras rebotar en objetos, como ocurre en áreas densamente urbanizadas. En este entorno, los desvanecimientos son muy rápidos y </w:t>
      </w:r>
      <w:r w:rsidRPr="00215B88">
        <w:rPr>
          <w:b/>
          <w:bCs/>
        </w:rPr>
        <w:t>extremadamente profundos</w:t>
      </w:r>
      <w:r w:rsidRPr="00215B88">
        <w:t>, pudiendo hacer que la fuerza de la señal caiga de 30 dB a 40 dB.</w:t>
      </w:r>
    </w:p>
    <w:p w14:paraId="5C03889B" w14:textId="77777777" w:rsidR="00215B88" w:rsidRPr="00215B88" w:rsidRDefault="00215B88" w:rsidP="00215B88">
      <w:pPr>
        <w:numPr>
          <w:ilvl w:val="0"/>
          <w:numId w:val="2"/>
        </w:numPr>
      </w:pPr>
      <w:r w:rsidRPr="00215B88">
        <w:rPr>
          <w:b/>
          <w:bCs/>
        </w:rPr>
        <w:t xml:space="preserve">Modelo de Desvanecimiento </w:t>
      </w:r>
      <w:proofErr w:type="spellStart"/>
      <w:r w:rsidRPr="00215B88">
        <w:rPr>
          <w:b/>
          <w:bCs/>
        </w:rPr>
        <w:t>Rician</w:t>
      </w:r>
      <w:proofErr w:type="spellEnd"/>
      <w:r w:rsidRPr="00215B88">
        <w:rPr>
          <w:b/>
          <w:bCs/>
        </w:rPr>
        <w:t>:</w:t>
      </w:r>
      <w:r w:rsidRPr="00215B88">
        <w:t xml:space="preserve"> Ocurre cuando, junto con las componentes de </w:t>
      </w:r>
      <w:proofErr w:type="spellStart"/>
      <w:r w:rsidRPr="00215B88">
        <w:t>multitrayecto</w:t>
      </w:r>
      <w:proofErr w:type="spellEnd"/>
      <w:r w:rsidRPr="00215B88">
        <w:t xml:space="preserve">, existe una </w:t>
      </w:r>
      <w:r w:rsidRPr="00215B88">
        <w:rPr>
          <w:b/>
          <w:bCs/>
        </w:rPr>
        <w:t>señal dominante de línea de visión directa (LOS)</w:t>
      </w:r>
      <w:r w:rsidRPr="00215B88">
        <w:t>. Como esta señal directa es la más fuerte, las variaciones o la "profundidad" de los desvanecimientos son mucho menos severas (típicamente alrededor de 10 dB). Este modelo emplea el parámetro del factor K (</w:t>
      </w:r>
      <w:proofErr w:type="spellStart"/>
      <w:r w:rsidRPr="00215B88">
        <w:t>Rician</w:t>
      </w:r>
      <w:proofErr w:type="spellEnd"/>
      <w:r w:rsidRPr="00215B88">
        <w:t xml:space="preserve"> K-factor), el cual indica la relación de potencia entre el componente directo y las señales difusas o reflejadas.</w:t>
      </w:r>
    </w:p>
    <w:p w14:paraId="1C27ABB5" w14:textId="77777777" w:rsidR="00215B88" w:rsidRDefault="00215B88" w:rsidP="0096693F"/>
    <w:p w14:paraId="54CC4787" w14:textId="77777777" w:rsidR="00215B88" w:rsidRDefault="00215B88" w:rsidP="0096693F"/>
    <w:p w14:paraId="217CABBE" w14:textId="77777777" w:rsidR="00215B88" w:rsidRPr="00215B88" w:rsidRDefault="00215B88" w:rsidP="00215B88">
      <w:r w:rsidRPr="00215B88">
        <w:t xml:space="preserve">El </w:t>
      </w:r>
      <w:r w:rsidRPr="00215B88">
        <w:rPr>
          <w:b/>
          <w:bCs/>
        </w:rPr>
        <w:t>tiempo de coherencia ()</w:t>
      </w:r>
      <w:r w:rsidRPr="00215B88">
        <w:t xml:space="preserve"> es inversamente proporcional al ensanchamiento Doppler o frecuencia Doppler máxima () producida por el movimiento. Existen diferentes fórmulas para calcularlo según el nivel de precisión deseado:</w:t>
      </w:r>
    </w:p>
    <w:p w14:paraId="46D561C1" w14:textId="107EB6E7" w:rsidR="00215B88" w:rsidRPr="00215B88" w:rsidRDefault="00215B88" w:rsidP="00215B88">
      <w:pPr>
        <w:numPr>
          <w:ilvl w:val="0"/>
          <w:numId w:val="3"/>
        </w:numPr>
      </w:pPr>
      <w:r w:rsidRPr="00215B88">
        <w:rPr>
          <w:b/>
          <w:bCs/>
        </w:rPr>
        <w:lastRenderedPageBreak/>
        <w:t>Aproximación rápida</w:t>
      </w:r>
      <w:proofErr w:type="gramStart"/>
      <w:r w:rsidRPr="00215B88">
        <w:rPr>
          <w:b/>
          <w:bCs/>
        </w:rPr>
        <w:t>:</w:t>
      </w:r>
      <w:r w:rsidRPr="00215B88">
        <w:t xml:space="preserve"> .</w:t>
      </w:r>
      <w:proofErr w:type="gramEnd"/>
      <w:r w:rsidRPr="00215B88">
        <w:rPr>
          <w:noProof/>
        </w:rPr>
        <w:t xml:space="preserve"> </w:t>
      </w:r>
      <w:r w:rsidRPr="00215B88">
        <w:drawing>
          <wp:inline distT="0" distB="0" distL="0" distR="0" wp14:anchorId="332AADDE" wp14:editId="683B6A99">
            <wp:extent cx="962159" cy="523948"/>
            <wp:effectExtent l="0" t="0" r="9525" b="9525"/>
            <wp:docPr id="559951858"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1858" name="Imagen 1" descr="Un dibujo de una persona&#10;&#10;El contenido generado por IA puede ser incorrecto."/>
                    <pic:cNvPicPr/>
                  </pic:nvPicPr>
                  <pic:blipFill>
                    <a:blip r:embed="rId5"/>
                    <a:stretch>
                      <a:fillRect/>
                    </a:stretch>
                  </pic:blipFill>
                  <pic:spPr>
                    <a:xfrm>
                      <a:off x="0" y="0"/>
                      <a:ext cx="962159" cy="523948"/>
                    </a:xfrm>
                    <a:prstGeom prst="rect">
                      <a:avLst/>
                    </a:prstGeom>
                  </pic:spPr>
                </pic:pic>
              </a:graphicData>
            </a:graphic>
          </wp:inline>
        </w:drawing>
      </w:r>
    </w:p>
    <w:p w14:paraId="03140FC5" w14:textId="7F4C97E1" w:rsidR="00215B88" w:rsidRDefault="00215B88" w:rsidP="00215B88">
      <w:pPr>
        <w:numPr>
          <w:ilvl w:val="0"/>
          <w:numId w:val="3"/>
        </w:numPr>
      </w:pPr>
      <w:r w:rsidRPr="00215B88">
        <w:rPr>
          <w:b/>
          <w:bCs/>
        </w:rPr>
        <w:t>Regla general (Modelo de Clarke):</w:t>
      </w:r>
      <w:r w:rsidRPr="00215B88">
        <w:t xml:space="preserve"> Para sistemas de comunicaciones digitales modernos, se utiliza frecuentemente un cálculo estadístico basado en la media geométrica de las aproximaciones, resultando en la fórmula </w:t>
      </w:r>
      <w:r w:rsidRPr="00215B88">
        <mc:AlternateContent>
          <mc:Choice Requires="wps">
            <w:drawing>
              <wp:inline distT="0" distB="0" distL="0" distR="0" wp14:anchorId="02E18A20" wp14:editId="34D27E32">
                <wp:extent cx="304800" cy="304800"/>
                <wp:effectExtent l="0" t="0" r="0" b="0"/>
                <wp:docPr id="295260520"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29CD5"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15B88">
        <w:drawing>
          <wp:inline distT="0" distB="0" distL="0" distR="0" wp14:anchorId="386B9291" wp14:editId="3D3B8763">
            <wp:extent cx="2124371" cy="609685"/>
            <wp:effectExtent l="0" t="0" r="9525" b="0"/>
            <wp:docPr id="136738972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9724" name="Imagen 1" descr="Imagen que contiene Interfaz de usuario gráfica&#10;&#10;El contenido generado por IA puede ser incorrecto."/>
                    <pic:cNvPicPr/>
                  </pic:nvPicPr>
                  <pic:blipFill>
                    <a:blip r:embed="rId6"/>
                    <a:stretch>
                      <a:fillRect/>
                    </a:stretch>
                  </pic:blipFill>
                  <pic:spPr>
                    <a:xfrm>
                      <a:off x="0" y="0"/>
                      <a:ext cx="2124371" cy="609685"/>
                    </a:xfrm>
                    <a:prstGeom prst="rect">
                      <a:avLst/>
                    </a:prstGeom>
                  </pic:spPr>
                </pic:pic>
              </a:graphicData>
            </a:graphic>
          </wp:inline>
        </w:drawing>
      </w:r>
    </w:p>
    <w:p w14:paraId="4C5AA803" w14:textId="77777777" w:rsidR="00215B88" w:rsidRDefault="00215B88" w:rsidP="00215B88"/>
    <w:p w14:paraId="51C1F247" w14:textId="77777777" w:rsidR="00215B88" w:rsidRPr="00215B88" w:rsidRDefault="00215B88" w:rsidP="00215B88">
      <w:r w:rsidRPr="00215B88">
        <w:t xml:space="preserve">Los </w:t>
      </w:r>
      <w:r w:rsidRPr="00215B88">
        <w:rPr>
          <w:b/>
          <w:bCs/>
        </w:rPr>
        <w:t>9 esquemas de modulación y codificación (MCS)</w:t>
      </w:r>
      <w:r w:rsidRPr="00215B88">
        <w:t xml:space="preserve"> utilizados en la tecnología EDGE permiten adaptar la transmisión según la calidad del radioenlace y se dividen según su modulación y tasa de datos por intervalo de tiempo (</w:t>
      </w:r>
      <w:proofErr w:type="spellStart"/>
      <w:r w:rsidRPr="00215B88">
        <w:t>timeslot</w:t>
      </w:r>
      <w:proofErr w:type="spellEnd"/>
      <w:r w:rsidRPr="00215B88">
        <w:t>):</w:t>
      </w:r>
    </w:p>
    <w:p w14:paraId="187873EC" w14:textId="77777777" w:rsidR="00215B88" w:rsidRPr="00215B88" w:rsidRDefault="00215B88" w:rsidP="00215B88">
      <w:pPr>
        <w:numPr>
          <w:ilvl w:val="0"/>
          <w:numId w:val="4"/>
        </w:numPr>
      </w:pPr>
      <w:r w:rsidRPr="00215B88">
        <w:rPr>
          <w:b/>
          <w:bCs/>
        </w:rPr>
        <w:t>Basados en modulación GMSK:</w:t>
      </w:r>
    </w:p>
    <w:p w14:paraId="6003EE50" w14:textId="77777777" w:rsidR="00215B88" w:rsidRPr="00215B88" w:rsidRDefault="00215B88" w:rsidP="00215B88">
      <w:pPr>
        <w:numPr>
          <w:ilvl w:val="1"/>
          <w:numId w:val="4"/>
        </w:numPr>
      </w:pPr>
      <w:r w:rsidRPr="00215B88">
        <w:rPr>
          <w:b/>
          <w:bCs/>
        </w:rPr>
        <w:t>MCS-1:</w:t>
      </w:r>
      <w:r w:rsidRPr="00215B88">
        <w:t xml:space="preserve"> 8.8 kbps.</w:t>
      </w:r>
    </w:p>
    <w:p w14:paraId="11DA5B24" w14:textId="77777777" w:rsidR="00215B88" w:rsidRPr="00215B88" w:rsidRDefault="00215B88" w:rsidP="00215B88">
      <w:pPr>
        <w:numPr>
          <w:ilvl w:val="1"/>
          <w:numId w:val="4"/>
        </w:numPr>
      </w:pPr>
      <w:r w:rsidRPr="00215B88">
        <w:rPr>
          <w:b/>
          <w:bCs/>
        </w:rPr>
        <w:t>MCS-2:</w:t>
      </w:r>
      <w:r w:rsidRPr="00215B88">
        <w:t xml:space="preserve"> 11.2 kbps.</w:t>
      </w:r>
    </w:p>
    <w:p w14:paraId="00E73306" w14:textId="77777777" w:rsidR="00215B88" w:rsidRPr="00215B88" w:rsidRDefault="00215B88" w:rsidP="00215B88">
      <w:pPr>
        <w:numPr>
          <w:ilvl w:val="1"/>
          <w:numId w:val="4"/>
        </w:numPr>
      </w:pPr>
      <w:r w:rsidRPr="00215B88">
        <w:rPr>
          <w:b/>
          <w:bCs/>
        </w:rPr>
        <w:t>MCS-3:</w:t>
      </w:r>
      <w:r w:rsidRPr="00215B88">
        <w:t xml:space="preserve"> 14.8 kbps.</w:t>
      </w:r>
    </w:p>
    <w:p w14:paraId="409D1079" w14:textId="77777777" w:rsidR="00215B88" w:rsidRPr="00215B88" w:rsidRDefault="00215B88" w:rsidP="00215B88">
      <w:pPr>
        <w:numPr>
          <w:ilvl w:val="1"/>
          <w:numId w:val="4"/>
        </w:numPr>
      </w:pPr>
      <w:r w:rsidRPr="00215B88">
        <w:rPr>
          <w:b/>
          <w:bCs/>
        </w:rPr>
        <w:t>MCS-4:</w:t>
      </w:r>
      <w:r w:rsidRPr="00215B88">
        <w:t xml:space="preserve"> 17.6 kbps.</w:t>
      </w:r>
    </w:p>
    <w:p w14:paraId="648DBAA3" w14:textId="77777777" w:rsidR="00215B88" w:rsidRPr="00215B88" w:rsidRDefault="00215B88" w:rsidP="00215B88">
      <w:pPr>
        <w:numPr>
          <w:ilvl w:val="0"/>
          <w:numId w:val="4"/>
        </w:numPr>
      </w:pPr>
      <w:r w:rsidRPr="00215B88">
        <w:rPr>
          <w:b/>
          <w:bCs/>
        </w:rPr>
        <w:t>Basados en modulación 8-PSK:</w:t>
      </w:r>
    </w:p>
    <w:p w14:paraId="2C3DEBDD" w14:textId="77777777" w:rsidR="00215B88" w:rsidRPr="00215B88" w:rsidRDefault="00215B88" w:rsidP="00215B88">
      <w:pPr>
        <w:numPr>
          <w:ilvl w:val="1"/>
          <w:numId w:val="4"/>
        </w:numPr>
      </w:pPr>
      <w:r w:rsidRPr="00215B88">
        <w:rPr>
          <w:b/>
          <w:bCs/>
        </w:rPr>
        <w:t>MCS-5:</w:t>
      </w:r>
      <w:r w:rsidRPr="00215B88">
        <w:t xml:space="preserve"> 22.4 kbps.</w:t>
      </w:r>
    </w:p>
    <w:p w14:paraId="5E8E3F4C" w14:textId="77777777" w:rsidR="00215B88" w:rsidRPr="00215B88" w:rsidRDefault="00215B88" w:rsidP="00215B88">
      <w:pPr>
        <w:numPr>
          <w:ilvl w:val="1"/>
          <w:numId w:val="4"/>
        </w:numPr>
      </w:pPr>
      <w:r w:rsidRPr="00215B88">
        <w:rPr>
          <w:b/>
          <w:bCs/>
        </w:rPr>
        <w:t>MCS-6:</w:t>
      </w:r>
      <w:r w:rsidRPr="00215B88">
        <w:t xml:space="preserve"> 29.6 kbps.</w:t>
      </w:r>
    </w:p>
    <w:p w14:paraId="121F216D" w14:textId="77777777" w:rsidR="00215B88" w:rsidRPr="00215B88" w:rsidRDefault="00215B88" w:rsidP="00215B88">
      <w:pPr>
        <w:numPr>
          <w:ilvl w:val="1"/>
          <w:numId w:val="4"/>
        </w:numPr>
      </w:pPr>
      <w:r w:rsidRPr="00215B88">
        <w:rPr>
          <w:b/>
          <w:bCs/>
        </w:rPr>
        <w:t>MCS-7:</w:t>
      </w:r>
      <w:r w:rsidRPr="00215B88">
        <w:t xml:space="preserve"> 44.8 kbps.</w:t>
      </w:r>
    </w:p>
    <w:p w14:paraId="4F520BC4" w14:textId="77777777" w:rsidR="00215B88" w:rsidRPr="00215B88" w:rsidRDefault="00215B88" w:rsidP="00215B88">
      <w:pPr>
        <w:numPr>
          <w:ilvl w:val="1"/>
          <w:numId w:val="4"/>
        </w:numPr>
      </w:pPr>
      <w:r w:rsidRPr="00215B88">
        <w:rPr>
          <w:b/>
          <w:bCs/>
        </w:rPr>
        <w:t>MCS-8:</w:t>
      </w:r>
      <w:r w:rsidRPr="00215B88">
        <w:t xml:space="preserve"> 54.4 kbps.</w:t>
      </w:r>
    </w:p>
    <w:p w14:paraId="199A4EC0" w14:textId="77777777" w:rsidR="00215B88" w:rsidRPr="00215B88" w:rsidRDefault="00215B88" w:rsidP="00215B88">
      <w:pPr>
        <w:numPr>
          <w:ilvl w:val="1"/>
          <w:numId w:val="4"/>
        </w:numPr>
      </w:pPr>
      <w:r w:rsidRPr="00215B88">
        <w:rPr>
          <w:b/>
          <w:bCs/>
        </w:rPr>
        <w:t>MCS-9:</w:t>
      </w:r>
      <w:r w:rsidRPr="00215B88">
        <w:t xml:space="preserve"> 59.2 kbps. Estos esquemas se agrupan en tres familias (A, B y C) que son compatibles entre sí para facilitar la retransmisión de bloques de datos en caso de errores</w:t>
      </w:r>
    </w:p>
    <w:p w14:paraId="5B04A04F" w14:textId="77777777" w:rsidR="00410A2C" w:rsidRPr="00410A2C" w:rsidRDefault="00410A2C" w:rsidP="00410A2C">
      <w:r w:rsidRPr="00410A2C">
        <w:t xml:space="preserve">Para el cumplimiento de la </w:t>
      </w:r>
      <w:r w:rsidRPr="00410A2C">
        <w:rPr>
          <w:b/>
          <w:bCs/>
        </w:rPr>
        <w:t>Directiva de Equipos Radioeléctricos (RED)</w:t>
      </w:r>
      <w:r w:rsidRPr="00410A2C">
        <w:t xml:space="preserve"> en Europa, la normativa no otorga una "certificación modular" como tal, sino que opera bajo un principio de </w:t>
      </w:r>
      <w:r w:rsidRPr="00410A2C">
        <w:rPr>
          <w:b/>
          <w:bCs/>
        </w:rPr>
        <w:t>"autodeclaración" o Declaración de Conformidad (DoC)</w:t>
      </w:r>
      <w:r w:rsidRPr="00410A2C">
        <w:t>. Los requisitos técnicos y documentales son los siguientes:</w:t>
      </w:r>
    </w:p>
    <w:p w14:paraId="5B86D9D4" w14:textId="77777777" w:rsidR="00410A2C" w:rsidRPr="00410A2C" w:rsidRDefault="00410A2C" w:rsidP="00410A2C">
      <w:pPr>
        <w:numPr>
          <w:ilvl w:val="0"/>
          <w:numId w:val="5"/>
        </w:numPr>
      </w:pPr>
      <w:r w:rsidRPr="00410A2C">
        <w:rPr>
          <w:b/>
          <w:bCs/>
        </w:rPr>
        <w:t>Pruebas de Radiofrecuencia (RF):</w:t>
      </w:r>
      <w:r w:rsidRPr="00410A2C">
        <w:t xml:space="preserve"> El equipo debe operar eficientemente en su espectro y probarse bajo estándares armonizados de emisiones como el ETSI EN300328.</w:t>
      </w:r>
    </w:p>
    <w:p w14:paraId="5F5F7FC4" w14:textId="77777777" w:rsidR="00410A2C" w:rsidRPr="00410A2C" w:rsidRDefault="00410A2C" w:rsidP="00410A2C">
      <w:pPr>
        <w:numPr>
          <w:ilvl w:val="0"/>
          <w:numId w:val="5"/>
        </w:numPr>
      </w:pPr>
      <w:r w:rsidRPr="00410A2C">
        <w:rPr>
          <w:b/>
          <w:bCs/>
        </w:rPr>
        <w:lastRenderedPageBreak/>
        <w:t>Compatibilidad Electromagnética (EMC):</w:t>
      </w:r>
      <w:r w:rsidRPr="00410A2C">
        <w:t xml:space="preserve"> Debe superar pruebas de inmunidad y de emisiones espurias (p. ej., estándar ETSI EN301489) para asegurar que no interfiera con otros dispositivos.</w:t>
      </w:r>
    </w:p>
    <w:p w14:paraId="6DB575AA" w14:textId="77777777" w:rsidR="00410A2C" w:rsidRPr="00410A2C" w:rsidRDefault="00410A2C" w:rsidP="00410A2C">
      <w:pPr>
        <w:numPr>
          <w:ilvl w:val="0"/>
          <w:numId w:val="5"/>
        </w:numPr>
      </w:pPr>
      <w:r w:rsidRPr="00410A2C">
        <w:rPr>
          <w:b/>
          <w:bCs/>
        </w:rPr>
        <w:t>Seguridad Eléctrica:</w:t>
      </w:r>
      <w:r w:rsidRPr="00410A2C">
        <w:t xml:space="preserve"> El dispositivo tiene que ser seguro para el usuario, evaluándose contra directivas de bajo voltaje (estándar ETSI EN60950).</w:t>
      </w:r>
    </w:p>
    <w:p w14:paraId="656FF770" w14:textId="77777777" w:rsidR="00410A2C" w:rsidRPr="00410A2C" w:rsidRDefault="00410A2C" w:rsidP="00410A2C">
      <w:pPr>
        <w:numPr>
          <w:ilvl w:val="0"/>
          <w:numId w:val="5"/>
        </w:numPr>
      </w:pPr>
      <w:r w:rsidRPr="00410A2C">
        <w:rPr>
          <w:b/>
          <w:bCs/>
        </w:rPr>
        <w:t>Evaluación de Exposición a RF (SAR):</w:t>
      </w:r>
      <w:r w:rsidRPr="00410A2C">
        <w:t xml:space="preserve"> Si la potencia de transmisión de los radios supera los +13 dBm (20 </w:t>
      </w:r>
      <w:proofErr w:type="spellStart"/>
      <w:r w:rsidRPr="00410A2C">
        <w:t>mW</w:t>
      </w:r>
      <w:proofErr w:type="spellEnd"/>
      <w:r w:rsidRPr="00410A2C">
        <w:t>), es obligatorio realizar pruebas de exposición para el cuerpo humano.</w:t>
      </w:r>
    </w:p>
    <w:p w14:paraId="1374671F" w14:textId="77777777" w:rsidR="00410A2C" w:rsidRPr="00410A2C" w:rsidRDefault="00410A2C" w:rsidP="00410A2C">
      <w:pPr>
        <w:numPr>
          <w:ilvl w:val="0"/>
          <w:numId w:val="5"/>
        </w:numPr>
      </w:pPr>
      <w:r w:rsidRPr="00410A2C">
        <w:rPr>
          <w:b/>
          <w:bCs/>
        </w:rPr>
        <w:t>Documentación Técnica:</w:t>
      </w:r>
      <w:r w:rsidRPr="00410A2C">
        <w:t xml:space="preserve"> El fabricante debe mantener un Archivo de Construcción Técnica (TCF) que incluya diagramas, la Declaración de Conformidad firmada, evidencia de pruebas y, de manera opcional, la opinión de un Organismo Notificado (NB).</w:t>
      </w:r>
    </w:p>
    <w:p w14:paraId="73A4C529" w14:textId="77777777" w:rsidR="00410A2C" w:rsidRDefault="00410A2C" w:rsidP="00410A2C">
      <w:pPr>
        <w:numPr>
          <w:ilvl w:val="0"/>
          <w:numId w:val="5"/>
        </w:numPr>
      </w:pPr>
      <w:r w:rsidRPr="00410A2C">
        <w:rPr>
          <w:b/>
          <w:bCs/>
        </w:rPr>
        <w:t>Marcado CE:</w:t>
      </w:r>
      <w:r w:rsidRPr="00410A2C">
        <w:t xml:space="preserve"> Tras cumplir con todos los estándares armonizados y redactar la DoC, el producto final debe exhibir obligatoriamente el logotipo o marcado CE. Además, a partir de 2025, es obligatorio cumplir con requisitos de ciberseguridad para proteger la privacidad y los datos de los usuarios.</w:t>
      </w:r>
    </w:p>
    <w:p w14:paraId="7813900C" w14:textId="77777777" w:rsidR="00410A2C" w:rsidRPr="00410A2C" w:rsidRDefault="00410A2C" w:rsidP="00410A2C">
      <w:r w:rsidRPr="00410A2C">
        <w:t xml:space="preserve">Bajo la </w:t>
      </w:r>
      <w:r w:rsidRPr="00410A2C">
        <w:rPr>
          <w:b/>
          <w:bCs/>
        </w:rPr>
        <w:t>Directiva de Equipos Radioeléctricos (RED)</w:t>
      </w:r>
      <w:r w:rsidRPr="00410A2C">
        <w:t xml:space="preserve">, el fabricante debe compilar y mantener un </w:t>
      </w:r>
      <w:r w:rsidRPr="00410A2C">
        <w:rPr>
          <w:b/>
          <w:bCs/>
        </w:rPr>
        <w:t>Archivo de Construcción Técnica (TCF, por sus siglas en inglés)</w:t>
      </w:r>
      <w:r w:rsidRPr="00410A2C">
        <w:t xml:space="preserve"> que proporcione evidencia del cumplimiento normativo. Los documentos técnicos específicos que exige incluyen:</w:t>
      </w:r>
    </w:p>
    <w:p w14:paraId="218A251B" w14:textId="77777777" w:rsidR="00410A2C" w:rsidRPr="00410A2C" w:rsidRDefault="00410A2C" w:rsidP="00410A2C">
      <w:pPr>
        <w:numPr>
          <w:ilvl w:val="0"/>
          <w:numId w:val="7"/>
        </w:numPr>
      </w:pPr>
      <w:r w:rsidRPr="00410A2C">
        <w:t xml:space="preserve">La </w:t>
      </w:r>
      <w:r w:rsidRPr="00410A2C">
        <w:rPr>
          <w:b/>
          <w:bCs/>
        </w:rPr>
        <w:t>Declaración de Conformidad (DoC)</w:t>
      </w:r>
      <w:r w:rsidRPr="00410A2C">
        <w:t>, que es una autodeclaración obligatoria firmada bajo responsabilidad del fabricante.</w:t>
      </w:r>
    </w:p>
    <w:p w14:paraId="4BBE4351" w14:textId="77777777" w:rsidR="00410A2C" w:rsidRPr="00410A2C" w:rsidRDefault="00410A2C" w:rsidP="00410A2C">
      <w:pPr>
        <w:numPr>
          <w:ilvl w:val="0"/>
          <w:numId w:val="7"/>
        </w:numPr>
      </w:pPr>
      <w:r w:rsidRPr="00410A2C">
        <w:t xml:space="preserve">Los </w:t>
      </w:r>
      <w:r w:rsidRPr="00410A2C">
        <w:rPr>
          <w:b/>
          <w:bCs/>
        </w:rPr>
        <w:t>informes de las pruebas</w:t>
      </w:r>
      <w:r w:rsidRPr="00410A2C">
        <w:t xml:space="preserve"> (Test </w:t>
      </w:r>
      <w:proofErr w:type="spellStart"/>
      <w:r w:rsidRPr="00410A2C">
        <w:t>reports</w:t>
      </w:r>
      <w:proofErr w:type="spellEnd"/>
      <w:r w:rsidRPr="00410A2C">
        <w:t>) de radiofrecuencia, EMC y seguridad.</w:t>
      </w:r>
    </w:p>
    <w:p w14:paraId="5D295157" w14:textId="77777777" w:rsidR="00410A2C" w:rsidRPr="00410A2C" w:rsidRDefault="00410A2C" w:rsidP="00410A2C">
      <w:pPr>
        <w:numPr>
          <w:ilvl w:val="0"/>
          <w:numId w:val="7"/>
        </w:numPr>
      </w:pPr>
      <w:r w:rsidRPr="00410A2C">
        <w:t xml:space="preserve">La </w:t>
      </w:r>
      <w:r w:rsidRPr="00410A2C">
        <w:rPr>
          <w:b/>
          <w:bCs/>
        </w:rPr>
        <w:t>descripción técnica del dispositivo</w:t>
      </w:r>
      <w:r w:rsidRPr="00410A2C">
        <w:t>, la cual abarca esquemas electrónicos, diseño de las placas (</w:t>
      </w:r>
      <w:proofErr w:type="spellStart"/>
      <w:r w:rsidRPr="00410A2C">
        <w:t>layout</w:t>
      </w:r>
      <w:proofErr w:type="spellEnd"/>
      <w:r w:rsidRPr="00410A2C">
        <w:t>), lista de materiales (BOM) y fotografías.</w:t>
      </w:r>
    </w:p>
    <w:p w14:paraId="15226B6C" w14:textId="77777777" w:rsidR="00410A2C" w:rsidRDefault="00410A2C" w:rsidP="00410A2C">
      <w:pPr>
        <w:numPr>
          <w:ilvl w:val="0"/>
          <w:numId w:val="7"/>
        </w:numPr>
      </w:pPr>
      <w:r w:rsidRPr="00410A2C">
        <w:t xml:space="preserve">De manera opcional, un </w:t>
      </w:r>
      <w:r w:rsidRPr="00410A2C">
        <w:rPr>
          <w:b/>
          <w:bCs/>
        </w:rPr>
        <w:t>Certificado de Examen de Tipo de la UE (EU-TEC)</w:t>
      </w:r>
      <w:r w:rsidRPr="00410A2C">
        <w:t xml:space="preserve"> o la carta de opinión de un Organismo Notificado (NB) para aportar mayor confianza sobre la conformidad</w:t>
      </w:r>
    </w:p>
    <w:p w14:paraId="6B889046" w14:textId="5A73CE11" w:rsidR="00410A2C" w:rsidRPr="00410A2C" w:rsidRDefault="00410A2C" w:rsidP="00410A2C">
      <w:pPr>
        <w:numPr>
          <w:ilvl w:val="0"/>
          <w:numId w:val="7"/>
        </w:numPr>
      </w:pPr>
      <w:r w:rsidRPr="00410A2C">
        <w:t xml:space="preserve">De forma opcional, una </w:t>
      </w:r>
      <w:r w:rsidRPr="00410A2C">
        <w:rPr>
          <w:b/>
          <w:bCs/>
        </w:rPr>
        <w:t>carta de opinión de un Organismo Notificado (NB)</w:t>
      </w:r>
      <w:r w:rsidRPr="00410A2C">
        <w:t xml:space="preserve"> o un Certificado de Examen de Tipo de la UE (EU-TEC)</w:t>
      </w:r>
    </w:p>
    <w:p w14:paraId="6FC36901" w14:textId="77777777" w:rsidR="00410A2C" w:rsidRPr="00410A2C" w:rsidRDefault="00410A2C" w:rsidP="00410A2C"/>
    <w:p w14:paraId="5C3F43CC" w14:textId="77777777" w:rsidR="00410A2C" w:rsidRPr="00410A2C" w:rsidRDefault="00410A2C" w:rsidP="00410A2C">
      <w:r w:rsidRPr="00410A2C">
        <w:lastRenderedPageBreak/>
        <w:t xml:space="preserve">El </w:t>
      </w:r>
      <w:r w:rsidRPr="00410A2C">
        <w:rPr>
          <w:b/>
          <w:bCs/>
        </w:rPr>
        <w:t>tiempo de coherencia</w:t>
      </w:r>
      <w:r w:rsidRPr="00410A2C">
        <w:t xml:space="preserve"> es la duración estadística durante la cual la respuesta al impulso del canal de radio se mantiene esencialmente constante o invariable. En términos prácticos, es el periodo en el que dos señales recibidas en diferentes momentos mantienen un alto potencial de correlación de amplitud, lo que significa que las condiciones del canal no cambian de forma notable.</w:t>
      </w:r>
    </w:p>
    <w:p w14:paraId="0218CD84" w14:textId="77777777" w:rsidR="00410A2C" w:rsidRPr="00410A2C" w:rsidRDefault="00410A2C" w:rsidP="00410A2C">
      <w:r w:rsidRPr="00410A2C">
        <w:t xml:space="preserve">Las familias de los esquemas de modulación y codificación (MCS) en EDGE se clasifican en </w:t>
      </w:r>
      <w:r w:rsidRPr="00410A2C">
        <w:rPr>
          <w:b/>
          <w:bCs/>
        </w:rPr>
        <w:t>tres grupos (A, B y C)</w:t>
      </w:r>
      <w:r w:rsidRPr="00410A2C">
        <w:t xml:space="preserve"> en función del tamaño de su carga útil de datos (</w:t>
      </w:r>
      <w:proofErr w:type="spellStart"/>
      <w:r w:rsidRPr="00410A2C">
        <w:t>payload</w:t>
      </w:r>
      <w:proofErr w:type="spellEnd"/>
      <w:r w:rsidRPr="00410A2C">
        <w:t xml:space="preserve">). Esta agrupación permite que, si una transmisión falla, el bloque de datos pueda ser </w:t>
      </w:r>
      <w:proofErr w:type="spellStart"/>
      <w:r w:rsidRPr="00410A2C">
        <w:t>re-segmentado</w:t>
      </w:r>
      <w:proofErr w:type="spellEnd"/>
      <w:r w:rsidRPr="00410A2C">
        <w:t xml:space="preserve"> y retransmitido utilizando un esquema de codificación más robusto dentro de la misma familia. Las familias se componen de la siguiente manera:</w:t>
      </w:r>
    </w:p>
    <w:p w14:paraId="0C9103B8" w14:textId="77777777" w:rsidR="00410A2C" w:rsidRPr="00410A2C" w:rsidRDefault="00410A2C" w:rsidP="00410A2C">
      <w:pPr>
        <w:numPr>
          <w:ilvl w:val="0"/>
          <w:numId w:val="6"/>
        </w:numPr>
      </w:pPr>
      <w:r w:rsidRPr="00410A2C">
        <w:rPr>
          <w:b/>
          <w:bCs/>
        </w:rPr>
        <w:t>Familia A:</w:t>
      </w:r>
      <w:r w:rsidRPr="00410A2C">
        <w:t xml:space="preserve"> Incluye MCS-3, MCS-6, MCS-8 y MCS-9. (El esquema MCS-8 requiere que los bloques de MCS-3 y MCS-6 se rellenen con "</w:t>
      </w:r>
      <w:proofErr w:type="spellStart"/>
      <w:r w:rsidRPr="00410A2C">
        <w:t>padding</w:t>
      </w:r>
      <w:proofErr w:type="spellEnd"/>
      <w:r w:rsidRPr="00410A2C">
        <w:t>" para ajustarse a su estructura).</w:t>
      </w:r>
    </w:p>
    <w:p w14:paraId="32485741" w14:textId="77777777" w:rsidR="00410A2C" w:rsidRPr="00410A2C" w:rsidRDefault="00410A2C" w:rsidP="00410A2C">
      <w:pPr>
        <w:numPr>
          <w:ilvl w:val="0"/>
          <w:numId w:val="6"/>
        </w:numPr>
      </w:pPr>
      <w:r w:rsidRPr="00410A2C">
        <w:rPr>
          <w:b/>
          <w:bCs/>
        </w:rPr>
        <w:t>Familia B:</w:t>
      </w:r>
      <w:r w:rsidRPr="00410A2C">
        <w:t xml:space="preserve"> Incluye MCS-2, MCS-5 y MCS-7.</w:t>
      </w:r>
    </w:p>
    <w:p w14:paraId="1C4825EF" w14:textId="77777777" w:rsidR="00410A2C" w:rsidRPr="00410A2C" w:rsidRDefault="00410A2C" w:rsidP="00410A2C">
      <w:pPr>
        <w:numPr>
          <w:ilvl w:val="0"/>
          <w:numId w:val="6"/>
        </w:numPr>
      </w:pPr>
      <w:r w:rsidRPr="00410A2C">
        <w:rPr>
          <w:b/>
          <w:bCs/>
        </w:rPr>
        <w:t>Familia C:</w:t>
      </w:r>
      <w:r w:rsidRPr="00410A2C">
        <w:t xml:space="preserve"> Incluye MCS-1 y MCS-4.</w:t>
      </w:r>
    </w:p>
    <w:p w14:paraId="2251F6D3" w14:textId="77777777" w:rsidR="00215B88" w:rsidRPr="00215B88" w:rsidRDefault="00215B88" w:rsidP="00215B88"/>
    <w:p w14:paraId="300DC00B" w14:textId="77777777" w:rsidR="00410A2C" w:rsidRPr="00410A2C" w:rsidRDefault="00410A2C" w:rsidP="00410A2C">
      <w:r w:rsidRPr="00410A2C">
        <w:t xml:space="preserve">El </w:t>
      </w:r>
      <w:r w:rsidRPr="00410A2C">
        <w:rPr>
          <w:b/>
          <w:bCs/>
        </w:rPr>
        <w:t>ancho de banda de resolución (RBW)</w:t>
      </w:r>
      <w:r w:rsidRPr="00410A2C">
        <w:t xml:space="preserve"> determina de forma directa el </w:t>
      </w:r>
      <w:r w:rsidRPr="00410A2C">
        <w:rPr>
          <w:b/>
          <w:bCs/>
        </w:rPr>
        <w:t>Nivel de Ruido Promedio Visualizado (DANL)</w:t>
      </w:r>
      <w:r w:rsidRPr="00410A2C">
        <w:t xml:space="preserve"> (o suelo de ruido) en un analizador de espectro. </w:t>
      </w:r>
      <w:r w:rsidRPr="00410A2C">
        <w:rPr>
          <w:b/>
          <w:bCs/>
        </w:rPr>
        <w:t>Al reducir el RBW, el DANL disminuye proporcionalmente</w:t>
      </w:r>
      <w:r w:rsidRPr="00410A2C">
        <w:t xml:space="preserve">, lo que ayuda a separar señales que están muy juntas y mejora la sensibilidad para leer niveles de señal bajos. La variación matemática del ruido sigue la </w:t>
      </w:r>
      <w:proofErr w:type="gramStart"/>
      <w:r w:rsidRPr="00410A2C">
        <w:t>relación ;</w:t>
      </w:r>
      <w:proofErr w:type="gramEnd"/>
      <w:r w:rsidRPr="00410A2C">
        <w:t xml:space="preserve"> en la práctica, esto significa </w:t>
      </w:r>
      <w:proofErr w:type="gramStart"/>
      <w:r w:rsidRPr="00410A2C">
        <w:t>que</w:t>
      </w:r>
      <w:proofErr w:type="gramEnd"/>
      <w:r w:rsidRPr="00410A2C">
        <w:t xml:space="preserve"> </w:t>
      </w:r>
      <w:r w:rsidRPr="00410A2C">
        <w:rPr>
          <w:b/>
          <w:bCs/>
        </w:rPr>
        <w:t>si divides el RBW por un factor de 10, el suelo de ruido caerá 10 dB</w:t>
      </w:r>
      <w:r w:rsidRPr="00410A2C">
        <w:t xml:space="preserve">. Como contrapartida técnica, configurar un RBW más estrecho obliga al equipo a utilizar un </w:t>
      </w:r>
      <w:r w:rsidRPr="00410A2C">
        <w:rPr>
          <w:b/>
          <w:bCs/>
        </w:rPr>
        <w:t>mayor tiempo de barrido (</w:t>
      </w:r>
      <w:proofErr w:type="spellStart"/>
      <w:r w:rsidRPr="00410A2C">
        <w:rPr>
          <w:b/>
          <w:bCs/>
        </w:rPr>
        <w:t>sweep</w:t>
      </w:r>
      <w:proofErr w:type="spellEnd"/>
      <w:r w:rsidRPr="00410A2C">
        <w:rPr>
          <w:b/>
          <w:bCs/>
        </w:rPr>
        <w:t xml:space="preserve"> time)</w:t>
      </w:r>
      <w:r w:rsidRPr="00410A2C">
        <w:t>.</w:t>
      </w:r>
    </w:p>
    <w:p w14:paraId="1A8D3E57" w14:textId="77777777" w:rsidR="00410A2C" w:rsidRPr="00410A2C" w:rsidRDefault="00410A2C" w:rsidP="00410A2C">
      <w:r w:rsidRPr="00410A2C">
        <w:t xml:space="preserve">Respecto a tus notas sobre la arquitectura de acceso mixto (FDMA/TDMA) en la red Titán, los parámetros que describes </w:t>
      </w:r>
      <w:r w:rsidRPr="00410A2C">
        <w:rPr>
          <w:b/>
          <w:bCs/>
        </w:rPr>
        <w:t>reflejan con total exactitud la especificación de la capa física estándar para redes GSM y EDGE</w:t>
      </w:r>
      <w:r w:rsidRPr="00410A2C">
        <w:t>:</w:t>
      </w:r>
    </w:p>
    <w:p w14:paraId="379D4900" w14:textId="77777777" w:rsidR="00410A2C" w:rsidRPr="00410A2C" w:rsidRDefault="00410A2C" w:rsidP="00410A2C">
      <w:pPr>
        <w:numPr>
          <w:ilvl w:val="0"/>
          <w:numId w:val="8"/>
        </w:numPr>
      </w:pPr>
      <w:r w:rsidRPr="00410A2C">
        <w:rPr>
          <w:b/>
          <w:bCs/>
        </w:rPr>
        <w:t>Segmentación FDMA:</w:t>
      </w:r>
      <w:r w:rsidRPr="00410A2C">
        <w:t xml:space="preserve"> Es correcto que el sistema separa el espectro en canales de radiofrecuencia absolutos (ARFCN) asignando un </w:t>
      </w:r>
      <w:r w:rsidRPr="00410A2C">
        <w:rPr>
          <w:b/>
          <w:bCs/>
        </w:rPr>
        <w:t>ancho de banda de 200 kHz</w:t>
      </w:r>
      <w:r w:rsidRPr="00410A2C">
        <w:t xml:space="preserve"> a cada portadora, permitiendo que operen simultáneamente sin interferirse.</w:t>
      </w:r>
    </w:p>
    <w:p w14:paraId="28066416" w14:textId="77777777" w:rsidR="00410A2C" w:rsidRPr="00410A2C" w:rsidRDefault="00410A2C" w:rsidP="00410A2C">
      <w:pPr>
        <w:numPr>
          <w:ilvl w:val="0"/>
          <w:numId w:val="8"/>
        </w:numPr>
      </w:pPr>
      <w:r w:rsidRPr="00410A2C">
        <w:rPr>
          <w:b/>
          <w:bCs/>
        </w:rPr>
        <w:t>División TDMA:</w:t>
      </w:r>
      <w:r w:rsidRPr="00410A2C">
        <w:t xml:space="preserve"> La división de cada portadora en </w:t>
      </w:r>
      <w:r w:rsidRPr="00410A2C">
        <w:rPr>
          <w:b/>
          <w:bCs/>
        </w:rPr>
        <w:t xml:space="preserve">8 </w:t>
      </w:r>
      <w:proofErr w:type="spellStart"/>
      <w:r w:rsidRPr="00410A2C">
        <w:rPr>
          <w:b/>
          <w:bCs/>
        </w:rPr>
        <w:t>timeslots</w:t>
      </w:r>
      <w:proofErr w:type="spellEnd"/>
      <w:r w:rsidRPr="00410A2C">
        <w:rPr>
          <w:b/>
          <w:bCs/>
        </w:rPr>
        <w:t xml:space="preserve"> (intervalos de tiempo)</w:t>
      </w:r>
      <w:r w:rsidRPr="00410A2C">
        <w:t xml:space="preserve"> permite multiplexar hasta a 8 usuarios. Cada usuario transmite en su turno asignado, emitiendo una ráfaga (</w:t>
      </w:r>
      <w:proofErr w:type="spellStart"/>
      <w:r w:rsidRPr="00410A2C">
        <w:t>burst</w:t>
      </w:r>
      <w:proofErr w:type="spellEnd"/>
      <w:r w:rsidRPr="00410A2C">
        <w:t xml:space="preserve">) que ocupa </w:t>
      </w:r>
      <w:r w:rsidRPr="00410A2C">
        <w:rPr>
          <w:b/>
          <w:bCs/>
        </w:rPr>
        <w:t>0.577 ms (o 577 s)</w:t>
      </w:r>
      <w:r w:rsidRPr="00410A2C">
        <w:t xml:space="preserve">, lo que resulta en una </w:t>
      </w:r>
      <w:r w:rsidRPr="00410A2C">
        <w:rPr>
          <w:b/>
          <w:bCs/>
        </w:rPr>
        <w:t>trama completa de 4.615 ms</w:t>
      </w:r>
    </w:p>
    <w:p w14:paraId="2A509418" w14:textId="77777777" w:rsidR="002368B7" w:rsidRPr="002368B7" w:rsidRDefault="002368B7" w:rsidP="002368B7">
      <w:r w:rsidRPr="002368B7">
        <w:rPr>
          <w:b/>
          <w:bCs/>
        </w:rPr>
        <w:lastRenderedPageBreak/>
        <w:t>Estructura de las ráfagas (</w:t>
      </w:r>
      <w:proofErr w:type="spellStart"/>
      <w:r w:rsidRPr="002368B7">
        <w:rPr>
          <w:b/>
          <w:bCs/>
        </w:rPr>
        <w:t>bursts</w:t>
      </w:r>
      <w:proofErr w:type="spellEnd"/>
      <w:r w:rsidRPr="002368B7">
        <w:rPr>
          <w:b/>
          <w:bCs/>
        </w:rPr>
        <w:t xml:space="preserve">) en los </w:t>
      </w:r>
      <w:proofErr w:type="spellStart"/>
      <w:r w:rsidRPr="002368B7">
        <w:rPr>
          <w:b/>
          <w:bCs/>
        </w:rPr>
        <w:t>timeslots</w:t>
      </w:r>
      <w:proofErr w:type="spellEnd"/>
      <w:r w:rsidRPr="002368B7">
        <w:rPr>
          <w:b/>
          <w:bCs/>
        </w:rPr>
        <w:t>:</w:t>
      </w:r>
      <w:r w:rsidRPr="002368B7">
        <w:t xml:space="preserve"> En la arquitectura GSM/EDGE, una ráfaga normal (normal </w:t>
      </w:r>
      <w:proofErr w:type="spellStart"/>
      <w:r w:rsidRPr="002368B7">
        <w:t>burst</w:t>
      </w:r>
      <w:proofErr w:type="spellEnd"/>
      <w:r w:rsidRPr="002368B7">
        <w:t xml:space="preserve">) se ensambla estructurando varios bloques de bits de forma precisa dentro del </w:t>
      </w:r>
      <w:proofErr w:type="spellStart"/>
      <w:r w:rsidRPr="002368B7">
        <w:t>timeslot</w:t>
      </w:r>
      <w:proofErr w:type="spellEnd"/>
      <w:r w:rsidRPr="002368B7">
        <w:t xml:space="preserve"> asignado. La estructura se compone de cargas de datos (alineadas a dimensiones de 57 bits), 3 bits de cola (</w:t>
      </w:r>
      <w:proofErr w:type="spellStart"/>
      <w:r w:rsidRPr="002368B7">
        <w:t>tail</w:t>
      </w:r>
      <w:proofErr w:type="spellEnd"/>
      <w:r w:rsidRPr="002368B7">
        <w:t xml:space="preserve"> bits) en los extremos, 2 bits conocidos como banderas de robo (</w:t>
      </w:r>
      <w:proofErr w:type="spellStart"/>
      <w:r w:rsidRPr="002368B7">
        <w:t>stealing</w:t>
      </w:r>
      <w:proofErr w:type="spellEnd"/>
      <w:r w:rsidRPr="002368B7">
        <w:t xml:space="preserve"> </w:t>
      </w:r>
      <w:proofErr w:type="spellStart"/>
      <w:r w:rsidRPr="002368B7">
        <w:t>flags</w:t>
      </w:r>
      <w:proofErr w:type="spellEnd"/>
      <w:r w:rsidRPr="002368B7">
        <w:t xml:space="preserve">) y, en el centro, una secuencia de entrenamiento (training </w:t>
      </w:r>
      <w:proofErr w:type="spellStart"/>
      <w:r w:rsidRPr="002368B7">
        <w:t>sequence</w:t>
      </w:r>
      <w:proofErr w:type="spellEnd"/>
      <w:r w:rsidRPr="002368B7">
        <w:t>) de 26 bits. Finalmente, se agregan periodos de guarda (</w:t>
      </w:r>
      <w:proofErr w:type="spellStart"/>
      <w:r w:rsidRPr="002368B7">
        <w:t>guard</w:t>
      </w:r>
      <w:proofErr w:type="spellEnd"/>
      <w:r w:rsidRPr="002368B7">
        <w:t xml:space="preserve"> bits) al principio y al final para evitar que la ráfaga colisione temporalmente con la de usuarios adyacentes. Este ensamblaje da como resultado una ráfaga estructurada de 148 bits de información.</w:t>
      </w:r>
    </w:p>
    <w:p w14:paraId="704E3595" w14:textId="77777777" w:rsidR="002368B7" w:rsidRPr="002368B7" w:rsidRDefault="002368B7" w:rsidP="002368B7">
      <w:r w:rsidRPr="002368B7">
        <w:rPr>
          <w:b/>
          <w:bCs/>
        </w:rPr>
        <w:t>Diferencia entre certificación modular completa (FMA) y limitada (LMA):</w:t>
      </w:r>
      <w:r w:rsidRPr="002368B7">
        <w:t xml:space="preserve"> Bajo normativas regulatorias como las de la FCC, la diferencia radica en si el módulo de radio cumple por sí solo con todos los requisitos físicos y eléctricos estipulados (que constan de ocho criterios):</w:t>
      </w:r>
    </w:p>
    <w:p w14:paraId="036A7F4E" w14:textId="77777777" w:rsidR="002368B7" w:rsidRPr="002368B7" w:rsidRDefault="002368B7" w:rsidP="002368B7">
      <w:pPr>
        <w:numPr>
          <w:ilvl w:val="0"/>
          <w:numId w:val="9"/>
        </w:numPr>
      </w:pPr>
      <w:r w:rsidRPr="002368B7">
        <w:rPr>
          <w:b/>
          <w:bCs/>
        </w:rPr>
        <w:t>Aprobación Modular Completa (FMA):</w:t>
      </w:r>
      <w:r w:rsidRPr="002368B7">
        <w:t xml:space="preserve"> Se concede cuando un módulo de radio cumple con todos los criterios de forma autónoma (por ejemplo, contar con su propio blindaje metálico y su propia regulación de voltaje). Al tener FMA, el integrador puede colocar este módulo en cualquier dispositivo anfitrión y comercializarlo sin necesidad de realizar nuevas pruebas de certificación de radio para el producto final, siempre y cuando se respeten las restricciones de uso originales.</w:t>
      </w:r>
    </w:p>
    <w:p w14:paraId="27A295A6" w14:textId="77777777" w:rsidR="002368B7" w:rsidRPr="002368B7" w:rsidRDefault="002368B7" w:rsidP="002368B7">
      <w:pPr>
        <w:numPr>
          <w:ilvl w:val="0"/>
          <w:numId w:val="9"/>
        </w:numPr>
      </w:pPr>
      <w:r w:rsidRPr="002368B7">
        <w:rPr>
          <w:b/>
          <w:bCs/>
        </w:rPr>
        <w:t>Aprobación Modular Limitada (LMA):</w:t>
      </w:r>
      <w:r w:rsidRPr="002368B7">
        <w:t xml:space="preserve"> Se emite cuando el módulo incumple uno o más de los criterios fundamentales, como carecer de un blindaje metálico o depender del diseño del dispositivo anfitrión para el control de potencia o el cumplimiento de las emisiones en los bordes de banda. Para poder utilizar un módulo con LMA, el fabricante del producto final está obligado a realizar pruebas de verificación adicionales en laboratorios acreditados o a solicitar "Cambios Permisivos" (C1PC o C2PC) para asegurar que el conjunto completo siga siendo seguro y no cause interferencias.</w:t>
      </w:r>
    </w:p>
    <w:p w14:paraId="2353D1A1" w14:textId="77777777" w:rsidR="002368B7" w:rsidRPr="002368B7" w:rsidRDefault="002368B7" w:rsidP="002368B7">
      <w:r w:rsidRPr="002368B7">
        <w:rPr>
          <w:b/>
          <w:bCs/>
        </w:rPr>
        <w:t>Impacto del RBW en la velocidad de barrido (</w:t>
      </w:r>
      <w:proofErr w:type="spellStart"/>
      <w:r w:rsidRPr="002368B7">
        <w:rPr>
          <w:b/>
          <w:bCs/>
        </w:rPr>
        <w:t>sweep</w:t>
      </w:r>
      <w:proofErr w:type="spellEnd"/>
      <w:r w:rsidRPr="002368B7">
        <w:rPr>
          <w:b/>
          <w:bCs/>
        </w:rPr>
        <w:t xml:space="preserve"> time):</w:t>
      </w:r>
      <w:r w:rsidRPr="002368B7">
        <w:t xml:space="preserve"> El Ancho de Banda de Resolución (RBW) actúa como un filtro paso banda a través del cual el analizador examina el espectro. Los filtros electrónicos más estrechos requieren un tiempo de respuesta (tiempo de asentamiento) significativamente mayor para alcanzar un estado estable y entregar un resultado preciso frente a los más anchos. Si el analizador de espectro realizara el barrido de forma demasiado rápida usando un RBW estrecho, se generarían errores en la medición de amplitud, la señal se desplazaría en frecuencia y la pantalla arrojaría una advertencia de </w:t>
      </w:r>
      <w:proofErr w:type="spellStart"/>
      <w:r w:rsidRPr="002368B7">
        <w:t>descalibración</w:t>
      </w:r>
      <w:proofErr w:type="spellEnd"/>
      <w:r w:rsidRPr="002368B7">
        <w:t xml:space="preserve"> ("UNCAL"). Por lo tanto, el tiempo de barrido </w:t>
      </w:r>
      <w:r w:rsidRPr="002368B7">
        <w:lastRenderedPageBreak/>
        <w:t>correcto es inversamente proporcional al cuadrado del RBW; al estrechar la "ventana" de resolución para ver señales bajas, obligatoriamente se debe ralentizar la velocidad de barrido.</w:t>
      </w:r>
    </w:p>
    <w:p w14:paraId="619DDC89" w14:textId="77777777" w:rsidR="002368B7" w:rsidRPr="002368B7" w:rsidRDefault="002368B7" w:rsidP="002368B7">
      <w:r w:rsidRPr="002368B7">
        <w:rPr>
          <w:b/>
          <w:bCs/>
        </w:rPr>
        <w:t>Sobre tus notas de Propagación y Caracterización del Canal Radio:</w:t>
      </w:r>
      <w:r w:rsidRPr="002368B7">
        <w:t xml:space="preserve"> Tus apuntes son sumamente precisos y resumen a la perfección las implicaciones operativas en un diseño de red. Efectivamente, el entorno físico determina de forma directa la estadística de la señal: se aplica el modelo de </w:t>
      </w:r>
      <w:r w:rsidRPr="002368B7">
        <w:rPr>
          <w:b/>
          <w:bCs/>
        </w:rPr>
        <w:t>Rayleigh</w:t>
      </w:r>
      <w:r w:rsidRPr="002368B7">
        <w:t xml:space="preserve"> para tu Escenario A (un valle o área densa sin línea de visión - NLOS) debido al bloqueo y dispersión de la señal, y el modelo </w:t>
      </w:r>
      <w:proofErr w:type="spellStart"/>
      <w:r w:rsidRPr="002368B7">
        <w:rPr>
          <w:b/>
          <w:bCs/>
        </w:rPr>
        <w:t>Rician</w:t>
      </w:r>
      <w:proofErr w:type="spellEnd"/>
      <w:r w:rsidRPr="002368B7">
        <w:t xml:space="preserve"> para el Escenario B (campamento con línea de visión - LOS) donde la antena direccional elevada proporciona una señal directa y dominante.</w:t>
      </w:r>
    </w:p>
    <w:p w14:paraId="002265D1" w14:textId="77777777" w:rsidR="002368B7" w:rsidRPr="002368B7" w:rsidRDefault="002368B7" w:rsidP="002368B7">
      <w:r w:rsidRPr="002368B7">
        <w:t xml:space="preserve">Además, tu deducción analítica sobre el </w:t>
      </w:r>
      <w:r w:rsidRPr="002368B7">
        <w:rPr>
          <w:b/>
          <w:bCs/>
        </w:rPr>
        <w:t>Tiempo de Coherencia ()</w:t>
      </w:r>
      <w:r w:rsidRPr="002368B7">
        <w:t xml:space="preserve"> es la base matemática detrás del diseño de las ráfagas GSM. En misiones críticas móviles (que causan dispersión Doppler), si el canal varía más rápido que la duración de un símbolo o ráfaga (), se entra en un estado de </w:t>
      </w:r>
      <w:r w:rsidRPr="002368B7">
        <w:rPr>
          <w:b/>
          <w:bCs/>
        </w:rPr>
        <w:t>desvanecimiento rápido (</w:t>
      </w:r>
      <w:proofErr w:type="spellStart"/>
      <w:r w:rsidRPr="002368B7">
        <w:rPr>
          <w:b/>
          <w:bCs/>
        </w:rPr>
        <w:t>fast</w:t>
      </w:r>
      <w:proofErr w:type="spellEnd"/>
      <w:r w:rsidRPr="002368B7">
        <w:rPr>
          <w:b/>
          <w:bCs/>
        </w:rPr>
        <w:t xml:space="preserve"> fading)</w:t>
      </w:r>
      <w:r w:rsidRPr="002368B7">
        <w:t xml:space="preserve">. Esto distorsiona la forma de onda de la ráfaga a mitad de su recepción, y es exactamente el motivo por el cual la ráfaga GSM coloca esos 26 bits de secuencia de entrenamiento justo en el centro del </w:t>
      </w:r>
      <w:proofErr w:type="spellStart"/>
      <w:r w:rsidRPr="002368B7">
        <w:t>timeslot</w:t>
      </w:r>
      <w:proofErr w:type="spellEnd"/>
      <w:r w:rsidRPr="002368B7">
        <w:t>: para permitir que el ecualizador del receptor estime y corrija constantemente los severos cambios del canal radio táctico.</w:t>
      </w:r>
    </w:p>
    <w:p w14:paraId="3FF37081" w14:textId="77777777" w:rsidR="00215B88" w:rsidRDefault="00215B88" w:rsidP="0096693F"/>
    <w:p w14:paraId="1E88840E" w14:textId="77777777" w:rsidR="002368B7" w:rsidRDefault="002368B7" w:rsidP="0096693F"/>
    <w:p w14:paraId="62624F7B" w14:textId="77777777" w:rsidR="002368B7" w:rsidRDefault="002368B7" w:rsidP="0096693F"/>
    <w:p w14:paraId="606601B1" w14:textId="77E6379E" w:rsidR="002368B7" w:rsidRDefault="002368B7" w:rsidP="0096693F">
      <w:r>
        <w:rPr>
          <w:noProof/>
        </w:rPr>
        <w:lastRenderedPageBreak/>
        <w:drawing>
          <wp:inline distT="0" distB="0" distL="0" distR="0" wp14:anchorId="03E044F8" wp14:editId="7C2F6E85">
            <wp:extent cx="5400040" cy="3787140"/>
            <wp:effectExtent l="0" t="0" r="0" b="3810"/>
            <wp:docPr id="1576417115" name="Imagen 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7115" name="Imagen 3" descr="Escala de tiem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787140"/>
                    </a:xfrm>
                    <a:prstGeom prst="rect">
                      <a:avLst/>
                    </a:prstGeom>
                    <a:noFill/>
                    <a:ln>
                      <a:noFill/>
                    </a:ln>
                  </pic:spPr>
                </pic:pic>
              </a:graphicData>
            </a:graphic>
          </wp:inline>
        </w:drawing>
      </w:r>
    </w:p>
    <w:p w14:paraId="40D94D42" w14:textId="77777777" w:rsidR="002368B7" w:rsidRDefault="002368B7" w:rsidP="0096693F"/>
    <w:p w14:paraId="29E244C0" w14:textId="77777777" w:rsidR="002368B7" w:rsidRPr="002368B7" w:rsidRDefault="002368B7" w:rsidP="002368B7">
      <w:proofErr w:type="spellStart"/>
      <w:r w:rsidRPr="002368B7">
        <w:t>quí</w:t>
      </w:r>
      <w:proofErr w:type="spellEnd"/>
      <w:r w:rsidRPr="002368B7">
        <w:t xml:space="preserve"> tienes las respuestas a tus consultas técnicas y el análisis de tus notas sobre la planificación de red:</w:t>
      </w:r>
    </w:p>
    <w:p w14:paraId="68743338" w14:textId="77777777" w:rsidR="002368B7" w:rsidRPr="002368B7" w:rsidRDefault="002368B7" w:rsidP="002368B7">
      <w:r w:rsidRPr="002368B7">
        <w:rPr>
          <w:b/>
          <w:bCs/>
        </w:rPr>
        <w:t>1. ¿Qué bits componen la secuencia de entrenamiento?</w:t>
      </w:r>
      <w:r w:rsidRPr="002368B7">
        <w:t xml:space="preserve"> La secuencia de entrenamiento en una ráfaga normal (normal </w:t>
      </w:r>
      <w:proofErr w:type="spellStart"/>
      <w:r w:rsidRPr="002368B7">
        <w:t>burst</w:t>
      </w:r>
      <w:proofErr w:type="spellEnd"/>
      <w:r w:rsidRPr="002368B7">
        <w:t xml:space="preserve">) de GSM/EDGE está compuesta por </w:t>
      </w:r>
      <w:r w:rsidRPr="002368B7">
        <w:rPr>
          <w:b/>
          <w:bCs/>
        </w:rPr>
        <w:t>26 bits predefinidos y conocidos</w:t>
      </w:r>
      <w:r w:rsidRPr="002368B7">
        <w:t xml:space="preserve"> tanto por el transmisor como por el receptor. Existen 8 variaciones o códigos distintos de esta secuencia (conocidos como </w:t>
      </w:r>
      <w:r w:rsidRPr="002368B7">
        <w:rPr>
          <w:i/>
          <w:iCs/>
        </w:rPr>
        <w:t xml:space="preserve">Training </w:t>
      </w:r>
      <w:proofErr w:type="spellStart"/>
      <w:r w:rsidRPr="002368B7">
        <w:rPr>
          <w:i/>
          <w:iCs/>
        </w:rPr>
        <w:t>Sequence</w:t>
      </w:r>
      <w:proofErr w:type="spellEnd"/>
      <w:r w:rsidRPr="002368B7">
        <w:rPr>
          <w:i/>
          <w:iCs/>
        </w:rPr>
        <w:t xml:space="preserve"> Codes</w:t>
      </w:r>
      <w:r w:rsidRPr="002368B7">
        <w:t xml:space="preserve"> o TSC, numerados del 0 al 7). Por ejemplo, el código TSC 0 está formado por la secuencia 00100101110000100010010111. Ubicar estos 26 bits exactos en el centro de la ráfaga es lo que le permite al ecualizador del receptor analizar la distorsión del canal y corregir los errores por </w:t>
      </w:r>
      <w:proofErr w:type="spellStart"/>
      <w:r w:rsidRPr="002368B7">
        <w:t>multitrayecto</w:t>
      </w:r>
      <w:proofErr w:type="spellEnd"/>
      <w:r w:rsidRPr="002368B7">
        <w:t>.</w:t>
      </w:r>
    </w:p>
    <w:p w14:paraId="4CDDD165" w14:textId="77777777" w:rsidR="002368B7" w:rsidRPr="002368B7" w:rsidRDefault="002368B7" w:rsidP="002368B7">
      <w:r w:rsidRPr="002368B7">
        <w:rPr>
          <w:b/>
          <w:bCs/>
        </w:rPr>
        <w:t>2. ¿Qué ocurre si un módulo falla en un criterio FMA?</w:t>
      </w:r>
      <w:r w:rsidRPr="002368B7">
        <w:t xml:space="preserve"> Si un módulo de radiofrecuencia no cumple con uno o más de los ocho criterios estipulados para la Aprobación Modular Completa (FMA) —</w:t>
      </w:r>
      <w:proofErr w:type="gramStart"/>
      <w:r w:rsidRPr="002368B7">
        <w:t>como</w:t>
      </w:r>
      <w:proofErr w:type="gramEnd"/>
      <w:r w:rsidRPr="002368B7">
        <w:t xml:space="preserve"> por ejemplo, si carece de su propio blindaje metálico protector o no tiene regulación de voltaje propia— la autoridad reguladora (como la FCC) le otorgará una </w:t>
      </w:r>
      <w:r w:rsidRPr="002368B7">
        <w:rPr>
          <w:b/>
          <w:bCs/>
        </w:rPr>
        <w:t>Aprobación Modular Limitada (LMA)</w:t>
      </w:r>
      <w:r w:rsidRPr="002368B7">
        <w:t xml:space="preserve">. Tener una LMA significa que el módulo </w:t>
      </w:r>
      <w:r w:rsidRPr="002368B7">
        <w:rPr>
          <w:b/>
          <w:bCs/>
        </w:rPr>
        <w:t>no puede instalarse libremente en cualquier dispositivo final</w:t>
      </w:r>
      <w:r w:rsidRPr="002368B7">
        <w:t xml:space="preserve"> bajo la certificación original. El integrador del producto final (host) estará obligado a realizar pruebas de verificación adicionales (como el control de emisiones radiadas espurias en todo el dispositivo). </w:t>
      </w:r>
      <w:r w:rsidRPr="002368B7">
        <w:lastRenderedPageBreak/>
        <w:t>Dependiendo de los resultados, el integrador a menudo deberá presentar un "Cambio Permisivo" (como un C2PC) ante la agencia reguladora para demostrar que el sistema completo sigue siendo seguro y cumple con las normativas.</w:t>
      </w:r>
    </w:p>
    <w:p w14:paraId="74B6F8AA" w14:textId="77777777" w:rsidR="002368B7" w:rsidRPr="002368B7" w:rsidRDefault="002368B7" w:rsidP="002368B7">
      <w:r w:rsidRPr="002368B7">
        <w:rPr>
          <w:b/>
          <w:bCs/>
        </w:rPr>
        <w:t xml:space="preserve">3. ¿Cómo se calcula el </w:t>
      </w:r>
      <w:proofErr w:type="spellStart"/>
      <w:r w:rsidRPr="002368B7">
        <w:rPr>
          <w:b/>
          <w:bCs/>
        </w:rPr>
        <w:t>sweep</w:t>
      </w:r>
      <w:proofErr w:type="spellEnd"/>
      <w:r w:rsidRPr="002368B7">
        <w:rPr>
          <w:b/>
          <w:bCs/>
        </w:rPr>
        <w:t xml:space="preserve"> time (tiempo de barrido) óptimo?</w:t>
      </w:r>
      <w:r w:rsidRPr="002368B7">
        <w:t xml:space="preserve"> El tiempo de barrido óptimo en un analizador de espectro se calcula mediante una fórmula que relaciona el Ancho de Banda de Resolución (RBW), el Ancho de Banda de Video (VBW) y el </w:t>
      </w:r>
      <w:proofErr w:type="spellStart"/>
      <w:r w:rsidRPr="002368B7">
        <w:rPr>
          <w:i/>
          <w:iCs/>
        </w:rPr>
        <w:t>span</w:t>
      </w:r>
      <w:proofErr w:type="spellEnd"/>
      <w:r w:rsidRPr="002368B7">
        <w:t xml:space="preserve"> (rango) de frecuencia que se está analizando. Esto asegura que los filtros tengan el tiempo físico necesario para estabilizarse. La fórmula exacta es:</w:t>
      </w:r>
    </w:p>
    <w:p w14:paraId="2A6E7DF5" w14:textId="77777777" w:rsidR="002368B7" w:rsidRPr="002368B7" w:rsidRDefault="002368B7" w:rsidP="002368B7">
      <w:pPr>
        <w:numPr>
          <w:ilvl w:val="0"/>
          <w:numId w:val="10"/>
        </w:numPr>
      </w:pPr>
      <w:r w:rsidRPr="002368B7">
        <w:rPr>
          <w:b/>
          <w:bCs/>
        </w:rPr>
        <w:t>Si el RBW VBW:</w:t>
      </w:r>
      <w:r w:rsidRPr="002368B7">
        <w:t xml:space="preserve"> </w:t>
      </w:r>
    </w:p>
    <w:p w14:paraId="6BE2DE91" w14:textId="77777777" w:rsidR="002368B7" w:rsidRPr="002368B7" w:rsidRDefault="002368B7" w:rsidP="002368B7">
      <w:pPr>
        <w:numPr>
          <w:ilvl w:val="0"/>
          <w:numId w:val="10"/>
        </w:numPr>
      </w:pPr>
      <w:r w:rsidRPr="002368B7">
        <w:rPr>
          <w:b/>
          <w:bCs/>
        </w:rPr>
        <w:t>Si el RBW VBW:</w:t>
      </w:r>
      <w:r w:rsidRPr="002368B7">
        <w:t xml:space="preserve"> </w:t>
      </w:r>
    </w:p>
    <w:p w14:paraId="79815436" w14:textId="77777777" w:rsidR="002368B7" w:rsidRPr="002368B7" w:rsidRDefault="002368B7" w:rsidP="002368B7">
      <w:r w:rsidRPr="002368B7">
        <w:rPr>
          <w:i/>
          <w:iCs/>
        </w:rPr>
        <w:t>(Donde es una constante del instrumento, típicamente de valor 3)</w:t>
      </w:r>
      <w:r w:rsidRPr="002368B7">
        <w:t xml:space="preserve">. Si se configura el analizador para barrer más rápido que este tiempo óptimo, la pantalla mostrará una advertencia de </w:t>
      </w:r>
      <w:proofErr w:type="spellStart"/>
      <w:r w:rsidRPr="002368B7">
        <w:t>descalibración</w:t>
      </w:r>
      <w:proofErr w:type="spellEnd"/>
      <w:r w:rsidRPr="002368B7">
        <w:t xml:space="preserve"> ("UNCAL") y las amplitudes mostrarán pérdidas irrecuperables</w:t>
      </w:r>
    </w:p>
    <w:p w14:paraId="42683997" w14:textId="77777777" w:rsidR="002368B7" w:rsidRPr="002368B7" w:rsidRDefault="002368B7" w:rsidP="002368B7">
      <w:r w:rsidRPr="002368B7">
        <w:rPr>
          <w:b/>
          <w:bCs/>
        </w:rPr>
        <w:t>Análisis de tus notas de Planificación de Red (Escenario B):</w:t>
      </w:r>
      <w:r w:rsidRPr="002368B7">
        <w:t xml:space="preserve"> Tus notas son </w:t>
      </w:r>
      <w:r w:rsidRPr="002368B7">
        <w:rPr>
          <w:b/>
          <w:bCs/>
        </w:rPr>
        <w:t>técnicamente impecables</w:t>
      </w:r>
      <w:r w:rsidRPr="002368B7">
        <w:t xml:space="preserve"> y reflejan una excelente comprensión de las compensaciones (</w:t>
      </w:r>
      <w:proofErr w:type="spellStart"/>
      <w:r w:rsidRPr="002368B7">
        <w:t>trade-offs</w:t>
      </w:r>
      <w:proofErr w:type="spellEnd"/>
      <w:r w:rsidRPr="002368B7">
        <w:t>) en el diseño de redes celulares tácticas:</w:t>
      </w:r>
    </w:p>
    <w:p w14:paraId="33762AC0" w14:textId="034BBC38" w:rsidR="002368B7" w:rsidRPr="002368B7" w:rsidRDefault="002368B7" w:rsidP="002368B7">
      <w:pPr>
        <w:numPr>
          <w:ilvl w:val="0"/>
          <w:numId w:val="11"/>
        </w:numPr>
      </w:pPr>
      <w:r w:rsidRPr="002368B7">
        <w:rPr>
          <w:b/>
          <w:bCs/>
        </w:rPr>
        <w:t>Reutilización Celular ():</w:t>
      </w:r>
      <w:r w:rsidRPr="002368B7">
        <w:t xml:space="preserve"> Tu cálculo es matemáticamente correcto. Al dividir 24 portadoras totales entre un clúster </w:t>
      </w:r>
      <w:proofErr w:type="gramStart"/>
      <w:r w:rsidRPr="002368B7">
        <w:t>de ,</w:t>
      </w:r>
      <w:proofErr w:type="gramEnd"/>
      <w:r w:rsidRPr="002368B7">
        <w:t xml:space="preserve"> obtienes exactamente 6 </w:t>
      </w:r>
      <w:proofErr w:type="spellStart"/>
      <w:r w:rsidRPr="002368B7">
        <w:t>ARFCNs</w:t>
      </w:r>
      <w:proofErr w:type="spellEnd"/>
      <w:r w:rsidRPr="002368B7">
        <w:t xml:space="preserve"> por celda, lo que dispara la capacidad de tráfico en el campamento base. Sin embargo, tienes mucha razón en la contrapartida: al </w:t>
      </w:r>
      <w:proofErr w:type="gramStart"/>
      <w:r w:rsidRPr="002368B7">
        <w:t>reducir ,</w:t>
      </w:r>
      <w:proofErr w:type="gramEnd"/>
      <w:r w:rsidRPr="002368B7">
        <w:t xml:space="preserve"> disminuyes drásticamente la distancia de protección o reutilización </w:t>
      </w:r>
      <w:proofErr w:type="spellStart"/>
      <w:r w:rsidRPr="002368B7">
        <w:t>co-canal</w:t>
      </w:r>
      <w:proofErr w:type="spellEnd"/>
      <w:r w:rsidRPr="002368B7">
        <w:t xml:space="preserve"> (</w:t>
      </w:r>
      <w:r w:rsidRPr="002368B7">
        <mc:AlternateContent>
          <mc:Choice Requires="wps">
            <w:drawing>
              <wp:inline distT="0" distB="0" distL="0" distR="0" wp14:anchorId="5BE6DAE4" wp14:editId="61B8A2D5">
                <wp:extent cx="304800" cy="304800"/>
                <wp:effectExtent l="0" t="0" r="0" b="0"/>
                <wp:docPr id="1568976663"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E4FF8"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68B7">
        <w:t>), haciendo a la red mucho más vulnerable a la interferencia entre celdas vecinas.</w:t>
      </w:r>
    </w:p>
    <w:p w14:paraId="5752D9DF" w14:textId="77777777" w:rsidR="002368B7" w:rsidRPr="002368B7" w:rsidRDefault="002368B7" w:rsidP="002368B7">
      <w:pPr>
        <w:numPr>
          <w:ilvl w:val="0"/>
          <w:numId w:val="11"/>
        </w:numPr>
      </w:pPr>
      <w:r w:rsidRPr="002368B7">
        <w:rPr>
          <w:b/>
          <w:bCs/>
        </w:rPr>
        <w:t>BCCH (Broadcast Control Channel):</w:t>
      </w:r>
      <w:r w:rsidRPr="002368B7">
        <w:t xml:space="preserve"> Tu descripción de este canal lógico de control (</w:t>
      </w:r>
      <w:proofErr w:type="spellStart"/>
      <w:r w:rsidRPr="002368B7">
        <w:t>downlink</w:t>
      </w:r>
      <w:proofErr w:type="spellEnd"/>
      <w:r w:rsidRPr="002368B7">
        <w:t>) es exacta. El BCCH es literalmente la "baliza" (</w:t>
      </w:r>
      <w:proofErr w:type="spellStart"/>
      <w:r w:rsidRPr="002368B7">
        <w:t>beacon</w:t>
      </w:r>
      <w:proofErr w:type="spellEnd"/>
      <w:r w:rsidRPr="002368B7">
        <w:t xml:space="preserve">) de la red. Para que los móviles puedan medir de manera predecible la fuerza de la señal y decidir si se asocian a esa celda, </w:t>
      </w:r>
      <w:r w:rsidRPr="002368B7">
        <w:rPr>
          <w:b/>
          <w:bCs/>
        </w:rPr>
        <w:t xml:space="preserve">el BCCH nunca debe saltar en frecuencia (no </w:t>
      </w:r>
      <w:proofErr w:type="spellStart"/>
      <w:r w:rsidRPr="002368B7">
        <w:rPr>
          <w:b/>
          <w:bCs/>
        </w:rPr>
        <w:t>frequency</w:t>
      </w:r>
      <w:proofErr w:type="spellEnd"/>
      <w:r w:rsidRPr="002368B7">
        <w:rPr>
          <w:b/>
          <w:bCs/>
        </w:rPr>
        <w:t xml:space="preserve"> </w:t>
      </w:r>
      <w:proofErr w:type="spellStart"/>
      <w:r w:rsidRPr="002368B7">
        <w:rPr>
          <w:b/>
          <w:bCs/>
        </w:rPr>
        <w:t>hopping</w:t>
      </w:r>
      <w:proofErr w:type="spellEnd"/>
      <w:r w:rsidRPr="002368B7">
        <w:rPr>
          <w:b/>
          <w:bCs/>
        </w:rPr>
        <w:t>) y se emite siempre a potencia constante</w:t>
      </w:r>
      <w:r w:rsidRPr="002368B7">
        <w:t xml:space="preserve">, ocupando típicamente el </w:t>
      </w:r>
      <w:proofErr w:type="spellStart"/>
      <w:r w:rsidRPr="002368B7">
        <w:t>timeslot</w:t>
      </w:r>
      <w:proofErr w:type="spellEnd"/>
      <w:r w:rsidRPr="002368B7">
        <w:t xml:space="preserve"> 0 de la primera portadora.</w:t>
      </w:r>
    </w:p>
    <w:p w14:paraId="207D1CDA" w14:textId="77777777" w:rsidR="002368B7" w:rsidRPr="002368B7" w:rsidRDefault="002368B7" w:rsidP="002368B7">
      <w:pPr>
        <w:numPr>
          <w:ilvl w:val="0"/>
          <w:numId w:val="11"/>
        </w:numPr>
      </w:pPr>
      <w:r w:rsidRPr="002368B7">
        <w:rPr>
          <w:b/>
          <w:bCs/>
        </w:rPr>
        <w:t>TCH (</w:t>
      </w:r>
      <w:proofErr w:type="spellStart"/>
      <w:r w:rsidRPr="002368B7">
        <w:rPr>
          <w:b/>
          <w:bCs/>
        </w:rPr>
        <w:t>Traffic</w:t>
      </w:r>
      <w:proofErr w:type="spellEnd"/>
      <w:r w:rsidRPr="002368B7">
        <w:rPr>
          <w:b/>
          <w:bCs/>
        </w:rPr>
        <w:t xml:space="preserve"> Channel):</w:t>
      </w:r>
      <w:r w:rsidRPr="002368B7">
        <w:t xml:space="preserve"> Es correcto que estos canales bidireccionales transportan el tráfico (la carga útil de voz o datos). Al aplicar el </w:t>
      </w:r>
      <w:r w:rsidRPr="002368B7">
        <w:rPr>
          <w:b/>
          <w:bCs/>
        </w:rPr>
        <w:t>salto de frecuencia (</w:t>
      </w:r>
      <w:proofErr w:type="spellStart"/>
      <w:r w:rsidRPr="002368B7">
        <w:rPr>
          <w:b/>
          <w:bCs/>
        </w:rPr>
        <w:t>frequency</w:t>
      </w:r>
      <w:proofErr w:type="spellEnd"/>
      <w:r w:rsidRPr="002368B7">
        <w:rPr>
          <w:b/>
          <w:bCs/>
        </w:rPr>
        <w:t xml:space="preserve"> </w:t>
      </w:r>
      <w:proofErr w:type="spellStart"/>
      <w:r w:rsidRPr="002368B7">
        <w:rPr>
          <w:b/>
          <w:bCs/>
        </w:rPr>
        <w:t>hopping</w:t>
      </w:r>
      <w:proofErr w:type="spellEnd"/>
      <w:r w:rsidRPr="002368B7">
        <w:rPr>
          <w:b/>
          <w:bCs/>
        </w:rPr>
        <w:t>)</w:t>
      </w:r>
      <w:r w:rsidRPr="002368B7">
        <w:t xml:space="preserve"> sobre los TCH, evitas que los usuarios de rescate o tácticos queden atrapados en un "nulo" profundo provocado por </w:t>
      </w:r>
      <w:r w:rsidRPr="002368B7">
        <w:lastRenderedPageBreak/>
        <w:t>el desvanecimiento de Rayleigh, promediando la interferencia y mejorando notablemente la robustez del enlace en el entorno hostil.</w:t>
      </w:r>
    </w:p>
    <w:p w14:paraId="1CF36D1C" w14:textId="77777777" w:rsidR="002368B7" w:rsidRDefault="002368B7" w:rsidP="0096693F"/>
    <w:p w14:paraId="4CF1AD8E" w14:textId="77777777" w:rsidR="002368B7" w:rsidRDefault="002368B7" w:rsidP="0096693F"/>
    <w:p w14:paraId="312375D2" w14:textId="77777777" w:rsidR="002368B7" w:rsidRPr="002368B7" w:rsidRDefault="002368B7" w:rsidP="002368B7">
      <w:r w:rsidRPr="002368B7">
        <w:rPr>
          <w:b/>
          <w:bCs/>
        </w:rPr>
        <w:t>Sobre la Reutilización Celular ():</w:t>
      </w:r>
    </w:p>
    <w:p w14:paraId="386BBAB4" w14:textId="77777777" w:rsidR="002368B7" w:rsidRPr="002368B7" w:rsidRDefault="002368B7" w:rsidP="002368B7">
      <w:pPr>
        <w:numPr>
          <w:ilvl w:val="0"/>
          <w:numId w:val="12"/>
        </w:numPr>
      </w:pPr>
      <w:r w:rsidRPr="002368B7">
        <w:rPr>
          <w:b/>
          <w:bCs/>
        </w:rPr>
        <w:t>Validación Matemática:</w:t>
      </w:r>
      <w:r w:rsidRPr="002368B7">
        <w:t xml:space="preserve"> En el diseño celular, los tamaños de clúster posibles () están dictados por la geometría hexagonal y la fórmula (donde son enteros). Un clúster de se obtiene de forma exacta cuando </w:t>
      </w:r>
      <w:proofErr w:type="spellStart"/>
      <w:proofErr w:type="gramStart"/>
      <w:r w:rsidRPr="002368B7">
        <w:t>y</w:t>
      </w:r>
      <w:proofErr w:type="spellEnd"/>
      <w:r w:rsidRPr="002368B7">
        <w:t xml:space="preserve"> .</w:t>
      </w:r>
      <w:proofErr w:type="gramEnd"/>
    </w:p>
    <w:p w14:paraId="17E654D3" w14:textId="1010E594" w:rsidR="002368B7" w:rsidRPr="002368B7" w:rsidRDefault="002368B7" w:rsidP="002368B7">
      <w:pPr>
        <w:numPr>
          <w:ilvl w:val="0"/>
          <w:numId w:val="12"/>
        </w:numPr>
      </w:pPr>
      <w:r w:rsidRPr="002368B7">
        <w:rPr>
          <w:b/>
          <w:bCs/>
        </w:rPr>
        <w:t>Gestión de Interferencia:</w:t>
      </w:r>
      <w:r w:rsidRPr="002368B7">
        <w:t xml:space="preserve"> Tienes absoluta razón en que se reduce la distancia de </w:t>
      </w:r>
      <w:proofErr w:type="gramStart"/>
      <w:r w:rsidRPr="002368B7">
        <w:t>protección .</w:t>
      </w:r>
      <w:proofErr w:type="gramEnd"/>
      <w:r w:rsidRPr="002368B7">
        <w:t xml:space="preserve"> La relación de reutilización </w:t>
      </w:r>
      <w:proofErr w:type="spellStart"/>
      <w:r w:rsidRPr="002368B7">
        <w:t>co-canal</w:t>
      </w:r>
      <w:proofErr w:type="spellEnd"/>
      <w:r w:rsidRPr="002368B7">
        <w:t xml:space="preserve"> se define como </w:t>
      </w:r>
      <w:r w:rsidRPr="002368B7">
        <mc:AlternateContent>
          <mc:Choice Requires="wps">
            <w:drawing>
              <wp:inline distT="0" distB="0" distL="0" distR="0" wp14:anchorId="6199C4CC" wp14:editId="10C5D1DE">
                <wp:extent cx="304800" cy="304800"/>
                <wp:effectExtent l="0" t="0" r="0" b="0"/>
                <wp:docPr id="1867526077"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2EC0C"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68B7">
        <w:t xml:space="preserve">(donde es el radio de la celda). Al </w:t>
      </w:r>
      <w:proofErr w:type="gramStart"/>
      <w:r w:rsidRPr="002368B7">
        <w:t>usar ,</w:t>
      </w:r>
      <w:proofErr w:type="gramEnd"/>
      <w:r w:rsidRPr="002368B7">
        <w:t xml:space="preserve"> tu relación de protección es significativamente menor (</w:t>
      </w:r>
      <w:r w:rsidRPr="002368B7">
        <mc:AlternateContent>
          <mc:Choice Requires="wps">
            <w:drawing>
              <wp:inline distT="0" distB="0" distL="0" distR="0" wp14:anchorId="631FB467" wp14:editId="133FF4A5">
                <wp:extent cx="304800" cy="304800"/>
                <wp:effectExtent l="0" t="0" r="0" b="0"/>
                <wp:docPr id="671088216"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0BEC0"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68B7">
        <w:t>) en comparación con un esquema más conservador como (</w:t>
      </w:r>
      <w:r w:rsidRPr="002368B7">
        <mc:AlternateContent>
          <mc:Choice Requires="wps">
            <w:drawing>
              <wp:inline distT="0" distB="0" distL="0" distR="0" wp14:anchorId="5258BBA4" wp14:editId="6108EBDE">
                <wp:extent cx="304800" cy="304800"/>
                <wp:effectExtent l="0" t="0" r="0" b="0"/>
                <wp:docPr id="122962280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AF5AD"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68B7">
        <w:t>).</w:t>
      </w:r>
    </w:p>
    <w:p w14:paraId="7A50D66D" w14:textId="77777777" w:rsidR="002368B7" w:rsidRPr="002368B7" w:rsidRDefault="002368B7" w:rsidP="002368B7">
      <w:pPr>
        <w:numPr>
          <w:ilvl w:val="0"/>
          <w:numId w:val="12"/>
        </w:numPr>
      </w:pPr>
      <w:r w:rsidRPr="002368B7">
        <w:rPr>
          <w:b/>
          <w:bCs/>
        </w:rPr>
        <w:t>Sugerencia Táctica (Sectorización):</w:t>
      </w:r>
      <w:r w:rsidRPr="002368B7">
        <w:t xml:space="preserve"> Para compensar esta pérdida en la distancia de protección y maximizar aún más la capacidad del campamento base, podrías implementar </w:t>
      </w:r>
      <w:r w:rsidRPr="002368B7">
        <w:rPr>
          <w:b/>
          <w:bCs/>
        </w:rPr>
        <w:t>antenas direccionales (sectorización)</w:t>
      </w:r>
      <w:r w:rsidRPr="002368B7">
        <w:t xml:space="preserve">. Dividir las celdas en sectores de 120° o 60° reduce drásticamente el número de celdas </w:t>
      </w:r>
      <w:proofErr w:type="spellStart"/>
      <w:r w:rsidRPr="002368B7">
        <w:t>co-canal</w:t>
      </w:r>
      <w:proofErr w:type="spellEnd"/>
      <w:r w:rsidRPr="002368B7">
        <w:t xml:space="preserve"> que interfieren directamente con la señal, mejorando la relación Portadora-Interferencia (C/I).</w:t>
      </w:r>
    </w:p>
    <w:p w14:paraId="0A3F0125" w14:textId="77777777" w:rsidR="002368B7" w:rsidRPr="002368B7" w:rsidRDefault="002368B7" w:rsidP="002368B7">
      <w:r w:rsidRPr="002368B7">
        <w:rPr>
          <w:b/>
          <w:bCs/>
        </w:rPr>
        <w:t>Sobre los Canales Lógicos (BCCH y TCH):</w:t>
      </w:r>
    </w:p>
    <w:p w14:paraId="2E1BB17F" w14:textId="77777777" w:rsidR="002368B7" w:rsidRPr="002368B7" w:rsidRDefault="002368B7" w:rsidP="002368B7">
      <w:pPr>
        <w:numPr>
          <w:ilvl w:val="0"/>
          <w:numId w:val="13"/>
        </w:numPr>
      </w:pPr>
      <w:r w:rsidRPr="002368B7">
        <w:rPr>
          <w:b/>
          <w:bCs/>
        </w:rPr>
        <w:t>El ecosistema del BCCH:</w:t>
      </w:r>
      <w:r w:rsidRPr="002368B7">
        <w:t xml:space="preserve"> Es vital que el BCCH se emita a potencia constante y sin saltos de frecuencia. Para complementar tu nota, a nivel de capa física, el BCCH </w:t>
      </w:r>
      <w:r w:rsidRPr="002368B7">
        <w:rPr>
          <w:b/>
          <w:bCs/>
        </w:rPr>
        <w:t>se transmite siempre en el intervalo de tiempo 0 (</w:t>
      </w:r>
      <w:proofErr w:type="spellStart"/>
      <w:r w:rsidRPr="002368B7">
        <w:rPr>
          <w:b/>
          <w:bCs/>
        </w:rPr>
        <w:t>timeslot</w:t>
      </w:r>
      <w:proofErr w:type="spellEnd"/>
      <w:r w:rsidRPr="002368B7">
        <w:rPr>
          <w:b/>
          <w:bCs/>
        </w:rPr>
        <w:t xml:space="preserve"> 0)</w:t>
      </w:r>
      <w:r w:rsidRPr="002368B7">
        <w:t xml:space="preserve"> de la primera portadora de radio. Además, opera en conjunto con otros dos canales fundamentales para que el equipo de rescate se enlace: el </w:t>
      </w:r>
      <w:r w:rsidRPr="002368B7">
        <w:rPr>
          <w:b/>
          <w:bCs/>
        </w:rPr>
        <w:t>FCCH</w:t>
      </w:r>
      <w:r w:rsidRPr="002368B7">
        <w:t xml:space="preserve"> (Canal de Corrección de Frecuencia), que permite al terminal sincronizar su oscilador local, y el </w:t>
      </w:r>
      <w:r w:rsidRPr="002368B7">
        <w:rPr>
          <w:b/>
          <w:bCs/>
        </w:rPr>
        <w:t>SCH</w:t>
      </w:r>
      <w:r w:rsidRPr="002368B7">
        <w:t xml:space="preserve"> (Canal de Sincronización), que transmite el número de trama y el código de identidad de la estación base (BSIC).</w:t>
      </w:r>
    </w:p>
    <w:p w14:paraId="777532CB" w14:textId="77777777" w:rsidR="002368B7" w:rsidRPr="002368B7" w:rsidRDefault="002368B7" w:rsidP="002368B7">
      <w:pPr>
        <w:numPr>
          <w:ilvl w:val="0"/>
          <w:numId w:val="13"/>
        </w:numPr>
      </w:pPr>
      <w:r w:rsidRPr="002368B7">
        <w:rPr>
          <w:b/>
          <w:bCs/>
        </w:rPr>
        <w:t>Optimización del TCH:</w:t>
      </w:r>
      <w:r w:rsidRPr="002368B7">
        <w:t xml:space="preserve"> Los canales de tráfico que utilizarán tus equipos de rescate pueden configurarse en dos modalidades para optimizar el espectro: </w:t>
      </w:r>
      <w:r w:rsidRPr="002368B7">
        <w:rPr>
          <w:b/>
          <w:bCs/>
        </w:rPr>
        <w:t>TCH/F (Full Rate)</w:t>
      </w:r>
      <w:r w:rsidRPr="002368B7">
        <w:t xml:space="preserve">, que transporta voz a 13 kbps usando un </w:t>
      </w:r>
      <w:proofErr w:type="spellStart"/>
      <w:r w:rsidRPr="002368B7">
        <w:t>timeslot</w:t>
      </w:r>
      <w:proofErr w:type="spellEnd"/>
      <w:r w:rsidRPr="002368B7">
        <w:t xml:space="preserve"> completo, o </w:t>
      </w:r>
      <w:r w:rsidRPr="002368B7">
        <w:rPr>
          <w:b/>
          <w:bCs/>
        </w:rPr>
        <w:t>TCH/H (Half Rate)</w:t>
      </w:r>
      <w:r w:rsidRPr="002368B7">
        <w:t xml:space="preserve">, que transporta voz a 6.5 kbps. Usar Half Rate permitiría que dos usuarios compartan el mismo canal </w:t>
      </w:r>
      <w:r w:rsidRPr="002368B7">
        <w:lastRenderedPageBreak/>
        <w:t>físico, duplicando efectivamente el número de conexiones de voz simultáneas en el campamento.</w:t>
      </w:r>
    </w:p>
    <w:p w14:paraId="662A97E5" w14:textId="77777777" w:rsidR="002368B7" w:rsidRPr="002368B7" w:rsidRDefault="002368B7" w:rsidP="002368B7">
      <w:pPr>
        <w:numPr>
          <w:ilvl w:val="0"/>
          <w:numId w:val="13"/>
        </w:numPr>
      </w:pPr>
      <w:r w:rsidRPr="002368B7">
        <w:rPr>
          <w:b/>
          <w:bCs/>
        </w:rPr>
        <w:t>Robo de Ráfagas (FACCH):</w:t>
      </w:r>
      <w:r w:rsidRPr="002368B7">
        <w:t xml:space="preserve"> Es importante prever que, si durante la comunicación táctica por el TCH surge la necesidad de enviar señalización de control urgente (por ejemplo, para ejecutar un traspaso de celda o </w:t>
      </w:r>
      <w:proofErr w:type="spellStart"/>
      <w:r w:rsidRPr="002368B7">
        <w:rPr>
          <w:i/>
          <w:iCs/>
        </w:rPr>
        <w:t>handover</w:t>
      </w:r>
      <w:proofErr w:type="spellEnd"/>
      <w:r w:rsidRPr="002368B7">
        <w:t xml:space="preserve"> porque un vehículo se está alejando del campamento base), la red utilizará el </w:t>
      </w:r>
      <w:r w:rsidRPr="002368B7">
        <w:rPr>
          <w:b/>
          <w:bCs/>
        </w:rPr>
        <w:t>FACCH</w:t>
      </w:r>
      <w:r w:rsidRPr="002368B7">
        <w:t xml:space="preserve"> (Fast </w:t>
      </w:r>
      <w:proofErr w:type="spellStart"/>
      <w:r w:rsidRPr="002368B7">
        <w:t>Associated</w:t>
      </w:r>
      <w:proofErr w:type="spellEnd"/>
      <w:r w:rsidRPr="002368B7">
        <w:t xml:space="preserve"> Control Channel). El FACCH suspenderá temporalmente los datos de voz y "robará" los bloques de la ráfaga del TCH para entregar el comando crítico de forma inmediata.</w:t>
      </w:r>
    </w:p>
    <w:p w14:paraId="15DC89ED" w14:textId="77777777" w:rsidR="006C7C0C" w:rsidRDefault="006C7C0C" w:rsidP="0096693F"/>
    <w:p w14:paraId="096FD33F" w14:textId="77777777" w:rsidR="006C7C0C" w:rsidRPr="006C7C0C" w:rsidRDefault="006C7C0C" w:rsidP="006C7C0C">
      <w:r w:rsidRPr="006C7C0C">
        <w:t xml:space="preserve">Para el </w:t>
      </w:r>
      <w:r w:rsidRPr="006C7C0C">
        <w:rPr>
          <w:b/>
          <w:bCs/>
        </w:rPr>
        <w:t>FCCH (Canal de Corrección de Frecuencia)</w:t>
      </w:r>
      <w:r w:rsidRPr="006C7C0C">
        <w:t xml:space="preserve">, la ráfaga de datos está compuesta específicamente por una </w:t>
      </w:r>
      <w:r w:rsidRPr="006C7C0C">
        <w:rPr>
          <w:b/>
          <w:bCs/>
        </w:rPr>
        <w:t>cadena de 48 ceros</w:t>
      </w:r>
      <w:r w:rsidRPr="006C7C0C">
        <w:t xml:space="preserve">. Cuando esta cadena de ceros se transmite utilizando la modulación GMSK, se manifiesta físicamente como una onda senoidal a una frecuencia exacta de 67.7 kHz, lo que actúa como baliza para que el terminal móvil sintonice y sincronice su oscilador local. Respecto al </w:t>
      </w:r>
      <w:r w:rsidRPr="006C7C0C">
        <w:rPr>
          <w:b/>
          <w:bCs/>
        </w:rPr>
        <w:t>SCH (Canal de Sincronización)</w:t>
      </w:r>
      <w:r w:rsidRPr="006C7C0C">
        <w:t xml:space="preserve">, las fuentes no especifican una cantidad exacta de bits para su composición, pero indican que utiliza una estructura de ráfaga única que contiene una </w:t>
      </w:r>
      <w:r w:rsidRPr="006C7C0C">
        <w:rPr>
          <w:b/>
          <w:bCs/>
        </w:rPr>
        <w:t>secuencia de entrenamiento</w:t>
      </w:r>
      <w:r w:rsidRPr="006C7C0C">
        <w:t xml:space="preserve"> (la cual es igual en todas las redes GSM), el </w:t>
      </w:r>
      <w:r w:rsidRPr="006C7C0C">
        <w:rPr>
          <w:b/>
          <w:bCs/>
        </w:rPr>
        <w:t>Código de Identidad de la Estación Base (BSIC)</w:t>
      </w:r>
      <w:r w:rsidRPr="006C7C0C">
        <w:t xml:space="preserve"> y el </w:t>
      </w:r>
      <w:r w:rsidRPr="006C7C0C">
        <w:rPr>
          <w:b/>
          <w:bCs/>
        </w:rPr>
        <w:t>número de ubicación de la trama actual</w:t>
      </w:r>
      <w:r w:rsidRPr="006C7C0C">
        <w:t>.</w:t>
      </w:r>
    </w:p>
    <w:p w14:paraId="2207DCE6" w14:textId="77777777" w:rsidR="006C7C0C" w:rsidRPr="006C7C0C" w:rsidRDefault="006C7C0C" w:rsidP="006C7C0C">
      <w:r w:rsidRPr="006C7C0C">
        <w:t xml:space="preserve">Sobre el </w:t>
      </w:r>
      <w:r w:rsidRPr="006C7C0C">
        <w:rPr>
          <w:b/>
          <w:bCs/>
        </w:rPr>
        <w:t>TCH/H (Canal de Tráfico de Media Tasa)</w:t>
      </w:r>
      <w:r w:rsidRPr="006C7C0C">
        <w:t xml:space="preserve">, este canal transporta voz a una velocidad reducida (típicamente entre 5.6 kbps y 6.5 kbps) para permitir que dos usuarios compartan un mismo intervalo de tiempo físico y aumentar la capacidad de la red. </w:t>
      </w:r>
      <w:r w:rsidRPr="006C7C0C">
        <w:rPr>
          <w:b/>
          <w:bCs/>
        </w:rPr>
        <w:t>Las fuentes proporcionadas no detallan qué acción o mecanismo de conmutación específico se activa si la calidad de la voz se ve afectada por el uso del TCH/H</w:t>
      </w:r>
      <w:r w:rsidRPr="006C7C0C">
        <w:t xml:space="preserve">. Sin embargo, a nivel general del sistema, las redes EDGE/GSM monitorizan constantemente la calidad del radioenlace (usando la Adaptación de Enlace o </w:t>
      </w:r>
      <w:proofErr w:type="gramStart"/>
      <w:r w:rsidRPr="006C7C0C">
        <w:rPr>
          <w:i/>
          <w:iCs/>
        </w:rPr>
        <w:t>Link</w:t>
      </w:r>
      <w:proofErr w:type="gramEnd"/>
      <w:r w:rsidRPr="006C7C0C">
        <w:rPr>
          <w:i/>
          <w:iCs/>
        </w:rPr>
        <w:t xml:space="preserve"> </w:t>
      </w:r>
      <w:proofErr w:type="spellStart"/>
      <w:r w:rsidRPr="006C7C0C">
        <w:rPr>
          <w:i/>
          <w:iCs/>
        </w:rPr>
        <w:t>Adaptation</w:t>
      </w:r>
      <w:proofErr w:type="spellEnd"/>
      <w:r w:rsidRPr="006C7C0C">
        <w:t xml:space="preserve">) para cambiar dinámicamente los esquemas de codificación y modulación, buscando siempre la transmisión </w:t>
      </w:r>
      <w:proofErr w:type="gramStart"/>
      <w:r w:rsidRPr="006C7C0C">
        <w:t>más óptima</w:t>
      </w:r>
      <w:proofErr w:type="gramEnd"/>
      <w:r w:rsidRPr="006C7C0C">
        <w:t xml:space="preserve"> y robusta frente a la interferencia del entorno.</w:t>
      </w:r>
    </w:p>
    <w:p w14:paraId="22B22232" w14:textId="600CF27E" w:rsidR="006C7C0C" w:rsidRPr="006C7C0C" w:rsidRDefault="006C7C0C" w:rsidP="006C7C0C">
      <w:r w:rsidRPr="006C7C0C">
        <w:t xml:space="preserve">Finalmente, la </w:t>
      </w:r>
      <w:r w:rsidRPr="006C7C0C">
        <w:rPr>
          <w:b/>
          <w:bCs/>
        </w:rPr>
        <w:t xml:space="preserve">distancia de protección o reutilización </w:t>
      </w:r>
      <w:proofErr w:type="spellStart"/>
      <w:r w:rsidRPr="006C7C0C">
        <w:rPr>
          <w:b/>
          <w:bCs/>
        </w:rPr>
        <w:t>co-canal</w:t>
      </w:r>
      <w:proofErr w:type="spellEnd"/>
      <w:r w:rsidRPr="006C7C0C">
        <w:rPr>
          <w:b/>
          <w:bCs/>
        </w:rPr>
        <w:t xml:space="preserve"> ()</w:t>
      </w:r>
      <w:r w:rsidRPr="006C7C0C">
        <w:t xml:space="preserve"> sirve para separar a las células que usan el mismo conjunto de frecuencias y evitar que interfieran entre sí. Se calcula a partir de la geometría hexagonal de las celdas mediante la fórmula: </w:t>
      </w:r>
      <w:r w:rsidRPr="006C7C0C">
        <mc:AlternateContent>
          <mc:Choice Requires="wps">
            <w:drawing>
              <wp:inline distT="0" distB="0" distL="0" distR="0" wp14:anchorId="6C714299" wp14:editId="1561B296">
                <wp:extent cx="304800" cy="304800"/>
                <wp:effectExtent l="0" t="0" r="0" b="0"/>
                <wp:docPr id="1338436536"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4F07F"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7C0C">
        <w:t xml:space="preserve">Donde es el radio de la célula y es el número de células en el clúster (factor de reutilización). Como establecimos en nuestro intercambio anterior, para un clúster </w:t>
      </w:r>
      <w:proofErr w:type="gramStart"/>
      <w:r w:rsidRPr="006C7C0C">
        <w:t>de ,</w:t>
      </w:r>
      <w:proofErr w:type="gramEnd"/>
      <w:r w:rsidRPr="006C7C0C">
        <w:t xml:space="preserve"> el cálculo matemático exacto es: </w:t>
      </w:r>
      <w:r w:rsidRPr="006C7C0C">
        <mc:AlternateContent>
          <mc:Choice Requires="wps">
            <w:drawing>
              <wp:inline distT="0" distB="0" distL="0" distR="0" wp14:anchorId="5014DF18" wp14:editId="0B99BFD9">
                <wp:extent cx="304800" cy="304800"/>
                <wp:effectExtent l="0" t="0" r="0" b="0"/>
                <wp:docPr id="761952256"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6E816"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7C0C">
        <mc:AlternateContent>
          <mc:Choice Requires="wps">
            <w:drawing>
              <wp:inline distT="0" distB="0" distL="0" distR="0" wp14:anchorId="4BBF6AC5" wp14:editId="3CFA50BA">
                <wp:extent cx="304800" cy="304800"/>
                <wp:effectExtent l="0" t="0" r="0" b="0"/>
                <wp:docPr id="733215271"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83D05"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7C0C">
        <w:t xml:space="preserve">Este resultado (aproximadamente 3.46 veces el radio de la celda) representa una </w:t>
      </w:r>
      <w:r w:rsidRPr="006C7C0C">
        <w:rPr>
          <w:b/>
          <w:bCs/>
        </w:rPr>
        <w:lastRenderedPageBreak/>
        <w:t>distancia de protección significativamente menor</w:t>
      </w:r>
      <w:r w:rsidRPr="006C7C0C">
        <w:t xml:space="preserve"> si se compara con clústeres más conservadores como (), lo que exige una planificación más cuidadosa para evitar interferencias.</w:t>
      </w:r>
    </w:p>
    <w:p w14:paraId="46782F6A" w14:textId="77777777" w:rsidR="00296BFD" w:rsidRPr="00296BFD" w:rsidRDefault="00296BFD" w:rsidP="00296BFD">
      <w:r w:rsidRPr="00296BFD">
        <w:t xml:space="preserve">El canal </w:t>
      </w:r>
      <w:r w:rsidRPr="00296BFD">
        <w:rPr>
          <w:b/>
          <w:bCs/>
        </w:rPr>
        <w:t>FCCH (Canal de Corrección de Frecuencia)</w:t>
      </w:r>
      <w:r w:rsidRPr="00296BFD">
        <w:t xml:space="preserve"> está compuesto internamente por una </w:t>
      </w:r>
      <w:r w:rsidRPr="00296BFD">
        <w:rPr>
          <w:b/>
          <w:bCs/>
        </w:rPr>
        <w:t>cadena de 48 ceros</w:t>
      </w:r>
      <w:r w:rsidRPr="00296BFD">
        <w:t xml:space="preserve">. Al transmitir esta cadena de ceros utilizando la modulación GMSK, se produce físicamente una onda senoidal a una frecuencia exacta de </w:t>
      </w:r>
      <w:r w:rsidRPr="00296BFD">
        <w:rPr>
          <w:b/>
          <w:bCs/>
        </w:rPr>
        <w:t>67.7 kHz</w:t>
      </w:r>
      <w:r w:rsidRPr="00296BFD">
        <w:t>. Esta señal actúa como una baliza fundamental para que el teléfono móvil pueda identificar el canal y sincronizar su propio oscilador con la estación base.</w:t>
      </w:r>
    </w:p>
    <w:p w14:paraId="0BBFD160" w14:textId="77777777" w:rsidR="00296BFD" w:rsidRPr="00296BFD" w:rsidRDefault="00296BFD" w:rsidP="00296BFD">
      <w:r w:rsidRPr="00296BFD">
        <w:t xml:space="preserve">Por su parte, la ráfaga del </w:t>
      </w:r>
      <w:r w:rsidRPr="00296BFD">
        <w:rPr>
          <w:b/>
          <w:bCs/>
        </w:rPr>
        <w:t>SCH (Canal de Sincronización)</w:t>
      </w:r>
      <w:r w:rsidRPr="00296BFD">
        <w:t xml:space="preserve"> no tiene un número exacto de bits detallado en las fuentes, pero está compuesta por tres elementos de información clave: una </w:t>
      </w:r>
      <w:r w:rsidRPr="00296BFD">
        <w:rPr>
          <w:b/>
          <w:bCs/>
        </w:rPr>
        <w:t>secuencia de entrenamiento</w:t>
      </w:r>
      <w:r w:rsidRPr="00296BFD">
        <w:t xml:space="preserve"> (que es idéntica para todas las redes GSM), el </w:t>
      </w:r>
      <w:r w:rsidRPr="00296BFD">
        <w:rPr>
          <w:b/>
          <w:bCs/>
        </w:rPr>
        <w:t>Código de Identidad de la Estación Base (BSIC)</w:t>
      </w:r>
      <w:r w:rsidRPr="00296BFD">
        <w:t xml:space="preserve"> y la </w:t>
      </w:r>
      <w:r w:rsidRPr="00296BFD">
        <w:rPr>
          <w:b/>
          <w:bCs/>
        </w:rPr>
        <w:t>ubicación de la trama actual</w:t>
      </w:r>
      <w:r w:rsidRPr="00296BFD">
        <w:t xml:space="preserve"> en relación con la </w:t>
      </w:r>
      <w:proofErr w:type="spellStart"/>
      <w:r w:rsidRPr="00296BFD">
        <w:t>hipertrama</w:t>
      </w:r>
      <w:proofErr w:type="spellEnd"/>
      <w:r w:rsidRPr="00296BFD">
        <w:t>.</w:t>
      </w:r>
    </w:p>
    <w:p w14:paraId="58CFF783" w14:textId="77777777" w:rsidR="00296BFD" w:rsidRPr="00296BFD" w:rsidRDefault="00296BFD" w:rsidP="00296BFD">
      <w:r w:rsidRPr="00296BFD">
        <w:t xml:space="preserve">En cuanto a lo que ocurre si el </w:t>
      </w:r>
      <w:r w:rsidRPr="00296BFD">
        <w:rPr>
          <w:b/>
          <w:bCs/>
        </w:rPr>
        <w:t>TCH/H (Canal de Tráfico de Media Tasa)</w:t>
      </w:r>
      <w:r w:rsidRPr="00296BFD">
        <w:t xml:space="preserve"> afecta la calidad de la voz, </w:t>
      </w:r>
      <w:r w:rsidRPr="00296BFD">
        <w:rPr>
          <w:b/>
          <w:bCs/>
        </w:rPr>
        <w:t>las fuentes proporcionadas no detallan el mecanismo específico de conmutación</w:t>
      </w:r>
      <w:r w:rsidRPr="00296BFD">
        <w:t xml:space="preserve"> que sigue la red ante una degradación exclusiva de voz en este canal (que transmite a 6.5 kbps). Sin embargo, explican que las redes GSM/EDGE combaten las caídas en la calidad de la señal a través de un esquema de </w:t>
      </w:r>
      <w:r w:rsidRPr="00296BFD">
        <w:rPr>
          <w:b/>
          <w:bCs/>
        </w:rPr>
        <w:t>Adaptación de Enlace (</w:t>
      </w:r>
      <w:proofErr w:type="gramStart"/>
      <w:r w:rsidRPr="00296BFD">
        <w:rPr>
          <w:b/>
          <w:bCs/>
        </w:rPr>
        <w:t>Link</w:t>
      </w:r>
      <w:proofErr w:type="gramEnd"/>
      <w:r w:rsidRPr="00296BFD">
        <w:rPr>
          <w:b/>
          <w:bCs/>
        </w:rPr>
        <w:t xml:space="preserve"> </w:t>
      </w:r>
      <w:proofErr w:type="spellStart"/>
      <w:r w:rsidRPr="00296BFD">
        <w:rPr>
          <w:b/>
          <w:bCs/>
        </w:rPr>
        <w:t>Adaptation</w:t>
      </w:r>
      <w:proofErr w:type="spellEnd"/>
      <w:r w:rsidRPr="00296BFD">
        <w:rPr>
          <w:b/>
          <w:bCs/>
        </w:rPr>
        <w:t>)</w:t>
      </w:r>
      <w:r w:rsidRPr="00296BFD">
        <w:t xml:space="preserve"> combinado con </w:t>
      </w:r>
      <w:r w:rsidRPr="00296BFD">
        <w:rPr>
          <w:b/>
          <w:bCs/>
        </w:rPr>
        <w:t>Redundancia Incremental</w:t>
      </w:r>
      <w:r w:rsidRPr="00296BFD">
        <w:t xml:space="preserve">. Este mecanismo estima de manera regular la calidad del enlace radioeléctrico (evaluando la relación Señal/Interferencia, la dispersión temporal y el desvanecimiento) y selecciona dinámicamente el esquema de modulación y codificación más adecuado para asegurar la robustez de la comunicación según las condiciones del entorno. </w:t>
      </w:r>
      <w:r w:rsidRPr="00296BFD">
        <w:rPr>
          <w:i/>
          <w:iCs/>
        </w:rPr>
        <w:t>(Ten en cuenta que detalles sobre un posible salto o "</w:t>
      </w:r>
      <w:proofErr w:type="spellStart"/>
      <w:r w:rsidRPr="00296BFD">
        <w:rPr>
          <w:i/>
          <w:iCs/>
        </w:rPr>
        <w:t>fallback</w:t>
      </w:r>
      <w:proofErr w:type="spellEnd"/>
      <w:r w:rsidRPr="00296BFD">
        <w:rPr>
          <w:i/>
          <w:iCs/>
        </w:rPr>
        <w:t>" directo de TCH/H a un canal de tasa completa TCH/F para mejorar la voz no se encuentran en los documentos actuales y tendrían que verificarse en especificaciones GSM adicionales).</w:t>
      </w:r>
    </w:p>
    <w:p w14:paraId="59EEB91A" w14:textId="77777777" w:rsidR="006C7C0C" w:rsidRPr="00215B88" w:rsidRDefault="006C7C0C" w:rsidP="0096693F"/>
    <w:sectPr w:rsidR="006C7C0C" w:rsidRPr="00215B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F88"/>
    <w:multiLevelType w:val="multilevel"/>
    <w:tmpl w:val="91D8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6443E"/>
    <w:multiLevelType w:val="multilevel"/>
    <w:tmpl w:val="836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E4F24"/>
    <w:multiLevelType w:val="multilevel"/>
    <w:tmpl w:val="9F9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27499"/>
    <w:multiLevelType w:val="multilevel"/>
    <w:tmpl w:val="AF7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52107"/>
    <w:multiLevelType w:val="multilevel"/>
    <w:tmpl w:val="84A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B6605"/>
    <w:multiLevelType w:val="multilevel"/>
    <w:tmpl w:val="5A2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42624"/>
    <w:multiLevelType w:val="multilevel"/>
    <w:tmpl w:val="EE9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51616"/>
    <w:multiLevelType w:val="multilevel"/>
    <w:tmpl w:val="E41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4156B"/>
    <w:multiLevelType w:val="multilevel"/>
    <w:tmpl w:val="A696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42F9E"/>
    <w:multiLevelType w:val="multilevel"/>
    <w:tmpl w:val="0FB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5347E"/>
    <w:multiLevelType w:val="multilevel"/>
    <w:tmpl w:val="06C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F0369"/>
    <w:multiLevelType w:val="multilevel"/>
    <w:tmpl w:val="168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42FAC"/>
    <w:multiLevelType w:val="multilevel"/>
    <w:tmpl w:val="29C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208282">
    <w:abstractNumId w:val="4"/>
  </w:num>
  <w:num w:numId="2" w16cid:durableId="1557162102">
    <w:abstractNumId w:val="8"/>
  </w:num>
  <w:num w:numId="3" w16cid:durableId="1941792248">
    <w:abstractNumId w:val="1"/>
  </w:num>
  <w:num w:numId="4" w16cid:durableId="240606408">
    <w:abstractNumId w:val="0"/>
  </w:num>
  <w:num w:numId="5" w16cid:durableId="1999309898">
    <w:abstractNumId w:val="10"/>
  </w:num>
  <w:num w:numId="6" w16cid:durableId="482700428">
    <w:abstractNumId w:val="2"/>
  </w:num>
  <w:num w:numId="7" w16cid:durableId="1220939832">
    <w:abstractNumId w:val="11"/>
  </w:num>
  <w:num w:numId="8" w16cid:durableId="1304963908">
    <w:abstractNumId w:val="6"/>
  </w:num>
  <w:num w:numId="9" w16cid:durableId="1390810993">
    <w:abstractNumId w:val="12"/>
  </w:num>
  <w:num w:numId="10" w16cid:durableId="358774593">
    <w:abstractNumId w:val="3"/>
  </w:num>
  <w:num w:numId="11" w16cid:durableId="1342930440">
    <w:abstractNumId w:val="7"/>
  </w:num>
  <w:num w:numId="12" w16cid:durableId="2015721258">
    <w:abstractNumId w:val="5"/>
  </w:num>
  <w:num w:numId="13" w16cid:durableId="1881086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3F"/>
    <w:rsid w:val="0021066E"/>
    <w:rsid w:val="00215B88"/>
    <w:rsid w:val="002368B7"/>
    <w:rsid w:val="00296BFD"/>
    <w:rsid w:val="00410A2C"/>
    <w:rsid w:val="006C7C0C"/>
    <w:rsid w:val="0096693F"/>
    <w:rsid w:val="00CF60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25CB"/>
  <w15:chartTrackingRefBased/>
  <w15:docId w15:val="{DD74B6A5-4E55-4630-99AC-6C325144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6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9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69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9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9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9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9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9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9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69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69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69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69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69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69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69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693F"/>
    <w:rPr>
      <w:rFonts w:eastAsiaTheme="majorEastAsia" w:cstheme="majorBidi"/>
      <w:color w:val="272727" w:themeColor="text1" w:themeTint="D8"/>
    </w:rPr>
  </w:style>
  <w:style w:type="paragraph" w:styleId="Ttulo">
    <w:name w:val="Title"/>
    <w:basedOn w:val="Normal"/>
    <w:next w:val="Normal"/>
    <w:link w:val="TtuloCar"/>
    <w:uiPriority w:val="10"/>
    <w:qFormat/>
    <w:rsid w:val="00966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69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69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69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93F"/>
    <w:pPr>
      <w:spacing w:before="160"/>
      <w:jc w:val="center"/>
    </w:pPr>
    <w:rPr>
      <w:i/>
      <w:iCs/>
      <w:color w:val="404040" w:themeColor="text1" w:themeTint="BF"/>
    </w:rPr>
  </w:style>
  <w:style w:type="character" w:customStyle="1" w:styleId="CitaCar">
    <w:name w:val="Cita Car"/>
    <w:basedOn w:val="Fuentedeprrafopredeter"/>
    <w:link w:val="Cita"/>
    <w:uiPriority w:val="29"/>
    <w:rsid w:val="0096693F"/>
    <w:rPr>
      <w:i/>
      <w:iCs/>
      <w:color w:val="404040" w:themeColor="text1" w:themeTint="BF"/>
    </w:rPr>
  </w:style>
  <w:style w:type="paragraph" w:styleId="Prrafodelista">
    <w:name w:val="List Paragraph"/>
    <w:basedOn w:val="Normal"/>
    <w:uiPriority w:val="34"/>
    <w:qFormat/>
    <w:rsid w:val="0096693F"/>
    <w:pPr>
      <w:ind w:left="720"/>
      <w:contextualSpacing/>
    </w:pPr>
  </w:style>
  <w:style w:type="character" w:styleId="nfasisintenso">
    <w:name w:val="Intense Emphasis"/>
    <w:basedOn w:val="Fuentedeprrafopredeter"/>
    <w:uiPriority w:val="21"/>
    <w:qFormat/>
    <w:rsid w:val="0096693F"/>
    <w:rPr>
      <w:i/>
      <w:iCs/>
      <w:color w:val="0F4761" w:themeColor="accent1" w:themeShade="BF"/>
    </w:rPr>
  </w:style>
  <w:style w:type="paragraph" w:styleId="Citadestacada">
    <w:name w:val="Intense Quote"/>
    <w:basedOn w:val="Normal"/>
    <w:next w:val="Normal"/>
    <w:link w:val="CitadestacadaCar"/>
    <w:uiPriority w:val="30"/>
    <w:qFormat/>
    <w:rsid w:val="00966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693F"/>
    <w:rPr>
      <w:i/>
      <w:iCs/>
      <w:color w:val="0F4761" w:themeColor="accent1" w:themeShade="BF"/>
    </w:rPr>
  </w:style>
  <w:style w:type="character" w:styleId="Referenciaintensa">
    <w:name w:val="Intense Reference"/>
    <w:basedOn w:val="Fuentedeprrafopredeter"/>
    <w:uiPriority w:val="32"/>
    <w:qFormat/>
    <w:rsid w:val="00966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4226</Words>
  <Characters>23249</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Juárez Cádiz</dc:creator>
  <cp:keywords/>
  <dc:description/>
  <cp:lastModifiedBy>Rubén Juárez Cádiz</cp:lastModifiedBy>
  <cp:revision>4</cp:revision>
  <dcterms:created xsi:type="dcterms:W3CDTF">2026-05-07T07:55:00Z</dcterms:created>
  <dcterms:modified xsi:type="dcterms:W3CDTF">2026-05-07T08:00:00Z</dcterms:modified>
</cp:coreProperties>
</file>