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CFBAC">
      <w:pPr>
        <w:spacing w:after="40"/>
        <w:rPr>
          <w:b/>
          <w:sz w:val="21"/>
          <w:szCs w:val="21"/>
        </w:rPr>
      </w:pPr>
      <w:r>
        <w:rPr>
          <w:rFonts w:ascii="Arial" w:hAnsi="Arial"/>
          <w:b/>
          <w:sz w:val="32"/>
          <w:szCs w:val="21"/>
        </w:rPr>
        <w:t>MambaJEPA-AD: Dual-View Predictive Pretraining and Selective State-Space Modeling for Digital Payment Fraud Detection</w:t>
      </w:r>
    </w:p>
    <w:p w14:paraId="44BFD3D2">
      <w:pPr>
        <w:spacing w:line="360" w:lineRule="auto"/>
        <w:rPr>
          <w:rFonts w:eastAsia="宋体" w:cs="Times New Roman"/>
          <w:color w:val="auto"/>
          <w:sz w:val="16"/>
          <w:szCs w:val="16"/>
        </w:rPr>
      </w:pPr>
      <w:r>
        <w:rPr>
          <w:rFonts w:hint="eastAsia" w:eastAsia="宋体" w:cs="Times New Roman"/>
          <w:color w:val="auto"/>
          <w:sz w:val="16"/>
          <w:szCs w:val="16"/>
        </w:rPr>
        <w:t>Xixuan Huang</w:t>
      </w:r>
      <w:r>
        <w:rPr>
          <w:rFonts w:eastAsia="宋体" w:cs="Times New Roman"/>
          <w:color w:val="auto"/>
          <w:sz w:val="16"/>
          <w:szCs w:val="16"/>
          <w:vertAlign w:val="superscript"/>
        </w:rPr>
        <w:footnoteReference w:id="0"/>
      </w:r>
    </w:p>
    <w:p w14:paraId="0E2DED11">
      <w:pPr>
        <w:spacing w:line="360" w:lineRule="auto"/>
        <w:rPr>
          <w:rFonts w:eastAsia="宋体" w:cs="Times New Roman"/>
          <w:color w:val="auto"/>
          <w:sz w:val="16"/>
          <w:szCs w:val="16"/>
        </w:rPr>
      </w:pPr>
      <w:r>
        <w:rPr>
          <w:rFonts w:hint="eastAsia" w:eastAsia="宋体" w:cs="Times New Roman"/>
          <w:color w:val="auto"/>
          <w:sz w:val="16"/>
          <w:szCs w:val="16"/>
        </w:rPr>
        <w:t>Liaoning University, Shenyang, Liaoning 1100</w:t>
      </w:r>
      <w:r>
        <w:rPr>
          <w:rFonts w:hint="eastAsia" w:eastAsia="宋体" w:cs="Times New Roman"/>
          <w:color w:val="auto"/>
          <w:sz w:val="16"/>
          <w:szCs w:val="16"/>
          <w:lang w:eastAsia="zh-CN"/>
        </w:rPr>
        <w:t>36</w:t>
      </w:r>
      <w:r>
        <w:rPr>
          <w:rFonts w:hint="eastAsia" w:eastAsia="宋体" w:cs="Times New Roman"/>
          <w:color w:val="auto"/>
          <w:sz w:val="16"/>
          <w:szCs w:val="16"/>
        </w:rPr>
        <w:t>, China, 15524432090@163.com</w:t>
      </w:r>
    </w:p>
    <w:p w14:paraId="12EC6D7C">
      <w:pPr>
        <w:spacing w:line="360" w:lineRule="auto"/>
        <w:rPr>
          <w:rFonts w:eastAsia="宋体" w:cs="Times New Roman"/>
          <w:color w:val="auto"/>
          <w:sz w:val="16"/>
          <w:szCs w:val="16"/>
          <w:lang w:eastAsia="zh-CN"/>
        </w:rPr>
      </w:pPr>
      <w:r>
        <w:rPr>
          <w:rFonts w:hint="eastAsia" w:eastAsia="宋体" w:cs="Times New Roman"/>
          <w:color w:val="auto"/>
          <w:sz w:val="16"/>
          <w:szCs w:val="16"/>
        </w:rPr>
        <w:t>Jiaqi Wu</w:t>
      </w:r>
      <w:r>
        <w:rPr>
          <w:rFonts w:hint="eastAsia" w:eastAsia="宋体" w:cs="Times New Roman"/>
          <w:color w:val="auto"/>
          <w:sz w:val="16"/>
          <w:szCs w:val="16"/>
          <w:vertAlign w:val="superscript"/>
          <w:lang w:eastAsia="zh-CN"/>
        </w:rPr>
        <w:t>1</w:t>
      </w:r>
    </w:p>
    <w:p w14:paraId="1330EC64">
      <w:pPr>
        <w:spacing w:line="360" w:lineRule="auto"/>
        <w:rPr>
          <w:sz w:val="16"/>
          <w:szCs w:val="16"/>
        </w:rPr>
      </w:pPr>
      <w:r>
        <w:rPr>
          <w:rFonts w:hint="eastAsia"/>
          <w:sz w:val="16"/>
          <w:szCs w:val="16"/>
        </w:rPr>
        <w:t>Zhejiang Sci-Tech University, Hangzhou, Zhejiang 31</w:t>
      </w:r>
      <w:r>
        <w:rPr>
          <w:rFonts w:hint="eastAsia" w:eastAsia="宋体"/>
          <w:sz w:val="16"/>
          <w:szCs w:val="16"/>
          <w:lang w:eastAsia="zh-CN"/>
        </w:rPr>
        <w:t>1018</w:t>
      </w:r>
      <w:r>
        <w:rPr>
          <w:rFonts w:hint="eastAsia"/>
          <w:sz w:val="16"/>
          <w:szCs w:val="16"/>
        </w:rPr>
        <w:t>, China, wujiaqi0502@163.com</w:t>
      </w:r>
    </w:p>
    <w:p w14:paraId="56E97099">
      <w:pPr>
        <w:spacing w:line="360" w:lineRule="auto"/>
        <w:rPr>
          <w:rFonts w:eastAsia="宋体" w:cs="Times New Roman"/>
          <w:color w:val="auto"/>
          <w:sz w:val="16"/>
          <w:szCs w:val="16"/>
        </w:rPr>
      </w:pPr>
      <w:r>
        <w:rPr>
          <w:rFonts w:hint="eastAsia" w:eastAsia="宋体" w:cs="Times New Roman"/>
          <w:color w:val="auto"/>
          <w:sz w:val="16"/>
          <w:szCs w:val="16"/>
          <w:lang w:eastAsia="zh-CN"/>
        </w:rPr>
        <w:t>Chenxi Ding</w:t>
      </w:r>
      <w:r>
        <w:rPr>
          <w:rFonts w:hint="eastAsia" w:eastAsia="宋体" w:cs="Times New Roman"/>
          <w:color w:val="auto"/>
          <w:sz w:val="16"/>
          <w:szCs w:val="16"/>
          <w:vertAlign w:val="superscript"/>
          <w:lang w:eastAsia="zh-CN"/>
        </w:rPr>
        <w:t>1</w:t>
      </w:r>
      <w:r>
        <w:rPr>
          <w:rFonts w:eastAsia="宋体" w:cs="Times New Roman"/>
          <w:color w:val="auto"/>
          <w:sz w:val="16"/>
          <w:szCs w:val="16"/>
          <w:vertAlign w:val="superscript"/>
          <w:lang w:eastAsia="zh-CN"/>
        </w:rPr>
        <w:t>,</w:t>
      </w:r>
      <w:r>
        <w:rPr>
          <w:rFonts w:eastAsia="宋体" w:cs="Times New Roman"/>
          <w:color w:val="auto"/>
          <w:sz w:val="16"/>
          <w:szCs w:val="16"/>
        </w:rPr>
        <w:footnoteReference w:id="1" w:customMarkFollows="1"/>
        <w:t>*</w:t>
      </w:r>
    </w:p>
    <w:p w14:paraId="5491873B">
      <w:pPr>
        <w:widowControl w:val="0"/>
        <w:spacing w:after="40"/>
        <w:jc w:val="both"/>
        <w:rPr>
          <w:rFonts w:eastAsia="宋体"/>
          <w:sz w:val="16"/>
          <w:szCs w:val="16"/>
          <w:lang w:eastAsia="zh-CN"/>
        </w:rPr>
      </w:pPr>
      <w:r>
        <w:rPr>
          <w:rFonts w:hint="eastAsia" w:eastAsia="宋体"/>
          <w:sz w:val="16"/>
          <w:szCs w:val="16"/>
          <w:lang w:eastAsia="zh-CN"/>
        </w:rPr>
        <w:t>Hainan International College of Communication University of China, Lingshui, Hainan 572400, China</w:t>
      </w:r>
      <w:r>
        <w:rPr>
          <w:rFonts w:eastAsia="宋体"/>
          <w:sz w:val="16"/>
          <w:szCs w:val="16"/>
          <w:lang w:eastAsia="zh-CN"/>
        </w:rPr>
        <w:t>, 18238607350@163.com</w:t>
      </w:r>
    </w:p>
    <w:p w14:paraId="6DFDC09E">
      <w:pPr>
        <w:widowControl w:val="0"/>
        <w:spacing w:after="40"/>
        <w:jc w:val="both"/>
        <w:rPr>
          <w:rFonts w:eastAsia="宋体"/>
          <w:sz w:val="16"/>
          <w:szCs w:val="16"/>
          <w:lang w:eastAsia="zh-CN"/>
        </w:rPr>
      </w:pPr>
    </w:p>
    <w:p w14:paraId="3AD3539A">
      <w:pPr>
        <w:spacing w:after="20"/>
        <w:jc w:val="both"/>
      </w:pPr>
      <w:r>
        <w:t>Abstract: Digital-payment fraud detection requires high ranking quality and controlled false alarms under temporal drift. We evaluate 594,643 BankSim transactions with a chronological train-validation-test split and strictly past-only customer histories. MambaJEPA-AD combines a field-masked joint-embedding attribute encoder, a Mamba-inspired selective state-space history encoder, and an XGBoost branch. All thresholds and fusion weights are selected on validation data. On 133,231 held-out transactions, XGBoost achieves AUPRC 0.8421, while the validation-selected MambaJEPA-AD fusion achieves 0.8471 with alpha=0.65. A 2,000-resample customer-clustered paired bootstrap gives a 95% interval of 0.0020 to 0.0082 for the fusion-minus-XGBoost AUPRC difference. A matched XGBoost plus supervised SSM control reaches 0.8460; the 0.0011 difference between the JEPA and supervised fusions has a 95% interval of -0.0008 to 0.0028. The evidence therefore supports complementary sequence fusion, while the incremental effect of JEPA pretraining is not statistically resolved. Model files, logs, validation and test predictions, exact configurations, thresholds, and resource measurements accompany the paper.</w:t>
      </w:r>
    </w:p>
    <w:p w14:paraId="583B0B7E">
      <w:pPr>
        <w:spacing w:after="40"/>
        <w:rPr>
          <w:b/>
          <w:sz w:val="16"/>
        </w:rPr>
      </w:pPr>
      <w:r>
        <w:rPr>
          <w:b/>
          <w:sz w:val="16"/>
        </w:rPr>
        <w:t xml:space="preserve">CCS Concepts: </w:t>
      </w:r>
    </w:p>
    <w:p w14:paraId="6C34C4BA">
      <w:pPr>
        <w:spacing w:after="40"/>
        <w:rPr>
          <w:bCs/>
          <w:sz w:val="16"/>
        </w:rPr>
      </w:pPr>
      <w:r>
        <w:rPr>
          <w:rFonts w:hint="eastAsia"/>
          <w:bCs/>
          <w:sz w:val="16"/>
        </w:rPr>
        <w:t>•</w:t>
      </w:r>
      <w:r>
        <w:rPr>
          <w:rFonts w:hint="eastAsia" w:eastAsia="宋体"/>
          <w:bCs/>
          <w:sz w:val="16"/>
          <w:lang w:eastAsia="zh-CN"/>
        </w:rPr>
        <w:t xml:space="preserve"> </w:t>
      </w:r>
      <w:r>
        <w:rPr>
          <w:rFonts w:hint="eastAsia"/>
          <w:bCs/>
          <w:sz w:val="16"/>
        </w:rPr>
        <w:t>Applied computing~Electronic commerce</w:t>
      </w:r>
    </w:p>
    <w:p w14:paraId="3F6BF940">
      <w:pPr>
        <w:spacing w:after="40"/>
        <w:rPr>
          <w:bCs/>
          <w:sz w:val="16"/>
        </w:rPr>
      </w:pPr>
      <w:r>
        <w:rPr>
          <w:rFonts w:hint="eastAsia"/>
          <w:bCs/>
          <w:sz w:val="16"/>
        </w:rPr>
        <w:t>•</w:t>
      </w:r>
      <w:r>
        <w:rPr>
          <w:rFonts w:hint="eastAsia" w:eastAsia="宋体"/>
          <w:bCs/>
          <w:sz w:val="16"/>
          <w:lang w:eastAsia="zh-CN"/>
        </w:rPr>
        <w:t xml:space="preserve"> </w:t>
      </w:r>
      <w:r>
        <w:rPr>
          <w:rFonts w:hint="eastAsia"/>
          <w:bCs/>
          <w:sz w:val="16"/>
        </w:rPr>
        <w:t>Computing methodologies~Machine learning~Learning paradigms~Supervised learning~Supervised learning by classification</w:t>
      </w:r>
    </w:p>
    <w:p w14:paraId="2C45D276">
      <w:pPr>
        <w:spacing w:after="40"/>
        <w:rPr>
          <w:bCs/>
        </w:rPr>
      </w:pPr>
      <w:r>
        <w:rPr>
          <w:rFonts w:hint="eastAsia"/>
          <w:bCs/>
          <w:sz w:val="16"/>
        </w:rPr>
        <w:t>•</w:t>
      </w:r>
      <w:r>
        <w:rPr>
          <w:rFonts w:hint="eastAsia" w:eastAsia="宋体"/>
          <w:bCs/>
          <w:sz w:val="16"/>
          <w:lang w:eastAsia="zh-CN"/>
        </w:rPr>
        <w:t xml:space="preserve"> </w:t>
      </w:r>
      <w:r>
        <w:rPr>
          <w:rFonts w:hint="eastAsia"/>
          <w:bCs/>
          <w:sz w:val="16"/>
        </w:rPr>
        <w:t>Computing methodologies~Machine learning~Machine learning approaches~Neural networks</w:t>
      </w:r>
    </w:p>
    <w:p w14:paraId="0DA7B3EA">
      <w:pPr>
        <w:spacing w:after="40"/>
      </w:pPr>
      <w:r>
        <w:rPr>
          <w:b/>
          <w:sz w:val="21"/>
        </w:rPr>
        <w:t xml:space="preserve">Keywords: </w:t>
      </w:r>
      <w:r>
        <w:rPr>
          <w:sz w:val="21"/>
        </w:rPr>
        <w:t>Digital Payment; Fraud Detection; Self-Supervised Pretraining; Mamba; State-Space Model; BankSim; Class Imbalance; Extreme-Value Theory</w:t>
      </w:r>
    </w:p>
    <w:p w14:paraId="75ADD093">
      <w:pPr>
        <w:spacing w:before="60" w:after="20"/>
        <w:outlineLvl w:val="0"/>
      </w:pPr>
      <w:bookmarkStart w:id="41" w:name="_GoBack"/>
      <w:bookmarkEnd w:id="41"/>
      <w:bookmarkStart w:id="0" w:name="_Toc7087"/>
      <w:r>
        <w:rPr>
          <w:rFonts w:hint="eastAsia" w:ascii="Arial" w:hAnsi="Arial" w:eastAsia="宋体"/>
          <w:b/>
          <w:sz w:val="21"/>
          <w:lang w:eastAsia="zh-CN"/>
        </w:rPr>
        <w:t>1</w:t>
      </w:r>
      <w:r>
        <w:rPr>
          <w:rFonts w:ascii="Arial" w:hAnsi="Arial"/>
          <w:b/>
          <w:sz w:val="21"/>
        </w:rPr>
        <w:t>. INTRODUCTION</w:t>
      </w:r>
      <w:bookmarkEnd w:id="0"/>
    </w:p>
    <w:p w14:paraId="28279CED">
      <w:pPr>
        <w:spacing w:after="50"/>
        <w:ind w:firstLine="317"/>
        <w:jc w:val="both"/>
      </w:pPr>
      <w:r>
        <w:t xml:space="preserve">Digital payments generate high-volume transaction streams in which fraudulent events are rare but operationally costly. Effective screening therefore requires high ranking quality together with low false-positive rates, because excessive alerts increase manual-review cost and customer friction. Recent payment-fraud research emphasizes the need to connect statistical discrimination with deployable risk management rather than optimizing accuracy alone. </w:t>
      </w:r>
      <w:r>
        <w:rPr>
          <w:vertAlign w:val="superscript"/>
        </w:rPr>
        <w:t>[1]</w:t>
      </w:r>
      <w:r>
        <w:t xml:space="preserve"> </w:t>
      </w:r>
      <w:r>
        <w:rPr>
          <w:vertAlign w:val="superscript"/>
        </w:rPr>
        <w:t>[2]</w:t>
      </w:r>
    </w:p>
    <w:p w14:paraId="12BBFDF4">
      <w:r>
        <w:t xml:space="preserve">Three methodological risks are particularly important. First, public reproducibility is weakened when a study reports a newly generated benchmark without releasing the generator, random seeds, parameters, and split files. Second, fraud detectors can exploit rule-feature leakage when labels are created using the same variables that are subsequently given to the model. Third, a final classifier trained with fraud labels must be compared against strong supervised models; predominantly unsupervised baselines do not provide a fair test. Benchmarking work also shows that performance can change substantially with supervision level and anomaly type. </w:t>
      </w:r>
      <w:r>
        <w:rPr>
          <w:vertAlign w:val="superscript"/>
        </w:rPr>
        <w:t>[3]</w:t>
      </w:r>
      <w:r>
        <w:t xml:space="preserve"> </w:t>
      </w:r>
      <w:r>
        <w:rPr>
          <w:vertAlign w:val="superscript"/>
        </w:rPr>
        <w:t>[4]</w:t>
      </w:r>
    </w:p>
    <w:p w14:paraId="510A228D">
      <w:pPr>
        <w:spacing w:after="50"/>
        <w:ind w:firstLine="317"/>
        <w:jc w:val="both"/>
      </w:pPr>
      <w:r>
        <w:t xml:space="preserve">Self-supervised pretraining remains useful when it is treated as a representation-learning stage rather than as the final detection paradigm. T-JEPA learns tabular representations by masked latent prediction without hand-designed augmentations, while selective state-space models provide input-dependent memory for sequential behavior. </w:t>
      </w:r>
      <w:r>
        <w:rPr>
          <w:vertAlign w:val="superscript"/>
        </w:rPr>
        <w:t>[5]</w:t>
      </w:r>
      <w:r>
        <w:t xml:space="preserve"> </w:t>
      </w:r>
      <w:r>
        <w:rPr>
          <w:vertAlign w:val="superscript"/>
        </w:rPr>
        <w:t>[6]</w:t>
      </w:r>
      <w:r>
        <w:t xml:space="preserve"> At the same time, recent work cautions that self-supervision on tabular data does not automatically improve anomaly detection, making supervised downstream evaluation and ablation essential. </w:t>
      </w:r>
      <w:r>
        <w:rPr>
          <w:vertAlign w:val="superscript"/>
        </w:rPr>
        <w:t>[7]</w:t>
      </w:r>
      <w:r>
        <w:t xml:space="preserve"> </w:t>
      </w:r>
      <w:r>
        <w:rPr>
          <w:vertAlign w:val="superscript"/>
        </w:rPr>
        <w:t>[8]</w:t>
      </w:r>
    </w:p>
    <w:p w14:paraId="0CDC5BCF">
      <w:pPr>
        <w:spacing w:after="50"/>
        <w:ind w:firstLine="317"/>
        <w:jc w:val="both"/>
      </w:pPr>
      <w:r>
        <w:t>This study makes four contributions. First, it defines a deterministic BankSim protocol with leakage-screened features, a file checksum, and strictly past-only histories. Second, it specifies semantic-field masking, exponential-moving-average target updates, collapse diagnostics, and the dimensions of the selective state-space recurrence. Third, it compares the JEPA fusion with strong supervised baselines and a matched XGBoost plus supervised SSM control under identical splits and fusion selection. Fourth, it releases model files, validation and test predictions, training logs, configuration files, resource measurements, repeated-seed ablations, and category-blind results.</w:t>
      </w:r>
    </w:p>
    <w:p w14:paraId="7CBACCD7">
      <w:pPr>
        <w:spacing w:before="60" w:after="20"/>
        <w:outlineLvl w:val="0"/>
      </w:pPr>
      <w:bookmarkStart w:id="1" w:name="_Toc11436"/>
      <w:r>
        <w:rPr>
          <w:rFonts w:hint="eastAsia" w:ascii="Arial" w:hAnsi="Arial" w:eastAsia="宋体"/>
          <w:b/>
          <w:sz w:val="21"/>
          <w:lang w:eastAsia="zh-CN"/>
        </w:rPr>
        <w:t>2</w:t>
      </w:r>
      <w:r>
        <w:rPr>
          <w:rFonts w:ascii="Arial" w:hAnsi="Arial"/>
          <w:b/>
          <w:sz w:val="21"/>
        </w:rPr>
        <w:t>. RELATED WORK</w:t>
      </w:r>
      <w:bookmarkEnd w:id="1"/>
    </w:p>
    <w:p w14:paraId="25516099">
      <w:pPr>
        <w:spacing w:before="40" w:after="20"/>
        <w:outlineLvl w:val="1"/>
      </w:pPr>
      <w:bookmarkStart w:id="2" w:name="_Toc13077"/>
      <w:r>
        <w:rPr>
          <w:rFonts w:hint="eastAsia" w:ascii="Arial" w:hAnsi="Arial" w:eastAsia="宋体"/>
          <w:b/>
          <w:sz w:val="21"/>
          <w:lang w:eastAsia="zh-CN"/>
        </w:rPr>
        <w:t xml:space="preserve">2.1 </w:t>
      </w:r>
      <w:r>
        <w:rPr>
          <w:rFonts w:ascii="Arial" w:hAnsi="Arial"/>
          <w:b/>
          <w:sz w:val="21"/>
        </w:rPr>
        <w:t>Digital-Payment Fraud and Reproducible Evaluation</w:t>
      </w:r>
      <w:bookmarkEnd w:id="2"/>
    </w:p>
    <w:p w14:paraId="3DF3973D">
      <w:pPr>
        <w:spacing w:after="50"/>
        <w:ind w:firstLine="317"/>
        <w:jc w:val="both"/>
      </w:pPr>
      <w:r>
        <w:t>Machine-learning fraud detection is dominated by class imbalance, temporal drift, and asymmetric operational costs.</w:t>
      </w:r>
      <w:r>
        <w:rPr>
          <w:rFonts w:hint="eastAsia" w:eastAsia="宋体"/>
          <w:lang w:eastAsia="zh-CN"/>
        </w:rPr>
        <w:t xml:space="preserve"> </w:t>
      </w:r>
      <w:r>
        <w:t xml:space="preserve">Fraud-detection research also extends beyond structured transaction attributes to natural-language-based approaches, illustrating the diversity of information sources and learning strategies considered in this field. </w:t>
      </w:r>
      <w:r>
        <w:rPr>
          <w:vertAlign w:val="superscript"/>
        </w:rPr>
        <w:t xml:space="preserve">[13] </w:t>
      </w:r>
      <w:r>
        <w:t xml:space="preserve">Reviews published since 2022 report widespread use of tree ensembles and neural models, while stressing that dataset choice and evaluation protocol materially affect conclusions. </w:t>
      </w:r>
      <w:r>
        <w:rPr>
          <w:vertAlign w:val="superscript"/>
        </w:rPr>
        <w:t>[1]</w:t>
      </w:r>
      <w:r>
        <w:t xml:space="preserve"> </w:t>
      </w:r>
      <w:r>
        <w:rPr>
          <w:vertAlign w:val="superscript"/>
        </w:rPr>
        <w:t>[2]</w:t>
      </w:r>
      <w:r>
        <w:t xml:space="preserve"> </w:t>
      </w:r>
      <w:r>
        <w:rPr>
          <w:vertAlign w:val="superscript"/>
        </w:rPr>
        <w:t>[9]</w:t>
      </w:r>
      <w:r>
        <w:t xml:space="preserve"> The BankSim corpus contains 594,643 labeled transactions with 7,200 frauds and is widely used as a public synthetic payment benchmark. </w:t>
      </w:r>
      <w:r>
        <w:rPr>
          <w:vertAlign w:val="superscript"/>
        </w:rPr>
        <w:t>[9]</w:t>
      </w:r>
      <w:r>
        <w:t xml:space="preserve"> Because its category distribution is highly uneven, evaluation should also test whether models simply exploit category-level priors.</w:t>
      </w:r>
    </w:p>
    <w:p w14:paraId="44FDC7D7">
      <w:pPr>
        <w:spacing w:before="40" w:after="20"/>
        <w:outlineLvl w:val="1"/>
      </w:pPr>
      <w:bookmarkStart w:id="3" w:name="_Toc30956"/>
      <w:r>
        <w:rPr>
          <w:rFonts w:hint="eastAsia" w:ascii="Arial" w:hAnsi="Arial" w:eastAsia="宋体"/>
          <w:b/>
          <w:sz w:val="21"/>
          <w:lang w:eastAsia="zh-CN"/>
        </w:rPr>
        <w:t>2.2</w:t>
      </w:r>
      <w:r>
        <w:rPr>
          <w:rFonts w:ascii="Arial" w:hAnsi="Arial"/>
          <w:b/>
          <w:sz w:val="21"/>
        </w:rPr>
        <w:t xml:space="preserve"> Tabular Representation Learning and Sequence Modeling</w:t>
      </w:r>
      <w:bookmarkEnd w:id="3"/>
    </w:p>
    <w:p w14:paraId="56E86449">
      <w:pPr>
        <w:spacing w:after="50"/>
        <w:ind w:firstLine="317"/>
        <w:jc w:val="both"/>
      </w:pPr>
      <w:r>
        <w:t>Recent tabular anomaly-detection research has moved beyond independent sample reconstruction toward representation and cross-sample structure, including decomposed representation learning for tabular anomaly detection</w:t>
      </w:r>
      <w:r>
        <w:rPr>
          <w:rFonts w:hint="eastAsia" w:eastAsia="宋体"/>
          <w:lang w:val="en-US" w:eastAsia="zh-CN"/>
        </w:rPr>
        <w:t>.</w:t>
      </w:r>
      <w:r>
        <w:rPr>
          <w:vertAlign w:val="superscript"/>
        </w:rPr>
        <w:t>[11]</w:t>
      </w:r>
      <w:r>
        <w:t xml:space="preserve"> ADBench demonstrates the importance of comparing multiple supervision regimes, while recent deep tabular methods model feature and sample dependencies. </w:t>
      </w:r>
      <w:r>
        <w:rPr>
          <w:vertAlign w:val="superscript"/>
        </w:rPr>
        <w:t>[3]</w:t>
      </w:r>
      <w:r>
        <w:t xml:space="preserve"> </w:t>
      </w:r>
      <w:r>
        <w:rPr>
          <w:vertAlign w:val="superscript"/>
        </w:rPr>
        <w:t>[8]</w:t>
      </w:r>
      <w:r>
        <w:rPr>
          <w:rFonts w:hint="eastAsia" w:eastAsia="宋体"/>
          <w:vertAlign w:val="superscript"/>
          <w:lang w:eastAsia="zh-CN"/>
        </w:rPr>
        <w:t xml:space="preserve"> [12]</w:t>
      </w:r>
      <w:r>
        <w:t xml:space="preserve"> T-JEPA uses augmentation-free joint-embedding predictive pretraining, and Mamba introduces selective state transitions whose parameters depend on the current input. </w:t>
      </w:r>
      <w:r>
        <w:rPr>
          <w:vertAlign w:val="superscript"/>
        </w:rPr>
        <w:t>[5]</w:t>
      </w:r>
      <w:r>
        <w:t xml:space="preserve"> </w:t>
      </w:r>
      <w:r>
        <w:rPr>
          <w:vertAlign w:val="superscript"/>
        </w:rPr>
        <w:t>[6]</w:t>
      </w:r>
      <w:r>
        <w:t xml:space="preserve"> These ideas motivate distinct attribute and behavioral views in the proposed detector.</w:t>
      </w:r>
    </w:p>
    <w:p w14:paraId="2C5C34EA">
      <w:pPr>
        <w:spacing w:before="40" w:after="20"/>
        <w:outlineLvl w:val="1"/>
      </w:pPr>
      <w:bookmarkStart w:id="4" w:name="_Toc19620"/>
      <w:r>
        <w:rPr>
          <w:rFonts w:hint="eastAsia" w:ascii="Arial" w:hAnsi="Arial" w:eastAsia="宋体"/>
          <w:b/>
          <w:sz w:val="21"/>
          <w:lang w:eastAsia="zh-CN"/>
        </w:rPr>
        <w:t>2</w:t>
      </w:r>
      <w:r>
        <w:rPr>
          <w:rFonts w:ascii="Arial" w:hAnsi="Arial"/>
          <w:b/>
          <w:sz w:val="21"/>
        </w:rPr>
        <w:t>.</w:t>
      </w:r>
      <w:r>
        <w:rPr>
          <w:rFonts w:hint="eastAsia" w:ascii="Arial" w:hAnsi="Arial" w:eastAsia="宋体"/>
          <w:b/>
          <w:sz w:val="21"/>
          <w:lang w:eastAsia="zh-CN"/>
        </w:rPr>
        <w:t>3</w:t>
      </w:r>
      <w:r>
        <w:rPr>
          <w:rFonts w:ascii="Arial" w:hAnsi="Arial"/>
          <w:b/>
          <w:sz w:val="21"/>
        </w:rPr>
        <w:t xml:space="preserve"> Adaptive Decision Thresholds</w:t>
      </w:r>
      <w:bookmarkEnd w:id="4"/>
    </w:p>
    <w:p w14:paraId="6866BA2A">
      <w:pPr>
        <w:spacing w:after="50"/>
        <w:ind w:firstLine="317"/>
        <w:jc w:val="both"/>
      </w:pPr>
      <w:r>
        <w:t xml:space="preserve">A ranking model does not by itself determine an operational alert rate. Recent work on adaptive anomaly thresholds emphasizes that decision rules must be estimated without test-label leakage and should account for distributional change. </w:t>
      </w:r>
      <w:r>
        <w:rPr>
          <w:vertAlign w:val="superscript"/>
        </w:rPr>
        <w:t>[10]</w:t>
      </w:r>
      <w:r>
        <w:t xml:space="preserve"> In this study, ranking metrics are reported independently of threshold choice, and a Peaks-Over-Threshold generalized Pareto model is fitted only to validation-normal scores for sensitivity analysis.</w:t>
      </w:r>
    </w:p>
    <w:p w14:paraId="4800D033">
      <w:pPr>
        <w:spacing w:before="60" w:after="20"/>
        <w:outlineLvl w:val="0"/>
      </w:pPr>
      <w:bookmarkStart w:id="5" w:name="_Toc4214"/>
      <w:r>
        <w:rPr>
          <w:rFonts w:hint="eastAsia" w:ascii="Arial" w:hAnsi="Arial" w:eastAsia="宋体"/>
          <w:b/>
          <w:sz w:val="21"/>
          <w:lang w:eastAsia="zh-CN"/>
        </w:rPr>
        <w:t>3</w:t>
      </w:r>
      <w:r>
        <w:rPr>
          <w:rFonts w:ascii="Arial" w:hAnsi="Arial"/>
          <w:b/>
          <w:sz w:val="21"/>
        </w:rPr>
        <w:t>. PUBLIC BENCHMARK AND LEAKAGE-SAFE PROTOCOL</w:t>
      </w:r>
      <w:bookmarkEnd w:id="5"/>
    </w:p>
    <w:p w14:paraId="6240006E">
      <w:pPr>
        <w:spacing w:before="40" w:after="20"/>
        <w:outlineLvl w:val="1"/>
      </w:pPr>
      <w:bookmarkStart w:id="6" w:name="_Toc15355"/>
      <w:r>
        <w:rPr>
          <w:rFonts w:hint="eastAsia" w:ascii="Arial" w:hAnsi="Arial" w:eastAsia="宋体"/>
          <w:b/>
          <w:sz w:val="21"/>
          <w:lang w:eastAsia="zh-CN"/>
        </w:rPr>
        <w:t>3</w:t>
      </w:r>
      <w:r>
        <w:rPr>
          <w:rFonts w:ascii="Arial" w:hAnsi="Arial"/>
          <w:b/>
          <w:sz w:val="21"/>
        </w:rPr>
        <w:t>.</w:t>
      </w:r>
      <w:r>
        <w:rPr>
          <w:rFonts w:hint="eastAsia" w:ascii="Arial" w:hAnsi="Arial" w:eastAsia="宋体"/>
          <w:b/>
          <w:sz w:val="21"/>
          <w:lang w:eastAsia="zh-CN"/>
        </w:rPr>
        <w:t>1</w:t>
      </w:r>
      <w:r>
        <w:rPr>
          <w:rFonts w:ascii="Arial" w:hAnsi="Arial"/>
          <w:b/>
          <w:sz w:val="21"/>
        </w:rPr>
        <w:t xml:space="preserve"> BankSim Data and Chronological Split</w:t>
      </w:r>
      <w:bookmarkEnd w:id="6"/>
    </w:p>
    <w:p w14:paraId="33B44B04">
      <w:pPr>
        <w:spacing w:after="50"/>
        <w:jc w:val="left"/>
      </w:pPr>
      <w:r>
        <w:t xml:space="preserve">The experiment uses bs140513_032310.csv from the public ealaxi/banksim1 BankSim distribution. The file contains 594,643 transactions across steps 0-179, 4,112 customers, 50 merchants, 15 transaction categories, and 7,200 fraud labels (1.21%). </w:t>
      </w:r>
      <w:r>
        <w:rPr>
          <w:vertAlign w:val="superscript"/>
        </w:rPr>
        <w:t>[9]</w:t>
      </w:r>
      <w:r>
        <w:t xml:space="preserve"> </w:t>
      </w:r>
      <w:r>
        <w:rPr>
          <w:vertAlign w:val="superscript"/>
        </w:rPr>
        <w:t>[14]</w:t>
      </w:r>
      <w:r>
        <w:t xml:space="preserve"> </w:t>
      </w:r>
      <w:r>
        <w:rPr>
          <w:rFonts w:hint="eastAsia"/>
        </w:rPr>
        <w:t>The verified SHA-256 checksum is</w:t>
      </w:r>
      <w:r>
        <w:rPr>
          <w:rFonts w:hint="eastAsia" w:eastAsia="宋体"/>
          <w:lang w:val="en-US" w:eastAsia="zh-CN"/>
        </w:rPr>
        <w:t xml:space="preserve"> </w:t>
      </w:r>
      <w:r>
        <w:rPr>
          <w:rFonts w:hint="eastAsia"/>
        </w:rPr>
        <w:t>e37006f76d993bfaec3a02d717b4f0bdc1ebfa5d36449e91fb7c07e225278377. No anomaly generator or manually injected pattern is used</w:t>
      </w:r>
      <w:r>
        <w:t>.</w:t>
      </w:r>
    </w:p>
    <w:p w14:paraId="26AEADB9">
      <w:pPr>
        <w:spacing w:before="40" w:after="20"/>
        <w:jc w:val="center"/>
      </w:pPr>
      <w:r>
        <w:rPr>
          <w:b/>
          <w:sz w:val="20"/>
        </w:rPr>
        <w:t>Table 1. Deterministic chronological data split</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967"/>
        <w:gridCol w:w="1967"/>
        <w:gridCol w:w="1967"/>
        <w:gridCol w:w="1967"/>
        <w:gridCol w:w="1967"/>
      </w:tblGrid>
      <w:tr w14:paraId="74C4982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967" w:type="dxa"/>
            <w:tcBorders>
              <w:top w:val="single" w:color="auto" w:sz="8" w:space="0"/>
              <w:left w:val="nil"/>
              <w:bottom w:val="single" w:color="auto" w:sz="8" w:space="0"/>
              <w:right w:val="nil"/>
            </w:tcBorders>
            <w:shd w:val="clear" w:color="auto" w:fill="D9EAF7"/>
            <w:vAlign w:val="center"/>
          </w:tcPr>
          <w:p w14:paraId="164B60CF">
            <w:pPr>
              <w:jc w:val="center"/>
            </w:pPr>
            <w:r>
              <w:rPr>
                <w:b/>
                <w:sz w:val="13"/>
              </w:rPr>
              <w:t>Partition</w:t>
            </w:r>
          </w:p>
        </w:tc>
        <w:tc>
          <w:tcPr>
            <w:tcW w:w="1967" w:type="dxa"/>
            <w:tcBorders>
              <w:top w:val="single" w:color="auto" w:sz="8" w:space="0"/>
              <w:left w:val="nil"/>
              <w:bottom w:val="single" w:color="auto" w:sz="8" w:space="0"/>
              <w:right w:val="nil"/>
            </w:tcBorders>
            <w:shd w:val="clear" w:color="auto" w:fill="D9EAF7"/>
            <w:vAlign w:val="center"/>
          </w:tcPr>
          <w:p w14:paraId="64CDAD6E">
            <w:pPr>
              <w:jc w:val="center"/>
            </w:pPr>
            <w:r>
              <w:rPr>
                <w:b/>
                <w:sz w:val="13"/>
              </w:rPr>
              <w:t>Steps</w:t>
            </w:r>
          </w:p>
        </w:tc>
        <w:tc>
          <w:tcPr>
            <w:tcW w:w="1967" w:type="dxa"/>
            <w:tcBorders>
              <w:top w:val="single" w:color="auto" w:sz="8" w:space="0"/>
              <w:left w:val="nil"/>
              <w:bottom w:val="single" w:color="auto" w:sz="8" w:space="0"/>
              <w:right w:val="nil"/>
            </w:tcBorders>
            <w:shd w:val="clear" w:color="auto" w:fill="D9EAF7"/>
            <w:vAlign w:val="center"/>
          </w:tcPr>
          <w:p w14:paraId="418332B2">
            <w:pPr>
              <w:jc w:val="center"/>
            </w:pPr>
            <w:r>
              <w:rPr>
                <w:b/>
                <w:sz w:val="13"/>
              </w:rPr>
              <w:t>Transactions</w:t>
            </w:r>
          </w:p>
        </w:tc>
        <w:tc>
          <w:tcPr>
            <w:tcW w:w="1967" w:type="dxa"/>
            <w:tcBorders>
              <w:top w:val="single" w:color="auto" w:sz="8" w:space="0"/>
              <w:left w:val="nil"/>
              <w:bottom w:val="single" w:color="auto" w:sz="8" w:space="0"/>
              <w:right w:val="nil"/>
            </w:tcBorders>
            <w:shd w:val="clear" w:color="auto" w:fill="D9EAF7"/>
            <w:vAlign w:val="center"/>
          </w:tcPr>
          <w:p w14:paraId="613CB96B">
            <w:pPr>
              <w:jc w:val="center"/>
            </w:pPr>
            <w:r>
              <w:rPr>
                <w:b/>
                <w:sz w:val="13"/>
              </w:rPr>
              <w:t>Frauds</w:t>
            </w:r>
          </w:p>
        </w:tc>
        <w:tc>
          <w:tcPr>
            <w:tcW w:w="1967" w:type="dxa"/>
            <w:tcBorders>
              <w:top w:val="single" w:color="auto" w:sz="8" w:space="0"/>
              <w:left w:val="nil"/>
              <w:bottom w:val="single" w:color="auto" w:sz="8" w:space="0"/>
              <w:right w:val="nil"/>
            </w:tcBorders>
            <w:shd w:val="clear" w:color="auto" w:fill="D9EAF7"/>
            <w:vAlign w:val="center"/>
          </w:tcPr>
          <w:p w14:paraId="71A22725">
            <w:pPr>
              <w:jc w:val="center"/>
            </w:pPr>
            <w:r>
              <w:rPr>
                <w:b/>
                <w:sz w:val="13"/>
              </w:rPr>
              <w:t>Fraud rate</w:t>
            </w:r>
          </w:p>
        </w:tc>
      </w:tr>
      <w:tr w14:paraId="7C581A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967" w:type="dxa"/>
            <w:tcBorders>
              <w:top w:val="nil"/>
              <w:left w:val="nil"/>
              <w:bottom w:val="nil"/>
              <w:right w:val="nil"/>
            </w:tcBorders>
            <w:vAlign w:val="center"/>
          </w:tcPr>
          <w:p w14:paraId="350DBE40">
            <w:pPr>
              <w:jc w:val="center"/>
            </w:pPr>
            <w:r>
              <w:rPr>
                <w:sz w:val="13"/>
              </w:rPr>
              <w:t>Train</w:t>
            </w:r>
          </w:p>
        </w:tc>
        <w:tc>
          <w:tcPr>
            <w:tcW w:w="1967" w:type="dxa"/>
            <w:tcBorders>
              <w:top w:val="nil"/>
              <w:left w:val="nil"/>
              <w:bottom w:val="nil"/>
              <w:right w:val="nil"/>
            </w:tcBorders>
            <w:vAlign w:val="center"/>
          </w:tcPr>
          <w:p w14:paraId="6B486BFF">
            <w:pPr>
              <w:jc w:val="center"/>
            </w:pPr>
            <w:r>
              <w:rPr>
                <w:sz w:val="13"/>
              </w:rPr>
              <w:t>0-107</w:t>
            </w:r>
          </w:p>
        </w:tc>
        <w:tc>
          <w:tcPr>
            <w:tcW w:w="1967" w:type="dxa"/>
            <w:tcBorders>
              <w:top w:val="nil"/>
              <w:left w:val="nil"/>
              <w:bottom w:val="nil"/>
              <w:right w:val="nil"/>
            </w:tcBorders>
            <w:vAlign w:val="center"/>
          </w:tcPr>
          <w:p w14:paraId="5464122B">
            <w:pPr>
              <w:jc w:val="center"/>
            </w:pPr>
            <w:r>
              <w:rPr>
                <w:sz w:val="13"/>
              </w:rPr>
              <w:t>332,592</w:t>
            </w:r>
          </w:p>
        </w:tc>
        <w:tc>
          <w:tcPr>
            <w:tcW w:w="1967" w:type="dxa"/>
            <w:tcBorders>
              <w:top w:val="nil"/>
              <w:left w:val="nil"/>
              <w:bottom w:val="nil"/>
              <w:right w:val="nil"/>
            </w:tcBorders>
            <w:vAlign w:val="center"/>
          </w:tcPr>
          <w:p w14:paraId="1E19D144">
            <w:pPr>
              <w:jc w:val="center"/>
            </w:pPr>
            <w:r>
              <w:rPr>
                <w:sz w:val="13"/>
              </w:rPr>
              <w:t>4,320</w:t>
            </w:r>
          </w:p>
        </w:tc>
        <w:tc>
          <w:tcPr>
            <w:tcW w:w="1967" w:type="dxa"/>
            <w:tcBorders>
              <w:top w:val="nil"/>
              <w:left w:val="nil"/>
              <w:bottom w:val="nil"/>
              <w:right w:val="nil"/>
            </w:tcBorders>
            <w:vAlign w:val="center"/>
          </w:tcPr>
          <w:p w14:paraId="5F7DE8C8">
            <w:pPr>
              <w:jc w:val="center"/>
            </w:pPr>
            <w:r>
              <w:rPr>
                <w:sz w:val="13"/>
              </w:rPr>
              <w:t>1.30%</w:t>
            </w:r>
          </w:p>
        </w:tc>
      </w:tr>
      <w:tr w14:paraId="54194EF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967" w:type="dxa"/>
            <w:tcBorders>
              <w:top w:val="nil"/>
              <w:left w:val="nil"/>
              <w:bottom w:val="nil"/>
              <w:right w:val="nil"/>
            </w:tcBorders>
            <w:vAlign w:val="center"/>
          </w:tcPr>
          <w:p w14:paraId="5B030B8C">
            <w:pPr>
              <w:jc w:val="center"/>
            </w:pPr>
            <w:r>
              <w:rPr>
                <w:sz w:val="13"/>
              </w:rPr>
              <w:t>Validation</w:t>
            </w:r>
          </w:p>
        </w:tc>
        <w:tc>
          <w:tcPr>
            <w:tcW w:w="1967" w:type="dxa"/>
            <w:tcBorders>
              <w:top w:val="nil"/>
              <w:left w:val="nil"/>
              <w:bottom w:val="nil"/>
              <w:right w:val="nil"/>
            </w:tcBorders>
            <w:vAlign w:val="center"/>
          </w:tcPr>
          <w:p w14:paraId="1EDEF15F">
            <w:pPr>
              <w:jc w:val="center"/>
            </w:pPr>
            <w:r>
              <w:rPr>
                <w:sz w:val="13"/>
              </w:rPr>
              <w:t>108-143</w:t>
            </w:r>
          </w:p>
        </w:tc>
        <w:tc>
          <w:tcPr>
            <w:tcW w:w="1967" w:type="dxa"/>
            <w:tcBorders>
              <w:top w:val="nil"/>
              <w:left w:val="nil"/>
              <w:bottom w:val="nil"/>
              <w:right w:val="nil"/>
            </w:tcBorders>
            <w:vAlign w:val="center"/>
          </w:tcPr>
          <w:p w14:paraId="69DE987C">
            <w:pPr>
              <w:jc w:val="center"/>
            </w:pPr>
            <w:r>
              <w:rPr>
                <w:sz w:val="13"/>
              </w:rPr>
              <w:t>128,820</w:t>
            </w:r>
          </w:p>
        </w:tc>
        <w:tc>
          <w:tcPr>
            <w:tcW w:w="1967" w:type="dxa"/>
            <w:tcBorders>
              <w:top w:val="nil"/>
              <w:left w:val="nil"/>
              <w:bottom w:val="nil"/>
              <w:right w:val="nil"/>
            </w:tcBorders>
            <w:vAlign w:val="center"/>
          </w:tcPr>
          <w:p w14:paraId="1B8CB81F">
            <w:pPr>
              <w:jc w:val="center"/>
            </w:pPr>
            <w:r>
              <w:rPr>
                <w:sz w:val="13"/>
              </w:rPr>
              <w:t>1,440</w:t>
            </w:r>
          </w:p>
        </w:tc>
        <w:tc>
          <w:tcPr>
            <w:tcW w:w="1967" w:type="dxa"/>
            <w:tcBorders>
              <w:top w:val="nil"/>
              <w:left w:val="nil"/>
              <w:bottom w:val="nil"/>
              <w:right w:val="nil"/>
            </w:tcBorders>
            <w:vAlign w:val="center"/>
          </w:tcPr>
          <w:p w14:paraId="00804665">
            <w:pPr>
              <w:jc w:val="center"/>
            </w:pPr>
            <w:r>
              <w:rPr>
                <w:sz w:val="13"/>
              </w:rPr>
              <w:t>1.12%</w:t>
            </w:r>
          </w:p>
        </w:tc>
      </w:tr>
      <w:tr w14:paraId="49D16E2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967" w:type="dxa"/>
            <w:tcBorders>
              <w:top w:val="single" w:color="auto" w:sz="8" w:space="0"/>
              <w:left w:val="nil"/>
              <w:bottom w:val="single" w:color="auto" w:sz="8" w:space="0"/>
              <w:right w:val="nil"/>
            </w:tcBorders>
            <w:vAlign w:val="center"/>
          </w:tcPr>
          <w:p w14:paraId="69F6E4AB">
            <w:pPr>
              <w:jc w:val="center"/>
            </w:pPr>
            <w:r>
              <w:rPr>
                <w:sz w:val="13"/>
              </w:rPr>
              <w:t>Test</w:t>
            </w:r>
          </w:p>
        </w:tc>
        <w:tc>
          <w:tcPr>
            <w:tcW w:w="1967" w:type="dxa"/>
            <w:tcBorders>
              <w:top w:val="single" w:color="auto" w:sz="8" w:space="0"/>
              <w:left w:val="nil"/>
              <w:bottom w:val="single" w:color="auto" w:sz="8" w:space="0"/>
              <w:right w:val="nil"/>
            </w:tcBorders>
            <w:vAlign w:val="center"/>
          </w:tcPr>
          <w:p w14:paraId="3FAF6D5B">
            <w:pPr>
              <w:jc w:val="center"/>
            </w:pPr>
            <w:r>
              <w:rPr>
                <w:sz w:val="13"/>
              </w:rPr>
              <w:t>144-179</w:t>
            </w:r>
          </w:p>
        </w:tc>
        <w:tc>
          <w:tcPr>
            <w:tcW w:w="1967" w:type="dxa"/>
            <w:tcBorders>
              <w:top w:val="single" w:color="auto" w:sz="8" w:space="0"/>
              <w:left w:val="nil"/>
              <w:bottom w:val="single" w:color="auto" w:sz="8" w:space="0"/>
              <w:right w:val="nil"/>
            </w:tcBorders>
            <w:vAlign w:val="center"/>
          </w:tcPr>
          <w:p w14:paraId="480311DA">
            <w:pPr>
              <w:jc w:val="center"/>
            </w:pPr>
            <w:r>
              <w:rPr>
                <w:sz w:val="13"/>
              </w:rPr>
              <w:t>133,231</w:t>
            </w:r>
          </w:p>
        </w:tc>
        <w:tc>
          <w:tcPr>
            <w:tcW w:w="1967" w:type="dxa"/>
            <w:tcBorders>
              <w:top w:val="single" w:color="auto" w:sz="8" w:space="0"/>
              <w:left w:val="nil"/>
              <w:bottom w:val="single" w:color="auto" w:sz="8" w:space="0"/>
              <w:right w:val="nil"/>
            </w:tcBorders>
            <w:vAlign w:val="center"/>
          </w:tcPr>
          <w:p w14:paraId="38D0B136">
            <w:pPr>
              <w:jc w:val="center"/>
            </w:pPr>
            <w:r>
              <w:rPr>
                <w:sz w:val="13"/>
              </w:rPr>
              <w:t>1,440</w:t>
            </w:r>
          </w:p>
        </w:tc>
        <w:tc>
          <w:tcPr>
            <w:tcW w:w="1967" w:type="dxa"/>
            <w:tcBorders>
              <w:top w:val="single" w:color="auto" w:sz="8" w:space="0"/>
              <w:left w:val="nil"/>
              <w:bottom w:val="single" w:color="auto" w:sz="8" w:space="0"/>
              <w:right w:val="nil"/>
            </w:tcBorders>
            <w:vAlign w:val="center"/>
          </w:tcPr>
          <w:p w14:paraId="392B365D">
            <w:pPr>
              <w:jc w:val="center"/>
            </w:pPr>
            <w:r>
              <w:rPr>
                <w:sz w:val="13"/>
              </w:rPr>
              <w:t>1.08%</w:t>
            </w:r>
          </w:p>
        </w:tc>
      </w:tr>
    </w:tbl>
    <w:p w14:paraId="027B4B8D">
      <w:pPr>
        <w:spacing w:after="50"/>
        <w:ind w:firstLine="317"/>
        <w:jc w:val="both"/>
      </w:pPr>
      <w:r>
        <w:rPr>
          <w:sz w:val="21"/>
        </w:rPr>
        <w:t>All hyperparameter selection, score fusion, and threshold fitting use only the training and validation periods. The test period is held out until final evaluation. The split is deterministic; therefore no split seed is required.</w:t>
      </w:r>
    </w:p>
    <w:p w14:paraId="4F0E05FC">
      <w:pPr>
        <w:spacing w:before="20"/>
        <w:jc w:val="center"/>
      </w:pPr>
      <w:r>
        <w:drawing>
          <wp:inline distT="0" distB="0" distL="114300" distR="114300">
            <wp:extent cx="4610735" cy="260096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10735" cy="2600960"/>
                    </a:xfrm>
                    <a:prstGeom prst="rect">
                      <a:avLst/>
                    </a:prstGeom>
                  </pic:spPr>
                </pic:pic>
              </a:graphicData>
            </a:graphic>
          </wp:inline>
        </w:drawing>
      </w:r>
    </w:p>
    <w:p w14:paraId="6808835E">
      <w:pPr>
        <w:spacing w:before="20" w:after="40"/>
        <w:jc w:val="center"/>
      </w:pPr>
      <w:r>
        <w:rPr>
          <w:sz w:val="20"/>
        </w:rPr>
        <w:t>Figure 1. Category-level fraud prevalence in the public BankSim benchmark.</w:t>
      </w:r>
    </w:p>
    <w:p w14:paraId="29A4906E">
      <w:pPr>
        <w:spacing w:before="40" w:after="20"/>
        <w:outlineLvl w:val="1"/>
      </w:pPr>
      <w:bookmarkStart w:id="7" w:name="_Toc30890"/>
      <w:r>
        <w:rPr>
          <w:rFonts w:hint="eastAsia" w:ascii="Arial" w:hAnsi="Arial" w:eastAsia="宋体"/>
          <w:b/>
          <w:sz w:val="21"/>
          <w:lang w:eastAsia="zh-CN"/>
        </w:rPr>
        <w:t>3</w:t>
      </w:r>
      <w:r>
        <w:rPr>
          <w:rFonts w:ascii="Arial" w:hAnsi="Arial"/>
          <w:b/>
          <w:sz w:val="21"/>
        </w:rPr>
        <w:t>.</w:t>
      </w:r>
      <w:r>
        <w:rPr>
          <w:rFonts w:hint="eastAsia" w:ascii="Arial" w:hAnsi="Arial" w:eastAsia="宋体"/>
          <w:b/>
          <w:sz w:val="21"/>
          <w:lang w:eastAsia="zh-CN"/>
        </w:rPr>
        <w:t>2</w:t>
      </w:r>
      <w:r>
        <w:rPr>
          <w:rFonts w:ascii="Arial" w:hAnsi="Arial"/>
          <w:b/>
          <w:sz w:val="21"/>
        </w:rPr>
        <w:t xml:space="preserve"> Leakage Audit and Past-Only Histories</w:t>
      </w:r>
      <w:bookmarkEnd w:id="7"/>
    </w:p>
    <w:p w14:paraId="2945994A">
      <w:pPr>
        <w:spacing w:after="50"/>
        <w:ind w:firstLine="317"/>
        <w:jc w:val="both"/>
      </w:pPr>
      <w:r>
        <w:rPr>
          <w:sz w:val="21"/>
        </w:rPr>
        <w:t>The revised feature protocol removes every variable that could act as an identity shortcut or duplicate the earlier rule-based anomaly construction. customer is used only to group historical events and is never presented to a model. merchant is excluded from all model inputs. zipcodeOri and zipMerchant are removed because they are constant in this file. No balance-depletion, balance-ratio, accounting-residual, cash-out-template, or manually constructed rule-defining feature is used.</w:t>
      </w:r>
    </w:p>
    <w:p w14:paraId="6E1670BD">
      <w:pPr>
        <w:spacing w:after="50"/>
        <w:ind w:firstLine="317"/>
        <w:jc w:val="both"/>
      </w:pPr>
      <w:r>
        <w:rPr>
          <w:sz w:val="21"/>
        </w:rPr>
        <w:t>For transaction i at time step t, the behavioral view contains at most the previous 12 events of the same customer. History is assigned before any event at step t is inserted into the customer buffer, so transactions occurring in the same time step cannot leak into one another. Each historical event contains standardized log(1+amount), a capped time gap, and a six-dimensional category embedding. The current attribute view uses log amount, normalized time step, past-only history count, historical mean, standard deviation and maximum amount, recency, category-repeat fraction, age, gender, and transaction category. Continuous variables are standardized using training statistics only.</w:t>
      </w:r>
    </w:p>
    <w:p w14:paraId="6DF00016">
      <w:pPr>
        <w:spacing w:after="50"/>
        <w:ind w:firstLine="317"/>
        <w:jc w:val="both"/>
      </w:pPr>
      <w:r>
        <w:rPr>
          <w:sz w:val="21"/>
        </w:rPr>
        <w:t>Transaction category is retained because it is an observable transaction attribute rather than a label-generation rule; however, Figure 1 shows that it is strongly associated with fraud in BankSim. A category-blind robustness experiment therefore removes category from both the current view and the sequence view and retrains the detector from scratch.</w:t>
      </w:r>
    </w:p>
    <w:p w14:paraId="2B404EE5">
      <w:pPr>
        <w:spacing w:before="60" w:after="20"/>
        <w:outlineLvl w:val="0"/>
      </w:pPr>
      <w:bookmarkStart w:id="8" w:name="_Toc22612"/>
      <w:r>
        <w:rPr>
          <w:rFonts w:hint="eastAsia" w:eastAsia="宋体"/>
          <w:b/>
          <w:lang w:eastAsia="zh-CN"/>
        </w:rPr>
        <w:t>4</w:t>
      </w:r>
      <w:r>
        <w:rPr>
          <w:b/>
        </w:rPr>
        <w:t>. MAMBAJEPA-AD FRAMEWORK</w:t>
      </w:r>
      <w:bookmarkEnd w:id="8"/>
    </w:p>
    <w:p w14:paraId="5D1F6741">
      <w:pPr>
        <w:spacing w:before="40" w:after="20"/>
        <w:outlineLvl w:val="1"/>
      </w:pPr>
      <w:bookmarkStart w:id="9" w:name="_Toc15846"/>
      <w:r>
        <w:rPr>
          <w:rFonts w:hint="eastAsia" w:ascii="Arial" w:hAnsi="Arial" w:eastAsia="宋体"/>
          <w:b/>
          <w:sz w:val="21"/>
          <w:lang w:eastAsia="zh-CN"/>
        </w:rPr>
        <w:t>4</w:t>
      </w:r>
      <w:r>
        <w:rPr>
          <w:rFonts w:ascii="Arial" w:hAnsi="Arial"/>
          <w:b/>
          <w:sz w:val="21"/>
        </w:rPr>
        <w:t>.</w:t>
      </w:r>
      <w:r>
        <w:rPr>
          <w:rFonts w:hint="eastAsia" w:ascii="Arial" w:hAnsi="Arial" w:eastAsia="宋体"/>
          <w:b/>
          <w:sz w:val="21"/>
          <w:lang w:eastAsia="zh-CN"/>
        </w:rPr>
        <w:t>1</w:t>
      </w:r>
      <w:r>
        <w:rPr>
          <w:rFonts w:ascii="Arial" w:hAnsi="Arial"/>
          <w:b/>
          <w:sz w:val="21"/>
        </w:rPr>
        <w:t xml:space="preserve"> Two-Stage Learning and Risk Fusion</w:t>
      </w:r>
      <w:bookmarkEnd w:id="9"/>
    </w:p>
    <w:p w14:paraId="18C90E12">
      <w:pPr>
        <w:spacing w:after="50"/>
        <w:ind w:firstLine="317"/>
        <w:jc w:val="both"/>
      </w:pPr>
      <w:r>
        <w:t>Figure 2 summarizes the two-stage framework. Stage 1 uses no fraud labels: the masked attribute encoder and behavioral encoder predict and align representations from the training period. Stage 2 fine-tunes the network with fraud labels and class-weighted binary cross-entropy. MambaJEPA-AD is therefore a supervised fraud detector initialized by self-supervised representation learning.</w:t>
      </w:r>
    </w:p>
    <w:p w14:paraId="742D79C4">
      <w:pPr>
        <w:spacing w:before="20"/>
        <w:jc w:val="center"/>
      </w:pPr>
      <w:r>
        <w:drawing>
          <wp:inline distT="0" distB="0" distL="114300" distR="114300">
            <wp:extent cx="5022850" cy="25507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2850" cy="2550795"/>
                    </a:xfrm>
                    <a:prstGeom prst="rect">
                      <a:avLst/>
                    </a:prstGeom>
                  </pic:spPr>
                </pic:pic>
              </a:graphicData>
            </a:graphic>
          </wp:inline>
        </w:drawing>
      </w:r>
    </w:p>
    <w:p w14:paraId="0FA53B02">
      <w:pPr>
        <w:spacing w:before="20" w:after="40"/>
        <w:jc w:val="center"/>
      </w:pPr>
      <w:r>
        <w:t>Figure 2. Two-stage MambaJEPA-AD architecture and decision pipeline.</w:t>
      </w:r>
    </w:p>
    <w:p w14:paraId="50D5774B">
      <w:pPr>
        <w:spacing w:before="40" w:after="20"/>
        <w:outlineLvl w:val="1"/>
      </w:pPr>
      <w:bookmarkStart w:id="10" w:name="_Toc28274"/>
      <w:r>
        <w:rPr>
          <w:rFonts w:hint="eastAsia" w:ascii="Arial" w:hAnsi="Arial" w:eastAsia="宋体"/>
          <w:b/>
          <w:sz w:val="21"/>
          <w:lang w:eastAsia="zh-CN"/>
        </w:rPr>
        <w:t>4</w:t>
      </w:r>
      <w:r>
        <w:rPr>
          <w:rFonts w:ascii="Arial" w:hAnsi="Arial"/>
          <w:b/>
          <w:sz w:val="21"/>
        </w:rPr>
        <w:t>.</w:t>
      </w:r>
      <w:r>
        <w:rPr>
          <w:rFonts w:hint="eastAsia" w:ascii="Arial" w:hAnsi="Arial" w:eastAsia="宋体"/>
          <w:b/>
          <w:sz w:val="21"/>
          <w:lang w:eastAsia="zh-CN"/>
        </w:rPr>
        <w:t>2</w:t>
      </w:r>
      <w:r>
        <w:rPr>
          <w:rFonts w:ascii="Arial" w:hAnsi="Arial"/>
          <w:b/>
          <w:sz w:val="21"/>
        </w:rPr>
        <w:t xml:space="preserve"> Masked Attribute Predictive Pretraining</w:t>
      </w:r>
      <w:bookmarkEnd w:id="10"/>
    </w:p>
    <w:p w14:paraId="284E6199">
      <w:pPr>
        <w:spacing w:after="50"/>
        <w:ind w:firstLine="317"/>
        <w:jc w:val="both"/>
      </w:pPr>
      <w:r>
        <w:t xml:space="preserve">The attribute encoder contains a 64-unit GELU hidden layer and a 32-dimensional L2-normalized output. The 11 semantic fields are eight scalar fields plus the age, gender, and category one-hot groups. For each example and field g,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i,g</m:t>
            </m:r>
            <m:ctrlPr>
              <w:rPr>
                <w:rFonts w:ascii="Cambria Math" w:hAnsi="Cambria Math"/>
              </w:rPr>
            </m:ctrlPr>
          </m:sub>
        </m:sSub>
      </m:oMath>
      <w:r>
        <w:t xml:space="preserve">,g is sampled independently from Bernoulli(0.35). If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i,g</m:t>
            </m:r>
            <m:ctrlPr>
              <w:rPr>
                <w:rFonts w:ascii="Cambria Math" w:hAnsi="Cambria Math"/>
              </w:rPr>
            </m:ctrlPr>
          </m:sub>
        </m:sSub>
      </m:oMath>
      <w:r>
        <w:t xml:space="preserve">=1, a standardized scalar is replaced by 0, its training-set mean, and a categorical one-hot group is replaced by an all-zero vector, which is distinct from every valid category. The unmasked vector is passed to the target encoder. The context encoder predicts the target latent vector with mean cosine distance. </w:t>
      </w:r>
      <w:r>
        <w:rPr>
          <w:vertAlign w:val="superscript"/>
        </w:rPr>
        <w:t>[5]</w:t>
      </w:r>
    </w:p>
    <w:p w14:paraId="6202ECE4">
      <w:pPr>
        <w:jc w:val="center"/>
        <w:rPr>
          <w:rFonts w:hAnsi="Cambria Math"/>
          <w:i/>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m:rPr/>
                    <w:rPr>
                      <w:rFonts w:ascii="Cambria Math" w:hAnsi="Cambria Math"/>
                      <w:sz w:val="24"/>
                      <w:szCs w:val="24"/>
                    </w:rPr>
                    <m:t>x</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i,g</m:t>
              </m:r>
              <m:ctrlPr>
                <w:rPr>
                  <w:rFonts w:ascii="Cambria Math" w:hAnsi="Cambria Math"/>
                  <w:sz w:val="24"/>
                  <w:szCs w:val="24"/>
                </w:rPr>
              </m:ctrlPr>
            </m:sub>
          </m:sSub>
          <m:r>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g</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i,g</m:t>
                      </m:r>
                      <m:ctrlPr>
                        <w:rPr>
                          <w:rFonts w:ascii="Cambria Math" w:hAnsi="Cambria Math"/>
                          <w:sz w:val="24"/>
                          <w:szCs w:val="24"/>
                        </w:rPr>
                      </m:ctrlPr>
                    </m:sub>
                  </m:sSub>
                  <m:r>
                    <m:rPr/>
                    <w:rPr>
                      <w:rFonts w:ascii="Cambria Math" w:hAnsi="Cambria Math"/>
                      <w:sz w:val="24"/>
                      <w:szCs w:val="24"/>
                    </w:rPr>
                    <m:t>=1</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i,g</m:t>
                      </m:r>
                      <m:ctrlPr>
                        <w:rPr>
                          <w:rFonts w:ascii="Cambria Math" w:hAnsi="Cambria Math"/>
                          <w:sz w:val="24"/>
                          <w:szCs w:val="24"/>
                        </w:rPr>
                      </m:ctrlPr>
                    </m:sub>
                  </m:sSub>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i,g</m:t>
                      </m:r>
                      <m:ctrlPr>
                        <w:rPr>
                          <w:rFonts w:ascii="Cambria Math" w:hAnsi="Cambria Math"/>
                          <w:sz w:val="24"/>
                          <w:szCs w:val="24"/>
                        </w:rPr>
                      </m:ctrlPr>
                    </m:sub>
                  </m:sSub>
                  <m:r>
                    <m:rPr/>
                    <w:rPr>
                      <w:rFonts w:ascii="Cambria Math" w:hAnsi="Cambria Math"/>
                      <w:sz w:val="24"/>
                      <w:szCs w:val="24"/>
                    </w:rPr>
                    <m:t>=0</m:t>
                  </m:r>
                  <m:ctrlPr>
                    <w:rPr>
                      <w:rFonts w:ascii="Cambria Math" w:hAnsi="Cambria Math"/>
                      <w:sz w:val="24"/>
                      <w:szCs w:val="24"/>
                    </w:rPr>
                  </m:ctrlPr>
                </m:e>
              </m:eqArr>
              <m:ctrlPr>
                <w:rPr>
                  <w:rFonts w:ascii="Cambria Math" w:hAnsi="Cambria Math"/>
                  <w:sz w:val="24"/>
                  <w:szCs w:val="24"/>
                </w:rPr>
              </m:ctrlPr>
            </m:e>
          </m:d>
          <m:r>
            <m:rPr/>
            <w:rPr>
              <w:rFonts w:ascii="Cambria Math" w:hAnsi="Cambria Math"/>
              <w:sz w:val="24"/>
              <w:szCs w:val="24"/>
            </w:rPr>
            <m:t>, </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i,g</m:t>
              </m:r>
              <m:ctrlPr>
                <w:rPr>
                  <w:rFonts w:ascii="Cambria Math" w:hAnsi="Cambria Math"/>
                  <w:sz w:val="24"/>
                  <w:szCs w:val="24"/>
                </w:rPr>
              </m:ctrlPr>
            </m:sub>
          </m:sSub>
          <m:r>
            <m:rPr/>
            <w:rPr>
              <w:rFonts w:ascii="Cambria Math" w:hAnsi="Cambria Math"/>
              <w:sz w:val="24"/>
              <w:szCs w:val="24"/>
            </w:rPr>
            <m:t>∼Bernoulli(0.35)</m:t>
          </m:r>
        </m:oMath>
      </m:oMathPara>
    </w:p>
    <w:p w14:paraId="2546DD84">
      <w:pPr>
        <w:jc w:val="center"/>
        <w:rPr>
          <w:rFonts w:hAnsi="Cambria Math"/>
          <w:i/>
          <w:sz w:val="24"/>
          <w:szCs w:val="24"/>
        </w:rPr>
      </w:pPr>
    </w:p>
    <w:p w14:paraId="2AACE001">
      <w:pPr>
        <w:jc w:val="center"/>
        <w:rPr>
          <w:rFonts w:hAnsi="Cambria Math"/>
          <w:i/>
          <w:sz w:val="24"/>
          <w:szCs w:val="24"/>
        </w:rPr>
      </w:pPr>
      <m:oMathPara>
        <m:oMath>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m:sty m:val="p"/>
                </m:rPr>
                <w:rPr>
                  <w:rFonts w:ascii="Cambria Math" w:hAnsi="Cambria Math"/>
                  <w:sz w:val="24"/>
                  <w:szCs w:val="24"/>
                </w:rPr>
                <m:t>target</m:t>
              </m:r>
              <m:ctrlPr>
                <w:rPr>
                  <w:rFonts w:ascii="Cambria Math" w:hAnsi="Cambria Math"/>
                  <w:sz w:val="24"/>
                  <w:szCs w:val="24"/>
                </w:rPr>
              </m:ctrlPr>
            </m:sub>
          </m:sSub>
          <m:r>
            <m:rPr/>
            <w:rPr>
              <w:rFonts w:ascii="Cambria Math" w:hAnsi="Cambria Math"/>
              <w:sz w:val="24"/>
              <w:szCs w:val="24"/>
            </w:rPr>
            <m:t>←0.99</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m:sty m:val="p"/>
                </m:rPr>
                <w:rPr>
                  <w:rFonts w:ascii="Cambria Math" w:hAnsi="Cambria Math"/>
                  <w:sz w:val="24"/>
                  <w:szCs w:val="24"/>
                </w:rPr>
                <m:t>target</m:t>
              </m:r>
              <m:ctrlPr>
                <w:rPr>
                  <w:rFonts w:ascii="Cambria Math" w:hAnsi="Cambria Math"/>
                  <w:sz w:val="24"/>
                  <w:szCs w:val="24"/>
                </w:rPr>
              </m:ctrlPr>
            </m:sub>
          </m:sSub>
          <m:r>
            <m:rPr/>
            <w:rPr>
              <w:rFonts w:ascii="Cambria Math" w:hAnsi="Cambria Math"/>
              <w:sz w:val="24"/>
              <w:szCs w:val="24"/>
            </w:rPr>
            <m:t>+0.01</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m:sty m:val="p"/>
                </m:rPr>
                <w:rPr>
                  <w:rFonts w:ascii="Cambria Math" w:hAnsi="Cambria Math"/>
                  <w:sz w:val="24"/>
                  <w:szCs w:val="24"/>
                </w:rPr>
                <m:t>online</m:t>
              </m:r>
              <m:ctrlPr>
                <w:rPr>
                  <w:rFonts w:ascii="Cambria Math" w:hAnsi="Cambria Math"/>
                  <w:sz w:val="24"/>
                  <w:szCs w:val="24"/>
                </w:rPr>
              </m:ctrlPr>
            </m:sub>
          </m:sSub>
        </m:oMath>
      </m:oMathPara>
    </w:p>
    <w:p w14:paraId="451A520A">
      <w:pPr>
        <w:jc w:val="center"/>
        <w:rPr>
          <w:rFonts w:hAnsi="Cambria Math"/>
          <w:i/>
          <w:sz w:val="16"/>
        </w:rPr>
      </w:pPr>
    </w:p>
    <w:p w14:paraId="1DCA3502">
      <w:pPr>
        <w:jc w:val="center"/>
        <w:rPr>
          <w:rFonts w:hAnsi="Cambria Math"/>
          <w:i/>
          <w:sz w:val="16"/>
        </w:rPr>
      </w:pPr>
    </w:p>
    <w:p w14:paraId="71604C5D">
      <w:pPr>
        <w:keepNext/>
        <w:spacing w:before="40" w:after="20"/>
        <w:outlineLvl w:val="1"/>
      </w:pPr>
      <w:bookmarkStart w:id="11" w:name="_Toc11318"/>
      <w:r>
        <w:rPr>
          <w:rFonts w:hint="eastAsia" w:ascii="Arial" w:hAnsi="Arial" w:eastAsia="宋体"/>
          <w:b/>
          <w:sz w:val="21"/>
          <w:lang w:eastAsia="zh-CN"/>
        </w:rPr>
        <w:t>4</w:t>
      </w:r>
      <w:r>
        <w:rPr>
          <w:rFonts w:ascii="Arial" w:hAnsi="Arial"/>
          <w:b/>
          <w:sz w:val="21"/>
        </w:rPr>
        <w:t>.</w:t>
      </w:r>
      <w:r>
        <w:rPr>
          <w:rFonts w:hint="eastAsia" w:ascii="Arial" w:hAnsi="Arial" w:eastAsia="宋体"/>
          <w:b/>
          <w:sz w:val="21"/>
          <w:lang w:eastAsia="zh-CN"/>
        </w:rPr>
        <w:t>3</w:t>
      </w:r>
      <w:r>
        <w:rPr>
          <w:rFonts w:ascii="Arial" w:hAnsi="Arial"/>
          <w:b/>
          <w:sz w:val="21"/>
        </w:rPr>
        <w:t xml:space="preserve"> Selective State-Space Behavioral Encoder</w:t>
      </w:r>
      <w:bookmarkEnd w:id="11"/>
    </w:p>
    <w:p w14:paraId="165E864C">
      <w:pPr>
        <w:keepLines/>
        <w:spacing w:after="50"/>
        <w:ind w:firstLine="317"/>
        <w:jc w:val="both"/>
      </w:pPr>
      <w:r>
        <w:t xml:space="preserve">Each historical event contains standardized log amount, a normalized gap, and a six-dimensional category embedding, giving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8</m:t>
            </m:r>
            <m:ctrlPr>
              <w:rPr>
                <w:rFonts w:ascii="Cambria Math" w:hAnsi="Cambria Math"/>
              </w:rPr>
            </m:ctrlPr>
          </m:sup>
        </m:sSup>
      </m:oMath>
      <w:r>
        <w:t xml:space="preserve">. A linear layer maps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24</m:t>
            </m:r>
            <m:ctrlPr>
              <w:rPr>
                <w:rFonts w:ascii="Cambria Math" w:hAnsi="Cambria Math"/>
              </w:rPr>
            </m:ctrlPr>
          </m:sup>
        </m:sSup>
      </m:oMath>
      <w:r>
        <w:t xml:space="preserve">. The selective diagonal state-space recurrence uses input-dependent step, input, and output gates. All state vectors and parameters in the recurrence are in </w:t>
      </w:r>
      <m:oMath>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24</m:t>
            </m:r>
            <m:ctrlPr>
              <w:rPr>
                <w:rFonts w:ascii="Cambria Math" w:hAnsi="Cambria Math"/>
              </w:rPr>
            </m:ctrlPr>
          </m:sup>
        </m:sSup>
      </m:oMath>
      <w:r>
        <w:t xml:space="preserve">, and elementwise products are used. Because each history contains at most 12 events, the recurrence is evaluated directly rather than by a fused parallel scan. The last valid output is projected to a 32-dimensional normalized sequence vector. This auditable module is Mamba-inspired but does not claim to reproduce the official mamba-ssm kernel. </w:t>
      </w:r>
      <w:r>
        <w:rPr>
          <w:vertAlign w:val="superscript"/>
        </w:rPr>
        <w:t>[6]</w:t>
      </w:r>
    </w:p>
    <w:p w14:paraId="4352C47C">
      <w:pPr>
        <w:jc w:val="center"/>
        <w:rPr>
          <w:rFonts w:hAnsi="Cambria Math"/>
        </w:rPr>
      </w:pPr>
      <m:oMathPara>
        <m:oMath>
          <m:m>
            <m:mPr>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r>
                  <m:rPr/>
                  <w:rPr>
                    <w:rFonts w:ascii="Cambria Math" w:hAnsi="Cambria Math"/>
                  </w:rPr>
                  <m:t>=softplus(</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Δ</m:t>
                    </m:r>
                    <m:ctrlPr>
                      <w:rPr>
                        <w:rFonts w:ascii="Cambria Math" w:hAnsi="Cambria Math"/>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r>
                  <m:rPr/>
                  <w:rPr>
                    <w:rFonts w:ascii="Cambria Math" w:hAnsi="Cambria Math"/>
                  </w:rPr>
                  <m:t>=exp(</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d>
                  <m:dPr>
                    <m:begChr m:val="["/>
                    <m:endChr m:val="]"/>
                    <m:ctrlPr>
                      <w:rPr>
                        <w:rFonts w:ascii="Cambria Math" w:hAnsi="Cambria Math"/>
                      </w:rPr>
                    </m:ctrlPr>
                  </m:dPr>
                  <m:e>
                    <m:r>
                      <m:rPr/>
                      <w:rPr>
                        <w:rFonts w:ascii="Cambria Math" w:hAnsi="Cambria Math"/>
                      </w:rPr>
                      <m:t>1−exp(</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m:t>
                    </m:r>
                    <m:ctrlPr>
                      <w:rPr>
                        <w:rFonts w:ascii="Cambria Math" w:hAnsi="Cambria Math"/>
                      </w:rPr>
                    </m:ctrlPr>
                  </m:e>
                </m:d>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,  A=−exp(a).</m:t>
                </m:r>
                <m:ctrlPr>
                  <w:rPr>
                    <w:rFonts w:ascii="Cambria Math" w:hAnsi="Cambria Math"/>
                  </w:rPr>
                </m:ctrlPr>
              </m:e>
            </m:mr>
          </m:m>
        </m:oMath>
      </m:oMathPara>
    </w:p>
    <w:p w14:paraId="5948AFB3">
      <w:pPr>
        <w:jc w:val="center"/>
        <w:rPr>
          <w:rFonts w:hAnsi="Cambria Math"/>
        </w:rPr>
      </w:pPr>
    </w:p>
    <w:p w14:paraId="54893A05">
      <w:pPr>
        <w:spacing w:before="40" w:after="20"/>
        <w:outlineLvl w:val="1"/>
      </w:pPr>
      <w:bookmarkStart w:id="12" w:name="_Toc27429"/>
      <w:r>
        <w:rPr>
          <w:rFonts w:hint="eastAsia" w:ascii="Arial" w:hAnsi="Arial" w:eastAsia="宋体"/>
          <w:b/>
          <w:sz w:val="21"/>
          <w:lang w:eastAsia="zh-CN"/>
        </w:rPr>
        <w:t>4</w:t>
      </w:r>
      <w:r>
        <w:rPr>
          <w:rFonts w:ascii="Arial" w:hAnsi="Arial"/>
          <w:b/>
          <w:sz w:val="21"/>
        </w:rPr>
        <w:t>.</w:t>
      </w:r>
      <w:r>
        <w:rPr>
          <w:rFonts w:hint="eastAsia" w:ascii="Arial" w:hAnsi="Arial" w:eastAsia="宋体"/>
          <w:b/>
          <w:sz w:val="21"/>
          <w:lang w:eastAsia="zh-CN"/>
        </w:rPr>
        <w:t>4</w:t>
      </w:r>
      <w:r>
        <w:rPr>
          <w:rFonts w:ascii="Arial" w:hAnsi="Arial"/>
          <w:b/>
          <w:sz w:val="21"/>
        </w:rPr>
        <w:t xml:space="preserve"> Cross-View Alignment, Gated Fusion, and Supervised Head</w:t>
      </w:r>
      <w:bookmarkEnd w:id="12"/>
    </w:p>
    <w:p w14:paraId="2F83C369">
      <w:pPr>
        <w:spacing w:after="50"/>
        <w:ind w:firstLine="317"/>
        <w:jc w:val="both"/>
      </w:pPr>
      <w:r>
        <w:t>During pretraining, the sequence predictor also predicts the target attribute embedding. The total loss is</w:t>
      </w:r>
    </w:p>
    <w:p w14:paraId="6CEC54B4">
      <w:pPr>
        <w:spacing w:after="50"/>
        <w:ind w:firstLine="317"/>
        <w:jc w:val="center"/>
      </w:pPr>
      <m:oMath>
        <m:r>
          <m:rPr>
            <m:scr m:val="script"/>
          </m:rPr>
          <w:rPr>
            <w:rFonts w:ascii="Cambria Math" w:hAnsi="Cambria Math" w:eastAsia="MS Mincho"/>
          </w:rPr>
          <m:t>ℒ</m:t>
        </m:r>
        <m:r>
          <m:rPr/>
          <w:rPr>
            <w:rFonts w:ascii="Cambria Math" w:hAnsi="Cambria Math"/>
          </w:rPr>
          <m:t>=</m:t>
        </m:r>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attr</m:t>
            </m:r>
            <m:ctrlPr>
              <w:rPr>
                <w:rFonts w:ascii="Cambria Math" w:hAnsi="Cambria Math"/>
              </w:rPr>
            </m:ctrlPr>
          </m:sub>
        </m:sSub>
        <m:r>
          <m:rPr/>
          <w:rPr>
            <w:rFonts w:ascii="Cambria Math" w:hAnsi="Cambria Math"/>
          </w:rPr>
          <m:t>+0.5</m:t>
        </m:r>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seq</m:t>
            </m:r>
            <m:ctrlPr>
              <w:rPr>
                <w:rFonts w:ascii="Cambria Math" w:hAnsi="Cambria Math"/>
              </w:rPr>
            </m:ctrlPr>
          </m:sub>
        </m:sSub>
        <m:r>
          <m:rPr/>
          <w:rPr>
            <w:rFonts w:ascii="Cambria Math" w:hAnsi="Cambria Math"/>
          </w:rPr>
          <m:t>+0.2</m:t>
        </m:r>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align</m:t>
            </m:r>
            <m:ctrlPr>
              <w:rPr>
                <w:rFonts w:ascii="Cambria Math" w:hAnsi="Cambria Math"/>
              </w:rPr>
            </m:ctrlPr>
          </m:sub>
        </m:sSub>
      </m:oMath>
      <w:r>
        <w:t>,</w:t>
      </w:r>
    </w:p>
    <w:p w14:paraId="417A7B1F">
      <w:pPr>
        <w:spacing w:after="50"/>
        <w:ind w:firstLine="317"/>
        <w:jc w:val="both"/>
      </w:pPr>
      <w:r>
        <w:t xml:space="preserve">where each predictive term is mean cosine distance and </w:t>
      </w:r>
      <m:oMath>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align</m:t>
            </m:r>
            <m:ctrlPr>
              <w:rPr>
                <w:rFonts w:ascii="Cambria Math" w:hAnsi="Cambria Math"/>
              </w:rPr>
            </m:ctrlPr>
          </m:sub>
        </m:sSub>
      </m:oMath>
      <w:r>
        <w:t xml:space="preserve"> is the cosine distance between the normalized attribute and sequence vectors.  After every optimizer step, the target parameters are updated using the EMA rule defined in Section 4.2</w:t>
      </w:r>
      <w:r>
        <w:rPr>
          <w:rFonts w:hint="eastAsia" w:eastAsia="宋体"/>
          <w:lang w:eastAsia="zh-CN"/>
        </w:rPr>
        <w:t xml:space="preserve"> </w:t>
      </w:r>
      <w:r>
        <w:t xml:space="preserve">. Collapse is monitored using mean per-dimension standard deviation, effective rank of centered embeddings, and mean pairwise cosine similarity. During fine-tuning, a sigmoid gate combines the two 32-dimensional vectors. The risk head receives the gated vector, the attribute vector, cosine disagreement, and Euclidean distance. The positive-class weight is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normal</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fraud</m:t>
                    </m:r>
                    <m:ctrlPr>
                      <w:rPr>
                        <w:rFonts w:ascii="Cambria Math" w:hAnsi="Cambria Math"/>
                      </w:rPr>
                    </m:ctrlPr>
                  </m:sub>
                </m:sSub>
                <m:ctrlPr>
                  <w:rPr>
                    <w:rFonts w:ascii="Cambria Math" w:hAnsi="Cambria Math"/>
                  </w:rPr>
                </m:ctrlPr>
              </m:den>
            </m:f>
            <m:ctrlPr>
              <w:rPr>
                <w:rFonts w:ascii="Cambria Math" w:hAnsi="Cambria Math"/>
              </w:rPr>
            </m:ctrlPr>
          </m:e>
        </m:rad>
      </m:oMath>
      <w:r>
        <w:t>.</w:t>
      </w:r>
    </w:p>
    <w:p w14:paraId="12D22650">
      <w:pPr>
        <w:spacing w:after="50"/>
        <w:ind w:firstLine="317"/>
        <w:jc w:val="both"/>
      </w:pPr>
      <w:r>
        <w:t>The implementation uses no orthogonal-basis decomposition. Architecture, preprocessing, optimizer settings, maximum epoch counts, checkpoint rules, and fusion grid are fixed before the chronological test scores are evaluated.</w:t>
      </w:r>
    </w:p>
    <w:p w14:paraId="23147A92">
      <w:pPr>
        <w:spacing w:before="40" w:after="20"/>
        <w:outlineLvl w:val="1"/>
      </w:pPr>
      <w:bookmarkStart w:id="13" w:name="_Toc21077"/>
      <w:r>
        <w:rPr>
          <w:rFonts w:hint="eastAsia" w:ascii="Arial" w:hAnsi="Arial" w:eastAsia="宋体"/>
          <w:b/>
          <w:sz w:val="21"/>
          <w:lang w:eastAsia="zh-CN"/>
        </w:rPr>
        <w:t>4</w:t>
      </w:r>
      <w:r>
        <w:rPr>
          <w:rFonts w:ascii="Arial" w:hAnsi="Arial"/>
          <w:b/>
          <w:sz w:val="21"/>
        </w:rPr>
        <w:t>.</w:t>
      </w:r>
      <w:r>
        <w:rPr>
          <w:rFonts w:hint="eastAsia" w:ascii="Arial" w:hAnsi="Arial" w:eastAsia="宋体"/>
          <w:b/>
          <w:sz w:val="21"/>
          <w:lang w:eastAsia="zh-CN"/>
        </w:rPr>
        <w:t>5</w:t>
      </w:r>
      <w:r>
        <w:rPr>
          <w:rFonts w:ascii="Arial" w:hAnsi="Arial"/>
          <w:b/>
          <w:sz w:val="21"/>
        </w:rPr>
        <w:t xml:space="preserve"> Boosted Risk Fusion and EVT-POT Threshold</w:t>
      </w:r>
      <w:bookmarkEnd w:id="13"/>
    </w:p>
    <w:p w14:paraId="6496CF99">
      <w:pPr>
        <w:spacing w:after="50"/>
        <w:ind w:firstLine="317"/>
        <w:jc w:val="both"/>
      </w:pPr>
      <w:r>
        <w:t xml:space="preserve">A leakage-screened XGBoost classifier uses the same current and past-only aggregate attributes. The final risk score is defined as follows: </w:t>
      </w:r>
    </w:p>
    <w:p w14:paraId="1865E0B3">
      <w:pPr>
        <w:spacing w:after="50"/>
        <w:ind w:firstLine="317"/>
        <w:jc w:val="center"/>
        <w:rPr>
          <w:rFonts w:hint="eastAsia"/>
          <w:lang w:eastAsia="zh-CN"/>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=α</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XGB</m:t>
            </m:r>
            <m:r>
              <m:rPr/>
              <w:rPr>
                <w:rFonts w:ascii="Cambria Math" w:hAnsi="Cambria Math"/>
              </w:rPr>
              <m:t>,i</m:t>
            </m:r>
            <m:ctrlPr>
              <w:rPr>
                <w:rFonts w:ascii="Cambria Math" w:hAnsi="Cambria Math"/>
              </w:rPr>
            </m:ctrlPr>
          </m:sub>
        </m:sSub>
        <m:r>
          <m:rPr/>
          <w:rPr>
            <w:rFonts w:ascii="Cambria Math" w:hAnsi="Cambria Math"/>
          </w:rPr>
          <m:t>+(1−α)</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neural</m:t>
            </m:r>
            <m:r>
              <m:rPr/>
              <w:rPr>
                <w:rFonts w:ascii="Cambria Math" w:hAnsi="Cambria Math"/>
              </w:rPr>
              <m:t>,i</m:t>
            </m:r>
            <m:ctrlPr>
              <w:rPr>
                <w:rFonts w:ascii="Cambria Math" w:hAnsi="Cambria Math"/>
              </w:rPr>
            </m:ctrlPr>
          </m:sub>
        </m:sSub>
      </m:oMath>
      <w:r>
        <w:t xml:space="preserve">. </w:t>
      </w:r>
      <m:oMath>
        <m:r>
          <m:rPr/>
          <w:rPr>
            <w:rFonts w:ascii="Cambria Math" w:hAnsi="Cambria Math"/>
          </w:rPr>
          <m:t>α∈{0,0.05,0.10,…,1.00}</m:t>
        </m:r>
      </m:oMath>
      <w:r>
        <w:rPr>
          <w:rFonts w:hint="eastAsia"/>
          <w:lang w:eastAsia="zh-CN"/>
        </w:rPr>
        <w:t>.</w:t>
      </w:r>
    </w:p>
    <w:p w14:paraId="63AEECA8">
      <w:pPr>
        <w:spacing w:after="50"/>
        <w:ind w:firstLine="317"/>
        <w:jc w:val="both"/>
      </w:pPr>
      <w:r>
        <w:t>The fusion coefficient is selected from the predefined grid by maximizing validation AUPRC. The selected alpha is 0.65 for the seed-42 MambaJEPA branch and 0.60 for the matched supervised SSM control. Test labels do not influence either choice.</w:t>
      </w:r>
    </w:p>
    <w:p w14:paraId="48B9DD05">
      <w:pPr>
        <w:spacing w:after="50"/>
        <w:ind w:firstLine="317"/>
        <w:jc w:val="both"/>
      </w:pPr>
      <w:r>
        <w:rPr>
          <w:sz w:val="21"/>
        </w:rPr>
        <w:t>For operational threshold analysis, the upper 5% tail of validation-normal risk scores is modeled with a generalized Pareto distribution. Thresholds are then generated for target normal-tail risks of 0.1%, 0.25%, 0.5%, and 1.0%. The test labels are never used to fit the tail model or select a threshold.</w:t>
      </w:r>
    </w:p>
    <w:p w14:paraId="1D60E98D">
      <w:pPr>
        <w:spacing w:before="60" w:after="20"/>
        <w:outlineLvl w:val="0"/>
      </w:pPr>
      <w:bookmarkStart w:id="14" w:name="_Toc19130"/>
      <w:r>
        <w:rPr>
          <w:rFonts w:hint="eastAsia" w:ascii="Arial" w:hAnsi="Arial" w:eastAsia="宋体"/>
          <w:b/>
          <w:sz w:val="21"/>
          <w:lang w:eastAsia="zh-CN"/>
        </w:rPr>
        <w:t>5</w:t>
      </w:r>
      <w:r>
        <w:rPr>
          <w:rFonts w:ascii="Arial" w:hAnsi="Arial"/>
          <w:b/>
          <w:sz w:val="21"/>
        </w:rPr>
        <w:t>. EXPERIMENTAL DESIGN AND REPRODUCIBILITY</w:t>
      </w:r>
      <w:bookmarkEnd w:id="14"/>
    </w:p>
    <w:p w14:paraId="29EC8CCF">
      <w:pPr>
        <w:spacing w:before="40" w:after="20"/>
        <w:outlineLvl w:val="1"/>
      </w:pPr>
      <w:bookmarkStart w:id="15" w:name="_Toc18903"/>
      <w:r>
        <w:rPr>
          <w:rFonts w:hint="eastAsia" w:ascii="Arial" w:hAnsi="Arial" w:eastAsia="宋体"/>
          <w:b/>
          <w:sz w:val="21"/>
          <w:lang w:eastAsia="zh-CN"/>
        </w:rPr>
        <w:t>5</w:t>
      </w:r>
      <w:r>
        <w:rPr>
          <w:rFonts w:ascii="Arial" w:hAnsi="Arial"/>
          <w:b/>
          <w:sz w:val="21"/>
        </w:rPr>
        <w:t>.</w:t>
      </w:r>
      <w:r>
        <w:rPr>
          <w:rFonts w:hint="eastAsia" w:ascii="Arial" w:hAnsi="Arial" w:eastAsia="宋体"/>
          <w:b/>
          <w:sz w:val="21"/>
          <w:lang w:eastAsia="zh-CN"/>
        </w:rPr>
        <w:t>1</w:t>
      </w:r>
      <w:r>
        <w:rPr>
          <w:rFonts w:ascii="Arial" w:hAnsi="Arial"/>
          <w:b/>
          <w:sz w:val="21"/>
        </w:rPr>
        <w:t xml:space="preserve"> Baselines and Metrics</w:t>
      </w:r>
      <w:bookmarkEnd w:id="15"/>
    </w:p>
    <w:p w14:paraId="72E298B8">
      <w:pPr>
        <w:spacing w:after="50"/>
        <w:ind w:firstLine="317"/>
        <w:jc w:val="both"/>
      </w:pPr>
      <w:r>
        <w:t xml:space="preserve">The supervised comparison contains random forest, XGBoost, LightGBM, CatBoost, a class-weighted multilayer perceptron, an LSTM, a one-layer Transformer, and a supervised selective SSM using the same sequence backbone without JEPA pretraining. Each baseline uses one prespecified configuration; the tuning budget is therefore one configuration per model. Neural checkpoints are selected from at most eight supervised epochs by validation AUPRC with patience three. ROC-AUC and AUPRC measure ranking. Precision, recall, F1, MCC, and FPR use the threshold that maximizes validation F1. </w:t>
      </w:r>
      <w:r>
        <w:rPr>
          <w:vertAlign w:val="superscript"/>
        </w:rPr>
        <w:t>[4]</w:t>
      </w:r>
    </w:p>
    <w:p w14:paraId="7A09BB88">
      <w:pPr>
        <w:spacing w:before="40" w:after="20"/>
        <w:jc w:val="center"/>
      </w:pPr>
      <w:r>
        <w:rPr>
          <w:b/>
          <w:sz w:val="20"/>
        </w:rPr>
        <w:t>Table 2. Reproducibility settings</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4918"/>
        <w:gridCol w:w="4918"/>
      </w:tblGrid>
      <w:tr w14:paraId="1F3198B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4918" w:type="dxa"/>
            <w:tcBorders>
              <w:top w:val="single" w:color="auto" w:sz="8" w:space="0"/>
              <w:left w:val="nil"/>
              <w:bottom w:val="single" w:color="auto" w:sz="8" w:space="0"/>
              <w:right w:val="nil"/>
            </w:tcBorders>
            <w:shd w:val="clear" w:color="auto" w:fill="D9EAF7"/>
            <w:vAlign w:val="center"/>
          </w:tcPr>
          <w:p w14:paraId="626C57CD">
            <w:r>
              <w:rPr>
                <w:b/>
                <w:sz w:val="14"/>
              </w:rPr>
              <w:t>Item</w:t>
            </w:r>
          </w:p>
        </w:tc>
        <w:tc>
          <w:tcPr>
            <w:tcW w:w="4918" w:type="dxa"/>
            <w:tcBorders>
              <w:top w:val="single" w:color="auto" w:sz="8" w:space="0"/>
              <w:left w:val="nil"/>
              <w:bottom w:val="single" w:color="auto" w:sz="8" w:space="0"/>
              <w:right w:val="nil"/>
            </w:tcBorders>
            <w:shd w:val="clear" w:color="auto" w:fill="D9EAF7"/>
            <w:vAlign w:val="center"/>
          </w:tcPr>
          <w:p w14:paraId="71713600">
            <w:r>
              <w:rPr>
                <w:b/>
                <w:sz w:val="14"/>
              </w:rPr>
              <w:t>Setting</w:t>
            </w:r>
          </w:p>
        </w:tc>
      </w:tr>
      <w:tr w14:paraId="7663E79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4CBD2C27">
            <w:r>
              <w:rPr>
                <w:sz w:val="14"/>
              </w:rPr>
              <w:t>History</w:t>
            </w:r>
          </w:p>
        </w:tc>
        <w:tc>
          <w:tcPr>
            <w:tcW w:w="4918" w:type="dxa"/>
            <w:tcBorders>
              <w:top w:val="nil"/>
              <w:left w:val="nil"/>
              <w:bottom w:val="nil"/>
              <w:right w:val="nil"/>
            </w:tcBorders>
            <w:vAlign w:val="center"/>
          </w:tcPr>
          <w:p w14:paraId="1053B56E">
            <w:r>
              <w:rPr>
                <w:sz w:val="14"/>
              </w:rPr>
              <w:t>12 strictly prior customer events; same-step events excluded</w:t>
            </w:r>
          </w:p>
        </w:tc>
      </w:tr>
      <w:tr w14:paraId="211B75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71B8999E">
            <w:r>
              <w:rPr>
                <w:sz w:val="14"/>
              </w:rPr>
              <w:t>Attribute / sequence latent</w:t>
            </w:r>
          </w:p>
        </w:tc>
        <w:tc>
          <w:tcPr>
            <w:tcW w:w="4918" w:type="dxa"/>
            <w:tcBorders>
              <w:top w:val="nil"/>
              <w:left w:val="nil"/>
              <w:bottom w:val="nil"/>
              <w:right w:val="nil"/>
            </w:tcBorders>
            <w:vAlign w:val="center"/>
          </w:tcPr>
          <w:p w14:paraId="51EA35B6">
            <w:r>
              <w:rPr>
                <w:sz w:val="14"/>
              </w:rPr>
              <w:t>32 / 32; selective state dimension 24</w:t>
            </w:r>
          </w:p>
        </w:tc>
      </w:tr>
      <w:tr w14:paraId="60DC412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35884477">
            <w:r>
              <w:rPr>
                <w:sz w:val="14"/>
              </w:rPr>
              <w:t>Mask</w:t>
            </w:r>
          </w:p>
        </w:tc>
        <w:tc>
          <w:tcPr>
            <w:tcW w:w="4918" w:type="dxa"/>
            <w:tcBorders>
              <w:top w:val="nil"/>
              <w:left w:val="nil"/>
              <w:bottom w:val="nil"/>
              <w:right w:val="nil"/>
            </w:tcBorders>
            <w:vAlign w:val="center"/>
          </w:tcPr>
          <w:p w14:paraId="47B75F9F">
            <w:r>
              <w:rPr>
                <w:sz w:val="14"/>
              </w:rPr>
              <w:t>0.35 per semantic field; scalar -&gt; standardized 0; categorical group -&gt; all-zero</w:t>
            </w:r>
          </w:p>
        </w:tc>
      </w:tr>
      <w:tr w14:paraId="6041BB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7CBC9908">
            <w:r>
              <w:rPr>
                <w:sz w:val="14"/>
              </w:rPr>
              <w:t>EMA</w:t>
            </w:r>
          </w:p>
        </w:tc>
        <w:tc>
          <w:tcPr>
            <w:tcW w:w="4918" w:type="dxa"/>
            <w:tcBorders>
              <w:top w:val="nil"/>
              <w:left w:val="nil"/>
              <w:bottom w:val="nil"/>
              <w:right w:val="nil"/>
            </w:tcBorders>
            <w:vAlign w:val="center"/>
          </w:tcPr>
          <w:p w14:paraId="6A47D19F">
            <w:r>
              <w:rPr>
                <w:sz w:val="14"/>
              </w:rPr>
              <w:t>0.99 target + 0.01 online after each optimizer step</w:t>
            </w:r>
          </w:p>
        </w:tc>
      </w:tr>
      <w:tr w14:paraId="485569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54C59EB6">
            <w:r>
              <w:rPr>
                <w:sz w:val="14"/>
              </w:rPr>
              <w:t>Pretraining</w:t>
            </w:r>
          </w:p>
        </w:tc>
        <w:tc>
          <w:tcPr>
            <w:tcW w:w="4918" w:type="dxa"/>
            <w:tcBorders>
              <w:top w:val="nil"/>
              <w:left w:val="nil"/>
              <w:bottom w:val="nil"/>
              <w:right w:val="nil"/>
            </w:tcBorders>
            <w:vAlign w:val="center"/>
          </w:tcPr>
          <w:p w14:paraId="3C66A1AE">
            <w:r>
              <w:rPr>
                <w:sz w:val="14"/>
              </w:rPr>
              <w:t>3 epochs; losses 1.0 attribute + 0.5 sequence + 0.2 alignment</w:t>
            </w:r>
          </w:p>
        </w:tc>
      </w:tr>
      <w:tr w14:paraId="7584853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0FC9A6C9">
            <w:r>
              <w:rPr>
                <w:sz w:val="14"/>
              </w:rPr>
              <w:t>Fine-tuning</w:t>
            </w:r>
          </w:p>
        </w:tc>
        <w:tc>
          <w:tcPr>
            <w:tcW w:w="4918" w:type="dxa"/>
            <w:tcBorders>
              <w:top w:val="nil"/>
              <w:left w:val="nil"/>
              <w:bottom w:val="nil"/>
              <w:right w:val="nil"/>
            </w:tcBorders>
            <w:vAlign w:val="center"/>
          </w:tcPr>
          <w:p w14:paraId="46102C69">
            <w:r>
              <w:rPr>
                <w:sz w:val="14"/>
              </w:rPr>
              <w:t>maximum 8 epochs; patience 3; best validation AUPRC</w:t>
            </w:r>
          </w:p>
        </w:tc>
      </w:tr>
      <w:tr w14:paraId="25D7B32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77F89833">
            <w:r>
              <w:rPr>
                <w:sz w:val="14"/>
              </w:rPr>
              <w:t>Batch size</w:t>
            </w:r>
          </w:p>
        </w:tc>
        <w:tc>
          <w:tcPr>
            <w:tcW w:w="4918" w:type="dxa"/>
            <w:tcBorders>
              <w:top w:val="nil"/>
              <w:left w:val="nil"/>
              <w:bottom w:val="nil"/>
              <w:right w:val="nil"/>
            </w:tcBorders>
            <w:vAlign w:val="center"/>
          </w:tcPr>
          <w:p w14:paraId="16F3E653">
            <w:r>
              <w:rPr>
                <w:sz w:val="14"/>
              </w:rPr>
              <w:t>8,192 training; 32,768 inference</w:t>
            </w:r>
          </w:p>
        </w:tc>
      </w:tr>
      <w:tr w14:paraId="4BD2BF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5EFFBC92">
            <w:r>
              <w:rPr>
                <w:sz w:val="14"/>
              </w:rPr>
              <w:t>Optimizer</w:t>
            </w:r>
          </w:p>
        </w:tc>
        <w:tc>
          <w:tcPr>
            <w:tcW w:w="4918" w:type="dxa"/>
            <w:tcBorders>
              <w:top w:val="nil"/>
              <w:left w:val="nil"/>
              <w:bottom w:val="nil"/>
              <w:right w:val="nil"/>
            </w:tcBorders>
            <w:vAlign w:val="center"/>
          </w:tcPr>
          <w:p w14:paraId="13F2271A">
            <w:r>
              <w:rPr>
                <w:sz w:val="14"/>
              </w:rPr>
              <w:t>AdamW; lr 1e-3; weight decay 1e-4; clip 5.0</w:t>
            </w:r>
          </w:p>
        </w:tc>
      </w:tr>
      <w:tr w14:paraId="507A34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6F14ED84">
            <w:r>
              <w:rPr>
                <w:sz w:val="14"/>
              </w:rPr>
              <w:t>Seeds</w:t>
            </w:r>
          </w:p>
        </w:tc>
        <w:tc>
          <w:tcPr>
            <w:tcW w:w="4918" w:type="dxa"/>
            <w:tcBorders>
              <w:top w:val="nil"/>
              <w:left w:val="nil"/>
              <w:bottom w:val="nil"/>
              <w:right w:val="nil"/>
            </w:tcBorders>
            <w:vAlign w:val="center"/>
          </w:tcPr>
          <w:p w14:paraId="10E8DD30">
            <w:r>
              <w:rPr>
                <w:sz w:val="14"/>
              </w:rPr>
              <w:t>42, 73, 101 for the final neural branch and four ablations</w:t>
            </w:r>
          </w:p>
        </w:tc>
      </w:tr>
      <w:tr w14:paraId="4157424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7B31B0D0">
            <w:r>
              <w:rPr>
                <w:sz w:val="14"/>
              </w:rPr>
              <w:t>Tree tuning budget</w:t>
            </w:r>
          </w:p>
        </w:tc>
        <w:tc>
          <w:tcPr>
            <w:tcW w:w="4918" w:type="dxa"/>
            <w:tcBorders>
              <w:top w:val="nil"/>
              <w:left w:val="nil"/>
              <w:bottom w:val="nil"/>
              <w:right w:val="nil"/>
            </w:tcBorders>
            <w:vAlign w:val="center"/>
          </w:tcPr>
          <w:p w14:paraId="3C591A6B">
            <w:r>
              <w:rPr>
                <w:sz w:val="14"/>
              </w:rPr>
              <w:t>one prespecified configuration per model</w:t>
            </w:r>
          </w:p>
        </w:tc>
      </w:tr>
      <w:tr w14:paraId="05BD014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4B967B9A">
            <w:r>
              <w:rPr>
                <w:sz w:val="14"/>
              </w:rPr>
              <w:t>Neural tuning budget</w:t>
            </w:r>
          </w:p>
        </w:tc>
        <w:tc>
          <w:tcPr>
            <w:tcW w:w="4918" w:type="dxa"/>
            <w:tcBorders>
              <w:top w:val="nil"/>
              <w:left w:val="nil"/>
              <w:bottom w:val="nil"/>
              <w:right w:val="nil"/>
            </w:tcBorders>
            <w:vAlign w:val="center"/>
          </w:tcPr>
          <w:p w14:paraId="6710ACAB">
            <w:r>
              <w:rPr>
                <w:sz w:val="14"/>
              </w:rPr>
              <w:t>one configuration; up to 8 validation checkpoints</w:t>
            </w:r>
          </w:p>
        </w:tc>
      </w:tr>
      <w:tr w14:paraId="46CB88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3EE6BC83">
            <w:r>
              <w:rPr>
                <w:sz w:val="14"/>
              </w:rPr>
              <w:t>Fusion</w:t>
            </w:r>
          </w:p>
        </w:tc>
        <w:tc>
          <w:tcPr>
            <w:tcW w:w="4918" w:type="dxa"/>
            <w:tcBorders>
              <w:top w:val="nil"/>
              <w:left w:val="nil"/>
              <w:bottom w:val="nil"/>
              <w:right w:val="nil"/>
            </w:tcBorders>
            <w:vAlign w:val="center"/>
          </w:tcPr>
          <w:p w14:paraId="34DABE83">
            <w:r>
              <w:rPr>
                <w:sz w:val="14"/>
              </w:rPr>
              <w:t>alpha in [0,1], step 0.05; validation AUPRC</w:t>
            </w:r>
          </w:p>
        </w:tc>
      </w:tr>
      <w:tr w14:paraId="2D2A449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092E1F41">
            <w:r>
              <w:rPr>
                <w:sz w:val="14"/>
              </w:rPr>
              <w:t>Threshold</w:t>
            </w:r>
          </w:p>
        </w:tc>
        <w:tc>
          <w:tcPr>
            <w:tcW w:w="4918" w:type="dxa"/>
            <w:tcBorders>
              <w:top w:val="nil"/>
              <w:left w:val="nil"/>
              <w:bottom w:val="nil"/>
              <w:right w:val="nil"/>
            </w:tcBorders>
            <w:vAlign w:val="center"/>
          </w:tcPr>
          <w:p w14:paraId="4971C89E">
            <w:r>
              <w:rPr>
                <w:sz w:val="14"/>
              </w:rPr>
              <w:t>maximum validation F1</w:t>
            </w:r>
          </w:p>
        </w:tc>
      </w:tr>
      <w:tr w14:paraId="2424199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499643F9">
            <w:r>
              <w:rPr>
                <w:sz w:val="14"/>
              </w:rPr>
              <w:t>Bootstrap</w:t>
            </w:r>
          </w:p>
        </w:tc>
        <w:tc>
          <w:tcPr>
            <w:tcW w:w="4918" w:type="dxa"/>
            <w:tcBorders>
              <w:top w:val="nil"/>
              <w:left w:val="nil"/>
              <w:bottom w:val="nil"/>
              <w:right w:val="nil"/>
            </w:tcBorders>
            <w:vAlign w:val="center"/>
          </w:tcPr>
          <w:p w14:paraId="24BA8F9C">
            <w:r>
              <w:rPr>
                <w:sz w:val="14"/>
              </w:rPr>
              <w:t>2,000 paired customer-clustered resamples; seed 20260808</w:t>
            </w:r>
          </w:p>
        </w:tc>
      </w:tr>
      <w:tr w14:paraId="081E213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nil"/>
              <w:left w:val="nil"/>
              <w:bottom w:val="nil"/>
              <w:right w:val="nil"/>
            </w:tcBorders>
            <w:vAlign w:val="center"/>
          </w:tcPr>
          <w:p w14:paraId="17F62EAA">
            <w:r>
              <w:rPr>
                <w:sz w:val="14"/>
              </w:rPr>
              <w:t>Software</w:t>
            </w:r>
          </w:p>
        </w:tc>
        <w:tc>
          <w:tcPr>
            <w:tcW w:w="4918" w:type="dxa"/>
            <w:tcBorders>
              <w:top w:val="nil"/>
              <w:left w:val="nil"/>
              <w:bottom w:val="nil"/>
              <w:right w:val="nil"/>
            </w:tcBorders>
            <w:vAlign w:val="center"/>
          </w:tcPr>
          <w:p w14:paraId="5A68F8D0">
            <w:r>
              <w:rPr>
                <w:sz w:val="14"/>
              </w:rPr>
              <w:t>Python 3.12.14; PyTorch 2.10 CPU; sklearn 1.8; XGBoost 3.1</w:t>
            </w:r>
          </w:p>
        </w:tc>
      </w:tr>
      <w:tr w14:paraId="3DD540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4918" w:type="dxa"/>
            <w:tcBorders>
              <w:top w:val="single" w:color="auto" w:sz="8" w:space="0"/>
              <w:left w:val="nil"/>
              <w:bottom w:val="single" w:color="auto" w:sz="8" w:space="0"/>
              <w:right w:val="nil"/>
            </w:tcBorders>
            <w:vAlign w:val="center"/>
          </w:tcPr>
          <w:p w14:paraId="06ED637F">
            <w:r>
              <w:rPr>
                <w:sz w:val="14"/>
              </w:rPr>
              <w:t>Hardware</w:t>
            </w:r>
          </w:p>
        </w:tc>
        <w:tc>
          <w:tcPr>
            <w:tcW w:w="4918" w:type="dxa"/>
            <w:tcBorders>
              <w:top w:val="single" w:color="auto" w:sz="8" w:space="0"/>
              <w:left w:val="nil"/>
              <w:bottom w:val="single" w:color="auto" w:sz="8" w:space="0"/>
              <w:right w:val="nil"/>
            </w:tcBorders>
            <w:vAlign w:val="center"/>
          </w:tcPr>
          <w:p w14:paraId="5C0EC62B">
            <w:r>
              <w:rPr>
                <w:sz w:val="14"/>
              </w:rPr>
              <w:t>AMD Ryzen 7 5800H; 15.86 GiB RAM; four CPU threads</w:t>
            </w:r>
          </w:p>
        </w:tc>
      </w:tr>
    </w:tbl>
    <w:p w14:paraId="3929A89B">
      <w:pPr>
        <w:spacing w:before="40" w:after="20"/>
        <w:outlineLvl w:val="1"/>
      </w:pPr>
      <w:bookmarkStart w:id="16" w:name="_Toc32015"/>
      <w:r>
        <w:rPr>
          <w:rFonts w:hint="eastAsia" w:ascii="Arial" w:hAnsi="Arial" w:eastAsia="宋体"/>
          <w:b/>
          <w:sz w:val="21"/>
          <w:lang w:eastAsia="zh-CN"/>
        </w:rPr>
        <w:t>5</w:t>
      </w:r>
      <w:r>
        <w:rPr>
          <w:rFonts w:ascii="Arial" w:hAnsi="Arial"/>
          <w:b/>
          <w:sz w:val="21"/>
        </w:rPr>
        <w:t>.</w:t>
      </w:r>
      <w:r>
        <w:rPr>
          <w:rFonts w:hint="eastAsia" w:ascii="Arial" w:hAnsi="Arial" w:eastAsia="宋体"/>
          <w:b/>
          <w:sz w:val="21"/>
          <w:lang w:eastAsia="zh-CN"/>
        </w:rPr>
        <w:t>2</w:t>
      </w:r>
      <w:r>
        <w:rPr>
          <w:rFonts w:ascii="Arial" w:hAnsi="Arial"/>
          <w:b/>
          <w:sz w:val="21"/>
        </w:rPr>
        <w:t xml:space="preserve"> Data and Code Availability</w:t>
      </w:r>
      <w:bookmarkEnd w:id="16"/>
    </w:p>
    <w:p w14:paraId="0E362598">
      <w:pPr>
        <w:spacing w:after="50"/>
        <w:ind w:firstLine="317"/>
      </w:pPr>
      <w:r>
        <w:t>The data file is available from the ealaxi/banksim1 BankSim page at</w:t>
      </w:r>
      <w:r>
        <w:rPr>
          <w:rFonts w:hint="eastAsia" w:eastAsia="宋体"/>
          <w:lang w:eastAsia="zh-CN"/>
        </w:rPr>
        <w:t xml:space="preserve"> </w:t>
      </w:r>
      <w:r>
        <w:t xml:space="preserve">https://www.kaggle.com/datasets/ealaxi/banksim1. The exact file is bs140513_032310.csv with SHA-256 e37006f76d993bfaec3a02d717b4f0bdc1ebfa5d36449e91fb7c07e225278377. The complete reproduction package is supplied with the submission and mirrored at </w:t>
      </w:r>
      <w:r>
        <w:fldChar w:fldCharType="begin"/>
      </w:r>
      <w:r>
        <w:instrText xml:space="preserve"> HYPERLINK "https://github.com/Perry-123h/MambaJEPA-AD" </w:instrText>
      </w:r>
      <w:r>
        <w:fldChar w:fldCharType="separate"/>
      </w:r>
      <w:r>
        <w:rPr>
          <w:rStyle w:val="139"/>
        </w:rPr>
        <w:t>https://github.com/Perry-123h/MambaJEPA-AD</w:t>
      </w:r>
      <w:r>
        <w:rPr>
          <w:rStyle w:val="139"/>
        </w:rPr>
        <w:fldChar w:fldCharType="end"/>
      </w:r>
      <w:r>
        <w:t>. It contains source code, the full configuration, model files, logs, validation and test predictions, derived tables, resource measurements, and a SHA-256 manifest. The raw dataset is excluded and must be downloaded from the cited source.</w:t>
      </w:r>
    </w:p>
    <w:p w14:paraId="4E4CDF2E">
      <w:pPr>
        <w:spacing w:before="40" w:after="20"/>
        <w:outlineLvl w:val="1"/>
      </w:pPr>
      <w:bookmarkStart w:id="17" w:name="_Toc21872"/>
      <w:r>
        <w:rPr>
          <w:rFonts w:hint="eastAsia" w:ascii="Arial" w:hAnsi="Arial" w:eastAsia="宋体"/>
          <w:b/>
          <w:sz w:val="21"/>
          <w:lang w:eastAsia="zh-CN"/>
        </w:rPr>
        <w:t>5</w:t>
      </w:r>
      <w:r>
        <w:rPr>
          <w:rFonts w:ascii="Arial" w:hAnsi="Arial"/>
          <w:b/>
          <w:sz w:val="21"/>
        </w:rPr>
        <w:t>.</w:t>
      </w:r>
      <w:r>
        <w:rPr>
          <w:rFonts w:hint="eastAsia" w:ascii="Arial" w:hAnsi="Arial" w:eastAsia="宋体"/>
          <w:b/>
          <w:sz w:val="21"/>
          <w:lang w:eastAsia="zh-CN"/>
        </w:rPr>
        <w:t>3</w:t>
      </w:r>
      <w:r>
        <w:rPr>
          <w:rFonts w:ascii="Arial" w:hAnsi="Arial"/>
          <w:b/>
          <w:sz w:val="21"/>
        </w:rPr>
        <w:t xml:space="preserve"> Model-Selection Discipline and Repeated Runs</w:t>
      </w:r>
      <w:bookmarkEnd w:id="17"/>
    </w:p>
    <w:p w14:paraId="761AD2EE">
      <w:pPr>
        <w:spacing w:after="50"/>
        <w:ind w:firstLine="317"/>
        <w:jc w:val="both"/>
      </w:pPr>
      <w:r>
        <w:t>Every data-dependent decision uses only training and validation periods. Feature vocabularies and standardization use training data. Neural checkpoints use validation AUPRC; classification thresholds use validation F1; late-fusion weights use validation AUPRC; and EVT-POT parameters use validation-normal scores. The tree and neural baselines receive the same chronological partitions and leakage-screened current attributes, while sequence models additionally receive only the defined past-only history.</w:t>
      </w:r>
    </w:p>
    <w:p w14:paraId="7E1AF1E3">
      <w:pPr>
        <w:spacing w:after="50"/>
        <w:ind w:firstLine="317"/>
        <w:jc w:val="both"/>
      </w:pPr>
      <w:r>
        <w:t>The final neural branch and four principal ablations are retrained from scratch with seeds 42, 73, and 101. Each run uses the same preprocessing, three pretraining epochs when applicable, at most eight supervised epochs, and the same validation checkpoint rule. The XGBoost branch remains fixed, and alpha is reselected on validation data for each neural seed. Tables 5 and 7 report the resulting run-to-run variation.</w:t>
      </w:r>
    </w:p>
    <w:p w14:paraId="6ABE945D">
      <w:pPr>
        <w:spacing w:before="60" w:after="20"/>
        <w:outlineLvl w:val="0"/>
      </w:pPr>
      <w:bookmarkStart w:id="18" w:name="_Toc11042"/>
      <w:r>
        <w:rPr>
          <w:rFonts w:hint="eastAsia" w:ascii="Arial" w:hAnsi="Arial" w:eastAsia="宋体"/>
          <w:b/>
          <w:sz w:val="21"/>
          <w:lang w:eastAsia="zh-CN"/>
        </w:rPr>
        <w:t>6</w:t>
      </w:r>
      <w:r>
        <w:rPr>
          <w:rFonts w:ascii="Arial" w:hAnsi="Arial"/>
          <w:b/>
          <w:sz w:val="21"/>
        </w:rPr>
        <w:t>. RESULTS</w:t>
      </w:r>
      <w:bookmarkEnd w:id="18"/>
    </w:p>
    <w:p w14:paraId="2C4E9A37">
      <w:pPr>
        <w:spacing w:before="40" w:after="20"/>
        <w:outlineLvl w:val="1"/>
      </w:pPr>
      <w:bookmarkStart w:id="19" w:name="_Toc11962"/>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1</w:t>
      </w:r>
      <w:r>
        <w:rPr>
          <w:rFonts w:ascii="Arial" w:hAnsi="Arial"/>
          <w:b/>
          <w:sz w:val="21"/>
        </w:rPr>
        <w:t xml:space="preserve"> Supervised Baseline Comparison</w:t>
      </w:r>
      <w:bookmarkEnd w:id="19"/>
    </w:p>
    <w:p w14:paraId="5E7EEF12">
      <w:pPr>
        <w:spacing w:before="40" w:after="20"/>
        <w:jc w:val="center"/>
      </w:pPr>
      <w:r>
        <w:rPr>
          <w:b/>
          <w:sz w:val="20"/>
        </w:rPr>
        <w:t>Table 3. Performance on the chronological test period</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39"/>
        <w:gridCol w:w="1639"/>
        <w:gridCol w:w="1639"/>
        <w:gridCol w:w="1639"/>
        <w:gridCol w:w="1639"/>
        <w:gridCol w:w="1639"/>
      </w:tblGrid>
      <w:tr w14:paraId="2FD9B4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639" w:type="dxa"/>
            <w:tcBorders>
              <w:top w:val="single" w:color="auto" w:sz="8" w:space="0"/>
              <w:left w:val="nil"/>
              <w:bottom w:val="single" w:color="auto" w:sz="8" w:space="0"/>
              <w:right w:val="nil"/>
            </w:tcBorders>
            <w:shd w:val="clear" w:color="auto" w:fill="D9EAF7"/>
            <w:vAlign w:val="center"/>
          </w:tcPr>
          <w:p w14:paraId="46A65D21">
            <w:r>
              <w:rPr>
                <w:b/>
                <w:sz w:val="13"/>
              </w:rPr>
              <w:t>Method</w:t>
            </w:r>
          </w:p>
        </w:tc>
        <w:tc>
          <w:tcPr>
            <w:tcW w:w="1639" w:type="dxa"/>
            <w:tcBorders>
              <w:top w:val="single" w:color="auto" w:sz="8" w:space="0"/>
              <w:left w:val="nil"/>
              <w:bottom w:val="single" w:color="auto" w:sz="8" w:space="0"/>
              <w:right w:val="nil"/>
            </w:tcBorders>
            <w:shd w:val="clear" w:color="auto" w:fill="D9EAF7"/>
            <w:vAlign w:val="center"/>
          </w:tcPr>
          <w:p w14:paraId="774FA1C9">
            <w:r>
              <w:rPr>
                <w:b/>
                <w:sz w:val="13"/>
              </w:rPr>
              <w:t>AUC</w:t>
            </w:r>
          </w:p>
        </w:tc>
        <w:tc>
          <w:tcPr>
            <w:tcW w:w="1639" w:type="dxa"/>
            <w:tcBorders>
              <w:top w:val="single" w:color="auto" w:sz="8" w:space="0"/>
              <w:left w:val="nil"/>
              <w:bottom w:val="single" w:color="auto" w:sz="8" w:space="0"/>
              <w:right w:val="nil"/>
            </w:tcBorders>
            <w:shd w:val="clear" w:color="auto" w:fill="D9EAF7"/>
            <w:vAlign w:val="center"/>
          </w:tcPr>
          <w:p w14:paraId="44FEA450">
            <w:r>
              <w:rPr>
                <w:b/>
                <w:sz w:val="13"/>
              </w:rPr>
              <w:t>AUPRC</w:t>
            </w:r>
          </w:p>
        </w:tc>
        <w:tc>
          <w:tcPr>
            <w:tcW w:w="1639" w:type="dxa"/>
            <w:tcBorders>
              <w:top w:val="single" w:color="auto" w:sz="8" w:space="0"/>
              <w:left w:val="nil"/>
              <w:bottom w:val="single" w:color="auto" w:sz="8" w:space="0"/>
              <w:right w:val="nil"/>
            </w:tcBorders>
            <w:shd w:val="clear" w:color="auto" w:fill="D9EAF7"/>
            <w:vAlign w:val="center"/>
          </w:tcPr>
          <w:p w14:paraId="77F27A7C">
            <w:r>
              <w:rPr>
                <w:b/>
                <w:sz w:val="13"/>
              </w:rPr>
              <w:t>F1</w:t>
            </w:r>
          </w:p>
        </w:tc>
        <w:tc>
          <w:tcPr>
            <w:tcW w:w="1639" w:type="dxa"/>
            <w:tcBorders>
              <w:top w:val="single" w:color="auto" w:sz="8" w:space="0"/>
              <w:left w:val="nil"/>
              <w:bottom w:val="single" w:color="auto" w:sz="8" w:space="0"/>
              <w:right w:val="nil"/>
            </w:tcBorders>
            <w:shd w:val="clear" w:color="auto" w:fill="D9EAF7"/>
            <w:vAlign w:val="center"/>
          </w:tcPr>
          <w:p w14:paraId="2C51D6B1">
            <w:r>
              <w:rPr>
                <w:b/>
                <w:sz w:val="13"/>
              </w:rPr>
              <w:t>MCC</w:t>
            </w:r>
          </w:p>
        </w:tc>
        <w:tc>
          <w:tcPr>
            <w:tcW w:w="1639" w:type="dxa"/>
            <w:tcBorders>
              <w:top w:val="single" w:color="auto" w:sz="8" w:space="0"/>
              <w:left w:val="nil"/>
              <w:bottom w:val="single" w:color="auto" w:sz="8" w:space="0"/>
              <w:right w:val="nil"/>
            </w:tcBorders>
            <w:shd w:val="clear" w:color="auto" w:fill="D9EAF7"/>
            <w:vAlign w:val="center"/>
          </w:tcPr>
          <w:p w14:paraId="5AA610A7">
            <w:r>
              <w:rPr>
                <w:b/>
                <w:sz w:val="13"/>
              </w:rPr>
              <w:t>FPR</w:t>
            </w:r>
          </w:p>
        </w:tc>
      </w:tr>
      <w:tr w14:paraId="4F2765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4DDC56D2">
            <w:r>
              <w:rPr>
                <w:sz w:val="13"/>
              </w:rPr>
              <w:t>XGBoost + MambaJEPA</w:t>
            </w:r>
          </w:p>
        </w:tc>
        <w:tc>
          <w:tcPr>
            <w:tcW w:w="1639" w:type="dxa"/>
            <w:tcBorders>
              <w:top w:val="nil"/>
              <w:left w:val="nil"/>
              <w:bottom w:val="nil"/>
              <w:right w:val="nil"/>
            </w:tcBorders>
            <w:vAlign w:val="center"/>
          </w:tcPr>
          <w:p w14:paraId="18FB8DCF">
            <w:r>
              <w:rPr>
                <w:sz w:val="13"/>
              </w:rPr>
              <w:t>0.9954</w:t>
            </w:r>
          </w:p>
        </w:tc>
        <w:tc>
          <w:tcPr>
            <w:tcW w:w="1639" w:type="dxa"/>
            <w:tcBorders>
              <w:top w:val="nil"/>
              <w:left w:val="nil"/>
              <w:bottom w:val="nil"/>
              <w:right w:val="nil"/>
            </w:tcBorders>
            <w:vAlign w:val="center"/>
          </w:tcPr>
          <w:p w14:paraId="057BF7AC">
            <w:r>
              <w:rPr>
                <w:sz w:val="13"/>
              </w:rPr>
              <w:t>0.8471</w:t>
            </w:r>
          </w:p>
        </w:tc>
        <w:tc>
          <w:tcPr>
            <w:tcW w:w="1639" w:type="dxa"/>
            <w:tcBorders>
              <w:top w:val="nil"/>
              <w:left w:val="nil"/>
              <w:bottom w:val="nil"/>
              <w:right w:val="nil"/>
            </w:tcBorders>
            <w:vAlign w:val="center"/>
          </w:tcPr>
          <w:p w14:paraId="7FD9412B">
            <w:r>
              <w:rPr>
                <w:sz w:val="13"/>
              </w:rPr>
              <w:t>0.7471</w:t>
            </w:r>
          </w:p>
        </w:tc>
        <w:tc>
          <w:tcPr>
            <w:tcW w:w="1639" w:type="dxa"/>
            <w:tcBorders>
              <w:top w:val="nil"/>
              <w:left w:val="nil"/>
              <w:bottom w:val="nil"/>
              <w:right w:val="nil"/>
            </w:tcBorders>
            <w:vAlign w:val="center"/>
          </w:tcPr>
          <w:p w14:paraId="4CA61DF5">
            <w:r>
              <w:rPr>
                <w:sz w:val="13"/>
              </w:rPr>
              <w:t>0.7622</w:t>
            </w:r>
          </w:p>
        </w:tc>
        <w:tc>
          <w:tcPr>
            <w:tcW w:w="1639" w:type="dxa"/>
            <w:tcBorders>
              <w:top w:val="nil"/>
              <w:left w:val="nil"/>
              <w:bottom w:val="nil"/>
              <w:right w:val="nil"/>
            </w:tcBorders>
            <w:vAlign w:val="center"/>
          </w:tcPr>
          <w:p w14:paraId="1BD82C47">
            <w:r>
              <w:rPr>
                <w:sz w:val="13"/>
              </w:rPr>
              <w:t>0.0004</w:t>
            </w:r>
          </w:p>
        </w:tc>
      </w:tr>
      <w:tr w14:paraId="541E17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35671092">
            <w:r>
              <w:rPr>
                <w:sz w:val="13"/>
              </w:rPr>
              <w:t>XGBoost + supervised SSM</w:t>
            </w:r>
          </w:p>
        </w:tc>
        <w:tc>
          <w:tcPr>
            <w:tcW w:w="1639" w:type="dxa"/>
            <w:tcBorders>
              <w:top w:val="nil"/>
              <w:left w:val="nil"/>
              <w:bottom w:val="nil"/>
              <w:right w:val="nil"/>
            </w:tcBorders>
            <w:vAlign w:val="center"/>
          </w:tcPr>
          <w:p w14:paraId="4DF38EB3">
            <w:r>
              <w:rPr>
                <w:sz w:val="13"/>
              </w:rPr>
              <w:t>0.9953</w:t>
            </w:r>
          </w:p>
        </w:tc>
        <w:tc>
          <w:tcPr>
            <w:tcW w:w="1639" w:type="dxa"/>
            <w:tcBorders>
              <w:top w:val="nil"/>
              <w:left w:val="nil"/>
              <w:bottom w:val="nil"/>
              <w:right w:val="nil"/>
            </w:tcBorders>
            <w:vAlign w:val="center"/>
          </w:tcPr>
          <w:p w14:paraId="13B644D1">
            <w:r>
              <w:rPr>
                <w:sz w:val="13"/>
              </w:rPr>
              <w:t>0.8460</w:t>
            </w:r>
          </w:p>
        </w:tc>
        <w:tc>
          <w:tcPr>
            <w:tcW w:w="1639" w:type="dxa"/>
            <w:tcBorders>
              <w:top w:val="nil"/>
              <w:left w:val="nil"/>
              <w:bottom w:val="nil"/>
              <w:right w:val="nil"/>
            </w:tcBorders>
            <w:vAlign w:val="center"/>
          </w:tcPr>
          <w:p w14:paraId="527ACCF5">
            <w:r>
              <w:rPr>
                <w:sz w:val="13"/>
              </w:rPr>
              <w:t>0.7657</w:t>
            </w:r>
          </w:p>
        </w:tc>
        <w:tc>
          <w:tcPr>
            <w:tcW w:w="1639" w:type="dxa"/>
            <w:tcBorders>
              <w:top w:val="nil"/>
              <w:left w:val="nil"/>
              <w:bottom w:val="nil"/>
              <w:right w:val="nil"/>
            </w:tcBorders>
            <w:vAlign w:val="center"/>
          </w:tcPr>
          <w:p w14:paraId="4C15B456">
            <w:r>
              <w:rPr>
                <w:sz w:val="13"/>
              </w:rPr>
              <w:t>0.7685</w:t>
            </w:r>
          </w:p>
        </w:tc>
        <w:tc>
          <w:tcPr>
            <w:tcW w:w="1639" w:type="dxa"/>
            <w:tcBorders>
              <w:top w:val="nil"/>
              <w:left w:val="nil"/>
              <w:bottom w:val="nil"/>
              <w:right w:val="nil"/>
            </w:tcBorders>
            <w:vAlign w:val="center"/>
          </w:tcPr>
          <w:p w14:paraId="77B41F34">
            <w:r>
              <w:rPr>
                <w:sz w:val="13"/>
              </w:rPr>
              <w:t>0.0012</w:t>
            </w:r>
          </w:p>
        </w:tc>
      </w:tr>
      <w:tr w14:paraId="578C99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2179B02C">
            <w:r>
              <w:rPr>
                <w:sz w:val="13"/>
              </w:rPr>
              <w:t>CatBoost</w:t>
            </w:r>
          </w:p>
        </w:tc>
        <w:tc>
          <w:tcPr>
            <w:tcW w:w="1639" w:type="dxa"/>
            <w:tcBorders>
              <w:top w:val="nil"/>
              <w:left w:val="nil"/>
              <w:bottom w:val="nil"/>
              <w:right w:val="nil"/>
            </w:tcBorders>
            <w:vAlign w:val="center"/>
          </w:tcPr>
          <w:p w14:paraId="546853D0">
            <w:r>
              <w:rPr>
                <w:sz w:val="13"/>
              </w:rPr>
              <w:t>0.9952</w:t>
            </w:r>
          </w:p>
        </w:tc>
        <w:tc>
          <w:tcPr>
            <w:tcW w:w="1639" w:type="dxa"/>
            <w:tcBorders>
              <w:top w:val="nil"/>
              <w:left w:val="nil"/>
              <w:bottom w:val="nil"/>
              <w:right w:val="nil"/>
            </w:tcBorders>
            <w:vAlign w:val="center"/>
          </w:tcPr>
          <w:p w14:paraId="41642582">
            <w:r>
              <w:rPr>
                <w:sz w:val="13"/>
              </w:rPr>
              <w:t>0.8449</w:t>
            </w:r>
          </w:p>
        </w:tc>
        <w:tc>
          <w:tcPr>
            <w:tcW w:w="1639" w:type="dxa"/>
            <w:tcBorders>
              <w:top w:val="nil"/>
              <w:left w:val="nil"/>
              <w:bottom w:val="nil"/>
              <w:right w:val="nil"/>
            </w:tcBorders>
            <w:vAlign w:val="center"/>
          </w:tcPr>
          <w:p w14:paraId="39FFC8FD">
            <w:r>
              <w:rPr>
                <w:sz w:val="13"/>
              </w:rPr>
              <w:t>0.7673</w:t>
            </w:r>
          </w:p>
        </w:tc>
        <w:tc>
          <w:tcPr>
            <w:tcW w:w="1639" w:type="dxa"/>
            <w:tcBorders>
              <w:top w:val="nil"/>
              <w:left w:val="nil"/>
              <w:bottom w:val="nil"/>
              <w:right w:val="nil"/>
            </w:tcBorders>
            <w:vAlign w:val="center"/>
          </w:tcPr>
          <w:p w14:paraId="24CE66CE">
            <w:r>
              <w:rPr>
                <w:sz w:val="13"/>
              </w:rPr>
              <w:t>0.7657</w:t>
            </w:r>
          </w:p>
        </w:tc>
        <w:tc>
          <w:tcPr>
            <w:tcW w:w="1639" w:type="dxa"/>
            <w:tcBorders>
              <w:top w:val="nil"/>
              <w:left w:val="nil"/>
              <w:bottom w:val="nil"/>
              <w:right w:val="nil"/>
            </w:tcBorders>
            <w:vAlign w:val="center"/>
          </w:tcPr>
          <w:p w14:paraId="1D4ABEF6">
            <w:r>
              <w:rPr>
                <w:sz w:val="13"/>
              </w:rPr>
              <w:t>0.0019</w:t>
            </w:r>
          </w:p>
        </w:tc>
      </w:tr>
      <w:tr w14:paraId="29783A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47F6A8F8">
            <w:r>
              <w:rPr>
                <w:sz w:val="13"/>
              </w:rPr>
              <w:t>XGBoost</w:t>
            </w:r>
          </w:p>
        </w:tc>
        <w:tc>
          <w:tcPr>
            <w:tcW w:w="1639" w:type="dxa"/>
            <w:tcBorders>
              <w:top w:val="nil"/>
              <w:left w:val="nil"/>
              <w:bottom w:val="nil"/>
              <w:right w:val="nil"/>
            </w:tcBorders>
            <w:vAlign w:val="center"/>
          </w:tcPr>
          <w:p w14:paraId="5CBD0018">
            <w:r>
              <w:rPr>
                <w:sz w:val="13"/>
              </w:rPr>
              <w:t>0.9953</w:t>
            </w:r>
          </w:p>
        </w:tc>
        <w:tc>
          <w:tcPr>
            <w:tcW w:w="1639" w:type="dxa"/>
            <w:tcBorders>
              <w:top w:val="nil"/>
              <w:left w:val="nil"/>
              <w:bottom w:val="nil"/>
              <w:right w:val="nil"/>
            </w:tcBorders>
            <w:vAlign w:val="center"/>
          </w:tcPr>
          <w:p w14:paraId="59B975EE">
            <w:r>
              <w:rPr>
                <w:sz w:val="13"/>
              </w:rPr>
              <w:t>0.8421</w:t>
            </w:r>
          </w:p>
        </w:tc>
        <w:tc>
          <w:tcPr>
            <w:tcW w:w="1639" w:type="dxa"/>
            <w:tcBorders>
              <w:top w:val="nil"/>
              <w:left w:val="nil"/>
              <w:bottom w:val="nil"/>
              <w:right w:val="nil"/>
            </w:tcBorders>
            <w:vAlign w:val="center"/>
          </w:tcPr>
          <w:p w14:paraId="3AEE03CD">
            <w:r>
              <w:rPr>
                <w:sz w:val="13"/>
              </w:rPr>
              <w:t>0.7681</w:t>
            </w:r>
          </w:p>
        </w:tc>
        <w:tc>
          <w:tcPr>
            <w:tcW w:w="1639" w:type="dxa"/>
            <w:tcBorders>
              <w:top w:val="nil"/>
              <w:left w:val="nil"/>
              <w:bottom w:val="nil"/>
              <w:right w:val="nil"/>
            </w:tcBorders>
            <w:vAlign w:val="center"/>
          </w:tcPr>
          <w:p w14:paraId="5814AF3B">
            <w:r>
              <w:rPr>
                <w:sz w:val="13"/>
              </w:rPr>
              <w:t>0.7679</w:t>
            </w:r>
          </w:p>
        </w:tc>
        <w:tc>
          <w:tcPr>
            <w:tcW w:w="1639" w:type="dxa"/>
            <w:tcBorders>
              <w:top w:val="nil"/>
              <w:left w:val="nil"/>
              <w:bottom w:val="nil"/>
              <w:right w:val="nil"/>
            </w:tcBorders>
            <w:vAlign w:val="center"/>
          </w:tcPr>
          <w:p w14:paraId="2C934985">
            <w:r>
              <w:rPr>
                <w:sz w:val="13"/>
              </w:rPr>
              <w:t>0.0016</w:t>
            </w:r>
          </w:p>
        </w:tc>
      </w:tr>
      <w:tr w14:paraId="18009A4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0457CA2F">
            <w:r>
              <w:rPr>
                <w:sz w:val="13"/>
              </w:rPr>
              <w:t>LightGBM</w:t>
            </w:r>
          </w:p>
        </w:tc>
        <w:tc>
          <w:tcPr>
            <w:tcW w:w="1639" w:type="dxa"/>
            <w:tcBorders>
              <w:top w:val="nil"/>
              <w:left w:val="nil"/>
              <w:bottom w:val="nil"/>
              <w:right w:val="nil"/>
            </w:tcBorders>
            <w:vAlign w:val="center"/>
          </w:tcPr>
          <w:p w14:paraId="36F42F29">
            <w:r>
              <w:rPr>
                <w:sz w:val="13"/>
              </w:rPr>
              <w:t>0.9951</w:t>
            </w:r>
          </w:p>
        </w:tc>
        <w:tc>
          <w:tcPr>
            <w:tcW w:w="1639" w:type="dxa"/>
            <w:tcBorders>
              <w:top w:val="nil"/>
              <w:left w:val="nil"/>
              <w:bottom w:val="nil"/>
              <w:right w:val="nil"/>
            </w:tcBorders>
            <w:vAlign w:val="center"/>
          </w:tcPr>
          <w:p w14:paraId="50C219AD">
            <w:r>
              <w:rPr>
                <w:sz w:val="13"/>
              </w:rPr>
              <w:t>0.8389</w:t>
            </w:r>
          </w:p>
        </w:tc>
        <w:tc>
          <w:tcPr>
            <w:tcW w:w="1639" w:type="dxa"/>
            <w:tcBorders>
              <w:top w:val="nil"/>
              <w:left w:val="nil"/>
              <w:bottom w:val="nil"/>
              <w:right w:val="nil"/>
            </w:tcBorders>
            <w:vAlign w:val="center"/>
          </w:tcPr>
          <w:p w14:paraId="415FDD43">
            <w:r>
              <w:rPr>
                <w:sz w:val="13"/>
              </w:rPr>
              <w:t>0.7570</w:t>
            </w:r>
          </w:p>
        </w:tc>
        <w:tc>
          <w:tcPr>
            <w:tcW w:w="1639" w:type="dxa"/>
            <w:tcBorders>
              <w:top w:val="nil"/>
              <w:left w:val="nil"/>
              <w:bottom w:val="nil"/>
              <w:right w:val="nil"/>
            </w:tcBorders>
            <w:vAlign w:val="center"/>
          </w:tcPr>
          <w:p w14:paraId="15B81DE5">
            <w:r>
              <w:rPr>
                <w:sz w:val="13"/>
              </w:rPr>
              <w:t>0.7597</w:t>
            </w:r>
          </w:p>
        </w:tc>
        <w:tc>
          <w:tcPr>
            <w:tcW w:w="1639" w:type="dxa"/>
            <w:tcBorders>
              <w:top w:val="nil"/>
              <w:left w:val="nil"/>
              <w:bottom w:val="nil"/>
              <w:right w:val="nil"/>
            </w:tcBorders>
            <w:vAlign w:val="center"/>
          </w:tcPr>
          <w:p w14:paraId="535FA9C4">
            <w:r>
              <w:rPr>
                <w:sz w:val="13"/>
              </w:rPr>
              <w:t>0.0013</w:t>
            </w:r>
          </w:p>
        </w:tc>
      </w:tr>
      <w:tr w14:paraId="107C0CE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6A2C2422">
            <w:r>
              <w:rPr>
                <w:sz w:val="13"/>
              </w:rPr>
              <w:t>Supervised LSTM</w:t>
            </w:r>
          </w:p>
        </w:tc>
        <w:tc>
          <w:tcPr>
            <w:tcW w:w="1639" w:type="dxa"/>
            <w:tcBorders>
              <w:top w:val="nil"/>
              <w:left w:val="nil"/>
              <w:bottom w:val="nil"/>
              <w:right w:val="nil"/>
            </w:tcBorders>
            <w:vAlign w:val="center"/>
          </w:tcPr>
          <w:p w14:paraId="3A7313FA">
            <w:r>
              <w:rPr>
                <w:sz w:val="13"/>
              </w:rPr>
              <w:t>0.9949</w:t>
            </w:r>
          </w:p>
        </w:tc>
        <w:tc>
          <w:tcPr>
            <w:tcW w:w="1639" w:type="dxa"/>
            <w:tcBorders>
              <w:top w:val="nil"/>
              <w:left w:val="nil"/>
              <w:bottom w:val="nil"/>
              <w:right w:val="nil"/>
            </w:tcBorders>
            <w:vAlign w:val="center"/>
          </w:tcPr>
          <w:p w14:paraId="6BD23FAD">
            <w:r>
              <w:rPr>
                <w:sz w:val="13"/>
              </w:rPr>
              <w:t>0.8314</w:t>
            </w:r>
          </w:p>
        </w:tc>
        <w:tc>
          <w:tcPr>
            <w:tcW w:w="1639" w:type="dxa"/>
            <w:tcBorders>
              <w:top w:val="nil"/>
              <w:left w:val="nil"/>
              <w:bottom w:val="nil"/>
              <w:right w:val="nil"/>
            </w:tcBorders>
            <w:vAlign w:val="center"/>
          </w:tcPr>
          <w:p w14:paraId="7BE1B23A">
            <w:r>
              <w:rPr>
                <w:sz w:val="13"/>
              </w:rPr>
              <w:t>0.7677</w:t>
            </w:r>
          </w:p>
        </w:tc>
        <w:tc>
          <w:tcPr>
            <w:tcW w:w="1639" w:type="dxa"/>
            <w:tcBorders>
              <w:top w:val="nil"/>
              <w:left w:val="nil"/>
              <w:bottom w:val="nil"/>
              <w:right w:val="nil"/>
            </w:tcBorders>
            <w:vAlign w:val="center"/>
          </w:tcPr>
          <w:p w14:paraId="1C7F47F2">
            <w:r>
              <w:rPr>
                <w:sz w:val="13"/>
              </w:rPr>
              <w:t>0.7739</w:t>
            </w:r>
          </w:p>
        </w:tc>
        <w:tc>
          <w:tcPr>
            <w:tcW w:w="1639" w:type="dxa"/>
            <w:tcBorders>
              <w:top w:val="nil"/>
              <w:left w:val="nil"/>
              <w:bottom w:val="nil"/>
              <w:right w:val="nil"/>
            </w:tcBorders>
            <w:vAlign w:val="center"/>
          </w:tcPr>
          <w:p w14:paraId="59F7BF8B">
            <w:r>
              <w:rPr>
                <w:sz w:val="13"/>
              </w:rPr>
              <w:t>0.0008</w:t>
            </w:r>
          </w:p>
        </w:tc>
      </w:tr>
      <w:tr w14:paraId="165E77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0208498C">
            <w:r>
              <w:rPr>
                <w:sz w:val="13"/>
              </w:rPr>
              <w:t>Supervised Transformer</w:t>
            </w:r>
          </w:p>
        </w:tc>
        <w:tc>
          <w:tcPr>
            <w:tcW w:w="1639" w:type="dxa"/>
            <w:tcBorders>
              <w:top w:val="nil"/>
              <w:left w:val="nil"/>
              <w:bottom w:val="nil"/>
              <w:right w:val="nil"/>
            </w:tcBorders>
            <w:vAlign w:val="center"/>
          </w:tcPr>
          <w:p w14:paraId="12FA3FDA">
            <w:r>
              <w:rPr>
                <w:sz w:val="13"/>
              </w:rPr>
              <w:t>0.9949</w:t>
            </w:r>
          </w:p>
        </w:tc>
        <w:tc>
          <w:tcPr>
            <w:tcW w:w="1639" w:type="dxa"/>
            <w:tcBorders>
              <w:top w:val="nil"/>
              <w:left w:val="nil"/>
              <w:bottom w:val="nil"/>
              <w:right w:val="nil"/>
            </w:tcBorders>
            <w:vAlign w:val="center"/>
          </w:tcPr>
          <w:p w14:paraId="25704652">
            <w:r>
              <w:rPr>
                <w:sz w:val="13"/>
              </w:rPr>
              <w:t>0.8313</w:t>
            </w:r>
          </w:p>
        </w:tc>
        <w:tc>
          <w:tcPr>
            <w:tcW w:w="1639" w:type="dxa"/>
            <w:tcBorders>
              <w:top w:val="nil"/>
              <w:left w:val="nil"/>
              <w:bottom w:val="nil"/>
              <w:right w:val="nil"/>
            </w:tcBorders>
            <w:vAlign w:val="center"/>
          </w:tcPr>
          <w:p w14:paraId="5F468424">
            <w:r>
              <w:rPr>
                <w:sz w:val="13"/>
              </w:rPr>
              <w:t>0.7669</w:t>
            </w:r>
          </w:p>
        </w:tc>
        <w:tc>
          <w:tcPr>
            <w:tcW w:w="1639" w:type="dxa"/>
            <w:tcBorders>
              <w:top w:val="nil"/>
              <w:left w:val="nil"/>
              <w:bottom w:val="nil"/>
              <w:right w:val="nil"/>
            </w:tcBorders>
            <w:vAlign w:val="center"/>
          </w:tcPr>
          <w:p w14:paraId="2F483671">
            <w:r>
              <w:rPr>
                <w:sz w:val="13"/>
              </w:rPr>
              <w:t>0.7714</w:t>
            </w:r>
          </w:p>
        </w:tc>
        <w:tc>
          <w:tcPr>
            <w:tcW w:w="1639" w:type="dxa"/>
            <w:tcBorders>
              <w:top w:val="nil"/>
              <w:left w:val="nil"/>
              <w:bottom w:val="nil"/>
              <w:right w:val="nil"/>
            </w:tcBorders>
            <w:vAlign w:val="center"/>
          </w:tcPr>
          <w:p w14:paraId="005D4CF8">
            <w:r>
              <w:rPr>
                <w:sz w:val="13"/>
              </w:rPr>
              <w:t>0.0010</w:t>
            </w:r>
          </w:p>
        </w:tc>
      </w:tr>
      <w:tr w14:paraId="278F16E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41118BB9">
            <w:r>
              <w:rPr>
                <w:sz w:val="13"/>
              </w:rPr>
              <w:t>Supervised SSM</w:t>
            </w:r>
          </w:p>
        </w:tc>
        <w:tc>
          <w:tcPr>
            <w:tcW w:w="1639" w:type="dxa"/>
            <w:tcBorders>
              <w:top w:val="nil"/>
              <w:left w:val="nil"/>
              <w:bottom w:val="nil"/>
              <w:right w:val="nil"/>
            </w:tcBorders>
            <w:vAlign w:val="center"/>
          </w:tcPr>
          <w:p w14:paraId="592A0643">
            <w:r>
              <w:rPr>
                <w:sz w:val="13"/>
              </w:rPr>
              <w:t>0.9947</w:t>
            </w:r>
          </w:p>
        </w:tc>
        <w:tc>
          <w:tcPr>
            <w:tcW w:w="1639" w:type="dxa"/>
            <w:tcBorders>
              <w:top w:val="nil"/>
              <w:left w:val="nil"/>
              <w:bottom w:val="nil"/>
              <w:right w:val="nil"/>
            </w:tcBorders>
            <w:vAlign w:val="center"/>
          </w:tcPr>
          <w:p w14:paraId="3C3F2463">
            <w:r>
              <w:rPr>
                <w:sz w:val="13"/>
              </w:rPr>
              <w:t>0.8273</w:t>
            </w:r>
          </w:p>
        </w:tc>
        <w:tc>
          <w:tcPr>
            <w:tcW w:w="1639" w:type="dxa"/>
            <w:tcBorders>
              <w:top w:val="nil"/>
              <w:left w:val="nil"/>
              <w:bottom w:val="nil"/>
              <w:right w:val="nil"/>
            </w:tcBorders>
            <w:vAlign w:val="center"/>
          </w:tcPr>
          <w:p w14:paraId="5D63C0F5">
            <w:r>
              <w:rPr>
                <w:sz w:val="13"/>
              </w:rPr>
              <w:t>0.7599</w:t>
            </w:r>
          </w:p>
        </w:tc>
        <w:tc>
          <w:tcPr>
            <w:tcW w:w="1639" w:type="dxa"/>
            <w:tcBorders>
              <w:top w:val="nil"/>
              <w:left w:val="nil"/>
              <w:bottom w:val="nil"/>
              <w:right w:val="nil"/>
            </w:tcBorders>
            <w:vAlign w:val="center"/>
          </w:tcPr>
          <w:p w14:paraId="56EE4C6C">
            <w:r>
              <w:rPr>
                <w:sz w:val="13"/>
              </w:rPr>
              <w:t>0.7691</w:t>
            </w:r>
          </w:p>
        </w:tc>
        <w:tc>
          <w:tcPr>
            <w:tcW w:w="1639" w:type="dxa"/>
            <w:tcBorders>
              <w:top w:val="nil"/>
              <w:left w:val="nil"/>
              <w:bottom w:val="nil"/>
              <w:right w:val="nil"/>
            </w:tcBorders>
            <w:vAlign w:val="center"/>
          </w:tcPr>
          <w:p w14:paraId="0EF6A7C6">
            <w:r>
              <w:rPr>
                <w:sz w:val="13"/>
              </w:rPr>
              <w:t>0.0007</w:t>
            </w:r>
          </w:p>
        </w:tc>
      </w:tr>
      <w:tr w14:paraId="6CA8C1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single" w:color="auto" w:sz="8" w:space="0"/>
              <w:left w:val="nil"/>
              <w:bottom w:val="single" w:color="auto" w:sz="8" w:space="0"/>
              <w:right w:val="nil"/>
            </w:tcBorders>
            <w:vAlign w:val="center"/>
          </w:tcPr>
          <w:p w14:paraId="376F13DB">
            <w:r>
              <w:rPr>
                <w:sz w:val="13"/>
              </w:rPr>
              <w:t>Balanced MLP</w:t>
            </w:r>
          </w:p>
        </w:tc>
        <w:tc>
          <w:tcPr>
            <w:tcW w:w="1639" w:type="dxa"/>
            <w:tcBorders>
              <w:top w:val="single" w:color="auto" w:sz="8" w:space="0"/>
              <w:left w:val="nil"/>
              <w:bottom w:val="single" w:color="auto" w:sz="8" w:space="0"/>
              <w:right w:val="nil"/>
            </w:tcBorders>
            <w:vAlign w:val="center"/>
          </w:tcPr>
          <w:p w14:paraId="3B599445">
            <w:r>
              <w:rPr>
                <w:sz w:val="13"/>
              </w:rPr>
              <w:t>0.9946</w:t>
            </w:r>
          </w:p>
        </w:tc>
        <w:tc>
          <w:tcPr>
            <w:tcW w:w="1639" w:type="dxa"/>
            <w:tcBorders>
              <w:top w:val="single" w:color="auto" w:sz="8" w:space="0"/>
              <w:left w:val="nil"/>
              <w:bottom w:val="single" w:color="auto" w:sz="8" w:space="0"/>
              <w:right w:val="nil"/>
            </w:tcBorders>
            <w:vAlign w:val="center"/>
          </w:tcPr>
          <w:p w14:paraId="769A017E">
            <w:r>
              <w:rPr>
                <w:sz w:val="13"/>
              </w:rPr>
              <w:t>0.8248</w:t>
            </w:r>
          </w:p>
        </w:tc>
        <w:tc>
          <w:tcPr>
            <w:tcW w:w="1639" w:type="dxa"/>
            <w:tcBorders>
              <w:top w:val="single" w:color="auto" w:sz="8" w:space="0"/>
              <w:left w:val="nil"/>
              <w:bottom w:val="single" w:color="auto" w:sz="8" w:space="0"/>
              <w:right w:val="nil"/>
            </w:tcBorders>
            <w:vAlign w:val="center"/>
          </w:tcPr>
          <w:p w14:paraId="0D38243B">
            <w:r>
              <w:rPr>
                <w:sz w:val="13"/>
              </w:rPr>
              <w:t>0.7699</w:t>
            </w:r>
          </w:p>
        </w:tc>
        <w:tc>
          <w:tcPr>
            <w:tcW w:w="1639" w:type="dxa"/>
            <w:tcBorders>
              <w:top w:val="single" w:color="auto" w:sz="8" w:space="0"/>
              <w:left w:val="nil"/>
              <w:bottom w:val="single" w:color="auto" w:sz="8" w:space="0"/>
              <w:right w:val="nil"/>
            </w:tcBorders>
            <w:vAlign w:val="center"/>
          </w:tcPr>
          <w:p w14:paraId="3DD29CD0">
            <w:r>
              <w:rPr>
                <w:sz w:val="13"/>
              </w:rPr>
              <w:t>0.7735</w:t>
            </w:r>
          </w:p>
        </w:tc>
        <w:tc>
          <w:tcPr>
            <w:tcW w:w="1639" w:type="dxa"/>
            <w:tcBorders>
              <w:top w:val="single" w:color="auto" w:sz="8" w:space="0"/>
              <w:left w:val="nil"/>
              <w:bottom w:val="single" w:color="auto" w:sz="8" w:space="0"/>
              <w:right w:val="nil"/>
            </w:tcBorders>
            <w:vAlign w:val="center"/>
          </w:tcPr>
          <w:p w14:paraId="53D6A5F0">
            <w:r>
              <w:rPr>
                <w:sz w:val="13"/>
              </w:rPr>
              <w:t>0.0011</w:t>
            </w:r>
          </w:p>
        </w:tc>
      </w:tr>
      <w:tr w14:paraId="6408E7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vAlign w:val="center"/>
          </w:tcPr>
          <w:p w14:paraId="2122987A">
            <w:r>
              <w:rPr>
                <w:sz w:val="13"/>
              </w:rPr>
              <w:t>Random forest</w:t>
            </w:r>
          </w:p>
        </w:tc>
        <w:tc>
          <w:tcPr>
            <w:tcW w:w="1639" w:type="dxa"/>
            <w:vAlign w:val="center"/>
          </w:tcPr>
          <w:p w14:paraId="47403B97">
            <w:r>
              <w:rPr>
                <w:sz w:val="13"/>
              </w:rPr>
              <w:t>0.9943</w:t>
            </w:r>
          </w:p>
        </w:tc>
        <w:tc>
          <w:tcPr>
            <w:tcW w:w="1639" w:type="dxa"/>
            <w:vAlign w:val="center"/>
          </w:tcPr>
          <w:p w14:paraId="063ADD56">
            <w:r>
              <w:rPr>
                <w:sz w:val="13"/>
              </w:rPr>
              <w:t>0.8071</w:t>
            </w:r>
          </w:p>
        </w:tc>
        <w:tc>
          <w:tcPr>
            <w:tcW w:w="1639" w:type="dxa"/>
            <w:vAlign w:val="center"/>
          </w:tcPr>
          <w:p w14:paraId="1B49D8AD">
            <w:r>
              <w:rPr>
                <w:sz w:val="13"/>
              </w:rPr>
              <w:t>0.7424</w:t>
            </w:r>
          </w:p>
        </w:tc>
        <w:tc>
          <w:tcPr>
            <w:tcW w:w="1639" w:type="dxa"/>
            <w:vAlign w:val="center"/>
          </w:tcPr>
          <w:p w14:paraId="7B0A33AB">
            <w:r>
              <w:rPr>
                <w:sz w:val="13"/>
              </w:rPr>
              <w:t>0.7422</w:t>
            </w:r>
          </w:p>
        </w:tc>
        <w:tc>
          <w:tcPr>
            <w:tcW w:w="1639" w:type="dxa"/>
            <w:vAlign w:val="center"/>
          </w:tcPr>
          <w:p w14:paraId="516D2A9F">
            <w:r>
              <w:rPr>
                <w:sz w:val="13"/>
              </w:rPr>
              <w:t>0.0018</w:t>
            </w:r>
          </w:p>
        </w:tc>
      </w:tr>
    </w:tbl>
    <w:p w14:paraId="449AC71A">
      <w:pPr>
        <w:spacing w:after="50"/>
        <w:ind w:firstLine="317"/>
        <w:jc w:val="both"/>
      </w:pPr>
      <w:r>
        <w:t>The seed-42 MambaJEPA-AD fusion obtains test AUPRC 0.8471, compared with 0.8421 for XGBoost and 0.8449 for CatBoost. Its validation-selected alpha is 0.65. A 2,000-resample paired bootstrap over the 4,088 test customers gives a 95% interval of 0.0020 to 0.0082 for the AUPRC difference from XGBoost. The matched XGBoost plus supervised SSM control obtains AUPRC 0.8460. The JEPA fusion exceeds that control by 0.0011, but the paired 95% interval is -0.0008 to 0.0028, so the extra improvement cannot be attributed conclusively to JEPA pretraining. Across steps 144-155, 156-167, and 168-179, fusion versus XGBoost AUPRC is 0.8695 versus 0.8633, 0.8338 versus 0.8305, and 0.8373 versus 0.8319.</w:t>
      </w:r>
    </w:p>
    <w:p w14:paraId="00D50B0A">
      <w:pPr>
        <w:spacing w:before="20"/>
        <w:jc w:val="center"/>
      </w:pPr>
      <w:r>
        <w:drawing>
          <wp:inline distT="0" distB="0" distL="114300" distR="114300">
            <wp:extent cx="5156835" cy="3336925"/>
            <wp:effectExtent l="0" t="0" r="1206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156835" cy="3336925"/>
                    </a:xfrm>
                    <a:prstGeom prst="rect">
                      <a:avLst/>
                    </a:prstGeom>
                  </pic:spPr>
                </pic:pic>
              </a:graphicData>
            </a:graphic>
          </wp:inline>
        </w:drawing>
      </w:r>
    </w:p>
    <w:p w14:paraId="081522E7">
      <w:pPr>
        <w:spacing w:before="20" w:after="40"/>
        <w:jc w:val="center"/>
      </w:pPr>
      <w:r>
        <w:rPr>
          <w:sz w:val="20"/>
        </w:rPr>
        <w:t>Figure 3. Precision-recall curves for the revised detector and strong supervised baselines.</w:t>
      </w:r>
    </w:p>
    <w:p w14:paraId="2DE8A819">
      <w:pPr>
        <w:spacing w:before="40" w:after="20"/>
        <w:outlineLvl w:val="1"/>
      </w:pPr>
      <w:bookmarkStart w:id="20" w:name="_Toc29275"/>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2</w:t>
      </w:r>
      <w:r>
        <w:rPr>
          <w:rFonts w:ascii="Arial" w:hAnsi="Arial"/>
          <w:b/>
          <w:sz w:val="21"/>
        </w:rPr>
        <w:t xml:space="preserve"> Category-Blind Robustness</w:t>
      </w:r>
      <w:bookmarkEnd w:id="20"/>
    </w:p>
    <w:p w14:paraId="5185A48E">
      <w:pPr>
        <w:spacing w:before="40" w:after="20"/>
        <w:jc w:val="center"/>
      </w:pPr>
      <w:r>
        <w:rPr>
          <w:b/>
          <w:sz w:val="20"/>
        </w:rPr>
        <w:t>Table 4. Category-blind robustness</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459"/>
        <w:gridCol w:w="2459"/>
        <w:gridCol w:w="2459"/>
        <w:gridCol w:w="2459"/>
      </w:tblGrid>
      <w:tr w14:paraId="3DAD148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2459" w:type="dxa"/>
            <w:tcBorders>
              <w:top w:val="single" w:color="auto" w:sz="8" w:space="0"/>
              <w:left w:val="nil"/>
              <w:bottom w:val="single" w:color="auto" w:sz="8" w:space="0"/>
              <w:right w:val="nil"/>
            </w:tcBorders>
            <w:shd w:val="clear" w:color="auto" w:fill="D9EAF7"/>
            <w:vAlign w:val="center"/>
          </w:tcPr>
          <w:p w14:paraId="0F06B923">
            <w:r>
              <w:rPr>
                <w:b/>
                <w:sz w:val="14"/>
              </w:rPr>
              <w:t>Model</w:t>
            </w:r>
          </w:p>
        </w:tc>
        <w:tc>
          <w:tcPr>
            <w:tcW w:w="2459" w:type="dxa"/>
            <w:tcBorders>
              <w:top w:val="single" w:color="auto" w:sz="8" w:space="0"/>
              <w:left w:val="nil"/>
              <w:bottom w:val="single" w:color="auto" w:sz="8" w:space="0"/>
              <w:right w:val="nil"/>
            </w:tcBorders>
            <w:shd w:val="clear" w:color="auto" w:fill="D9EAF7"/>
            <w:vAlign w:val="center"/>
          </w:tcPr>
          <w:p w14:paraId="0FF931E9">
            <w:r>
              <w:rPr>
                <w:b/>
                <w:sz w:val="14"/>
              </w:rPr>
              <w:t>Full-feature AUPRC</w:t>
            </w:r>
          </w:p>
        </w:tc>
        <w:tc>
          <w:tcPr>
            <w:tcW w:w="2459" w:type="dxa"/>
            <w:tcBorders>
              <w:top w:val="single" w:color="auto" w:sz="8" w:space="0"/>
              <w:left w:val="nil"/>
              <w:bottom w:val="single" w:color="auto" w:sz="8" w:space="0"/>
              <w:right w:val="nil"/>
            </w:tcBorders>
            <w:shd w:val="clear" w:color="auto" w:fill="D9EAF7"/>
            <w:vAlign w:val="center"/>
          </w:tcPr>
          <w:p w14:paraId="65FC61FA">
            <w:r>
              <w:rPr>
                <w:b/>
                <w:sz w:val="14"/>
              </w:rPr>
              <w:t>Category-blind AUPRC</w:t>
            </w:r>
          </w:p>
        </w:tc>
        <w:tc>
          <w:tcPr>
            <w:tcW w:w="2459" w:type="dxa"/>
            <w:tcBorders>
              <w:top w:val="single" w:color="auto" w:sz="8" w:space="0"/>
              <w:left w:val="nil"/>
              <w:bottom w:val="single" w:color="auto" w:sz="8" w:space="0"/>
              <w:right w:val="nil"/>
            </w:tcBorders>
            <w:shd w:val="clear" w:color="auto" w:fill="D9EAF7"/>
            <w:vAlign w:val="center"/>
          </w:tcPr>
          <w:p w14:paraId="1E47A5B7">
            <w:r>
              <w:rPr>
                <w:b/>
                <w:sz w:val="14"/>
              </w:rPr>
              <w:t>Change</w:t>
            </w:r>
          </w:p>
        </w:tc>
      </w:tr>
      <w:tr w14:paraId="5DBB1F5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33FA5278">
            <w:r>
              <w:rPr>
                <w:sz w:val="14"/>
              </w:rPr>
              <w:t>XGBoost</w:t>
            </w:r>
          </w:p>
        </w:tc>
        <w:tc>
          <w:tcPr>
            <w:tcW w:w="2459" w:type="dxa"/>
            <w:tcBorders>
              <w:top w:val="nil"/>
              <w:left w:val="nil"/>
              <w:bottom w:val="nil"/>
              <w:right w:val="nil"/>
            </w:tcBorders>
            <w:vAlign w:val="center"/>
          </w:tcPr>
          <w:p w14:paraId="253A98FE">
            <w:r>
              <w:rPr>
                <w:sz w:val="14"/>
              </w:rPr>
              <w:t>0.8421</w:t>
            </w:r>
          </w:p>
        </w:tc>
        <w:tc>
          <w:tcPr>
            <w:tcW w:w="2459" w:type="dxa"/>
            <w:tcBorders>
              <w:top w:val="nil"/>
              <w:left w:val="nil"/>
              <w:bottom w:val="nil"/>
              <w:right w:val="nil"/>
            </w:tcBorders>
            <w:vAlign w:val="center"/>
          </w:tcPr>
          <w:p w14:paraId="540C021E">
            <w:r>
              <w:rPr>
                <w:sz w:val="14"/>
              </w:rPr>
              <w:t>0.7641</w:t>
            </w:r>
          </w:p>
        </w:tc>
        <w:tc>
          <w:tcPr>
            <w:tcW w:w="2459" w:type="dxa"/>
            <w:tcBorders>
              <w:top w:val="nil"/>
              <w:left w:val="nil"/>
              <w:bottom w:val="nil"/>
              <w:right w:val="nil"/>
            </w:tcBorders>
            <w:vAlign w:val="center"/>
          </w:tcPr>
          <w:p w14:paraId="6BBA1B6D">
            <w:r>
              <w:rPr>
                <w:sz w:val="14"/>
              </w:rPr>
              <w:t>-0.0780</w:t>
            </w:r>
          </w:p>
        </w:tc>
      </w:tr>
      <w:tr w14:paraId="679F012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6EADC7BC">
            <w:r>
              <w:rPr>
                <w:sz w:val="14"/>
              </w:rPr>
              <w:t>Neural branch seed 42</w:t>
            </w:r>
          </w:p>
        </w:tc>
        <w:tc>
          <w:tcPr>
            <w:tcW w:w="2459" w:type="dxa"/>
            <w:tcBorders>
              <w:top w:val="nil"/>
              <w:left w:val="nil"/>
              <w:bottom w:val="nil"/>
              <w:right w:val="nil"/>
            </w:tcBorders>
            <w:vAlign w:val="center"/>
          </w:tcPr>
          <w:p w14:paraId="1BD4588E">
            <w:r>
              <w:rPr>
                <w:sz w:val="14"/>
              </w:rPr>
              <w:t>0.8227</w:t>
            </w:r>
          </w:p>
        </w:tc>
        <w:tc>
          <w:tcPr>
            <w:tcW w:w="2459" w:type="dxa"/>
            <w:tcBorders>
              <w:top w:val="nil"/>
              <w:left w:val="nil"/>
              <w:bottom w:val="nil"/>
              <w:right w:val="nil"/>
            </w:tcBorders>
            <w:vAlign w:val="center"/>
          </w:tcPr>
          <w:p w14:paraId="3C5610BC">
            <w:r>
              <w:rPr>
                <w:sz w:val="14"/>
              </w:rPr>
              <w:t>0.7536</w:t>
            </w:r>
          </w:p>
        </w:tc>
        <w:tc>
          <w:tcPr>
            <w:tcW w:w="2459" w:type="dxa"/>
            <w:tcBorders>
              <w:top w:val="nil"/>
              <w:left w:val="nil"/>
              <w:bottom w:val="nil"/>
              <w:right w:val="nil"/>
            </w:tcBorders>
            <w:vAlign w:val="center"/>
          </w:tcPr>
          <w:p w14:paraId="4CCCCB45">
            <w:r>
              <w:rPr>
                <w:sz w:val="14"/>
              </w:rPr>
              <w:t>-0.0692</w:t>
            </w:r>
          </w:p>
        </w:tc>
      </w:tr>
      <w:tr w14:paraId="073E8B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single" w:color="auto" w:sz="8" w:space="0"/>
              <w:left w:val="nil"/>
              <w:bottom w:val="single" w:color="auto" w:sz="8" w:space="0"/>
              <w:right w:val="nil"/>
            </w:tcBorders>
            <w:vAlign w:val="center"/>
          </w:tcPr>
          <w:p w14:paraId="59FB8B35">
            <w:r>
              <w:rPr>
                <w:sz w:val="14"/>
              </w:rPr>
              <w:t>XGBoost + MambaJEPA</w:t>
            </w:r>
          </w:p>
        </w:tc>
        <w:tc>
          <w:tcPr>
            <w:tcW w:w="2459" w:type="dxa"/>
            <w:tcBorders>
              <w:top w:val="single" w:color="auto" w:sz="8" w:space="0"/>
              <w:left w:val="nil"/>
              <w:bottom w:val="single" w:color="auto" w:sz="8" w:space="0"/>
              <w:right w:val="nil"/>
            </w:tcBorders>
            <w:vAlign w:val="center"/>
          </w:tcPr>
          <w:p w14:paraId="221854E2">
            <w:r>
              <w:rPr>
                <w:sz w:val="14"/>
              </w:rPr>
              <w:t>0.8471</w:t>
            </w:r>
          </w:p>
        </w:tc>
        <w:tc>
          <w:tcPr>
            <w:tcW w:w="2459" w:type="dxa"/>
            <w:tcBorders>
              <w:top w:val="single" w:color="auto" w:sz="8" w:space="0"/>
              <w:left w:val="nil"/>
              <w:bottom w:val="single" w:color="auto" w:sz="8" w:space="0"/>
              <w:right w:val="nil"/>
            </w:tcBorders>
            <w:vAlign w:val="center"/>
          </w:tcPr>
          <w:p w14:paraId="1A7D39C5">
            <w:r>
              <w:rPr>
                <w:sz w:val="14"/>
              </w:rPr>
              <w:t>0.7686</w:t>
            </w:r>
          </w:p>
        </w:tc>
        <w:tc>
          <w:tcPr>
            <w:tcW w:w="2459" w:type="dxa"/>
            <w:tcBorders>
              <w:top w:val="single" w:color="auto" w:sz="8" w:space="0"/>
              <w:left w:val="nil"/>
              <w:bottom w:val="single" w:color="auto" w:sz="8" w:space="0"/>
              <w:right w:val="nil"/>
            </w:tcBorders>
            <w:vAlign w:val="center"/>
          </w:tcPr>
          <w:p w14:paraId="511E01F9">
            <w:r>
              <w:rPr>
                <w:sz w:val="14"/>
              </w:rPr>
              <w:t>-0.0785</w:t>
            </w:r>
          </w:p>
        </w:tc>
      </w:tr>
    </w:tbl>
    <w:p w14:paraId="0571996E">
      <w:pPr>
        <w:spacing w:after="50"/>
        <w:ind w:firstLine="317"/>
        <w:jc w:val="both"/>
      </w:pPr>
      <w:r>
        <w:t>Removing transaction category reduces all three evaluated models. XGBoost falls from AUPRC 0.8421 to 0.7641, the seed-42 neural branch from 0.8227 to 0.7536, and the fusion from 0.8471 to 0.7686. In the category-blind run, validation selects alpha=0.55. The fusion exceeds category-blind XGBoost by 0.0045; the customer-clustered paired 95% interval is 0.0008 to 0.0081. Category is therefore a dominant BankSim signal, while past customer history retains a smaller complementary contribution when category is withheld.</w:t>
      </w:r>
    </w:p>
    <w:p w14:paraId="7217CFC0">
      <w:pPr>
        <w:spacing w:before="20"/>
        <w:jc w:val="center"/>
      </w:pPr>
      <w:r>
        <w:drawing>
          <wp:inline distT="0" distB="0" distL="114300" distR="114300">
            <wp:extent cx="5109845" cy="3155950"/>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109845" cy="3155950"/>
                    </a:xfrm>
                    <a:prstGeom prst="rect">
                      <a:avLst/>
                    </a:prstGeom>
                  </pic:spPr>
                </pic:pic>
              </a:graphicData>
            </a:graphic>
          </wp:inline>
        </w:drawing>
      </w:r>
    </w:p>
    <w:p w14:paraId="1689DAD6">
      <w:pPr>
        <w:spacing w:before="20" w:after="40"/>
        <w:jc w:val="center"/>
      </w:pPr>
      <w:r>
        <w:rPr>
          <w:sz w:val="20"/>
        </w:rPr>
        <w:t>Figure 4. AUPRC before and after removing transaction category.</w:t>
      </w:r>
    </w:p>
    <w:p w14:paraId="419CEE60">
      <w:pPr>
        <w:spacing w:before="40" w:after="20"/>
        <w:outlineLvl w:val="1"/>
      </w:pPr>
      <w:bookmarkStart w:id="21" w:name="_Toc26345"/>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3</w:t>
      </w:r>
      <w:r>
        <w:rPr>
          <w:rFonts w:ascii="Arial" w:hAnsi="Arial"/>
          <w:b/>
          <w:sz w:val="21"/>
        </w:rPr>
        <w:t xml:space="preserve"> Full-Retraining Ablation</w:t>
      </w:r>
      <w:bookmarkEnd w:id="21"/>
    </w:p>
    <w:p w14:paraId="3C71C047">
      <w:pPr>
        <w:spacing w:before="40" w:after="20"/>
        <w:jc w:val="center"/>
      </w:pPr>
      <w:r>
        <w:rPr>
          <w:b/>
          <w:sz w:val="20"/>
        </w:rPr>
        <w:t>Table 5. Repeated-run neural-branch ablation study (seeds 42, 73, and 101)</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459"/>
        <w:gridCol w:w="2459"/>
        <w:gridCol w:w="2459"/>
        <w:gridCol w:w="2459"/>
      </w:tblGrid>
      <w:tr w14:paraId="4E18EE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2459" w:type="dxa"/>
            <w:tcBorders>
              <w:top w:val="single" w:color="auto" w:sz="8" w:space="0"/>
              <w:left w:val="nil"/>
              <w:bottom w:val="single" w:color="auto" w:sz="8" w:space="0"/>
              <w:right w:val="nil"/>
            </w:tcBorders>
            <w:shd w:val="clear" w:color="auto" w:fill="D9EAF7"/>
            <w:vAlign w:val="center"/>
          </w:tcPr>
          <w:p w14:paraId="72EA30BE">
            <w:r>
              <w:rPr>
                <w:b/>
                <w:sz w:val="14"/>
              </w:rPr>
              <w:t>Configuration</w:t>
            </w:r>
          </w:p>
        </w:tc>
        <w:tc>
          <w:tcPr>
            <w:tcW w:w="2459" w:type="dxa"/>
            <w:tcBorders>
              <w:top w:val="single" w:color="auto" w:sz="8" w:space="0"/>
              <w:left w:val="nil"/>
              <w:bottom w:val="single" w:color="auto" w:sz="8" w:space="0"/>
              <w:right w:val="nil"/>
            </w:tcBorders>
            <w:shd w:val="clear" w:color="auto" w:fill="D9EAF7"/>
            <w:vAlign w:val="center"/>
          </w:tcPr>
          <w:p w14:paraId="1D5CD7C5">
            <w:r>
              <w:rPr>
                <w:b/>
                <w:sz w:val="14"/>
              </w:rPr>
              <w:t>AUC mean +/- SD</w:t>
            </w:r>
          </w:p>
        </w:tc>
        <w:tc>
          <w:tcPr>
            <w:tcW w:w="2459" w:type="dxa"/>
            <w:tcBorders>
              <w:top w:val="single" w:color="auto" w:sz="8" w:space="0"/>
              <w:left w:val="nil"/>
              <w:bottom w:val="single" w:color="auto" w:sz="8" w:space="0"/>
              <w:right w:val="nil"/>
            </w:tcBorders>
            <w:shd w:val="clear" w:color="auto" w:fill="D9EAF7"/>
            <w:vAlign w:val="center"/>
          </w:tcPr>
          <w:p w14:paraId="0DCE6607">
            <w:r>
              <w:rPr>
                <w:b/>
                <w:sz w:val="14"/>
              </w:rPr>
              <w:t>AUPRC mean +/- SD</w:t>
            </w:r>
          </w:p>
        </w:tc>
        <w:tc>
          <w:tcPr>
            <w:tcW w:w="2459" w:type="dxa"/>
            <w:tcBorders>
              <w:top w:val="single" w:color="auto" w:sz="8" w:space="0"/>
              <w:left w:val="nil"/>
              <w:bottom w:val="single" w:color="auto" w:sz="8" w:space="0"/>
              <w:right w:val="nil"/>
            </w:tcBorders>
            <w:shd w:val="clear" w:color="auto" w:fill="D9EAF7"/>
            <w:vAlign w:val="center"/>
          </w:tcPr>
          <w:p w14:paraId="422CDCA1">
            <w:r>
              <w:rPr>
                <w:b/>
                <w:sz w:val="14"/>
              </w:rPr>
              <w:t>F1 mean +/- SD</w:t>
            </w:r>
          </w:p>
        </w:tc>
      </w:tr>
      <w:tr w14:paraId="4EFE94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2D79A87B">
            <w:r>
              <w:rPr>
                <w:sz w:val="14"/>
              </w:rPr>
              <w:t>MambaJEPA full</w:t>
            </w:r>
          </w:p>
        </w:tc>
        <w:tc>
          <w:tcPr>
            <w:tcW w:w="2459" w:type="dxa"/>
            <w:tcBorders>
              <w:top w:val="nil"/>
              <w:left w:val="nil"/>
              <w:bottom w:val="nil"/>
              <w:right w:val="nil"/>
            </w:tcBorders>
            <w:vAlign w:val="center"/>
          </w:tcPr>
          <w:p w14:paraId="2F41413D">
            <w:r>
              <w:rPr>
                <w:sz w:val="14"/>
              </w:rPr>
              <w:t>0.9948 +/- 0.0002</w:t>
            </w:r>
          </w:p>
        </w:tc>
        <w:tc>
          <w:tcPr>
            <w:tcW w:w="2459" w:type="dxa"/>
            <w:tcBorders>
              <w:top w:val="nil"/>
              <w:left w:val="nil"/>
              <w:bottom w:val="nil"/>
              <w:right w:val="nil"/>
            </w:tcBorders>
            <w:vAlign w:val="center"/>
          </w:tcPr>
          <w:p w14:paraId="757090BB">
            <w:r>
              <w:rPr>
                <w:sz w:val="14"/>
              </w:rPr>
              <w:t>0.8283 +/- 0.0048</w:t>
            </w:r>
          </w:p>
        </w:tc>
        <w:tc>
          <w:tcPr>
            <w:tcW w:w="2459" w:type="dxa"/>
            <w:tcBorders>
              <w:top w:val="nil"/>
              <w:left w:val="nil"/>
              <w:bottom w:val="nil"/>
              <w:right w:val="nil"/>
            </w:tcBorders>
            <w:vAlign w:val="center"/>
          </w:tcPr>
          <w:p w14:paraId="7A6D5263">
            <w:r>
              <w:rPr>
                <w:sz w:val="14"/>
              </w:rPr>
              <w:t>0.7697 +/- 0.0035</w:t>
            </w:r>
          </w:p>
        </w:tc>
      </w:tr>
      <w:tr w14:paraId="5FA574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17A436C5">
            <w:r>
              <w:rPr>
                <w:sz w:val="14"/>
              </w:rPr>
              <w:t>without SSL</w:t>
            </w:r>
          </w:p>
        </w:tc>
        <w:tc>
          <w:tcPr>
            <w:tcW w:w="2459" w:type="dxa"/>
            <w:tcBorders>
              <w:top w:val="nil"/>
              <w:left w:val="nil"/>
              <w:bottom w:val="nil"/>
              <w:right w:val="nil"/>
            </w:tcBorders>
            <w:vAlign w:val="center"/>
          </w:tcPr>
          <w:p w14:paraId="11D5E1E9">
            <w:r>
              <w:rPr>
                <w:sz w:val="14"/>
              </w:rPr>
              <w:t>0.9948 +/- 0.0001</w:t>
            </w:r>
          </w:p>
        </w:tc>
        <w:tc>
          <w:tcPr>
            <w:tcW w:w="2459" w:type="dxa"/>
            <w:tcBorders>
              <w:top w:val="nil"/>
              <w:left w:val="nil"/>
              <w:bottom w:val="nil"/>
              <w:right w:val="nil"/>
            </w:tcBorders>
            <w:vAlign w:val="center"/>
          </w:tcPr>
          <w:p w14:paraId="55485FEA">
            <w:r>
              <w:rPr>
                <w:sz w:val="14"/>
              </w:rPr>
              <w:t>0.8258 +/- 0.0028</w:t>
            </w:r>
          </w:p>
        </w:tc>
        <w:tc>
          <w:tcPr>
            <w:tcW w:w="2459" w:type="dxa"/>
            <w:tcBorders>
              <w:top w:val="nil"/>
              <w:left w:val="nil"/>
              <w:bottom w:val="nil"/>
              <w:right w:val="nil"/>
            </w:tcBorders>
            <w:vAlign w:val="center"/>
          </w:tcPr>
          <w:p w14:paraId="54947DA8">
            <w:r>
              <w:rPr>
                <w:sz w:val="14"/>
              </w:rPr>
              <w:t>0.7597 +/- 0.0005</w:t>
            </w:r>
          </w:p>
        </w:tc>
      </w:tr>
      <w:tr w14:paraId="776973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6968482E">
            <w:r>
              <w:rPr>
                <w:sz w:val="14"/>
              </w:rPr>
              <w:t>without behavior</w:t>
            </w:r>
          </w:p>
        </w:tc>
        <w:tc>
          <w:tcPr>
            <w:tcW w:w="2459" w:type="dxa"/>
            <w:tcBorders>
              <w:top w:val="nil"/>
              <w:left w:val="nil"/>
              <w:bottom w:val="nil"/>
              <w:right w:val="nil"/>
            </w:tcBorders>
            <w:vAlign w:val="center"/>
          </w:tcPr>
          <w:p w14:paraId="60A6039F">
            <w:r>
              <w:rPr>
                <w:sz w:val="14"/>
              </w:rPr>
              <w:t>0.9947 +/- 0.0003</w:t>
            </w:r>
          </w:p>
        </w:tc>
        <w:tc>
          <w:tcPr>
            <w:tcW w:w="2459" w:type="dxa"/>
            <w:tcBorders>
              <w:top w:val="nil"/>
              <w:left w:val="nil"/>
              <w:bottom w:val="nil"/>
              <w:right w:val="nil"/>
            </w:tcBorders>
            <w:vAlign w:val="center"/>
          </w:tcPr>
          <w:p w14:paraId="5BE5CEB7">
            <w:r>
              <w:rPr>
                <w:sz w:val="14"/>
              </w:rPr>
              <w:t>0.8237 +/- 0.0014</w:t>
            </w:r>
          </w:p>
        </w:tc>
        <w:tc>
          <w:tcPr>
            <w:tcW w:w="2459" w:type="dxa"/>
            <w:tcBorders>
              <w:top w:val="nil"/>
              <w:left w:val="nil"/>
              <w:bottom w:val="nil"/>
              <w:right w:val="nil"/>
            </w:tcBorders>
            <w:vAlign w:val="center"/>
          </w:tcPr>
          <w:p w14:paraId="1A382829">
            <w:r>
              <w:rPr>
                <w:sz w:val="14"/>
              </w:rPr>
              <w:t>0.7589 +/- 0.0169</w:t>
            </w:r>
          </w:p>
        </w:tc>
      </w:tr>
      <w:tr w14:paraId="5B0554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236EADFC">
            <w:r>
              <w:rPr>
                <w:sz w:val="14"/>
              </w:rPr>
              <w:t>without gate</w:t>
            </w:r>
          </w:p>
        </w:tc>
        <w:tc>
          <w:tcPr>
            <w:tcW w:w="2459" w:type="dxa"/>
            <w:tcBorders>
              <w:top w:val="nil"/>
              <w:left w:val="nil"/>
              <w:bottom w:val="nil"/>
              <w:right w:val="nil"/>
            </w:tcBorders>
            <w:vAlign w:val="center"/>
          </w:tcPr>
          <w:p w14:paraId="68155950">
            <w:r>
              <w:rPr>
                <w:sz w:val="14"/>
              </w:rPr>
              <w:t>0.9949 +/- 0.0002</w:t>
            </w:r>
          </w:p>
        </w:tc>
        <w:tc>
          <w:tcPr>
            <w:tcW w:w="2459" w:type="dxa"/>
            <w:tcBorders>
              <w:top w:val="nil"/>
              <w:left w:val="nil"/>
              <w:bottom w:val="nil"/>
              <w:right w:val="nil"/>
            </w:tcBorders>
            <w:vAlign w:val="center"/>
          </w:tcPr>
          <w:p w14:paraId="161037D1">
            <w:r>
              <w:rPr>
                <w:sz w:val="14"/>
              </w:rPr>
              <w:t>0.8279 +/- 0.0060</w:t>
            </w:r>
          </w:p>
        </w:tc>
        <w:tc>
          <w:tcPr>
            <w:tcW w:w="2459" w:type="dxa"/>
            <w:tcBorders>
              <w:top w:val="nil"/>
              <w:left w:val="nil"/>
              <w:bottom w:val="nil"/>
              <w:right w:val="nil"/>
            </w:tcBorders>
            <w:vAlign w:val="center"/>
          </w:tcPr>
          <w:p w14:paraId="073A1A08">
            <w:r>
              <w:rPr>
                <w:sz w:val="14"/>
              </w:rPr>
              <w:t>0.7687 +/- 0.0031</w:t>
            </w:r>
          </w:p>
        </w:tc>
      </w:tr>
      <w:tr w14:paraId="14994A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459" w:type="dxa"/>
            <w:tcBorders>
              <w:top w:val="nil"/>
              <w:left w:val="nil"/>
              <w:bottom w:val="nil"/>
              <w:right w:val="nil"/>
            </w:tcBorders>
            <w:vAlign w:val="center"/>
          </w:tcPr>
          <w:p w14:paraId="76955F59">
            <w:r>
              <w:rPr>
                <w:sz w:val="14"/>
              </w:rPr>
              <w:t>without alignment</w:t>
            </w:r>
          </w:p>
        </w:tc>
        <w:tc>
          <w:tcPr>
            <w:tcW w:w="2459" w:type="dxa"/>
            <w:tcBorders>
              <w:top w:val="nil"/>
              <w:left w:val="nil"/>
              <w:bottom w:val="nil"/>
              <w:right w:val="nil"/>
            </w:tcBorders>
            <w:vAlign w:val="center"/>
          </w:tcPr>
          <w:p w14:paraId="5B77DAF5">
            <w:r>
              <w:rPr>
                <w:sz w:val="14"/>
              </w:rPr>
              <w:t>0.9948 +/- 0.0003</w:t>
            </w:r>
          </w:p>
        </w:tc>
        <w:tc>
          <w:tcPr>
            <w:tcW w:w="2459" w:type="dxa"/>
            <w:tcBorders>
              <w:top w:val="nil"/>
              <w:left w:val="nil"/>
              <w:bottom w:val="nil"/>
              <w:right w:val="nil"/>
            </w:tcBorders>
            <w:vAlign w:val="center"/>
          </w:tcPr>
          <w:p w14:paraId="2017CC23">
            <w:r>
              <w:rPr>
                <w:sz w:val="14"/>
              </w:rPr>
              <w:t>0.8259 +/- 0.0034</w:t>
            </w:r>
          </w:p>
        </w:tc>
        <w:tc>
          <w:tcPr>
            <w:tcW w:w="2459" w:type="dxa"/>
            <w:tcBorders>
              <w:top w:val="nil"/>
              <w:left w:val="nil"/>
              <w:bottom w:val="nil"/>
              <w:right w:val="nil"/>
            </w:tcBorders>
            <w:vAlign w:val="center"/>
          </w:tcPr>
          <w:p w14:paraId="4BFF1A1B">
            <w:r>
              <w:rPr>
                <w:sz w:val="14"/>
              </w:rPr>
              <w:t>0.7619 +/- 0.0128</w:t>
            </w:r>
          </w:p>
        </w:tc>
      </w:tr>
    </w:tbl>
    <w:p w14:paraId="57DBA2F6">
      <w:pPr>
        <w:spacing w:after="50"/>
        <w:ind w:firstLine="317"/>
        <w:jc w:val="both"/>
      </w:pPr>
      <w:r>
        <w:t>All Table 5 configurations are retrained with seeds 42, 73, and 101. The full neural branch has mean AUPRC 0.8283 +/- 0.0048. The means are 0.8258 without SSL pretraining, 0.8237 without the behavior branch, 0.8279 without the learned gate, and 0.8259 without cross-view alignment. These differences are small relative to run-to-run variation. The ablation therefore supports only a cautious component-level interpretation.</w:t>
      </w:r>
    </w:p>
    <w:p w14:paraId="20079ACD">
      <w:pPr>
        <w:spacing w:before="40" w:after="20"/>
        <w:outlineLvl w:val="1"/>
      </w:pPr>
      <w:bookmarkStart w:id="22" w:name="_Toc2784"/>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4</w:t>
      </w:r>
      <w:r>
        <w:rPr>
          <w:rFonts w:ascii="Arial" w:hAnsi="Arial"/>
          <w:b/>
          <w:sz w:val="21"/>
        </w:rPr>
        <w:t xml:space="preserve"> Adaptive Threshold Behavior</w:t>
      </w:r>
      <w:bookmarkEnd w:id="22"/>
    </w:p>
    <w:p w14:paraId="5ECA5F5F">
      <w:pPr>
        <w:spacing w:before="40" w:after="20"/>
        <w:jc w:val="center"/>
      </w:pPr>
      <w:r>
        <w:rPr>
          <w:b/>
          <w:sz w:val="20"/>
        </w:rPr>
        <w:t>Table 6. EVT-POT threshold sensitivity on the held-out period</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39"/>
        <w:gridCol w:w="1639"/>
        <w:gridCol w:w="1639"/>
        <w:gridCol w:w="1639"/>
        <w:gridCol w:w="1639"/>
        <w:gridCol w:w="1639"/>
      </w:tblGrid>
      <w:tr w14:paraId="0A3494C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639" w:type="dxa"/>
            <w:tcBorders>
              <w:top w:val="single" w:color="auto" w:sz="8" w:space="0"/>
              <w:left w:val="nil"/>
              <w:bottom w:val="single" w:color="auto" w:sz="8" w:space="0"/>
              <w:right w:val="nil"/>
            </w:tcBorders>
            <w:shd w:val="clear" w:color="auto" w:fill="D9EAF7"/>
            <w:vAlign w:val="center"/>
          </w:tcPr>
          <w:p w14:paraId="14B9A27F">
            <w:r>
              <w:rPr>
                <w:b/>
                <w:sz w:val="13"/>
              </w:rPr>
              <w:t>Target tail risk</w:t>
            </w:r>
          </w:p>
        </w:tc>
        <w:tc>
          <w:tcPr>
            <w:tcW w:w="1639" w:type="dxa"/>
            <w:tcBorders>
              <w:top w:val="single" w:color="auto" w:sz="8" w:space="0"/>
              <w:left w:val="nil"/>
              <w:bottom w:val="single" w:color="auto" w:sz="8" w:space="0"/>
              <w:right w:val="nil"/>
            </w:tcBorders>
            <w:shd w:val="clear" w:color="auto" w:fill="D9EAF7"/>
            <w:vAlign w:val="center"/>
          </w:tcPr>
          <w:p w14:paraId="309B9397">
            <w:r>
              <w:rPr>
                <w:b/>
                <w:sz w:val="13"/>
              </w:rPr>
              <w:t>Threshold</w:t>
            </w:r>
          </w:p>
        </w:tc>
        <w:tc>
          <w:tcPr>
            <w:tcW w:w="1639" w:type="dxa"/>
            <w:tcBorders>
              <w:top w:val="single" w:color="auto" w:sz="8" w:space="0"/>
              <w:left w:val="nil"/>
              <w:bottom w:val="single" w:color="auto" w:sz="8" w:space="0"/>
              <w:right w:val="nil"/>
            </w:tcBorders>
            <w:shd w:val="clear" w:color="auto" w:fill="D9EAF7"/>
            <w:vAlign w:val="center"/>
          </w:tcPr>
          <w:p w14:paraId="5B79DD33">
            <w:r>
              <w:rPr>
                <w:b/>
                <w:sz w:val="13"/>
              </w:rPr>
              <w:t>Precision</w:t>
            </w:r>
          </w:p>
        </w:tc>
        <w:tc>
          <w:tcPr>
            <w:tcW w:w="1639" w:type="dxa"/>
            <w:tcBorders>
              <w:top w:val="single" w:color="auto" w:sz="8" w:space="0"/>
              <w:left w:val="nil"/>
              <w:bottom w:val="single" w:color="auto" w:sz="8" w:space="0"/>
              <w:right w:val="nil"/>
            </w:tcBorders>
            <w:shd w:val="clear" w:color="auto" w:fill="D9EAF7"/>
            <w:vAlign w:val="center"/>
          </w:tcPr>
          <w:p w14:paraId="6D27C318">
            <w:r>
              <w:rPr>
                <w:b/>
                <w:sz w:val="13"/>
              </w:rPr>
              <w:t>Recall</w:t>
            </w:r>
          </w:p>
        </w:tc>
        <w:tc>
          <w:tcPr>
            <w:tcW w:w="1639" w:type="dxa"/>
            <w:tcBorders>
              <w:top w:val="single" w:color="auto" w:sz="8" w:space="0"/>
              <w:left w:val="nil"/>
              <w:bottom w:val="single" w:color="auto" w:sz="8" w:space="0"/>
              <w:right w:val="nil"/>
            </w:tcBorders>
            <w:shd w:val="clear" w:color="auto" w:fill="D9EAF7"/>
            <w:vAlign w:val="center"/>
          </w:tcPr>
          <w:p w14:paraId="29745A32">
            <w:r>
              <w:rPr>
                <w:b/>
                <w:sz w:val="13"/>
              </w:rPr>
              <w:t>F1</w:t>
            </w:r>
          </w:p>
        </w:tc>
        <w:tc>
          <w:tcPr>
            <w:tcW w:w="1639" w:type="dxa"/>
            <w:tcBorders>
              <w:top w:val="single" w:color="auto" w:sz="8" w:space="0"/>
              <w:left w:val="nil"/>
              <w:bottom w:val="single" w:color="auto" w:sz="8" w:space="0"/>
              <w:right w:val="nil"/>
            </w:tcBorders>
            <w:shd w:val="clear" w:color="auto" w:fill="D9EAF7"/>
            <w:vAlign w:val="center"/>
          </w:tcPr>
          <w:p w14:paraId="6FB4E7FC">
            <w:r>
              <w:rPr>
                <w:b/>
                <w:sz w:val="13"/>
              </w:rPr>
              <w:t>Observed FPR</w:t>
            </w:r>
          </w:p>
        </w:tc>
      </w:tr>
      <w:tr w14:paraId="53F05E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1E3B5A4D">
            <w:r>
              <w:rPr>
                <w:sz w:val="13"/>
              </w:rPr>
              <w:t>0.10%</w:t>
            </w:r>
          </w:p>
        </w:tc>
        <w:tc>
          <w:tcPr>
            <w:tcW w:w="1639" w:type="dxa"/>
            <w:tcBorders>
              <w:top w:val="nil"/>
              <w:left w:val="nil"/>
              <w:bottom w:val="nil"/>
              <w:right w:val="nil"/>
            </w:tcBorders>
            <w:vAlign w:val="center"/>
          </w:tcPr>
          <w:p w14:paraId="6603F990">
            <w:r>
              <w:rPr>
                <w:sz w:val="13"/>
              </w:rPr>
              <w:t>1.1003</w:t>
            </w:r>
          </w:p>
        </w:tc>
        <w:tc>
          <w:tcPr>
            <w:tcW w:w="1639" w:type="dxa"/>
            <w:tcBorders>
              <w:top w:val="nil"/>
              <w:left w:val="nil"/>
              <w:bottom w:val="nil"/>
              <w:right w:val="nil"/>
            </w:tcBorders>
            <w:vAlign w:val="center"/>
          </w:tcPr>
          <w:p w14:paraId="4189EEFE">
            <w:r>
              <w:rPr>
                <w:sz w:val="13"/>
              </w:rPr>
              <w:t>0.000</w:t>
            </w:r>
          </w:p>
        </w:tc>
        <w:tc>
          <w:tcPr>
            <w:tcW w:w="1639" w:type="dxa"/>
            <w:tcBorders>
              <w:top w:val="nil"/>
              <w:left w:val="nil"/>
              <w:bottom w:val="nil"/>
              <w:right w:val="nil"/>
            </w:tcBorders>
            <w:vAlign w:val="center"/>
          </w:tcPr>
          <w:p w14:paraId="63A24C68">
            <w:r>
              <w:rPr>
                <w:sz w:val="13"/>
              </w:rPr>
              <w:t>0.000</w:t>
            </w:r>
          </w:p>
        </w:tc>
        <w:tc>
          <w:tcPr>
            <w:tcW w:w="1639" w:type="dxa"/>
            <w:tcBorders>
              <w:top w:val="nil"/>
              <w:left w:val="nil"/>
              <w:bottom w:val="nil"/>
              <w:right w:val="nil"/>
            </w:tcBorders>
            <w:vAlign w:val="center"/>
          </w:tcPr>
          <w:p w14:paraId="645A0C38">
            <w:r>
              <w:rPr>
                <w:sz w:val="13"/>
              </w:rPr>
              <w:t>0.000</w:t>
            </w:r>
          </w:p>
        </w:tc>
        <w:tc>
          <w:tcPr>
            <w:tcW w:w="1639" w:type="dxa"/>
            <w:tcBorders>
              <w:top w:val="nil"/>
              <w:left w:val="nil"/>
              <w:bottom w:val="nil"/>
              <w:right w:val="nil"/>
            </w:tcBorders>
            <w:vAlign w:val="center"/>
          </w:tcPr>
          <w:p w14:paraId="6D93A366">
            <w:r>
              <w:rPr>
                <w:sz w:val="13"/>
              </w:rPr>
              <w:t>0.000%</w:t>
            </w:r>
          </w:p>
        </w:tc>
      </w:tr>
      <w:tr w14:paraId="5D048D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47732F67">
            <w:r>
              <w:rPr>
                <w:sz w:val="13"/>
              </w:rPr>
              <w:t>0.25%</w:t>
            </w:r>
          </w:p>
        </w:tc>
        <w:tc>
          <w:tcPr>
            <w:tcW w:w="1639" w:type="dxa"/>
            <w:tcBorders>
              <w:top w:val="nil"/>
              <w:left w:val="nil"/>
              <w:bottom w:val="nil"/>
              <w:right w:val="nil"/>
            </w:tcBorders>
            <w:vAlign w:val="center"/>
          </w:tcPr>
          <w:p w14:paraId="28EE5F55">
            <w:r>
              <w:rPr>
                <w:sz w:val="13"/>
              </w:rPr>
              <w:t>0.6743</w:t>
            </w:r>
          </w:p>
        </w:tc>
        <w:tc>
          <w:tcPr>
            <w:tcW w:w="1639" w:type="dxa"/>
            <w:tcBorders>
              <w:top w:val="nil"/>
              <w:left w:val="nil"/>
              <w:bottom w:val="nil"/>
              <w:right w:val="nil"/>
            </w:tcBorders>
            <w:vAlign w:val="center"/>
          </w:tcPr>
          <w:p w14:paraId="5BCBFC58">
            <w:r>
              <w:rPr>
                <w:sz w:val="13"/>
              </w:rPr>
              <w:t>0.797</w:t>
            </w:r>
          </w:p>
        </w:tc>
        <w:tc>
          <w:tcPr>
            <w:tcW w:w="1639" w:type="dxa"/>
            <w:tcBorders>
              <w:top w:val="nil"/>
              <w:left w:val="nil"/>
              <w:bottom w:val="nil"/>
              <w:right w:val="nil"/>
            </w:tcBorders>
            <w:vAlign w:val="center"/>
          </w:tcPr>
          <w:p w14:paraId="3B9CAC36">
            <w:r>
              <w:rPr>
                <w:sz w:val="13"/>
              </w:rPr>
              <w:t>0.745</w:t>
            </w:r>
          </w:p>
        </w:tc>
        <w:tc>
          <w:tcPr>
            <w:tcW w:w="1639" w:type="dxa"/>
            <w:tcBorders>
              <w:top w:val="nil"/>
              <w:left w:val="nil"/>
              <w:bottom w:val="nil"/>
              <w:right w:val="nil"/>
            </w:tcBorders>
            <w:vAlign w:val="center"/>
          </w:tcPr>
          <w:p w14:paraId="04877135">
            <w:r>
              <w:rPr>
                <w:sz w:val="13"/>
              </w:rPr>
              <w:t>0.770</w:t>
            </w:r>
          </w:p>
        </w:tc>
        <w:tc>
          <w:tcPr>
            <w:tcW w:w="1639" w:type="dxa"/>
            <w:tcBorders>
              <w:top w:val="nil"/>
              <w:left w:val="nil"/>
              <w:bottom w:val="nil"/>
              <w:right w:val="nil"/>
            </w:tcBorders>
            <w:vAlign w:val="center"/>
          </w:tcPr>
          <w:p w14:paraId="5B0EACB5">
            <w:r>
              <w:rPr>
                <w:sz w:val="13"/>
              </w:rPr>
              <w:t>0.207%</w:t>
            </w:r>
          </w:p>
        </w:tc>
      </w:tr>
      <w:tr w14:paraId="26F12E9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nil"/>
              <w:left w:val="nil"/>
              <w:bottom w:val="nil"/>
              <w:right w:val="nil"/>
            </w:tcBorders>
            <w:vAlign w:val="center"/>
          </w:tcPr>
          <w:p w14:paraId="12AC7107">
            <w:r>
              <w:rPr>
                <w:sz w:val="13"/>
              </w:rPr>
              <w:t>0.50%</w:t>
            </w:r>
          </w:p>
        </w:tc>
        <w:tc>
          <w:tcPr>
            <w:tcW w:w="1639" w:type="dxa"/>
            <w:tcBorders>
              <w:top w:val="nil"/>
              <w:left w:val="nil"/>
              <w:bottom w:val="nil"/>
              <w:right w:val="nil"/>
            </w:tcBorders>
            <w:vAlign w:val="center"/>
          </w:tcPr>
          <w:p w14:paraId="7C78CEAA">
            <w:r>
              <w:rPr>
                <w:sz w:val="13"/>
              </w:rPr>
              <w:t>0.4491</w:t>
            </w:r>
          </w:p>
        </w:tc>
        <w:tc>
          <w:tcPr>
            <w:tcW w:w="1639" w:type="dxa"/>
            <w:tcBorders>
              <w:top w:val="nil"/>
              <w:left w:val="nil"/>
              <w:bottom w:val="nil"/>
              <w:right w:val="nil"/>
            </w:tcBorders>
            <w:vAlign w:val="center"/>
          </w:tcPr>
          <w:p w14:paraId="419D47A5">
            <w:r>
              <w:rPr>
                <w:sz w:val="13"/>
              </w:rPr>
              <w:t>0.628</w:t>
            </w:r>
          </w:p>
        </w:tc>
        <w:tc>
          <w:tcPr>
            <w:tcW w:w="1639" w:type="dxa"/>
            <w:tcBorders>
              <w:top w:val="nil"/>
              <w:left w:val="nil"/>
              <w:bottom w:val="nil"/>
              <w:right w:val="nil"/>
            </w:tcBorders>
            <w:vAlign w:val="center"/>
          </w:tcPr>
          <w:p w14:paraId="49D25065">
            <w:r>
              <w:rPr>
                <w:sz w:val="13"/>
              </w:rPr>
              <w:t>0.829</w:t>
            </w:r>
          </w:p>
        </w:tc>
        <w:tc>
          <w:tcPr>
            <w:tcW w:w="1639" w:type="dxa"/>
            <w:tcBorders>
              <w:top w:val="nil"/>
              <w:left w:val="nil"/>
              <w:bottom w:val="nil"/>
              <w:right w:val="nil"/>
            </w:tcBorders>
            <w:vAlign w:val="center"/>
          </w:tcPr>
          <w:p w14:paraId="24630929">
            <w:r>
              <w:rPr>
                <w:sz w:val="13"/>
              </w:rPr>
              <w:t>0.715</w:t>
            </w:r>
          </w:p>
        </w:tc>
        <w:tc>
          <w:tcPr>
            <w:tcW w:w="1639" w:type="dxa"/>
            <w:tcBorders>
              <w:top w:val="nil"/>
              <w:left w:val="nil"/>
              <w:bottom w:val="nil"/>
              <w:right w:val="nil"/>
            </w:tcBorders>
            <w:vAlign w:val="center"/>
          </w:tcPr>
          <w:p w14:paraId="066334E7">
            <w:r>
              <w:rPr>
                <w:sz w:val="13"/>
              </w:rPr>
              <w:t>0.537%</w:t>
            </w:r>
          </w:p>
        </w:tc>
      </w:tr>
      <w:tr w14:paraId="2C2421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639" w:type="dxa"/>
            <w:tcBorders>
              <w:top w:val="single" w:color="auto" w:sz="8" w:space="0"/>
              <w:left w:val="nil"/>
              <w:bottom w:val="single" w:color="auto" w:sz="8" w:space="0"/>
              <w:right w:val="nil"/>
            </w:tcBorders>
            <w:vAlign w:val="center"/>
          </w:tcPr>
          <w:p w14:paraId="0D94A123">
            <w:r>
              <w:rPr>
                <w:sz w:val="13"/>
              </w:rPr>
              <w:t>1.00%</w:t>
            </w:r>
          </w:p>
        </w:tc>
        <w:tc>
          <w:tcPr>
            <w:tcW w:w="1639" w:type="dxa"/>
            <w:tcBorders>
              <w:top w:val="single" w:color="auto" w:sz="8" w:space="0"/>
              <w:left w:val="nil"/>
              <w:bottom w:val="single" w:color="auto" w:sz="8" w:space="0"/>
              <w:right w:val="nil"/>
            </w:tcBorders>
            <w:vAlign w:val="center"/>
          </w:tcPr>
          <w:p w14:paraId="19F66620">
            <w:r>
              <w:rPr>
                <w:sz w:val="13"/>
              </w:rPr>
              <w:t>0.2832</w:t>
            </w:r>
          </w:p>
        </w:tc>
        <w:tc>
          <w:tcPr>
            <w:tcW w:w="1639" w:type="dxa"/>
            <w:tcBorders>
              <w:top w:val="single" w:color="auto" w:sz="8" w:space="0"/>
              <w:left w:val="nil"/>
              <w:bottom w:val="single" w:color="auto" w:sz="8" w:space="0"/>
              <w:right w:val="nil"/>
            </w:tcBorders>
            <w:vAlign w:val="center"/>
          </w:tcPr>
          <w:p w14:paraId="1CB8AC20">
            <w:r>
              <w:rPr>
                <w:sz w:val="13"/>
              </w:rPr>
              <w:t>0.480</w:t>
            </w:r>
          </w:p>
        </w:tc>
        <w:tc>
          <w:tcPr>
            <w:tcW w:w="1639" w:type="dxa"/>
            <w:tcBorders>
              <w:top w:val="single" w:color="auto" w:sz="8" w:space="0"/>
              <w:left w:val="nil"/>
              <w:bottom w:val="single" w:color="auto" w:sz="8" w:space="0"/>
              <w:right w:val="nil"/>
            </w:tcBorders>
            <w:vAlign w:val="center"/>
          </w:tcPr>
          <w:p w14:paraId="73AFFA93">
            <w:r>
              <w:rPr>
                <w:sz w:val="13"/>
              </w:rPr>
              <w:t>0.885</w:t>
            </w:r>
          </w:p>
        </w:tc>
        <w:tc>
          <w:tcPr>
            <w:tcW w:w="1639" w:type="dxa"/>
            <w:tcBorders>
              <w:top w:val="single" w:color="auto" w:sz="8" w:space="0"/>
              <w:left w:val="nil"/>
              <w:bottom w:val="single" w:color="auto" w:sz="8" w:space="0"/>
              <w:right w:val="nil"/>
            </w:tcBorders>
            <w:vAlign w:val="center"/>
          </w:tcPr>
          <w:p w14:paraId="412CC706">
            <w:r>
              <w:rPr>
                <w:sz w:val="13"/>
              </w:rPr>
              <w:t>0.623</w:t>
            </w:r>
          </w:p>
        </w:tc>
        <w:tc>
          <w:tcPr>
            <w:tcW w:w="1639" w:type="dxa"/>
            <w:tcBorders>
              <w:top w:val="single" w:color="auto" w:sz="8" w:space="0"/>
              <w:left w:val="nil"/>
              <w:bottom w:val="single" w:color="auto" w:sz="8" w:space="0"/>
              <w:right w:val="nil"/>
            </w:tcBorders>
            <w:vAlign w:val="center"/>
          </w:tcPr>
          <w:p w14:paraId="6DDC0120">
            <w:r>
              <w:rPr>
                <w:sz w:val="13"/>
              </w:rPr>
              <w:t>1.047%</w:t>
            </w:r>
          </w:p>
        </w:tc>
      </w:tr>
    </w:tbl>
    <w:p w14:paraId="01284B63">
      <w:pPr>
        <w:spacing w:after="50"/>
        <w:ind w:firstLine="317"/>
        <w:jc w:val="both"/>
      </w:pPr>
      <w:r>
        <w:t>The EVT-POT layer is a sensitivity analysis independent of ranking. The fitted 0.10% target produces a threshold above 1 and therefore no test alerts. At target normal-tail risks of 0.25%, 0.50%, and 1.00%, observed test FPR is 0.207%, 0.537%, and 1.047%, with recall 0.745, 0.829, and 0.885. The threshold model uses validation-normal scores only.</w:t>
      </w:r>
    </w:p>
    <w:p w14:paraId="01E0BFAE">
      <w:pPr>
        <w:keepNext/>
        <w:spacing w:before="40" w:after="20"/>
        <w:outlineLvl w:val="1"/>
      </w:pPr>
      <w:bookmarkStart w:id="23" w:name="_Toc6725"/>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5</w:t>
      </w:r>
      <w:r>
        <w:rPr>
          <w:rFonts w:ascii="Arial" w:hAnsi="Arial"/>
          <w:b/>
          <w:sz w:val="21"/>
        </w:rPr>
        <w:t xml:space="preserve"> Seed Stability and Complementarity</w:t>
      </w:r>
      <w:bookmarkEnd w:id="23"/>
    </w:p>
    <w:p w14:paraId="262617DB">
      <w:pPr>
        <w:keepNext/>
        <w:spacing w:before="40" w:after="20"/>
        <w:jc w:val="center"/>
      </w:pPr>
      <w:r>
        <w:rPr>
          <w:b/>
          <w:sz w:val="20"/>
        </w:rPr>
        <w:t>Table 7. Repeated-run stability of the neural branch and late fusion</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39"/>
        <w:gridCol w:w="1639"/>
        <w:gridCol w:w="1639"/>
        <w:gridCol w:w="1639"/>
        <w:gridCol w:w="1639"/>
        <w:gridCol w:w="1639"/>
      </w:tblGrid>
      <w:tr w14:paraId="409DA4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tcW w:w="1639" w:type="dxa"/>
            <w:tcBorders>
              <w:top w:val="single" w:color="auto" w:sz="8" w:space="0"/>
              <w:left w:val="nil"/>
              <w:bottom w:val="single" w:color="auto" w:sz="8" w:space="0"/>
              <w:right w:val="nil"/>
            </w:tcBorders>
            <w:shd w:val="clear" w:color="auto" w:fill="D9EAF7"/>
            <w:vAlign w:val="center"/>
          </w:tcPr>
          <w:p w14:paraId="1E6E00E4">
            <w:r>
              <w:rPr>
                <w:b/>
                <w:sz w:val="13"/>
              </w:rPr>
              <w:t>Neural seed</w:t>
            </w:r>
          </w:p>
        </w:tc>
        <w:tc>
          <w:tcPr>
            <w:tcW w:w="1639" w:type="dxa"/>
            <w:tcBorders>
              <w:top w:val="single" w:color="auto" w:sz="8" w:space="0"/>
              <w:left w:val="nil"/>
              <w:bottom w:val="single" w:color="auto" w:sz="8" w:space="0"/>
              <w:right w:val="nil"/>
            </w:tcBorders>
            <w:shd w:val="clear" w:color="auto" w:fill="D9EAF7"/>
            <w:vAlign w:val="center"/>
          </w:tcPr>
          <w:p w14:paraId="7D24EB3A">
            <w:r>
              <w:rPr>
                <w:b/>
                <w:sz w:val="13"/>
              </w:rPr>
              <w:t>Neural AUPRC</w:t>
            </w:r>
          </w:p>
        </w:tc>
        <w:tc>
          <w:tcPr>
            <w:tcW w:w="1639" w:type="dxa"/>
            <w:tcBorders>
              <w:top w:val="single" w:color="auto" w:sz="8" w:space="0"/>
              <w:left w:val="nil"/>
              <w:bottom w:val="single" w:color="auto" w:sz="8" w:space="0"/>
              <w:right w:val="nil"/>
            </w:tcBorders>
            <w:shd w:val="clear" w:color="auto" w:fill="D9EAF7"/>
            <w:vAlign w:val="center"/>
          </w:tcPr>
          <w:p w14:paraId="0C6101B4">
            <w:r>
              <w:rPr>
                <w:b/>
                <w:sz w:val="13"/>
              </w:rPr>
              <w:t>Selected alpha</w:t>
            </w:r>
          </w:p>
        </w:tc>
        <w:tc>
          <w:tcPr>
            <w:tcW w:w="1639" w:type="dxa"/>
            <w:tcBorders>
              <w:top w:val="single" w:color="auto" w:sz="8" w:space="0"/>
              <w:left w:val="nil"/>
              <w:bottom w:val="single" w:color="auto" w:sz="8" w:space="0"/>
              <w:right w:val="nil"/>
            </w:tcBorders>
            <w:shd w:val="clear" w:color="auto" w:fill="D9EAF7"/>
            <w:vAlign w:val="center"/>
          </w:tcPr>
          <w:p w14:paraId="008B085F">
            <w:r>
              <w:rPr>
                <w:b/>
                <w:sz w:val="13"/>
              </w:rPr>
              <w:t>Fused AUPRC</w:t>
            </w:r>
          </w:p>
        </w:tc>
        <w:tc>
          <w:tcPr>
            <w:tcW w:w="1639" w:type="dxa"/>
            <w:tcBorders>
              <w:top w:val="single" w:color="auto" w:sz="8" w:space="0"/>
              <w:left w:val="nil"/>
              <w:bottom w:val="single" w:color="auto" w:sz="8" w:space="0"/>
              <w:right w:val="nil"/>
            </w:tcBorders>
            <w:shd w:val="clear" w:color="auto" w:fill="D9EAF7"/>
            <w:vAlign w:val="center"/>
          </w:tcPr>
          <w:p w14:paraId="70CCDDE7">
            <w:r>
              <w:rPr>
                <w:b/>
                <w:sz w:val="13"/>
              </w:rPr>
              <w:t>Fused AUC</w:t>
            </w:r>
          </w:p>
        </w:tc>
        <w:tc>
          <w:tcPr>
            <w:tcW w:w="1639" w:type="dxa"/>
            <w:tcBorders>
              <w:top w:val="single" w:color="auto" w:sz="8" w:space="0"/>
              <w:left w:val="nil"/>
              <w:bottom w:val="single" w:color="auto" w:sz="8" w:space="0"/>
              <w:right w:val="nil"/>
            </w:tcBorders>
            <w:shd w:val="clear" w:color="auto" w:fill="D9EAF7"/>
            <w:vAlign w:val="center"/>
          </w:tcPr>
          <w:p w14:paraId="7E69EC5D">
            <w:r>
              <w:rPr>
                <w:b/>
                <w:sz w:val="13"/>
              </w:rPr>
              <w:t>Fused F1</w:t>
            </w:r>
          </w:p>
        </w:tc>
      </w:tr>
      <w:tr w14:paraId="08AC1E9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639" w:type="dxa"/>
            <w:tcBorders>
              <w:top w:val="nil"/>
              <w:left w:val="nil"/>
              <w:bottom w:val="nil"/>
              <w:right w:val="nil"/>
            </w:tcBorders>
            <w:vAlign w:val="center"/>
          </w:tcPr>
          <w:p w14:paraId="7ABC6796">
            <w:r>
              <w:rPr>
                <w:sz w:val="13"/>
              </w:rPr>
              <w:t>42</w:t>
            </w:r>
          </w:p>
        </w:tc>
        <w:tc>
          <w:tcPr>
            <w:tcW w:w="1639" w:type="dxa"/>
            <w:tcBorders>
              <w:top w:val="nil"/>
              <w:left w:val="nil"/>
              <w:bottom w:val="nil"/>
              <w:right w:val="nil"/>
            </w:tcBorders>
            <w:vAlign w:val="center"/>
          </w:tcPr>
          <w:p w14:paraId="28DEE253">
            <w:r>
              <w:rPr>
                <w:sz w:val="13"/>
              </w:rPr>
              <w:t>0.8227</w:t>
            </w:r>
          </w:p>
        </w:tc>
        <w:tc>
          <w:tcPr>
            <w:tcW w:w="1639" w:type="dxa"/>
            <w:tcBorders>
              <w:top w:val="nil"/>
              <w:left w:val="nil"/>
              <w:bottom w:val="nil"/>
              <w:right w:val="nil"/>
            </w:tcBorders>
            <w:vAlign w:val="center"/>
          </w:tcPr>
          <w:p w14:paraId="099D554F">
            <w:r>
              <w:rPr>
                <w:sz w:val="13"/>
              </w:rPr>
              <w:t>0.65</w:t>
            </w:r>
          </w:p>
        </w:tc>
        <w:tc>
          <w:tcPr>
            <w:tcW w:w="1639" w:type="dxa"/>
            <w:tcBorders>
              <w:top w:val="nil"/>
              <w:left w:val="nil"/>
              <w:bottom w:val="nil"/>
              <w:right w:val="nil"/>
            </w:tcBorders>
            <w:vAlign w:val="center"/>
          </w:tcPr>
          <w:p w14:paraId="73DE724A">
            <w:r>
              <w:rPr>
                <w:sz w:val="13"/>
              </w:rPr>
              <w:t>0.8471</w:t>
            </w:r>
          </w:p>
        </w:tc>
        <w:tc>
          <w:tcPr>
            <w:tcW w:w="1639" w:type="dxa"/>
            <w:tcBorders>
              <w:top w:val="nil"/>
              <w:left w:val="nil"/>
              <w:bottom w:val="nil"/>
              <w:right w:val="nil"/>
            </w:tcBorders>
            <w:vAlign w:val="center"/>
          </w:tcPr>
          <w:p w14:paraId="37D382BC">
            <w:r>
              <w:rPr>
                <w:sz w:val="13"/>
              </w:rPr>
              <w:t>0.9954</w:t>
            </w:r>
          </w:p>
        </w:tc>
        <w:tc>
          <w:tcPr>
            <w:tcW w:w="1639" w:type="dxa"/>
            <w:tcBorders>
              <w:top w:val="nil"/>
              <w:left w:val="nil"/>
              <w:bottom w:val="nil"/>
              <w:right w:val="nil"/>
            </w:tcBorders>
            <w:vAlign w:val="center"/>
          </w:tcPr>
          <w:p w14:paraId="484B37E5">
            <w:r>
              <w:rPr>
                <w:sz w:val="13"/>
              </w:rPr>
              <w:t>0.7471</w:t>
            </w:r>
          </w:p>
        </w:tc>
      </w:tr>
      <w:tr w14:paraId="74BEC48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639" w:type="dxa"/>
            <w:tcBorders>
              <w:top w:val="nil"/>
              <w:left w:val="nil"/>
              <w:bottom w:val="nil"/>
              <w:right w:val="nil"/>
            </w:tcBorders>
            <w:vAlign w:val="center"/>
          </w:tcPr>
          <w:p w14:paraId="4E1F3F61">
            <w:r>
              <w:rPr>
                <w:sz w:val="13"/>
              </w:rPr>
              <w:t>73</w:t>
            </w:r>
          </w:p>
        </w:tc>
        <w:tc>
          <w:tcPr>
            <w:tcW w:w="1639" w:type="dxa"/>
            <w:tcBorders>
              <w:top w:val="nil"/>
              <w:left w:val="nil"/>
              <w:bottom w:val="nil"/>
              <w:right w:val="nil"/>
            </w:tcBorders>
            <w:vAlign w:val="center"/>
          </w:tcPr>
          <w:p w14:paraId="1FCF5DFB">
            <w:r>
              <w:rPr>
                <w:sz w:val="13"/>
              </w:rPr>
              <w:t>0.8303</w:t>
            </w:r>
          </w:p>
        </w:tc>
        <w:tc>
          <w:tcPr>
            <w:tcW w:w="1639" w:type="dxa"/>
            <w:tcBorders>
              <w:top w:val="nil"/>
              <w:left w:val="nil"/>
              <w:bottom w:val="nil"/>
              <w:right w:val="nil"/>
            </w:tcBorders>
            <w:vAlign w:val="center"/>
          </w:tcPr>
          <w:p w14:paraId="715535AE">
            <w:r>
              <w:rPr>
                <w:sz w:val="13"/>
              </w:rPr>
              <w:t>0.65</w:t>
            </w:r>
          </w:p>
        </w:tc>
        <w:tc>
          <w:tcPr>
            <w:tcW w:w="1639" w:type="dxa"/>
            <w:tcBorders>
              <w:top w:val="nil"/>
              <w:left w:val="nil"/>
              <w:bottom w:val="nil"/>
              <w:right w:val="nil"/>
            </w:tcBorders>
            <w:vAlign w:val="center"/>
          </w:tcPr>
          <w:p w14:paraId="6CF949B2">
            <w:r>
              <w:rPr>
                <w:sz w:val="13"/>
              </w:rPr>
              <w:t>0.8484</w:t>
            </w:r>
          </w:p>
        </w:tc>
        <w:tc>
          <w:tcPr>
            <w:tcW w:w="1639" w:type="dxa"/>
            <w:tcBorders>
              <w:top w:val="nil"/>
              <w:left w:val="nil"/>
              <w:bottom w:val="nil"/>
              <w:right w:val="nil"/>
            </w:tcBorders>
            <w:vAlign w:val="center"/>
          </w:tcPr>
          <w:p w14:paraId="328D2AAD">
            <w:r>
              <w:rPr>
                <w:sz w:val="13"/>
              </w:rPr>
              <w:t>0.9954</w:t>
            </w:r>
          </w:p>
        </w:tc>
        <w:tc>
          <w:tcPr>
            <w:tcW w:w="1639" w:type="dxa"/>
            <w:tcBorders>
              <w:top w:val="nil"/>
              <w:left w:val="nil"/>
              <w:bottom w:val="nil"/>
              <w:right w:val="nil"/>
            </w:tcBorders>
            <w:vAlign w:val="center"/>
          </w:tcPr>
          <w:p w14:paraId="6CAAEFCF">
            <w:r>
              <w:rPr>
                <w:sz w:val="13"/>
              </w:rPr>
              <w:t>0.7684</w:t>
            </w:r>
          </w:p>
        </w:tc>
      </w:tr>
      <w:tr w14:paraId="1035798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639" w:type="dxa"/>
            <w:tcBorders>
              <w:top w:val="single" w:color="auto" w:sz="8" w:space="0"/>
              <w:left w:val="nil"/>
              <w:bottom w:val="single" w:color="auto" w:sz="8" w:space="0"/>
              <w:right w:val="nil"/>
            </w:tcBorders>
            <w:vAlign w:val="center"/>
          </w:tcPr>
          <w:p w14:paraId="5586FB83">
            <w:r>
              <w:rPr>
                <w:sz w:val="13"/>
              </w:rPr>
              <w:t>101</w:t>
            </w:r>
          </w:p>
        </w:tc>
        <w:tc>
          <w:tcPr>
            <w:tcW w:w="1639" w:type="dxa"/>
            <w:tcBorders>
              <w:top w:val="single" w:color="auto" w:sz="8" w:space="0"/>
              <w:left w:val="nil"/>
              <w:bottom w:val="single" w:color="auto" w:sz="8" w:space="0"/>
              <w:right w:val="nil"/>
            </w:tcBorders>
            <w:vAlign w:val="center"/>
          </w:tcPr>
          <w:p w14:paraId="366BA389">
            <w:r>
              <w:rPr>
                <w:sz w:val="13"/>
              </w:rPr>
              <w:t>0.8318</w:t>
            </w:r>
          </w:p>
        </w:tc>
        <w:tc>
          <w:tcPr>
            <w:tcW w:w="1639" w:type="dxa"/>
            <w:tcBorders>
              <w:top w:val="single" w:color="auto" w:sz="8" w:space="0"/>
              <w:left w:val="nil"/>
              <w:bottom w:val="single" w:color="auto" w:sz="8" w:space="0"/>
              <w:right w:val="nil"/>
            </w:tcBorders>
            <w:vAlign w:val="center"/>
          </w:tcPr>
          <w:p w14:paraId="5A6D9B88">
            <w:r>
              <w:rPr>
                <w:sz w:val="13"/>
              </w:rPr>
              <w:t>0.60</w:t>
            </w:r>
          </w:p>
        </w:tc>
        <w:tc>
          <w:tcPr>
            <w:tcW w:w="1639" w:type="dxa"/>
            <w:tcBorders>
              <w:top w:val="single" w:color="auto" w:sz="8" w:space="0"/>
              <w:left w:val="nil"/>
              <w:bottom w:val="single" w:color="auto" w:sz="8" w:space="0"/>
              <w:right w:val="nil"/>
            </w:tcBorders>
            <w:vAlign w:val="center"/>
          </w:tcPr>
          <w:p w14:paraId="39F4854D">
            <w:r>
              <w:rPr>
                <w:sz w:val="13"/>
              </w:rPr>
              <w:t>0.8485</w:t>
            </w:r>
          </w:p>
        </w:tc>
        <w:tc>
          <w:tcPr>
            <w:tcW w:w="1639" w:type="dxa"/>
            <w:tcBorders>
              <w:top w:val="single" w:color="auto" w:sz="8" w:space="0"/>
              <w:left w:val="nil"/>
              <w:bottom w:val="single" w:color="auto" w:sz="8" w:space="0"/>
              <w:right w:val="nil"/>
            </w:tcBorders>
            <w:vAlign w:val="center"/>
          </w:tcPr>
          <w:p w14:paraId="74AAAD17">
            <w:r>
              <w:rPr>
                <w:sz w:val="13"/>
              </w:rPr>
              <w:t>0.9954</w:t>
            </w:r>
          </w:p>
        </w:tc>
        <w:tc>
          <w:tcPr>
            <w:tcW w:w="1639" w:type="dxa"/>
            <w:tcBorders>
              <w:top w:val="single" w:color="auto" w:sz="8" w:space="0"/>
              <w:left w:val="nil"/>
              <w:bottom w:val="single" w:color="auto" w:sz="8" w:space="0"/>
              <w:right w:val="nil"/>
            </w:tcBorders>
            <w:vAlign w:val="center"/>
          </w:tcPr>
          <w:p w14:paraId="52BF4E8E">
            <w:r>
              <w:rPr>
                <w:sz w:val="13"/>
              </w:rPr>
              <w:t>0.7660</w:t>
            </w:r>
          </w:p>
        </w:tc>
      </w:tr>
    </w:tbl>
    <w:p w14:paraId="6E83DEA5">
      <w:pPr>
        <w:spacing w:after="50"/>
        <w:ind w:firstLine="317"/>
        <w:jc w:val="both"/>
      </w:pPr>
      <w:r>
        <w:t>Across seeds 42, 73, and 101, neural AUPRC is 0.8227, 0.8303, and 0.8318. Validation selects alpha values 0.65, 0.65, and 0.60, producing fused AUPRC 0.8471, 0.8484, and 0.8485. The seed-42 F1 is lower because its validation-selected threshold is more conservative; all reported thresholds remain fixed before test evaluation.</w:t>
      </w:r>
    </w:p>
    <w:p w14:paraId="54015F65">
      <w:pPr>
        <w:spacing w:after="50"/>
        <w:ind w:firstLine="317"/>
        <w:jc w:val="both"/>
      </w:pPr>
      <w:r>
        <w:t>The full branch exceeds the no-SSL mean by 0.0025 AUPRC and the no-behavior mean by 0.0046, but the standard deviations overlap. Together with the matched fusion interval that includes zero, these results show that the fusion benefits from sequence information while the incremental effect of JEPA pretraining is not statistically resolved in this experiment.</w:t>
      </w:r>
    </w:p>
    <w:p w14:paraId="53B57E7B">
      <w:pPr>
        <w:spacing w:before="40" w:after="20"/>
        <w:outlineLvl w:val="1"/>
        <w:rPr>
          <w:rFonts w:ascii="Arial" w:hAnsi="Arial"/>
          <w:b/>
          <w:sz w:val="21"/>
        </w:rPr>
      </w:pPr>
      <w:bookmarkStart w:id="24" w:name="_Toc14762"/>
      <w:r>
        <w:rPr>
          <w:rFonts w:hint="eastAsia" w:ascii="Arial" w:hAnsi="Arial" w:eastAsia="宋体"/>
          <w:b/>
          <w:sz w:val="21"/>
          <w:lang w:eastAsia="zh-CN"/>
        </w:rPr>
        <w:t>6</w:t>
      </w:r>
      <w:r>
        <w:rPr>
          <w:rFonts w:ascii="Arial" w:hAnsi="Arial"/>
          <w:b/>
          <w:sz w:val="21"/>
        </w:rPr>
        <w:t>.</w:t>
      </w:r>
      <w:r>
        <w:rPr>
          <w:rFonts w:hint="eastAsia" w:ascii="Arial" w:hAnsi="Arial" w:eastAsia="宋体"/>
          <w:b/>
          <w:sz w:val="21"/>
          <w:lang w:eastAsia="zh-CN"/>
        </w:rPr>
        <w:t>6</w:t>
      </w:r>
      <w:r>
        <w:rPr>
          <w:rFonts w:ascii="Arial" w:hAnsi="Arial"/>
          <w:b/>
          <w:sz w:val="21"/>
        </w:rPr>
        <w:t xml:space="preserve"> Alert-Budget Concentration</w:t>
      </w:r>
      <w:bookmarkEnd w:id="24"/>
    </w:p>
    <w:p w14:paraId="74C217E3">
      <w:pPr>
        <w:spacing w:after="50"/>
        <w:ind w:firstLine="317"/>
        <w:jc w:val="both"/>
      </w:pPr>
    </w:p>
    <w:p w14:paraId="551B4C2F">
      <w:pPr>
        <w:keepNext/>
        <w:spacing w:before="40" w:after="20"/>
        <w:jc w:val="center"/>
      </w:pPr>
      <w:r>
        <w:rPr>
          <w:b/>
          <w:sz w:val="20"/>
        </w:rPr>
        <w:t>Table 8. Operational comparison at identical fixed review budgets</w:t>
      </w:r>
      <w:r>
        <w:t>.</w:t>
      </w:r>
    </w:p>
    <w:tbl>
      <w:tblPr>
        <w:tblStyle w:val="3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900"/>
        <w:gridCol w:w="1825"/>
        <w:gridCol w:w="1825"/>
        <w:gridCol w:w="1825"/>
        <w:gridCol w:w="1825"/>
      </w:tblGrid>
      <w:tr w14:paraId="78646A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tcW w:w="1900" w:type="dxa"/>
            <w:tcBorders>
              <w:top w:val="single" w:color="auto" w:sz="8" w:space="0"/>
              <w:left w:val="nil"/>
              <w:bottom w:val="single" w:color="auto" w:sz="8" w:space="0"/>
              <w:right w:val="nil"/>
            </w:tcBorders>
            <w:shd w:val="clear" w:color="auto" w:fill="D9EAF7"/>
            <w:vAlign w:val="center"/>
          </w:tcPr>
          <w:p w14:paraId="1346967F">
            <w:r>
              <w:rPr>
                <w:b/>
                <w:sz w:val="13"/>
              </w:rPr>
              <w:t>Method</w:t>
            </w:r>
          </w:p>
        </w:tc>
        <w:tc>
          <w:tcPr>
            <w:tcW w:w="1825" w:type="dxa"/>
            <w:tcBorders>
              <w:top w:val="single" w:color="auto" w:sz="8" w:space="0"/>
              <w:left w:val="nil"/>
              <w:bottom w:val="single" w:color="auto" w:sz="8" w:space="0"/>
              <w:right w:val="nil"/>
            </w:tcBorders>
            <w:shd w:val="clear" w:color="auto" w:fill="D9EAF7"/>
            <w:vAlign w:val="center"/>
          </w:tcPr>
          <w:p w14:paraId="16083D70">
            <w:r>
              <w:rPr>
                <w:b/>
                <w:sz w:val="13"/>
              </w:rPr>
              <w:t>P/R at 0.5%</w:t>
            </w:r>
          </w:p>
        </w:tc>
        <w:tc>
          <w:tcPr>
            <w:tcW w:w="1825" w:type="dxa"/>
            <w:tcBorders>
              <w:top w:val="single" w:color="auto" w:sz="8" w:space="0"/>
              <w:left w:val="nil"/>
              <w:bottom w:val="single" w:color="auto" w:sz="8" w:space="0"/>
              <w:right w:val="nil"/>
            </w:tcBorders>
            <w:shd w:val="clear" w:color="auto" w:fill="D9EAF7"/>
            <w:vAlign w:val="center"/>
          </w:tcPr>
          <w:p w14:paraId="5529A71C">
            <w:r>
              <w:rPr>
                <w:b/>
                <w:sz w:val="13"/>
              </w:rPr>
              <w:t>P/R at 1.0%</w:t>
            </w:r>
          </w:p>
        </w:tc>
        <w:tc>
          <w:tcPr>
            <w:tcW w:w="1825" w:type="dxa"/>
            <w:tcBorders>
              <w:top w:val="single" w:color="auto" w:sz="8" w:space="0"/>
              <w:left w:val="nil"/>
              <w:bottom w:val="single" w:color="auto" w:sz="8" w:space="0"/>
              <w:right w:val="nil"/>
            </w:tcBorders>
            <w:shd w:val="clear" w:color="auto" w:fill="D9EAF7"/>
            <w:vAlign w:val="center"/>
          </w:tcPr>
          <w:p w14:paraId="39FCCA91">
            <w:r>
              <w:rPr>
                <w:b/>
                <w:sz w:val="13"/>
              </w:rPr>
              <w:t>P/R at 2.0%</w:t>
            </w:r>
          </w:p>
        </w:tc>
        <w:tc>
          <w:tcPr>
            <w:tcW w:w="1825" w:type="dxa"/>
            <w:tcBorders>
              <w:top w:val="single" w:color="auto" w:sz="8" w:space="0"/>
              <w:left w:val="nil"/>
              <w:bottom w:val="single" w:color="auto" w:sz="8" w:space="0"/>
              <w:right w:val="nil"/>
            </w:tcBorders>
            <w:shd w:val="clear" w:color="auto" w:fill="D9EAF7"/>
            <w:vAlign w:val="center"/>
          </w:tcPr>
          <w:p w14:paraId="31F3FE02">
            <w:r>
              <w:rPr>
                <w:b/>
                <w:sz w:val="13"/>
              </w:rPr>
              <w:t>FPR at 2.0%</w:t>
            </w:r>
          </w:p>
        </w:tc>
      </w:tr>
      <w:tr w14:paraId="7AC685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vAlign w:val="center"/>
          </w:tcPr>
          <w:p w14:paraId="3F5DEB95">
            <w:r>
              <w:rPr>
                <w:sz w:val="13"/>
              </w:rPr>
              <w:t>MambaJEPA-AD</w:t>
            </w:r>
          </w:p>
        </w:tc>
        <w:tc>
          <w:tcPr>
            <w:tcW w:w="1825" w:type="dxa"/>
            <w:tcBorders>
              <w:top w:val="nil"/>
              <w:left w:val="nil"/>
              <w:bottom w:val="nil"/>
              <w:right w:val="nil"/>
            </w:tcBorders>
            <w:vAlign w:val="center"/>
          </w:tcPr>
          <w:p w14:paraId="11238088">
            <w:r>
              <w:rPr>
                <w:sz w:val="13"/>
              </w:rPr>
              <w:t>0.984 / 0.456</w:t>
            </w:r>
          </w:p>
        </w:tc>
        <w:tc>
          <w:tcPr>
            <w:tcW w:w="1825" w:type="dxa"/>
            <w:tcBorders>
              <w:top w:val="nil"/>
              <w:left w:val="nil"/>
              <w:bottom w:val="nil"/>
              <w:right w:val="nil"/>
            </w:tcBorders>
            <w:vAlign w:val="center"/>
          </w:tcPr>
          <w:p w14:paraId="1A06AD3C">
            <w:r>
              <w:rPr>
                <w:sz w:val="13"/>
              </w:rPr>
              <w:t>0.800 / 0.741</w:t>
            </w:r>
          </w:p>
        </w:tc>
        <w:tc>
          <w:tcPr>
            <w:tcW w:w="1825" w:type="dxa"/>
            <w:tcBorders>
              <w:top w:val="nil"/>
              <w:left w:val="nil"/>
              <w:bottom w:val="nil"/>
              <w:right w:val="nil"/>
            </w:tcBorders>
            <w:vAlign w:val="center"/>
          </w:tcPr>
          <w:p w14:paraId="0D30A9BF">
            <w:r>
              <w:rPr>
                <w:sz w:val="13"/>
              </w:rPr>
              <w:t>0.478 / 0.885</w:t>
            </w:r>
          </w:p>
        </w:tc>
        <w:tc>
          <w:tcPr>
            <w:tcW w:w="1825" w:type="dxa"/>
            <w:tcBorders>
              <w:top w:val="nil"/>
              <w:left w:val="nil"/>
              <w:bottom w:val="nil"/>
              <w:right w:val="nil"/>
            </w:tcBorders>
            <w:vAlign w:val="center"/>
          </w:tcPr>
          <w:p w14:paraId="1EECBAC9">
            <w:r>
              <w:rPr>
                <w:sz w:val="13"/>
              </w:rPr>
              <w:t>1.055%</w:t>
            </w:r>
          </w:p>
        </w:tc>
      </w:tr>
      <w:tr w14:paraId="32FBCD8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vAlign w:val="center"/>
          </w:tcPr>
          <w:p w14:paraId="2D0C3421">
            <w:r>
              <w:rPr>
                <w:sz w:val="13"/>
              </w:rPr>
              <w:t>XGBoost</w:t>
            </w:r>
          </w:p>
        </w:tc>
        <w:tc>
          <w:tcPr>
            <w:tcW w:w="1825" w:type="dxa"/>
            <w:tcBorders>
              <w:top w:val="nil"/>
              <w:left w:val="nil"/>
              <w:bottom w:val="nil"/>
              <w:right w:val="nil"/>
            </w:tcBorders>
            <w:vAlign w:val="center"/>
          </w:tcPr>
          <w:p w14:paraId="4838B2D3">
            <w:r>
              <w:rPr>
                <w:sz w:val="13"/>
              </w:rPr>
              <w:t>0.987 / 0.457</w:t>
            </w:r>
          </w:p>
        </w:tc>
        <w:tc>
          <w:tcPr>
            <w:tcW w:w="1825" w:type="dxa"/>
            <w:tcBorders>
              <w:top w:val="nil"/>
              <w:left w:val="nil"/>
              <w:bottom w:val="nil"/>
              <w:right w:val="nil"/>
            </w:tcBorders>
            <w:vAlign w:val="center"/>
          </w:tcPr>
          <w:p w14:paraId="42312484">
            <w:r>
              <w:rPr>
                <w:sz w:val="13"/>
              </w:rPr>
              <w:t>0.796 / 0.737</w:t>
            </w:r>
          </w:p>
        </w:tc>
        <w:tc>
          <w:tcPr>
            <w:tcW w:w="1825" w:type="dxa"/>
            <w:tcBorders>
              <w:top w:val="nil"/>
              <w:left w:val="nil"/>
              <w:bottom w:val="nil"/>
              <w:right w:val="nil"/>
            </w:tcBorders>
            <w:vAlign w:val="center"/>
          </w:tcPr>
          <w:p w14:paraId="7252A9F3">
            <w:r>
              <w:rPr>
                <w:sz w:val="13"/>
              </w:rPr>
              <w:t>0.475 / 0.880</w:t>
            </w:r>
          </w:p>
        </w:tc>
        <w:tc>
          <w:tcPr>
            <w:tcW w:w="1825" w:type="dxa"/>
            <w:tcBorders>
              <w:top w:val="nil"/>
              <w:left w:val="nil"/>
              <w:bottom w:val="nil"/>
              <w:right w:val="nil"/>
            </w:tcBorders>
            <w:vAlign w:val="center"/>
          </w:tcPr>
          <w:p w14:paraId="684ED2D9">
            <w:r>
              <w:rPr>
                <w:sz w:val="13"/>
              </w:rPr>
              <w:t>1.061%</w:t>
            </w:r>
          </w:p>
        </w:tc>
      </w:tr>
      <w:tr w14:paraId="44C4D6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vAlign w:val="center"/>
          </w:tcPr>
          <w:p w14:paraId="0108E088">
            <w:r>
              <w:rPr>
                <w:sz w:val="13"/>
              </w:rPr>
              <w:t>CatBoost</w:t>
            </w:r>
          </w:p>
        </w:tc>
        <w:tc>
          <w:tcPr>
            <w:tcW w:w="1825" w:type="dxa"/>
            <w:tcBorders>
              <w:top w:val="nil"/>
              <w:left w:val="nil"/>
              <w:bottom w:val="nil"/>
              <w:right w:val="nil"/>
            </w:tcBorders>
            <w:vAlign w:val="center"/>
          </w:tcPr>
          <w:p w14:paraId="4C9A7A20">
            <w:r>
              <w:rPr>
                <w:sz w:val="13"/>
              </w:rPr>
              <w:t>0.993 / 0.460</w:t>
            </w:r>
          </w:p>
        </w:tc>
        <w:tc>
          <w:tcPr>
            <w:tcW w:w="1825" w:type="dxa"/>
            <w:tcBorders>
              <w:top w:val="nil"/>
              <w:left w:val="nil"/>
              <w:bottom w:val="nil"/>
              <w:right w:val="nil"/>
            </w:tcBorders>
            <w:vAlign w:val="center"/>
          </w:tcPr>
          <w:p w14:paraId="5D4C0AB8">
            <w:r>
              <w:rPr>
                <w:sz w:val="13"/>
              </w:rPr>
              <w:t>0.798 / 0.739</w:t>
            </w:r>
          </w:p>
        </w:tc>
        <w:tc>
          <w:tcPr>
            <w:tcW w:w="1825" w:type="dxa"/>
            <w:tcBorders>
              <w:top w:val="nil"/>
              <w:left w:val="nil"/>
              <w:bottom w:val="nil"/>
              <w:right w:val="nil"/>
            </w:tcBorders>
            <w:vAlign w:val="center"/>
          </w:tcPr>
          <w:p w14:paraId="49442C21">
            <w:r>
              <w:rPr>
                <w:sz w:val="13"/>
              </w:rPr>
              <w:t>0.478 / 0.884</w:t>
            </w:r>
          </w:p>
        </w:tc>
        <w:tc>
          <w:tcPr>
            <w:tcW w:w="1825" w:type="dxa"/>
            <w:tcBorders>
              <w:top w:val="nil"/>
              <w:left w:val="nil"/>
              <w:bottom w:val="nil"/>
              <w:right w:val="nil"/>
            </w:tcBorders>
            <w:vAlign w:val="center"/>
          </w:tcPr>
          <w:p w14:paraId="575DCE6B">
            <w:r>
              <w:rPr>
                <w:sz w:val="13"/>
              </w:rPr>
              <w:t>1.056%</w:t>
            </w:r>
          </w:p>
        </w:tc>
      </w:tr>
      <w:tr w14:paraId="20AF6F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W w:w="1900" w:type="dxa"/>
            <w:tcBorders>
              <w:top w:val="nil"/>
              <w:left w:val="nil"/>
              <w:bottom w:val="nil"/>
              <w:right w:val="nil"/>
            </w:tcBorders>
            <w:vAlign w:val="center"/>
          </w:tcPr>
          <w:p w14:paraId="4E5E5CB4">
            <w:r>
              <w:rPr>
                <w:sz w:val="13"/>
              </w:rPr>
              <w:t>LightGBM</w:t>
            </w:r>
          </w:p>
        </w:tc>
        <w:tc>
          <w:tcPr>
            <w:tcW w:w="1825" w:type="dxa"/>
            <w:tcBorders>
              <w:top w:val="nil"/>
              <w:left w:val="nil"/>
              <w:bottom w:val="nil"/>
              <w:right w:val="nil"/>
            </w:tcBorders>
            <w:vAlign w:val="center"/>
          </w:tcPr>
          <w:p w14:paraId="15175496">
            <w:r>
              <w:rPr>
                <w:sz w:val="13"/>
              </w:rPr>
              <w:t>0.990 / 0.458</w:t>
            </w:r>
          </w:p>
        </w:tc>
        <w:tc>
          <w:tcPr>
            <w:tcW w:w="1825" w:type="dxa"/>
            <w:tcBorders>
              <w:top w:val="nil"/>
              <w:left w:val="nil"/>
              <w:bottom w:val="nil"/>
              <w:right w:val="nil"/>
            </w:tcBorders>
            <w:vAlign w:val="center"/>
          </w:tcPr>
          <w:p w14:paraId="3B14C740">
            <w:r>
              <w:rPr>
                <w:sz w:val="13"/>
              </w:rPr>
              <w:t>0.791 / 0.732</w:t>
            </w:r>
          </w:p>
        </w:tc>
        <w:tc>
          <w:tcPr>
            <w:tcW w:w="1825" w:type="dxa"/>
            <w:tcBorders>
              <w:top w:val="nil"/>
              <w:left w:val="nil"/>
              <w:bottom w:val="nil"/>
              <w:right w:val="nil"/>
            </w:tcBorders>
            <w:vAlign w:val="center"/>
          </w:tcPr>
          <w:p w14:paraId="272CA40A">
            <w:r>
              <w:rPr>
                <w:sz w:val="13"/>
              </w:rPr>
              <w:t>0.473 / 0.875</w:t>
            </w:r>
          </w:p>
        </w:tc>
        <w:tc>
          <w:tcPr>
            <w:tcW w:w="1825" w:type="dxa"/>
            <w:tcBorders>
              <w:top w:val="nil"/>
              <w:left w:val="nil"/>
              <w:bottom w:val="nil"/>
              <w:right w:val="nil"/>
            </w:tcBorders>
            <w:vAlign w:val="center"/>
          </w:tcPr>
          <w:p w14:paraId="769DD98A">
            <w:r>
              <w:rPr>
                <w:sz w:val="13"/>
              </w:rPr>
              <w:t>1.066%</w:t>
            </w:r>
          </w:p>
        </w:tc>
      </w:tr>
    </w:tbl>
    <w:p w14:paraId="05434EF7">
      <w:pPr>
        <w:spacing w:after="50"/>
        <w:ind w:firstLine="317"/>
        <w:jc w:val="both"/>
      </w:pPr>
      <w:r>
        <w:t>At a 0.5% review budget, CatBoost captures 662 frauds, LightGBM 660, XGBoost 658, and MambaJEPA-AD 656. At 1.0%, MambaJEPA-AD captures 1,067 frauds, CatBoost 1,064, XGBoost 1,061, and LightGBM 1,054. At 2.0%, MambaJEPA-AD captures 1,275 frauds, CatBoost 1,273, XGBoost 1,267, and LightGBM 1,260. These budgets contain 667, 1,333, and 2,665 transactions, respectively.</w:t>
      </w:r>
    </w:p>
    <w:p w14:paraId="02391108">
      <w:pPr>
        <w:spacing w:after="50"/>
        <w:ind w:firstLine="317"/>
        <w:jc w:val="both"/>
      </w:pPr>
      <w:r>
        <w:t>No model dominates every operating point. CatBoost leads at 0.5%, while MambaJEPA-AD leads at 1.0% and 2.0%. The absolute differences are small, so fixed-budget results are interpreted as operational comparability rather than broad superiority.</w:t>
      </w:r>
    </w:p>
    <w:p w14:paraId="624F1554">
      <w:pPr>
        <w:jc w:val="center"/>
      </w:pPr>
      <w:r>
        <w:rPr>
          <w:b/>
        </w:rPr>
        <w:t>Table 9. Measured resource consumption on the reported CPU run.</w:t>
      </w:r>
    </w:p>
    <w:tbl>
      <w:tblPr>
        <w:tblStyle w:val="36"/>
        <w:tblW w:w="0" w:type="auto"/>
        <w:tblInd w:w="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459"/>
        <w:gridCol w:w="2459"/>
        <w:gridCol w:w="2459"/>
        <w:gridCol w:w="2459"/>
      </w:tblGrid>
      <w:tr w14:paraId="5052B87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trPr>
        <w:tc>
          <w:tcPr>
            <w:tcW w:w="2459" w:type="dxa"/>
            <w:shd w:val="clear" w:color="auto" w:fill="D9EAF7"/>
            <w:vAlign w:val="center"/>
          </w:tcPr>
          <w:p w14:paraId="0EF224EB">
            <w:r>
              <w:rPr>
                <w:b/>
                <w:sz w:val="14"/>
              </w:rPr>
              <w:t>Component</w:t>
            </w:r>
          </w:p>
        </w:tc>
        <w:tc>
          <w:tcPr>
            <w:tcW w:w="2459" w:type="dxa"/>
            <w:shd w:val="clear" w:color="auto" w:fill="D9EAF7"/>
            <w:vAlign w:val="center"/>
          </w:tcPr>
          <w:p w14:paraId="7A7EF6FA">
            <w:r>
              <w:rPr>
                <w:b/>
                <w:sz w:val="14"/>
              </w:rPr>
              <w:t>Seconds</w:t>
            </w:r>
          </w:p>
        </w:tc>
        <w:tc>
          <w:tcPr>
            <w:tcW w:w="2459" w:type="dxa"/>
            <w:shd w:val="clear" w:color="auto" w:fill="D9EAF7"/>
            <w:vAlign w:val="center"/>
          </w:tcPr>
          <w:p w14:paraId="73D5CA15">
            <w:r>
              <w:rPr>
                <w:b/>
                <w:sz w:val="14"/>
              </w:rPr>
              <w:t>Peak RSS MiB</w:t>
            </w:r>
          </w:p>
        </w:tc>
        <w:tc>
          <w:tcPr>
            <w:tcW w:w="2459" w:type="dxa"/>
            <w:shd w:val="clear" w:color="auto" w:fill="D9EAF7"/>
            <w:vAlign w:val="center"/>
          </w:tcPr>
          <w:p w14:paraId="6BB66BCE">
            <w:r>
              <w:rPr>
                <w:b/>
                <w:sz w:val="14"/>
              </w:rPr>
              <w:t>Scope</w:t>
            </w:r>
          </w:p>
        </w:tc>
      </w:tr>
      <w:tr w14:paraId="4B62BC8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107CA0F4">
            <w:r>
              <w:rPr>
                <w:sz w:val="14"/>
              </w:rPr>
              <w:t>CSV load</w:t>
            </w:r>
          </w:p>
        </w:tc>
        <w:tc>
          <w:tcPr>
            <w:tcW w:w="2459" w:type="dxa"/>
            <w:vAlign w:val="center"/>
          </w:tcPr>
          <w:p w14:paraId="183768B1">
            <w:r>
              <w:rPr>
                <w:sz w:val="14"/>
              </w:rPr>
              <w:t>0.516</w:t>
            </w:r>
          </w:p>
        </w:tc>
        <w:tc>
          <w:tcPr>
            <w:tcW w:w="2459" w:type="dxa"/>
            <w:vAlign w:val="center"/>
          </w:tcPr>
          <w:p w14:paraId="20B7FCAF">
            <w:r>
              <w:rPr>
                <w:sz w:val="14"/>
              </w:rPr>
              <w:t>384.7</w:t>
            </w:r>
          </w:p>
        </w:tc>
        <w:tc>
          <w:tcPr>
            <w:tcW w:w="2459" w:type="dxa"/>
            <w:vAlign w:val="center"/>
          </w:tcPr>
          <w:p w14:paraId="4D6589C2">
            <w:r>
              <w:rPr>
                <w:sz w:val="14"/>
              </w:rPr>
              <w:t>594,643 rows</w:t>
            </w:r>
          </w:p>
        </w:tc>
      </w:tr>
      <w:tr w14:paraId="23EACCF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25E86EB3">
            <w:r>
              <w:rPr>
                <w:sz w:val="14"/>
              </w:rPr>
              <w:t>History and features</w:t>
            </w:r>
          </w:p>
        </w:tc>
        <w:tc>
          <w:tcPr>
            <w:tcW w:w="2459" w:type="dxa"/>
            <w:vAlign w:val="center"/>
          </w:tcPr>
          <w:p w14:paraId="60EB9E12">
            <w:r>
              <w:rPr>
                <w:sz w:val="14"/>
              </w:rPr>
              <w:t>25.498</w:t>
            </w:r>
          </w:p>
        </w:tc>
        <w:tc>
          <w:tcPr>
            <w:tcW w:w="2459" w:type="dxa"/>
            <w:vAlign w:val="center"/>
          </w:tcPr>
          <w:p w14:paraId="4A1BF899">
            <w:r>
              <w:rPr>
                <w:sz w:val="14"/>
              </w:rPr>
              <w:t>1,011.6</w:t>
            </w:r>
          </w:p>
        </w:tc>
        <w:tc>
          <w:tcPr>
            <w:tcW w:w="2459" w:type="dxa"/>
            <w:vAlign w:val="center"/>
          </w:tcPr>
          <w:p w14:paraId="2E1CDA2D">
            <w:r>
              <w:rPr>
                <w:sz w:val="14"/>
              </w:rPr>
              <w:t>all rows; strict past only</w:t>
            </w:r>
          </w:p>
        </w:tc>
      </w:tr>
      <w:tr w14:paraId="210E87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01C5C054">
            <w:r>
              <w:rPr>
                <w:sz w:val="14"/>
              </w:rPr>
              <w:t>XGBoost training</w:t>
            </w:r>
          </w:p>
        </w:tc>
        <w:tc>
          <w:tcPr>
            <w:tcW w:w="2459" w:type="dxa"/>
            <w:vAlign w:val="center"/>
          </w:tcPr>
          <w:p w14:paraId="1A700A85">
            <w:r>
              <w:rPr>
                <w:sz w:val="14"/>
              </w:rPr>
              <w:t>5.179</w:t>
            </w:r>
          </w:p>
        </w:tc>
        <w:tc>
          <w:tcPr>
            <w:tcW w:w="2459" w:type="dxa"/>
            <w:vAlign w:val="center"/>
          </w:tcPr>
          <w:p w14:paraId="5750460B">
            <w:r>
              <w:rPr>
                <w:sz w:val="14"/>
              </w:rPr>
              <w:t>756.8</w:t>
            </w:r>
          </w:p>
        </w:tc>
        <w:tc>
          <w:tcPr>
            <w:tcW w:w="2459" w:type="dxa"/>
            <w:vAlign w:val="center"/>
          </w:tcPr>
          <w:p w14:paraId="3D9BE78B">
            <w:r>
              <w:rPr>
                <w:sz w:val="14"/>
              </w:rPr>
              <w:t>332,592 training rows</w:t>
            </w:r>
          </w:p>
        </w:tc>
      </w:tr>
      <w:tr w14:paraId="16AA152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45688915">
            <w:r>
              <w:rPr>
                <w:sz w:val="14"/>
              </w:rPr>
              <w:t>XGBoost inference</w:t>
            </w:r>
          </w:p>
        </w:tc>
        <w:tc>
          <w:tcPr>
            <w:tcW w:w="2459" w:type="dxa"/>
            <w:vAlign w:val="center"/>
          </w:tcPr>
          <w:p w14:paraId="565FBFBF">
            <w:r>
              <w:rPr>
                <w:sz w:val="14"/>
              </w:rPr>
              <w:t>0.184</w:t>
            </w:r>
          </w:p>
        </w:tc>
        <w:tc>
          <w:tcPr>
            <w:tcW w:w="2459" w:type="dxa"/>
            <w:vAlign w:val="center"/>
          </w:tcPr>
          <w:p w14:paraId="324BE96A">
            <w:r>
              <w:rPr>
                <w:sz w:val="14"/>
              </w:rPr>
              <w:t>694.0</w:t>
            </w:r>
          </w:p>
        </w:tc>
        <w:tc>
          <w:tcPr>
            <w:tcW w:w="2459" w:type="dxa"/>
            <w:vAlign w:val="center"/>
          </w:tcPr>
          <w:p w14:paraId="254657FC">
            <w:r>
              <w:rPr>
                <w:sz w:val="14"/>
              </w:rPr>
              <w:t>133,231 test rows</w:t>
            </w:r>
          </w:p>
        </w:tc>
      </w:tr>
      <w:tr w14:paraId="64E606A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15FAFC6C">
            <w:r>
              <w:rPr>
                <w:sz w:val="14"/>
              </w:rPr>
              <w:t>JEPA pretraining</w:t>
            </w:r>
          </w:p>
        </w:tc>
        <w:tc>
          <w:tcPr>
            <w:tcW w:w="2459" w:type="dxa"/>
            <w:vAlign w:val="center"/>
          </w:tcPr>
          <w:p w14:paraId="58B280FE">
            <w:r>
              <w:rPr>
                <w:sz w:val="14"/>
              </w:rPr>
              <w:t>21.802</w:t>
            </w:r>
          </w:p>
        </w:tc>
        <w:tc>
          <w:tcPr>
            <w:tcW w:w="2459" w:type="dxa"/>
            <w:vAlign w:val="center"/>
          </w:tcPr>
          <w:p w14:paraId="530B6E3C">
            <w:r>
              <w:rPr>
                <w:sz w:val="14"/>
              </w:rPr>
              <w:t>1,098.0</w:t>
            </w:r>
          </w:p>
        </w:tc>
        <w:tc>
          <w:tcPr>
            <w:tcW w:w="2459" w:type="dxa"/>
            <w:vAlign w:val="center"/>
          </w:tcPr>
          <w:p w14:paraId="7890C517">
            <w:r>
              <w:rPr>
                <w:sz w:val="14"/>
              </w:rPr>
              <w:t>3 epochs; seed 42</w:t>
            </w:r>
          </w:p>
        </w:tc>
      </w:tr>
      <w:tr w14:paraId="037FDB6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67993151">
            <w:r>
              <w:rPr>
                <w:sz w:val="14"/>
              </w:rPr>
              <w:t>Neural fine-tuning</w:t>
            </w:r>
          </w:p>
        </w:tc>
        <w:tc>
          <w:tcPr>
            <w:tcW w:w="2459" w:type="dxa"/>
            <w:vAlign w:val="center"/>
          </w:tcPr>
          <w:p w14:paraId="7B05E0AA">
            <w:r>
              <w:rPr>
                <w:sz w:val="14"/>
              </w:rPr>
              <w:t>65.081</w:t>
            </w:r>
          </w:p>
        </w:tc>
        <w:tc>
          <w:tcPr>
            <w:tcW w:w="2459" w:type="dxa"/>
            <w:vAlign w:val="center"/>
          </w:tcPr>
          <w:p w14:paraId="2B88DDB5">
            <w:r>
              <w:rPr>
                <w:sz w:val="14"/>
              </w:rPr>
              <w:t>1,086.6</w:t>
            </w:r>
          </w:p>
        </w:tc>
        <w:tc>
          <w:tcPr>
            <w:tcW w:w="2459" w:type="dxa"/>
            <w:vAlign w:val="center"/>
          </w:tcPr>
          <w:p w14:paraId="3CAE3DA6">
            <w:r>
              <w:rPr>
                <w:sz w:val="14"/>
              </w:rPr>
              <w:t>8 epochs; seed 42</w:t>
            </w:r>
          </w:p>
        </w:tc>
      </w:tr>
      <w:tr w14:paraId="2C917EE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5B11C16F">
            <w:r>
              <w:rPr>
                <w:sz w:val="14"/>
              </w:rPr>
              <w:t>Neural inference</w:t>
            </w:r>
          </w:p>
        </w:tc>
        <w:tc>
          <w:tcPr>
            <w:tcW w:w="2459" w:type="dxa"/>
            <w:vAlign w:val="center"/>
          </w:tcPr>
          <w:p w14:paraId="53369B2F">
            <w:r>
              <w:rPr>
                <w:sz w:val="14"/>
              </w:rPr>
              <w:t>0.848</w:t>
            </w:r>
          </w:p>
        </w:tc>
        <w:tc>
          <w:tcPr>
            <w:tcW w:w="2459" w:type="dxa"/>
            <w:vAlign w:val="center"/>
          </w:tcPr>
          <w:p w14:paraId="70EC4E6F">
            <w:r>
              <w:rPr>
                <w:sz w:val="14"/>
              </w:rPr>
              <w:t>1,060.6</w:t>
            </w:r>
          </w:p>
        </w:tc>
        <w:tc>
          <w:tcPr>
            <w:tcW w:w="2459" w:type="dxa"/>
            <w:vAlign w:val="center"/>
          </w:tcPr>
          <w:p w14:paraId="3489FBE6">
            <w:r>
              <w:rPr>
                <w:sz w:val="14"/>
              </w:rPr>
              <w:t>133,231 test rows</w:t>
            </w:r>
          </w:p>
        </w:tc>
      </w:tr>
      <w:tr w14:paraId="3C02C46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c>
          <w:tcPr>
            <w:tcW w:w="2459" w:type="dxa"/>
            <w:vAlign w:val="center"/>
          </w:tcPr>
          <w:p w14:paraId="64BDF6F3">
            <w:r>
              <w:rPr>
                <w:sz w:val="14"/>
              </w:rPr>
              <w:t>Late-fusion arithmetic</w:t>
            </w:r>
          </w:p>
        </w:tc>
        <w:tc>
          <w:tcPr>
            <w:tcW w:w="2459" w:type="dxa"/>
            <w:vAlign w:val="center"/>
          </w:tcPr>
          <w:p w14:paraId="66B7A75C">
            <w:r>
              <w:rPr>
                <w:sz w:val="14"/>
              </w:rPr>
              <w:t>0.00093</w:t>
            </w:r>
          </w:p>
        </w:tc>
        <w:tc>
          <w:tcPr>
            <w:tcW w:w="2459" w:type="dxa"/>
            <w:vAlign w:val="center"/>
          </w:tcPr>
          <w:p w14:paraId="2E9C6185">
            <w:r>
              <w:rPr>
                <w:sz w:val="14"/>
              </w:rPr>
              <w:t>--</w:t>
            </w:r>
          </w:p>
        </w:tc>
        <w:tc>
          <w:tcPr>
            <w:tcW w:w="2459" w:type="dxa"/>
            <w:vAlign w:val="center"/>
          </w:tcPr>
          <w:p w14:paraId="4055F0C6">
            <w:r>
              <w:rPr>
                <w:sz w:val="14"/>
              </w:rPr>
              <w:t>validation and test arrays</w:t>
            </w:r>
          </w:p>
        </w:tc>
      </w:tr>
    </w:tbl>
    <w:p w14:paraId="51349F05">
      <w:r>
        <w:rPr>
          <w:i/>
          <w:sz w:val="14"/>
        </w:rPr>
        <w:t>Times are wall-clock measurements with four CPU threads. Inference values are medians of five full test passes after one warm-up. Peak RSS is process resident memory and includes the loaded dataset and runtime.</w:t>
      </w:r>
    </w:p>
    <w:p w14:paraId="6AC55E3A">
      <w:pPr>
        <w:spacing w:before="60" w:after="20"/>
        <w:outlineLvl w:val="1"/>
      </w:pPr>
      <w:bookmarkStart w:id="25" w:name="_Toc29805"/>
      <w:r>
        <w:rPr>
          <w:rFonts w:hint="eastAsia" w:ascii="Arial" w:hAnsi="Arial" w:eastAsia="宋体"/>
          <w:b/>
          <w:sz w:val="21"/>
          <w:lang w:eastAsia="zh-CN"/>
        </w:rPr>
        <w:t>7</w:t>
      </w:r>
      <w:r>
        <w:rPr>
          <w:rFonts w:ascii="Arial" w:hAnsi="Arial"/>
          <w:b/>
          <w:sz w:val="21"/>
        </w:rPr>
        <w:t xml:space="preserve"> DISCUSSION AND LIMITATIONS</w:t>
      </w:r>
      <w:bookmarkEnd w:id="25"/>
    </w:p>
    <w:p w14:paraId="30BCC7FD">
      <w:pPr>
        <w:spacing w:after="50"/>
        <w:ind w:firstLine="317"/>
        <w:jc w:val="both"/>
      </w:pPr>
      <w:r>
        <w:t>The experiment uses a fixed public BankSim file, deterministic splits, training-only preprocessing statistics, and strictly past-only histories. Model files and predictions allow each value in Tables 3-9 to be recomputed. This design removes direct rule-feature leakage and supports independent audit of the reported run.</w:t>
      </w:r>
    </w:p>
    <w:p w14:paraId="5551048F">
      <w:pPr>
        <w:spacing w:after="50"/>
        <w:ind w:firstLine="317"/>
        <w:jc w:val="both"/>
      </w:pPr>
      <w:r>
        <w:t>MambaJEPA-AD is a supervised fraud classifier initialized by self-supervised predictive learning. XGBoost remains a strong baseline. The main fusion improves AUPRC by 0.0050 over XGBoost with a positive customer-clustered interval, but a supervised SSM fusion obtains most of the same improvement. The specific contribution supported here is complementary sequence fusion; the experiment does not isolate a statistically decisive JEPA advantage.</w:t>
      </w:r>
    </w:p>
    <w:p w14:paraId="2028BF03">
      <w:pPr>
        <w:spacing w:after="50"/>
        <w:ind w:firstLine="317"/>
        <w:jc w:val="both"/>
      </w:pPr>
      <w:r>
        <w:t>Ranking and alert policy remain separate. The EVT sensitivity analysis shows that aggressive false-positive control can sharply reduce recall, while looser targets recover more fraud. Deployment would require periodic refitting of the validation-only threshold as score distributions and business costs change.</w:t>
      </w:r>
    </w:p>
    <w:p w14:paraId="5634A07E">
      <w:pPr>
        <w:spacing w:after="50"/>
        <w:ind w:firstLine="317"/>
        <w:jc w:val="both"/>
      </w:pPr>
      <w:r>
        <w:t>The main fusion-minus-XGBoost AUPRC interval is positive, and all three chronological subwindows favor the fusion. The JEPA-fusion-minus-supervised-fusion interval includes zero, however, and repeated-seed ablations overlap. The strongest claim supported by the complete evidence is that customer-history fusion improves the tree ranking on this BankSim split; whether JEPA pretraining adds beyond supervised sequence learning remains unresolved.</w:t>
      </w:r>
    </w:p>
    <w:p w14:paraId="3BFDE9C6">
      <w:pPr>
        <w:spacing w:after="50"/>
        <w:ind w:firstLine="317"/>
        <w:jc w:val="both"/>
      </w:pPr>
      <w:r>
        <w:t>Four limitations remain. BankSim is synthetic and does not establish external validity on bank traffic. Transaction category is unusually predictive. Histories contain only 12 events, so linear-time state-space scaling is not tested. Finally, the released code is an independent reconstruction because the original training implementation and logs were unavailable; the paper therefore reports only results generated by the released reconstruction and describes its selective SSM as Mamba-inspired rather than as an official Mamba implementation.</w:t>
      </w:r>
    </w:p>
    <w:p w14:paraId="16FE2F44">
      <w:pPr>
        <w:spacing w:before="60" w:after="20"/>
        <w:outlineLvl w:val="1"/>
      </w:pPr>
      <w:bookmarkStart w:id="26" w:name="_Toc13376"/>
      <w:r>
        <w:rPr>
          <w:rFonts w:hint="eastAsia" w:ascii="Arial" w:hAnsi="Arial" w:eastAsia="宋体"/>
          <w:b/>
          <w:sz w:val="21"/>
          <w:lang w:eastAsia="zh-CN"/>
        </w:rPr>
        <w:t>8</w:t>
      </w:r>
      <w:r>
        <w:rPr>
          <w:rFonts w:ascii="Arial" w:hAnsi="Arial"/>
          <w:b/>
          <w:sz w:val="21"/>
        </w:rPr>
        <w:t xml:space="preserve"> CONCLUSION</w:t>
      </w:r>
      <w:bookmarkEnd w:id="26"/>
    </w:p>
    <w:p w14:paraId="3068117B">
      <w:pPr>
        <w:spacing w:after="50"/>
        <w:ind w:firstLine="317"/>
        <w:jc w:val="both"/>
      </w:pPr>
      <w:r>
        <w:t>MambaJEPA-AD combines a field-masked predictive attribute encoder, a selective state-space customer-history encoder, and XGBoost. On the chronological BankSim test period, the seed-42 fusion reaches AUPRC 0.8471 versus 0.8421 for XGBoost. Customer-clustered resampling supports the fusion difference, while a matched supervised SSM fusion reaches 0.8460 and is not distinguishable from the JEPA fusion. The complete evidence supports sequence-aware fusion and a narrower, unresolved claim for the added value of JEPA pretraining. The accompanying package provides code, configurations, models, logs, predictions, thresholds, resource measurements, and integrity hashes for independent review.</w:t>
      </w:r>
    </w:p>
    <w:p w14:paraId="237363FE">
      <w:pPr>
        <w:spacing w:before="60" w:after="20"/>
        <w:outlineLvl w:val="0"/>
      </w:pPr>
      <w:bookmarkStart w:id="27" w:name="_Toc13224"/>
      <w:r>
        <w:rPr>
          <w:rFonts w:ascii="Arial" w:hAnsi="Arial"/>
          <w:b/>
          <w:sz w:val="21"/>
        </w:rPr>
        <w:t>REFERENCES</w:t>
      </w:r>
      <w:bookmarkEnd w:id="27"/>
    </w:p>
    <w:p w14:paraId="1CCFC59E">
      <w:pPr>
        <w:spacing w:after="20"/>
        <w:ind w:left="317" w:hanging="317"/>
        <w:jc w:val="both"/>
      </w:pPr>
      <w:bookmarkStart w:id="28" w:name="ref1"/>
      <w:r>
        <w:rPr>
          <w:sz w:val="18"/>
        </w:rPr>
        <w:t xml:space="preserve">[1] </w:t>
      </w:r>
      <w:bookmarkEnd w:id="28"/>
      <w:r>
        <w:rPr>
          <w:sz w:val="18"/>
        </w:rPr>
        <w:t>P. Vanini, S. Rossi, E. Zvizdic, and T. Domenig, “Online payment fraud: From anomaly detection to risk management,” Financial Innovation, vol. 9, Art. 66, 2023, doi: 10.1186/s40854-023-00470-w.</w:t>
      </w:r>
    </w:p>
    <w:p w14:paraId="69DCF6AB">
      <w:pPr>
        <w:spacing w:after="20"/>
        <w:ind w:left="317" w:hanging="317"/>
        <w:jc w:val="both"/>
      </w:pPr>
      <w:bookmarkStart w:id="29" w:name="ref2"/>
      <w:r>
        <w:rPr>
          <w:sz w:val="18"/>
        </w:rPr>
        <w:t xml:space="preserve">[2] </w:t>
      </w:r>
      <w:bookmarkEnd w:id="29"/>
      <w:r>
        <w:rPr>
          <w:sz w:val="18"/>
        </w:rPr>
        <w:t>A. Ali et al., “Financial fraud detection based on machine learning: A systematic literature review,” Applied Sciences, vol. 12, no. 19, Art. 9637, 2022, doi: 10.3390/app12199637.</w:t>
      </w:r>
    </w:p>
    <w:p w14:paraId="5CEFE7C5">
      <w:pPr>
        <w:spacing w:after="20"/>
        <w:ind w:left="317" w:hanging="317"/>
        <w:jc w:val="both"/>
      </w:pPr>
      <w:bookmarkStart w:id="30" w:name="ref3"/>
      <w:r>
        <w:rPr>
          <w:sz w:val="18"/>
        </w:rPr>
        <w:t xml:space="preserve">[3] </w:t>
      </w:r>
      <w:bookmarkEnd w:id="30"/>
      <w:r>
        <w:rPr>
          <w:sz w:val="18"/>
        </w:rPr>
        <w:t>S. Han, X. Hu, H. Huang, M. Jiang, and Y. Zhao, “ADBench: Anomaly detection benchmark,” Advances in Neural Information Processing Systems, vol. 35, 2022.</w:t>
      </w:r>
    </w:p>
    <w:p w14:paraId="7A9B4EBF">
      <w:pPr>
        <w:spacing w:after="20"/>
        <w:ind w:left="317" w:hanging="317"/>
        <w:jc w:val="both"/>
      </w:pPr>
      <w:bookmarkStart w:id="31" w:name="ref4"/>
      <w:r>
        <w:rPr>
          <w:sz w:val="18"/>
        </w:rPr>
        <w:t xml:space="preserve">[4] </w:t>
      </w:r>
      <w:bookmarkEnd w:id="31"/>
      <w:r>
        <w:rPr>
          <w:sz w:val="18"/>
        </w:rPr>
        <w:t>J. T. Hancock, T. M. Khoshgoftaar, and J. M. Johnson, “Evaluating classifier performance with highly imbalanced Big Data,” Journal of Big Data, vol. 10, Art. 42, 2023, doi: 10.1186/s40537-023-00724-5.</w:t>
      </w:r>
    </w:p>
    <w:p w14:paraId="332901F4">
      <w:pPr>
        <w:spacing w:after="20"/>
        <w:ind w:left="317" w:hanging="317"/>
        <w:jc w:val="both"/>
      </w:pPr>
      <w:bookmarkStart w:id="32" w:name="ref5"/>
      <w:r>
        <w:rPr>
          <w:sz w:val="18"/>
        </w:rPr>
        <w:t xml:space="preserve">[5] </w:t>
      </w:r>
      <w:bookmarkEnd w:id="32"/>
      <w:r>
        <w:rPr>
          <w:sz w:val="18"/>
        </w:rPr>
        <w:t>H. Thimonier, J. L. De Melo Costa, F. Popineau, A. Rimmel, and B.-L. Doan, “T-JEPA: Augmentation-free self-supervised learning for tabular data,” International Conference on Learning Representations, 2025.</w:t>
      </w:r>
    </w:p>
    <w:p w14:paraId="473CBE30">
      <w:pPr>
        <w:spacing w:after="20"/>
        <w:ind w:left="317" w:hanging="317"/>
        <w:jc w:val="both"/>
      </w:pPr>
      <w:bookmarkStart w:id="33" w:name="ref6"/>
      <w:r>
        <w:rPr>
          <w:sz w:val="18"/>
        </w:rPr>
        <w:t xml:space="preserve">[6] </w:t>
      </w:r>
      <w:bookmarkEnd w:id="33"/>
      <w:r>
        <w:rPr>
          <w:sz w:val="18"/>
        </w:rPr>
        <w:t>A. Gu and T. Dao, “Mamba: Linear-time sequence modeling with selective state spaces,” First Conference on Language Modeling (COLM), 2024.</w:t>
      </w:r>
    </w:p>
    <w:p w14:paraId="00591B65">
      <w:pPr>
        <w:spacing w:after="20"/>
        <w:ind w:left="317" w:hanging="317"/>
        <w:jc w:val="both"/>
      </w:pPr>
      <w:bookmarkStart w:id="34" w:name="ref7"/>
      <w:r>
        <w:rPr>
          <w:sz w:val="18"/>
        </w:rPr>
        <w:t xml:space="preserve">[7] </w:t>
      </w:r>
      <w:bookmarkEnd w:id="34"/>
      <w:r>
        <w:rPr>
          <w:sz w:val="18"/>
        </w:rPr>
        <w:t>K. T. Mai, T. Davies, and L. D. Griffin, “Understanding the limitations of self-supervised learning for tabular anomaly detection,” Pattern Analysis and Applications, vol. 27, Art. 61, 2024, doi: 10.1007/s10044-023-01208-1.</w:t>
      </w:r>
    </w:p>
    <w:p w14:paraId="757CB101">
      <w:pPr>
        <w:spacing w:after="20"/>
        <w:ind w:left="317" w:hanging="317"/>
        <w:jc w:val="both"/>
      </w:pPr>
      <w:bookmarkStart w:id="35" w:name="ref8"/>
      <w:r>
        <w:rPr>
          <w:sz w:val="18"/>
        </w:rPr>
        <w:t xml:space="preserve">[8] </w:t>
      </w:r>
      <w:bookmarkEnd w:id="35"/>
      <w:r>
        <w:rPr>
          <w:sz w:val="18"/>
        </w:rPr>
        <w:t>H. Thimonier, F. Popineau, A. Rimmel, and B.-L. Doan, “Beyond individual input for deep anomaly detection on tabular data,” Proc. 41st International Conference on Machine Learning, PMLR 235, pp. 48097-48123, 2024.</w:t>
      </w:r>
    </w:p>
    <w:p w14:paraId="4B9F5FDC">
      <w:pPr>
        <w:spacing w:after="20"/>
        <w:ind w:left="317" w:hanging="317"/>
        <w:jc w:val="both"/>
      </w:pPr>
      <w:bookmarkStart w:id="36" w:name="ref9"/>
      <w:r>
        <w:rPr>
          <w:sz w:val="18"/>
        </w:rPr>
        <w:t xml:space="preserve">[9] </w:t>
      </w:r>
      <w:bookmarkEnd w:id="36"/>
      <w:r>
        <w:rPr>
          <w:sz w:val="18"/>
        </w:rPr>
        <w:t>L. Hernandez Aros, L. X. Bustamante Molano, F. Gutierrez-Portela, J. J. Moreno Hernandez, and M. S. Rodríguez Barrero, “Financial fraud detection through the application of machine learning techniques: A literature review,” Humanities and Social Sciences Communications, vol. 11, Art. 1130, 2024, doi: 10.1057/s41599-024-03606-0.</w:t>
      </w:r>
    </w:p>
    <w:p w14:paraId="3C2D63BF">
      <w:pPr>
        <w:spacing w:after="20"/>
        <w:ind w:left="317" w:hanging="317"/>
        <w:jc w:val="both"/>
      </w:pPr>
      <w:bookmarkStart w:id="37" w:name="ref10"/>
      <w:r>
        <w:rPr>
          <w:sz w:val="18"/>
        </w:rPr>
        <w:t xml:space="preserve">[10] </w:t>
      </w:r>
      <w:bookmarkEnd w:id="37"/>
      <w:r>
        <w:rPr>
          <w:sz w:val="18"/>
        </w:rPr>
        <w:t>S. H. Sun, A. Sankararaman, and B. M. Narayanaswamy, “Online adaptive anomaly thresholding with confidence sequences,” Proc. 41st International Conference on Machine Learning, PMLR 235, pp. 47105-47132, 2024.</w:t>
      </w:r>
    </w:p>
    <w:p w14:paraId="345874A6">
      <w:pPr>
        <w:spacing w:after="20"/>
        <w:ind w:left="317" w:hanging="317"/>
        <w:jc w:val="both"/>
      </w:pPr>
      <w:bookmarkStart w:id="38" w:name="ref11"/>
      <w:r>
        <w:rPr>
          <w:sz w:val="18"/>
        </w:rPr>
        <w:t xml:space="preserve">[11] </w:t>
      </w:r>
      <w:bookmarkEnd w:id="38"/>
      <w:r>
        <w:rPr>
          <w:sz w:val="18"/>
        </w:rPr>
        <w:t>H. Ye, H. Zhao, W. Fan, M. Zhou, D. Guo, and Y. Chang, “DRL: Decomposed representation learning for tabular anomaly detection,” International Conference on Learning Representations, 2025.</w:t>
      </w:r>
    </w:p>
    <w:p w14:paraId="407FCB1D">
      <w:pPr>
        <w:spacing w:after="20"/>
        <w:ind w:left="317" w:hanging="317"/>
        <w:jc w:val="both"/>
      </w:pPr>
      <w:bookmarkStart w:id="39" w:name="ref12"/>
      <w:r>
        <w:rPr>
          <w:sz w:val="18"/>
        </w:rPr>
        <w:t xml:space="preserve">[12] </w:t>
      </w:r>
      <w:bookmarkEnd w:id="39"/>
      <w:r>
        <w:rPr>
          <w:sz w:val="18"/>
        </w:rPr>
        <w:t>H. Thimonier, F. Popineau, A. Rimmel, and B.-L. Doan, “Retrieval augmented deep anomaly detection for tabular data,” Proc. 33rd ACM International Conference on Information and Knowledge Management, pp. 2250-2259, 2024, doi: 10.1145/3627673.3679559.</w:t>
      </w:r>
    </w:p>
    <w:p w14:paraId="019FE3F7">
      <w:pPr>
        <w:spacing w:after="20"/>
        <w:ind w:left="317" w:hanging="317"/>
        <w:jc w:val="both"/>
        <w:rPr>
          <w:sz w:val="18"/>
        </w:rPr>
      </w:pPr>
      <w:bookmarkStart w:id="40" w:name="ref13"/>
      <w:r>
        <w:rPr>
          <w:sz w:val="18"/>
        </w:rPr>
        <w:t xml:space="preserve">[13] </w:t>
      </w:r>
      <w:bookmarkEnd w:id="40"/>
      <w:r>
        <w:rPr>
          <w:sz w:val="18"/>
        </w:rPr>
        <w:t>P. Boulieris, J. Pavlopoulos, A. Xenos, and V. Vassalos, “Fraud detection with natural language processing,” Machine Learning, vol. 113, pp. 5087-5108, 2024, doi: 10.1007/s10994-023-06354-5.</w:t>
      </w:r>
    </w:p>
    <w:p w14:paraId="6DF938B2">
      <w:pPr>
        <w:spacing w:after="20"/>
        <w:ind w:left="317" w:hanging="317"/>
        <w:jc w:val="both"/>
        <w:rPr>
          <w:sz w:val="18"/>
        </w:rPr>
      </w:pPr>
      <w:r>
        <w:rPr>
          <w:sz w:val="18"/>
        </w:rPr>
        <w:t>[14] E. A. Lopez-Rojas. 2016. Synthetic data from a financial payment system. Kaggle. Retrieved October 20, 2026 from https://www.kaggle.com/datasets/ealaxi/banksim1.</w:t>
      </w:r>
    </w:p>
    <w:p w14:paraId="0D00E6D3">
      <w:pPr>
        <w:spacing w:after="20"/>
        <w:ind w:left="317" w:hanging="317"/>
        <w:jc w:val="both"/>
        <w:rPr>
          <w:sz w:val="18"/>
        </w:rPr>
      </w:pPr>
    </w:p>
    <w:sectPr>
      <w:footerReference r:id="rId4" w:type="default"/>
      <w:pgSz w:w="12240" w:h="15840"/>
      <w:pgMar w:top="749" w:right="1202" w:bottom="749" w:left="1202" w:header="227" w:footer="14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Linux Libertine">
    <w:altName w:val="FFont-Family"/>
    <w:panose1 w:val="00000000000000000000"/>
    <w:charset w:val="00"/>
    <w:family w:val="auto"/>
    <w:pitch w:val="default"/>
    <w:sig w:usb0="00000000" w:usb1="00000000" w:usb2="00000020" w:usb3="00000000" w:csb0="000001BF" w:csb1="00000000"/>
  </w:font>
  <w:font w:name="FFont-Family">
    <w:panose1 w:val="02000509000000000000"/>
    <w:charset w:val="00"/>
    <w:family w:val="auto"/>
    <w:pitch w:val="default"/>
    <w:sig w:usb0="00000001"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B595B">
    <w:pPr>
      <w:pStyle w:val="24"/>
    </w:pPr>
    <w:r>
      <w:rPr>
        <w:sz w:val="17"/>
      </w:rPr>
      <mc:AlternateContent>
        <mc:Choice Requires="wps">
          <w:drawing>
            <wp:anchor distT="0" distB="0" distL="114300" distR="114300" simplePos="0" relativeHeight="251659264" behindDoc="0" locked="0" layoutInCell="1" allowOverlap="1">
              <wp:simplePos x="0" y="0"/>
              <wp:positionH relativeFrom="margin">
                <wp:posOffset>3081020</wp:posOffset>
              </wp:positionH>
              <wp:positionV relativeFrom="paragraph">
                <wp:posOffset>-241935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78C7E9">
                          <w:pPr>
                            <w:pStyle w:val="24"/>
                            <w:jc w:val="both"/>
                            <w:rPr>
                              <w:rFonts w:hint="eastAsia" w:ascii="宋体" w:hAnsi="宋体" w:eastAsia="宋体"/>
                              <w:color w:val="auto"/>
                              <w:sz w:val="28"/>
                            </w:rPr>
                          </w:pPr>
                          <w:r>
                            <w:rPr>
                              <w:rFonts w:hint="eastAsia" w:ascii="黑体" w:hAnsi="黑体" w:eastAsia="黑体" w:cs="黑体"/>
                              <w:color w:val="auto"/>
                              <w:sz w:val="20"/>
                              <w:szCs w:val="20"/>
                            </w:rPr>
                            <w:fldChar w:fldCharType="begin"/>
                          </w:r>
                          <w:r>
                            <w:rPr>
                              <w:rFonts w:hint="eastAsia" w:ascii="黑体" w:hAnsi="黑体" w:eastAsia="黑体" w:cs="黑体"/>
                              <w:color w:val="auto"/>
                              <w:sz w:val="20"/>
                              <w:szCs w:val="20"/>
                            </w:rPr>
                            <w:instrText xml:space="preserve"> PAGE  \* MERGEFORMAT </w:instrText>
                          </w:r>
                          <w:r>
                            <w:rPr>
                              <w:rFonts w:hint="eastAsia" w:ascii="黑体" w:hAnsi="黑体" w:eastAsia="黑体" w:cs="黑体"/>
                              <w:color w:val="auto"/>
                              <w:sz w:val="20"/>
                              <w:szCs w:val="20"/>
                            </w:rPr>
                            <w:fldChar w:fldCharType="separate"/>
                          </w:r>
                          <w:r>
                            <w:rPr>
                              <w:rFonts w:hint="eastAsia" w:ascii="黑体" w:hAnsi="黑体" w:eastAsia="黑体" w:cs="黑体"/>
                              <w:color w:val="auto"/>
                              <w:sz w:val="20"/>
                              <w:szCs w:val="20"/>
                            </w:rPr>
                            <w:t>1</w:t>
                          </w:r>
                          <w:r>
                            <w:rPr>
                              <w:rFonts w:hint="eastAsia" w:ascii="黑体" w:hAnsi="黑体" w:eastAsia="黑体" w:cs="黑体"/>
                              <w:color w:val="auto"/>
                              <w:sz w:val="20"/>
                              <w:szCs w:val="2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42.6pt;margin-top:-19.05pt;height:144pt;width:144pt;mso-position-horizontal-relative:margin;mso-wrap-style:none;z-index:251659264;mso-width-relative:page;mso-height-relative:page;" filled="f" stroked="f" coordsize="21600,21600" o:gfxdata="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Wana22QAAAAsBAAAPAAAAAAAAAAEAIAAAACIAAABkcnMvZG93bnJldi54bWxQSwEC&#10;FAAUAAAACACHTuJAvQ7dtywCAABVBAAADgAAAAAAAAABACAAAAAoAQAAZHJzL2Uyb0RvYy54bWxQ&#10;SwUGAAAAAAYABgBZAQAAxgUAAAAA&#10;">
              <v:fill on="f" focussize="0,0"/>
              <v:stroke on="f" weight="0.5pt"/>
              <v:imagedata o:title=""/>
              <o:lock v:ext="edit" aspectratio="f"/>
              <v:textbox inset="0mm,0mm,0mm,0mm" style="mso-fit-shape-to-text:t;">
                <w:txbxContent>
                  <w:p w14:paraId="7978C7E9">
                    <w:pPr>
                      <w:pStyle w:val="24"/>
                      <w:jc w:val="both"/>
                      <w:rPr>
                        <w:rFonts w:hint="eastAsia" w:ascii="宋体" w:hAnsi="宋体" w:eastAsia="宋体"/>
                        <w:color w:val="auto"/>
                        <w:sz w:val="28"/>
                      </w:rPr>
                    </w:pPr>
                    <w:r>
                      <w:rPr>
                        <w:rFonts w:hint="eastAsia" w:ascii="黑体" w:hAnsi="黑体" w:eastAsia="黑体" w:cs="黑体"/>
                        <w:color w:val="auto"/>
                        <w:sz w:val="20"/>
                        <w:szCs w:val="20"/>
                      </w:rPr>
                      <w:fldChar w:fldCharType="begin"/>
                    </w:r>
                    <w:r>
                      <w:rPr>
                        <w:rFonts w:hint="eastAsia" w:ascii="黑体" w:hAnsi="黑体" w:eastAsia="黑体" w:cs="黑体"/>
                        <w:color w:val="auto"/>
                        <w:sz w:val="20"/>
                        <w:szCs w:val="20"/>
                      </w:rPr>
                      <w:instrText xml:space="preserve"> PAGE  \* MERGEFORMAT </w:instrText>
                    </w:r>
                    <w:r>
                      <w:rPr>
                        <w:rFonts w:hint="eastAsia" w:ascii="黑体" w:hAnsi="黑体" w:eastAsia="黑体" w:cs="黑体"/>
                        <w:color w:val="auto"/>
                        <w:sz w:val="20"/>
                        <w:szCs w:val="20"/>
                      </w:rPr>
                      <w:fldChar w:fldCharType="separate"/>
                    </w:r>
                    <w:r>
                      <w:rPr>
                        <w:rFonts w:hint="eastAsia" w:ascii="黑体" w:hAnsi="黑体" w:eastAsia="黑体" w:cs="黑体"/>
                        <w:color w:val="auto"/>
                        <w:sz w:val="20"/>
                        <w:szCs w:val="20"/>
                      </w:rPr>
                      <w:t>1</w:t>
                    </w:r>
                    <w:r>
                      <w:rPr>
                        <w:rFonts w:hint="eastAsia" w:ascii="黑体" w:hAnsi="黑体" w:eastAsia="黑体" w:cs="黑体"/>
                        <w:color w:val="auto"/>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0FD23977">
      <w:pPr>
        <w:spacing w:line="264" w:lineRule="auto"/>
        <w:jc w:val="both"/>
        <w:rPr>
          <w:rFonts w:ascii="Linux Libertine" w:hAnsi="Linux Libertine" w:cs="Linux Libertine" w:eastAsiaTheme="minorEastAsia"/>
          <w:sz w:val="14"/>
          <w:lang w:eastAsia="zh-CN"/>
        </w:rPr>
      </w:pPr>
      <w:r>
        <w:rPr>
          <w:rStyle w:val="141"/>
          <w:rFonts w:eastAsiaTheme="minorEastAsia"/>
          <w:sz w:val="18"/>
        </w:rPr>
        <w:footnoteRef/>
      </w:r>
      <w:r>
        <w:rPr>
          <w:rFonts w:ascii="Linux Libertine" w:hAnsi="Linux Libertine" w:cs="Linux Libertine" w:eastAsiaTheme="minorEastAsia"/>
          <w:sz w:val="14"/>
        </w:rPr>
        <w:t xml:space="preserve"> Xixuan Huang</w:t>
      </w:r>
      <w:r>
        <w:rPr>
          <w:rFonts w:ascii="Linux Libertine" w:hAnsi="Linux Libertine" w:eastAsia="宋体" w:cs="Linux Libertine"/>
          <w:sz w:val="14"/>
          <w:lang w:eastAsia="zh-CN"/>
        </w:rPr>
        <w:t>、</w:t>
      </w:r>
      <w:r>
        <w:rPr>
          <w:rFonts w:ascii="Linux Libertine" w:hAnsi="Linux Libertine" w:cs="Linux Libertine" w:eastAsiaTheme="minorEastAsia"/>
          <w:sz w:val="14"/>
        </w:rPr>
        <w:t>Jiaqi Wu and Chenxi Ding contributed equally to this work</w:t>
      </w:r>
      <w:r>
        <w:rPr>
          <w:rFonts w:ascii="Linux Libertine" w:hAnsi="Linux Libertine" w:cs="Linux Libertine"/>
          <w:sz w:val="14"/>
          <w:lang w:eastAsia="zh-CN"/>
        </w:rPr>
        <w:t>.</w:t>
      </w:r>
    </w:p>
  </w:footnote>
  <w:footnote w:id="1">
    <w:p w14:paraId="0EF337B7">
      <w:pPr>
        <w:snapToGrid w:val="0"/>
        <w:rPr>
          <w:sz w:val="14"/>
        </w:rPr>
      </w:pPr>
      <w:r>
        <w:rPr>
          <w:rStyle w:val="141"/>
          <w:sz w:val="17"/>
          <w:vertAlign w:val="baseline"/>
        </w:rPr>
        <w:t>*</w:t>
      </w:r>
      <w:r>
        <w:rPr>
          <w:sz w:val="14"/>
        </w:rPr>
        <w:t xml:space="preserve"> </w:t>
      </w:r>
      <w:r>
        <w:rPr>
          <w:rFonts w:ascii="Linux Libertine" w:hAnsi="Linux Libertine" w:cs="Linux Libertine" w:eastAsiaTheme="minorEastAsia"/>
          <w:sz w:val="14"/>
        </w:rPr>
        <w:t>Corresponding author</w:t>
      </w:r>
      <w:r>
        <w:rPr>
          <w:rFonts w:ascii="Linux Libertine" w:hAnsi="Linux Libertine" w:eastAsia="等线" w:cs="Linux Libertine"/>
          <w:sz w:val="14"/>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dit="readOnly" w:enforcement="0"/>
  <w:defaultTabStop w:val="720"/>
  <w:noPunctuationKerning w:val="1"/>
  <w:characterSpacingControl w:val="doNotCompress"/>
  <w:footnotePr>
    <w:footnote w:id="4"/>
    <w:footnote w:id="5"/>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0BA"/>
    <w:rsid w:val="00532840"/>
    <w:rsid w:val="00A509EC"/>
    <w:rsid w:val="00A5740D"/>
    <w:rsid w:val="00AA1D8D"/>
    <w:rsid w:val="00B47730"/>
    <w:rsid w:val="00CB0664"/>
    <w:rsid w:val="00FC693F"/>
    <w:rsid w:val="01FD7E4B"/>
    <w:rsid w:val="08C47915"/>
    <w:rsid w:val="08E1579A"/>
    <w:rsid w:val="0BA66874"/>
    <w:rsid w:val="0BFA364D"/>
    <w:rsid w:val="0EC341CA"/>
    <w:rsid w:val="0EF703A7"/>
    <w:rsid w:val="111323D2"/>
    <w:rsid w:val="18571487"/>
    <w:rsid w:val="1C6F38A6"/>
    <w:rsid w:val="1D293D92"/>
    <w:rsid w:val="1D7D6BF9"/>
    <w:rsid w:val="1FBEF488"/>
    <w:rsid w:val="207417C9"/>
    <w:rsid w:val="23D828F8"/>
    <w:rsid w:val="252B269C"/>
    <w:rsid w:val="27846795"/>
    <w:rsid w:val="29AB019F"/>
    <w:rsid w:val="31232AA7"/>
    <w:rsid w:val="341B40B2"/>
    <w:rsid w:val="370B658B"/>
    <w:rsid w:val="3C860462"/>
    <w:rsid w:val="3EF1250A"/>
    <w:rsid w:val="3F0044FB"/>
    <w:rsid w:val="41156C29"/>
    <w:rsid w:val="43853221"/>
    <w:rsid w:val="463B1763"/>
    <w:rsid w:val="48AD5C9C"/>
    <w:rsid w:val="4E8D38D2"/>
    <w:rsid w:val="50C02E4A"/>
    <w:rsid w:val="52C13B4A"/>
    <w:rsid w:val="53B70545"/>
    <w:rsid w:val="5B0A12F2"/>
    <w:rsid w:val="5D5214DC"/>
    <w:rsid w:val="5E276CD3"/>
    <w:rsid w:val="5E96674D"/>
    <w:rsid w:val="607C1407"/>
    <w:rsid w:val="661C520E"/>
    <w:rsid w:val="6764121C"/>
    <w:rsid w:val="6AFF2EB6"/>
    <w:rsid w:val="6E5B64CA"/>
    <w:rsid w:val="6E69536A"/>
    <w:rsid w:val="6F457B85"/>
    <w:rsid w:val="7189187F"/>
    <w:rsid w:val="72B156CB"/>
    <w:rsid w:val="7730111A"/>
    <w:rsid w:val="777F5C81"/>
    <w:rsid w:val="77C27899"/>
    <w:rsid w:val="7AFB559C"/>
    <w:rsid w:val="7FC047BE"/>
    <w:rsid w:val="EBFE6C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heme="minorBidi"/>
      <w:color w:val="000000"/>
      <w:sz w:val="22"/>
      <w:szCs w:val="22"/>
      <w:lang w:val="en-US" w:eastAsia="en-US" w:bidi="ar-SA"/>
    </w:rPr>
  </w:style>
  <w:style w:type="paragraph" w:styleId="3">
    <w:name w:val="heading 1"/>
    <w:basedOn w:val="1"/>
    <w:next w:val="1"/>
    <w:link w:val="145"/>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3"/>
    <w:unhideWhenUsed/>
    <w:qFormat/>
    <w:uiPriority w:val="99"/>
    <w:pPr>
      <w:tabs>
        <w:tab w:val="center" w:pos="4680"/>
        <w:tab w:val="right" w:pos="9360"/>
      </w:tabs>
    </w:pPr>
  </w:style>
  <w:style w:type="paragraph" w:styleId="25">
    <w:name w:val="header"/>
    <w:basedOn w:val="1"/>
    <w:link w:val="142"/>
    <w:unhideWhenUsed/>
    <w:qFormat/>
    <w:uiPriority w:val="99"/>
    <w:pPr>
      <w:tabs>
        <w:tab w:val="center" w:pos="4680"/>
        <w:tab w:val="right" w:pos="9360"/>
      </w:tabs>
    </w:pPr>
  </w:style>
  <w:style w:type="paragraph" w:styleId="26">
    <w:name w:val="toc 1"/>
    <w:basedOn w:val="1"/>
    <w:next w:val="1"/>
    <w:semiHidden/>
    <w:unhideWhenUsed/>
    <w:uiPriority w:val="39"/>
  </w:style>
  <w:style w:type="paragraph" w:styleId="27">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qFormat/>
    <w:uiPriority w:val="0"/>
    <w:rPr>
      <w:sz w:val="14"/>
    </w:rPr>
  </w:style>
  <w:style w:type="paragraph" w:styleId="30">
    <w:name w:val="toc 2"/>
    <w:basedOn w:val="1"/>
    <w:next w:val="1"/>
    <w:semiHidden/>
    <w:unhideWhenUsed/>
    <w:uiPriority w:val="39"/>
    <w:pPr>
      <w:ind w:left="420" w:leftChars="200"/>
    </w:pPr>
  </w:style>
  <w:style w:type="paragraph" w:styleId="31">
    <w:name w:val="Body Text 2"/>
    <w:basedOn w:val="1"/>
    <w:link w:val="152"/>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8"/>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semiHidden/>
    <w:unhideWhenUsed/>
    <w:uiPriority w:val="99"/>
    <w:rPr>
      <w:color w:val="0000FF"/>
      <w:u w:val="single"/>
    </w:rPr>
  </w:style>
  <w:style w:type="character" w:styleId="140">
    <w:name w:val="HTML Code"/>
    <w:basedOn w:val="136"/>
    <w:semiHidden/>
    <w:unhideWhenUsed/>
    <w:uiPriority w:val="99"/>
    <w:rPr>
      <w:rFonts w:ascii="Courier New" w:hAnsi="Courier New"/>
      <w:sz w:val="20"/>
    </w:rPr>
  </w:style>
  <w:style w:type="character" w:styleId="141">
    <w:name w:val="footnote reference"/>
    <w:basedOn w:val="136"/>
    <w:unhideWhenUsed/>
    <w:qFormat/>
    <w:uiPriority w:val="99"/>
    <w:rPr>
      <w:rFonts w:ascii="Linux Libertine" w:hAnsi="Linux Libertine" w:cs="Linux Libertine"/>
      <w:vertAlign w:val="superscript"/>
    </w:rPr>
  </w:style>
  <w:style w:type="character" w:customStyle="1" w:styleId="142">
    <w:name w:val="页眉 字符"/>
    <w:basedOn w:val="136"/>
    <w:link w:val="25"/>
    <w:qFormat/>
    <w:uiPriority w:val="99"/>
  </w:style>
  <w:style w:type="character" w:customStyle="1" w:styleId="143">
    <w:name w:val="页脚 字符"/>
    <w:basedOn w:val="136"/>
    <w:link w:val="24"/>
    <w:qFormat/>
    <w:uiPriority w:val="99"/>
  </w:style>
  <w:style w:type="paragraph" w:styleId="144">
    <w:name w:val="No Spacing"/>
    <w:qFormat/>
    <w:uiPriority w:val="1"/>
    <w:rPr>
      <w:rFonts w:asciiTheme="minorHAnsi" w:hAnsiTheme="minorHAnsi" w:eastAsiaTheme="minorEastAsia" w:cstheme="minorBidi"/>
      <w:sz w:val="22"/>
      <w:szCs w:val="22"/>
      <w:lang w:val="en-US" w:eastAsia="en-US" w:bidi="ar-SA"/>
    </w:rPr>
  </w:style>
  <w:style w:type="character" w:customStyle="1" w:styleId="145">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副标题 字符"/>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正文文本 字符"/>
    <w:basedOn w:val="136"/>
    <w:link w:val="19"/>
    <w:qFormat/>
    <w:uiPriority w:val="99"/>
  </w:style>
  <w:style w:type="character" w:customStyle="1" w:styleId="152">
    <w:name w:val="正文文本 2 字符"/>
    <w:basedOn w:val="136"/>
    <w:link w:val="31"/>
    <w:qFormat/>
    <w:uiPriority w:val="99"/>
  </w:style>
  <w:style w:type="character" w:customStyle="1" w:styleId="153">
    <w:name w:val="正文文本 3 字符"/>
    <w:basedOn w:val="136"/>
    <w:link w:val="17"/>
    <w:qFormat/>
    <w:uiPriority w:val="99"/>
    <w:rPr>
      <w:sz w:val="16"/>
      <w:szCs w:val="16"/>
    </w:rPr>
  </w:style>
  <w:style w:type="character" w:customStyle="1" w:styleId="154">
    <w:name w:val="宏文本 字符"/>
    <w:basedOn w:val="136"/>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引用 字符"/>
    <w:basedOn w:val="136"/>
    <w:link w:val="155"/>
    <w:qFormat/>
    <w:uiPriority w:val="29"/>
    <w:rPr>
      <w:i/>
      <w:iCs/>
      <w:color w:val="000000" w:themeColor="text1"/>
      <w14:textFill>
        <w14:solidFill>
          <w14:schemeClr w14:val="tx1"/>
        </w14:solidFill>
      </w14:textFill>
    </w:rPr>
  </w:style>
  <w:style w:type="character" w:customStyle="1" w:styleId="157">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9">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明显引用 字符"/>
    <w:basedOn w:val="136"/>
    <w:link w:val="163"/>
    <w:qFormat/>
    <w:uiPriority w:val="30"/>
    <w:rPr>
      <w:b/>
      <w:bCs/>
      <w:i/>
      <w:iCs/>
      <w:color w:val="4F81BD" w:themeColor="accent1"/>
      <w14:textFill>
        <w14:solidFill>
          <w14:schemeClr w14:val="accent1"/>
        </w14:solidFill>
      </w14:textFill>
    </w:rPr>
  </w:style>
  <w:style w:type="character" w:customStyle="1" w:styleId="165">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明显强调1"/>
    <w:basedOn w:val="136"/>
    <w:qFormat/>
    <w:uiPriority w:val="21"/>
    <w:rPr>
      <w:b/>
      <w:bCs/>
      <w:i/>
      <w:iCs/>
      <w:color w:val="4F81BD" w:themeColor="accent1"/>
      <w14:textFill>
        <w14:solidFill>
          <w14:schemeClr w14:val="accent1"/>
        </w14:solidFill>
      </w14:textFill>
    </w:rPr>
  </w:style>
  <w:style w:type="character" w:customStyle="1" w:styleId="167">
    <w:name w:val="不明显参考1"/>
    <w:basedOn w:val="136"/>
    <w:qFormat/>
    <w:uiPriority w:val="31"/>
    <w:rPr>
      <w:smallCaps/>
      <w:color w:val="C0504D" w:themeColor="accent2"/>
      <w:u w:val="single"/>
      <w14:textFill>
        <w14:solidFill>
          <w14:schemeClr w14:val="accent2"/>
        </w14:solidFill>
      </w14:textFill>
    </w:rPr>
  </w:style>
  <w:style w:type="character" w:customStyle="1" w:styleId="168">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9">
    <w:name w:val="书籍标题1"/>
    <w:basedOn w:val="136"/>
    <w:qFormat/>
    <w:uiPriority w:val="33"/>
    <w:rPr>
      <w:b/>
      <w:bCs/>
      <w:smallCaps/>
      <w:spacing w:val="5"/>
    </w:rPr>
  </w:style>
  <w:style w:type="paragraph" w:customStyle="1" w:styleId="170">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1332</Words>
  <Characters>8872</Characters>
  <Lines>593</Lines>
  <Paragraphs>450</Paragraphs>
  <TotalTime>24</TotalTime>
  <ScaleCrop>false</ScaleCrop>
  <LinksUpToDate>false</LinksUpToDate>
  <CharactersWithSpaces>10134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姚炳峰</dc:creator>
  <dc:description>\begin{CCSXML}
&lt;ccs2012&gt;
   &lt;concept&gt;
       &lt;concept_id&gt;10010405.10003550&lt;/concept_id&gt;
       &lt;concept_desc&gt;Applied computing~Electronic commerce&lt;/concept_desc&gt;
       &lt;concept_significance&gt;500&lt;/concept_significance&gt;
       &lt;/concept&gt;
   &lt;concept&gt;
       &lt;concept_id&gt;10010147.10010257.10010258.10010259.10010263&lt;/concept_id&gt;
       &lt;concept_desc&gt;Computing methodologies~Supervised learning by classification&lt;/concept_desc&gt;
       &lt;concept_significance&gt;300&lt;/concept_significance&gt;
       &lt;/concept&gt;
   &lt;concept&gt;
       &lt;concept_id&gt;10010147.10010257.10010293.10010294&lt;/concept_id&gt;
       &lt;concept_desc&gt;Computing methodologies~Neural networks&lt;/concept_desc&gt;
       &lt;concept_significance&gt;500&lt;/concept_significance&gt;
       &lt;/concept&gt;
 &lt;/ccs2012&gt;
\end{CCSXML}
\ccsdesc[500]{Applied computing~Electronic commerce}
\ccsdesc[300]{Computing methodologies~Supervised learning by classification}
\ccsdesc[500]{Computing methodologies~Neural networks}</dc:description>
  <cp:lastModifiedBy>姚炳峰</cp:lastModifiedBy>
  <dcterms:modified xsi:type="dcterms:W3CDTF">2026-10-20T15:56:17Z</dcterms:modified>
  <dc:title>MambaJEPA-AD Dual-View Predictive Pretraining and Selective State-Space Modeling for Digital Payment Fraud Detection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68D83690B78997417415C36A333A5967_43</vt:lpwstr>
  </property>
  <property fmtid="{D5CDD505-2E9C-101B-9397-08002B2CF9AE}" pid="4" name="KSOTemplateDocerSaveRecord">
    <vt:lpwstr>eyJoZGlkIjoiZGZlMmJiMWQ1MWUyOGFjMzQ2NmE2MGQzMTEwZWNiMzciLCJ1c2VySWQiOiIxOTAwNTE0MTExIn0=</vt:lpwstr>
  </property>
</Properties>
</file>