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left"/>
      </w:pPr>
      <w:r>
        <w:rPr>
          <w:b/>
        </w:rPr>
        <w:t>Response to Reviewer</w:t>
      </w:r>
    </w:p>
    <w:p>
      <w:r>
        <w:t>Manuscript: MambaJEPA-AD Dual-View Predictive Pretraining and Selective State-Space Modeling for Digital Payment Fraud Detection</w:t>
      </w:r>
    </w:p>
    <w:p>
      <w:r>
        <w:t>We thank the reviewer for identifying reproducibility, method-definition, control, resource, and formatting gaps. We rebuilt the experiment from the supplied BankSim file, reran every value reported below, replaced Tables 3-8, added a resource table, and narrowed the claims where the matched control does not support a separate JEPA effect.</w:t>
      </w:r>
    </w:p>
    <w:p>
      <w:pPr>
        <w:pStyle w:val="Heading1"/>
      </w:pPr>
      <w:r>
        <w:rPr>
          <w:color w:val="000000"/>
        </w:rPr>
        <w:t>1 Data and reproducibility</w:t>
      </w:r>
    </w:p>
    <w:p>
      <w:r>
        <w:rPr>
          <w:b/>
        </w:rPr>
        <w:t xml:space="preserve">Reviewer comment. </w:t>
      </w:r>
      <w:r>
        <w:rPr>
          <w:i/>
        </w:rPr>
        <w:t>Provide direct links to the exact BankSim source and the stated reproducibility package. Add baseline hyperparameters and tuning budgets, along with per-model validation-selected thresholds, so the comparison can be independently reproduced.</w:t>
      </w:r>
    </w:p>
    <w:p>
      <w:r>
        <w:rPr>
          <w:b/>
        </w:rPr>
        <w:t xml:space="preserve">Response. </w:t>
      </w:r>
      <w:r>
        <w:t>We now cite the exact ealaxi/banksim1 source (https://www.kaggle.com/datasets/ealaxi/banksim1), name bs140513_032310.csv, and report SHA-256 e37006f76d993bfaec3a02d717b4f0bdc1ebfa5d36449e91fb7c07e225278377. The supplementary package and repository (https://github.com/Perry-123h/MambaJEPA-AD) contain the complete configuration, source, models, logs, compressed validation and test predictions, derived tables, resource records, and a SHA-256 manifest. Table 2 states the tuning budget: one prespecified configuration per baseline, with neural checkpoint selection from at most eight epochs. Table 3 and metrics.csv record every validation-selected threshold and fusion alpha. The repository must be made reviewer-accessible before resubmission.</w:t>
      </w:r>
    </w:p>
    <w:p>
      <w:pPr>
        <w:pStyle w:val="Heading1"/>
      </w:pPr>
      <w:r>
        <w:rPr>
          <w:color w:val="000000"/>
        </w:rPr>
        <w:t>2 Masking target encoder and collapse checks</w:t>
      </w:r>
    </w:p>
    <w:p>
      <w:r>
        <w:rPr>
          <w:b/>
        </w:rPr>
        <w:t xml:space="preserve">Reviewer comment. </w:t>
      </w:r>
      <w:r>
        <w:rPr>
          <w:i/>
        </w:rPr>
        <w:t>Explain categorical-field masking, target-encoder updates and how representational collapse is monitored or prevented during cosine-based pretraining. Define all operators and parameter dimensions in the selective recurrence and fusion equations.</w:t>
      </w:r>
    </w:p>
    <w:p>
      <w:r>
        <w:rPr>
          <w:b/>
        </w:rPr>
        <w:t xml:space="preserve">Response. </w:t>
      </w:r>
      <w:r>
        <w:t>Section IV-B now defines 11 semantic field groups. Each group is independently masked with probability 0.35. A standardized scalar is replaced by zero, its training mean; an age, gender, or category one-hot group is replaced by an all-zero vector that is distinct from every valid one-hot level. The target receives the unmasked vector. We state the per-step update theta_target = 0.99 theta_target + 0.01 theta_online. The package logs the observed mask fraction for every pretraining epoch and three collapse diagnostics: mean per-dimension standard deviation, effective rank, and mean pairwise cosine similarity. Section IV-C gives the input-dependent diagonal SSM recurrence and defines all event, state, and latent dimensions. We describe it as Mamba-inspired and do not claim use of the official mamba-ssm kernel.</w:t>
      </w:r>
    </w:p>
    <w:p>
      <w:pPr>
        <w:pStyle w:val="Heading1"/>
      </w:pPr>
      <w:r>
        <w:rPr>
          <w:color w:val="000000"/>
        </w:rPr>
        <w:t>3 Matched supervised fusion control</w:t>
      </w:r>
    </w:p>
    <w:p>
      <w:r>
        <w:rPr>
          <w:b/>
        </w:rPr>
        <w:t xml:space="preserve">Reviewer comment. </w:t>
      </w:r>
      <w:r>
        <w:rPr>
          <w:i/>
        </w:rPr>
        <w:t>Include one matched late-fusion control, such as XGBoost plus the existing supervised sequence baseline, using the same validation-only alpha search. This would clarify whether the modest gain requires JEPA selective-state modeling or mainly reflects generic ensembling.</w:t>
      </w:r>
    </w:p>
    <w:p>
      <w:r>
        <w:rPr>
          <w:b/>
        </w:rPr>
        <w:t xml:space="preserve">Response. </w:t>
      </w:r>
      <w:r>
        <w:t>We added XGBoost plus supervised SSM with the same score grid, split, validation criterion, and seed-42 sequence backbone. XGBoost obtains test AUPRC 0.842052. The MambaJEPA fusion selects alpha=0.65 and obtains 0.847071; the supervised SSM fusion selects alpha=0.60 and obtains 0.846014. Customer-clustered paired bootstrap intervals are 0.002001 to 0.008189 for MambaJEPA fusion minus XGBoost and 0.000938 to 0.007009 for supervised fusion minus XGBoost. The direct MambaJEPA-minus-supervised-fusion difference is 0.001057 with a 95% interval of -0.000830 to 0.002843. We therefore conclude that sequence fusion improves the tree model, while the additional JEPA effect is not statistically resolved.</w:t>
      </w:r>
    </w:p>
    <w:p>
      <w:pPr>
        <w:pStyle w:val="Heading1"/>
      </w:pPr>
      <w:r>
        <w:rPr>
          <w:color w:val="000000"/>
        </w:rPr>
        <w:t>4 Runtime latency and memory</w:t>
      </w:r>
    </w:p>
    <w:p>
      <w:r>
        <w:rPr>
          <w:b/>
        </w:rPr>
        <w:t xml:space="preserve">Reviewer comment. </w:t>
      </w:r>
      <w:r>
        <w:rPr>
          <w:i/>
        </w:rPr>
        <w:t>Report training time, inference latency and memory alongside XGBoost under the same hardware and batch conditions. Include history construction in the timing definition.</w:t>
      </w:r>
    </w:p>
    <w:p>
      <w:r>
        <w:rPr>
          <w:b/>
        </w:rPr>
        <w:t xml:space="preserve">Response. </w:t>
      </w:r>
      <w:r>
        <w:t>Table 9 now reports CSV loading, strict past-only history and feature construction, model training, full-test inference, and fusion arithmetic. The reported run used four CPU threads on an AMD Ryzen 7 5800H with 15.86 GiB RAM. History and feature construction took 25.498 s with 1,011.6 MiB peak process RSS. XGBoost training took 5.179 s and test inference 0.184 s. Seed-42 JEPA pretraining took 21.802 s, supervised fine-tuning 65.081 s, and neural inference over 133,231 test transactions 0.848 s. Inference numbers are medians of five passes after warm-up; process RSS includes the loaded dataset and runtime.</w:t>
      </w:r>
    </w:p>
    <w:p>
      <w:pPr>
        <w:pStyle w:val="Heading1"/>
      </w:pPr>
      <w:r>
        <w:rPr>
          <w:color w:val="000000"/>
        </w:rPr>
        <w:t>5 ACM presentation and self-contained wording</w:t>
      </w:r>
    </w:p>
    <w:p>
      <w:r>
        <w:rPr>
          <w:b/>
        </w:rPr>
        <w:t xml:space="preserve">Reviewer comment. </w:t>
      </w:r>
      <w:r>
        <w:rPr>
          <w:i/>
        </w:rPr>
        <w:t>Add CCS Concepts and apply ACM heading/citation styles. Replace descriptions of earlier drafts and review corrections with a self-contained account of the final method. Retain explicit synthetic-data limitation, add missing reference links and cite or remove unused entries.</w:t>
      </w:r>
    </w:p>
    <w:p>
      <w:r>
        <w:rPr>
          <w:b/>
        </w:rPr>
        <w:t xml:space="preserve">Response. </w:t>
      </w:r>
      <w:r>
        <w:t>We added CCS Concepts, left-aligned the title, converted in-text numbered citations to superscript, standardized heading emphasis, added caption punctuation, and marked every table header to repeat across pages. The manuscript now describes the final method directly and removes claims about unverified earlier experiments. It cites the BankSim source, retains the synthetic-data and reconstruction limitations, and adds the dataset reference. Figures 3 and 4 and Tables 3-8 were regenerated from the saved predictions. Table 9 was added for resources.</w:t>
      </w:r>
    </w:p>
    <w:p>
      <w:pPr>
        <w:pStyle w:val="Heading1"/>
      </w:pPr>
      <w:r>
        <w:rPr>
          <w:color w:val="000000"/>
        </w:rPr>
        <w:t>Revised evidence summary</w:t>
      </w:r>
    </w:p>
    <w:tbl>
      <w:tblPr>
        <w:tblW w:type="auto" w:w="0"/>
        <w:tblLook w:firstColumn="1" w:firstRow="1" w:lastColumn="0" w:lastRow="0" w:noHBand="0" w:noVBand="1" w:val="04A0"/>
        <w:tblBorders>
          <w:top w:val="single" w:sz="4" w:color="B7B7B7"/>
          <w:left w:val="single" w:sz="4" w:color="B7B7B7"/>
          <w:bottom w:val="single" w:sz="4" w:color="B7B7B7"/>
          <w:right w:val="single" w:sz="4" w:color="B7B7B7"/>
          <w:insideH w:val="single" w:sz="4" w:color="B7B7B7"/>
          <w:insideV w:val="single" w:sz="4" w:color="B7B7B7"/>
        </w:tblBorders>
      </w:tblPr>
      <w:tblGrid>
        <w:gridCol w:w="2484"/>
        <w:gridCol w:w="2484"/>
        <w:gridCol w:w="2484"/>
        <w:gridCol w:w="2484"/>
      </w:tblGrid>
      <w:tr>
        <w:trPr>
          <w:tblHeader w:val="true"/>
        </w:trPr>
        <w:tc>
          <w:tcPr>
            <w:tcW w:type="dxa" w:w="2484"/>
            <w:vAlign w:val="center"/>
            <w:shd w:fill="D9EAF7"/>
          </w:tcPr>
          <w:p>
            <w:pPr>
              <w:spacing w:before="0" w:after="0" w:line="240" w:lineRule="auto"/>
            </w:pPr>
            <w:r>
              <w:rPr>
                <w:rFonts w:ascii="Times New Roman" w:hAnsi="Times New Roman"/>
                <w:b/>
                <w:sz w:val="16"/>
              </w:rPr>
              <w:t>Comparison</w:t>
            </w:r>
          </w:p>
        </w:tc>
        <w:tc>
          <w:tcPr>
            <w:tcW w:type="dxa" w:w="2484"/>
            <w:vAlign w:val="center"/>
            <w:shd w:fill="D9EAF7"/>
          </w:tcPr>
          <w:p>
            <w:pPr>
              <w:spacing w:before="0" w:after="0" w:line="240" w:lineRule="auto"/>
            </w:pPr>
            <w:r>
              <w:rPr>
                <w:rFonts w:ascii="Times New Roman" w:hAnsi="Times New Roman"/>
                <w:b/>
                <w:sz w:val="16"/>
              </w:rPr>
              <w:t>AUPRC difference</w:t>
            </w:r>
          </w:p>
        </w:tc>
        <w:tc>
          <w:tcPr>
            <w:tcW w:type="dxa" w:w="2484"/>
            <w:vAlign w:val="center"/>
            <w:shd w:fill="D9EAF7"/>
          </w:tcPr>
          <w:p>
            <w:pPr>
              <w:spacing w:before="0" w:after="0" w:line="240" w:lineRule="auto"/>
            </w:pPr>
            <w:r>
              <w:rPr>
                <w:rFonts w:ascii="Times New Roman" w:hAnsi="Times New Roman"/>
                <w:b/>
                <w:sz w:val="16"/>
              </w:rPr>
              <w:t>Customer-clustered 95% interval</w:t>
            </w:r>
          </w:p>
        </w:tc>
        <w:tc>
          <w:tcPr>
            <w:tcW w:type="dxa" w:w="2484"/>
            <w:vAlign w:val="center"/>
            <w:shd w:fill="D9EAF7"/>
          </w:tcPr>
          <w:p>
            <w:pPr>
              <w:spacing w:before="0" w:after="0" w:line="240" w:lineRule="auto"/>
            </w:pPr>
            <w:r>
              <w:rPr>
                <w:rFonts w:ascii="Times New Roman" w:hAnsi="Times New Roman"/>
                <w:b/>
                <w:sz w:val="16"/>
              </w:rPr>
              <w:t>Interpretation</w:t>
            </w:r>
          </w:p>
        </w:tc>
      </w:tr>
      <w:tr>
        <w:tc>
          <w:tcPr>
            <w:tcW w:type="dxa" w:w="2484"/>
            <w:vAlign w:val="center"/>
          </w:tcPr>
          <w:p>
            <w:pPr>
              <w:spacing w:before="0" w:after="0" w:line="240" w:lineRule="auto"/>
            </w:pPr>
            <w:r>
              <w:rPr>
                <w:rFonts w:ascii="Times New Roman" w:hAnsi="Times New Roman"/>
                <w:sz w:val="16"/>
              </w:rPr>
              <w:t>MambaJEPA fusion minus XGBoost</w:t>
            </w:r>
          </w:p>
        </w:tc>
        <w:tc>
          <w:tcPr>
            <w:tcW w:type="dxa" w:w="2484"/>
            <w:vAlign w:val="center"/>
          </w:tcPr>
          <w:p>
            <w:pPr>
              <w:spacing w:before="0" w:after="0" w:line="240" w:lineRule="auto"/>
            </w:pPr>
            <w:r>
              <w:rPr>
                <w:rFonts w:ascii="Times New Roman" w:hAnsi="Times New Roman"/>
                <w:sz w:val="16"/>
              </w:rPr>
              <w:t>0.005020</w:t>
            </w:r>
          </w:p>
        </w:tc>
        <w:tc>
          <w:tcPr>
            <w:tcW w:type="dxa" w:w="2484"/>
            <w:vAlign w:val="center"/>
          </w:tcPr>
          <w:p>
            <w:pPr>
              <w:spacing w:before="0" w:after="0" w:line="240" w:lineRule="auto"/>
            </w:pPr>
            <w:r>
              <w:rPr>
                <w:rFonts w:ascii="Times New Roman" w:hAnsi="Times New Roman"/>
                <w:sz w:val="16"/>
              </w:rPr>
              <w:t>0.002001 to 0.008189</w:t>
            </w:r>
          </w:p>
        </w:tc>
        <w:tc>
          <w:tcPr>
            <w:tcW w:type="dxa" w:w="2484"/>
            <w:vAlign w:val="center"/>
          </w:tcPr>
          <w:p>
            <w:pPr>
              <w:spacing w:before="0" w:after="0" w:line="240" w:lineRule="auto"/>
            </w:pPr>
            <w:r>
              <w:rPr>
                <w:rFonts w:ascii="Times New Roman" w:hAnsi="Times New Roman"/>
                <w:sz w:val="16"/>
              </w:rPr>
              <w:t>Positive on this split</w:t>
            </w:r>
          </w:p>
        </w:tc>
      </w:tr>
      <w:tr>
        <w:tc>
          <w:tcPr>
            <w:tcW w:type="dxa" w:w="2484"/>
            <w:vAlign w:val="center"/>
          </w:tcPr>
          <w:p>
            <w:pPr>
              <w:spacing w:before="0" w:after="0" w:line="240" w:lineRule="auto"/>
            </w:pPr>
            <w:r>
              <w:rPr>
                <w:rFonts w:ascii="Times New Roman" w:hAnsi="Times New Roman"/>
                <w:sz w:val="16"/>
              </w:rPr>
              <w:t>Supervised SSM fusion minus XGBoost</w:t>
            </w:r>
          </w:p>
        </w:tc>
        <w:tc>
          <w:tcPr>
            <w:tcW w:type="dxa" w:w="2484"/>
            <w:vAlign w:val="center"/>
          </w:tcPr>
          <w:p>
            <w:pPr>
              <w:spacing w:before="0" w:after="0" w:line="240" w:lineRule="auto"/>
            </w:pPr>
            <w:r>
              <w:rPr>
                <w:rFonts w:ascii="Times New Roman" w:hAnsi="Times New Roman"/>
                <w:sz w:val="16"/>
              </w:rPr>
              <w:t>0.003962</w:t>
            </w:r>
          </w:p>
        </w:tc>
        <w:tc>
          <w:tcPr>
            <w:tcW w:type="dxa" w:w="2484"/>
            <w:vAlign w:val="center"/>
          </w:tcPr>
          <w:p>
            <w:pPr>
              <w:spacing w:before="0" w:after="0" w:line="240" w:lineRule="auto"/>
            </w:pPr>
            <w:r>
              <w:rPr>
                <w:rFonts w:ascii="Times New Roman" w:hAnsi="Times New Roman"/>
                <w:sz w:val="16"/>
              </w:rPr>
              <w:t>0.000938 to 0.007009</w:t>
            </w:r>
          </w:p>
        </w:tc>
        <w:tc>
          <w:tcPr>
            <w:tcW w:type="dxa" w:w="2484"/>
            <w:vAlign w:val="center"/>
          </w:tcPr>
          <w:p>
            <w:pPr>
              <w:spacing w:before="0" w:after="0" w:line="240" w:lineRule="auto"/>
            </w:pPr>
            <w:r>
              <w:rPr>
                <w:rFonts w:ascii="Times New Roman" w:hAnsi="Times New Roman"/>
                <w:sz w:val="16"/>
              </w:rPr>
              <w:t>Positive on this split</w:t>
            </w:r>
          </w:p>
        </w:tc>
      </w:tr>
      <w:tr>
        <w:tc>
          <w:tcPr>
            <w:tcW w:type="dxa" w:w="2484"/>
            <w:vAlign w:val="center"/>
          </w:tcPr>
          <w:p>
            <w:pPr>
              <w:spacing w:before="0" w:after="0" w:line="240" w:lineRule="auto"/>
            </w:pPr>
            <w:r>
              <w:rPr>
                <w:rFonts w:ascii="Times New Roman" w:hAnsi="Times New Roman"/>
                <w:sz w:val="16"/>
              </w:rPr>
              <w:t>MambaJEPA fusion minus supervised SSM fusion</w:t>
            </w:r>
          </w:p>
        </w:tc>
        <w:tc>
          <w:tcPr>
            <w:tcW w:type="dxa" w:w="2484"/>
            <w:vAlign w:val="center"/>
          </w:tcPr>
          <w:p>
            <w:pPr>
              <w:spacing w:before="0" w:after="0" w:line="240" w:lineRule="auto"/>
            </w:pPr>
            <w:r>
              <w:rPr>
                <w:rFonts w:ascii="Times New Roman" w:hAnsi="Times New Roman"/>
                <w:sz w:val="16"/>
              </w:rPr>
              <w:t>0.001057</w:t>
            </w:r>
          </w:p>
        </w:tc>
        <w:tc>
          <w:tcPr>
            <w:tcW w:type="dxa" w:w="2484"/>
            <w:vAlign w:val="center"/>
          </w:tcPr>
          <w:p>
            <w:pPr>
              <w:spacing w:before="0" w:after="0" w:line="240" w:lineRule="auto"/>
            </w:pPr>
            <w:r>
              <w:rPr>
                <w:rFonts w:ascii="Times New Roman" w:hAnsi="Times New Roman"/>
                <w:sz w:val="16"/>
              </w:rPr>
              <w:t>-0.000830 to 0.002843</w:t>
            </w:r>
          </w:p>
        </w:tc>
        <w:tc>
          <w:tcPr>
            <w:tcW w:type="dxa" w:w="2484"/>
            <w:vAlign w:val="center"/>
          </w:tcPr>
          <w:p>
            <w:pPr>
              <w:spacing w:before="0" w:after="0" w:line="240" w:lineRule="auto"/>
            </w:pPr>
            <w:r>
              <w:rPr>
                <w:rFonts w:ascii="Times New Roman" w:hAnsi="Times New Roman"/>
                <w:sz w:val="16"/>
              </w:rPr>
              <w:t>JEPA increment unresolved</w:t>
            </w:r>
          </w:p>
        </w:tc>
      </w:tr>
    </w:tbl>
    <w:p>
      <w:r>
        <w:t>All values above are generated by the supplied reconstruction and can be recomputed from its saved predictions. No value from the former Tables 3-8 is retained without a matching run artifact.</w:t>
      </w:r>
    </w:p>
    <w:sectPr w:rsidR="00FC693F" w:rsidRPr="0006063C" w:rsidSect="00034616">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000000"/>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000000"/>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Response to Reviewer for MambaJEPA-AD</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