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3366"/>
          <w:sz w:val="32"/>
        </w:rPr>
        <w:t>UNIVERSITY OF BUEA</w:t>
      </w:r>
    </w:p>
    <w:p>
      <w:pPr>
        <w:jc w:val="center"/>
      </w:pPr>
      <w:r>
        <w:rPr>
          <w:rFonts w:ascii="Times New Roman" w:hAnsi="Times New Roman"/>
          <w:b w:val="0"/>
          <w:color w:val="003366"/>
          <w:sz w:val="26"/>
        </w:rPr>
        <w:t>Faculty of Engineering and Technology</w:t>
      </w:r>
    </w:p>
    <w:p>
      <w:pPr>
        <w:jc w:val="center"/>
      </w:pPr>
      <w:r>
        <w:rPr>
          <w:rFonts w:ascii="Times New Roman" w:hAnsi="Times New Roman"/>
          <w:b w:val="0"/>
          <w:color w:val="003366"/>
          <w:sz w:val="24"/>
        </w:rPr>
        <w:t>Department of Computer Engineering – Software Engineering</w:t>
      </w:r>
    </w:p>
    <w:p/>
    <w:p>
      <w:pPr>
        <w:spacing w:before="0" w:after="0"/>
        <w:pBdr>
          <w:bottom w:val="single" w:sz="6" w:space="1" w:color="003366"/>
        </w:pBdr>
      </w:pPr>
    </w:p>
    <w:p/>
    <w:p>
      <w:pPr>
        <w:jc w:val="center"/>
      </w:pPr>
      <w:r>
        <w:rPr>
          <w:rFonts w:ascii="Times New Roman" w:hAnsi="Times New Roman"/>
          <w:b/>
          <w:color w:val="003366"/>
          <w:sz w:val="44"/>
        </w:rPr>
        <w:t>CAMEROON MALNUTRITION ATLAS:</w:t>
        <w:br/>
        <w:t>A DATA MINING APPROACH TO</w:t>
        <w:br/>
        <w:t>PREDICTING AND MAPPING CHILD STUNTING</w:t>
      </w:r>
    </w:p>
    <w:p/>
    <w:p>
      <w:pPr>
        <w:spacing w:before="0" w:after="0"/>
        <w:pBdr>
          <w:bottom w:val="single" w:sz="6" w:space="1" w:color="003366"/>
        </w:pBdr>
      </w:pPr>
    </w:p>
    <w:p/>
    <w:p>
      <w:pPr>
        <w:jc w:val="center"/>
      </w:pPr>
      <w:r>
        <w:rPr>
          <w:rFonts w:ascii="Times New Roman" w:hAnsi="Times New Roman"/>
          <w:b/>
          <w:sz w:val="24"/>
        </w:rPr>
        <w:t xml:space="preserve">Course:  </w:t>
      </w:r>
      <w:r>
        <w:rPr>
          <w:rFonts w:ascii="Times New Roman" w:hAnsi="Times New Roman"/>
          <w:b w:val="0"/>
          <w:sz w:val="24"/>
        </w:rPr>
        <w:t>CEC 420 – Data Mining</w:t>
      </w:r>
    </w:p>
    <w:p>
      <w:pPr>
        <w:jc w:val="center"/>
      </w:pPr>
      <w:r>
        <w:rPr>
          <w:rFonts w:ascii="Times New Roman" w:hAnsi="Times New Roman"/>
          <w:b/>
          <w:sz w:val="24"/>
        </w:rPr>
        <w:t xml:space="preserve">Author:  </w:t>
      </w:r>
      <w:r>
        <w:rPr>
          <w:rFonts w:ascii="Times New Roman" w:hAnsi="Times New Roman"/>
          <w:b w:val="0"/>
          <w:sz w:val="24"/>
        </w:rPr>
        <w:t>SEPO PERRY-BRADLEY DINGA</w:t>
      </w:r>
    </w:p>
    <w:p>
      <w:pPr>
        <w:jc w:val="center"/>
      </w:pPr>
      <w:r>
        <w:rPr>
          <w:rFonts w:ascii="Times New Roman" w:hAnsi="Times New Roman"/>
          <w:b/>
          <w:sz w:val="24"/>
        </w:rPr>
        <w:t xml:space="preserve">Student ID:  </w:t>
      </w:r>
      <w:r>
        <w:rPr>
          <w:rFonts w:ascii="Times New Roman" w:hAnsi="Times New Roman"/>
          <w:b w:val="0"/>
          <w:sz w:val="24"/>
        </w:rPr>
        <w:t>CT23A145</w:t>
      </w:r>
    </w:p>
    <w:p>
      <w:pPr>
        <w:jc w:val="center"/>
      </w:pPr>
      <w:r>
        <w:rPr>
          <w:rFonts w:ascii="Times New Roman" w:hAnsi="Times New Roman"/>
          <w:b/>
          <w:sz w:val="24"/>
        </w:rPr>
        <w:t xml:space="preserve">Academic Year:  </w:t>
      </w:r>
      <w:r>
        <w:rPr>
          <w:rFonts w:ascii="Times New Roman" w:hAnsi="Times New Roman"/>
          <w:b w:val="0"/>
          <w:sz w:val="24"/>
        </w:rPr>
        <w:t>2025 / 2026</w:t>
      </w:r>
    </w:p>
    <w:p>
      <w:pPr>
        <w:jc w:val="center"/>
      </w:pPr>
      <w:r>
        <w:rPr>
          <w:rFonts w:ascii="Times New Roman" w:hAnsi="Times New Roman"/>
          <w:b/>
          <w:sz w:val="24"/>
        </w:rPr>
        <w:t xml:space="preserve">Submission Date:  </w:t>
      </w:r>
      <w:r>
        <w:rPr>
          <w:rFonts w:ascii="Times New Roman" w:hAnsi="Times New Roman"/>
          <w:b w:val="0"/>
          <w:sz w:val="24"/>
        </w:rPr>
        <w:t>June 2026</w:t>
      </w:r>
    </w:p>
    <w:p>
      <w:r>
        <w:br w:type="page"/>
      </w:r>
    </w:p>
    <w:p>
      <w:pPr>
        <w:pStyle w:val="Heading1"/>
        <w:jc w:val="center"/>
      </w:pPr>
      <w:r>
        <w:rPr>
          <w:rFonts w:ascii="Times New Roman" w:hAnsi="Times New Roman"/>
          <w:color w:val="003366"/>
        </w:rPr>
        <w:t>Abstract</w:t>
      </w:r>
    </w:p>
    <w:p>
      <w:pPr>
        <w:spacing w:after="120"/>
        <w:jc w:val="both"/>
      </w:pPr>
      <w:r>
        <w:rPr>
          <w:rFonts w:ascii="Times New Roman" w:hAnsi="Times New Roman"/>
          <w:b w:val="0"/>
          <w:i w:val="0"/>
          <w:sz w:val="24"/>
        </w:rPr>
        <w:t>Child stunting (chronic malnutrition) affects approximately 29% of children under five in Cameroon, yet the burden is distributed highly unevenly across the country's ten administrative regions. This project applies the Cross-Industry Standard Process for Data Mining (CRISP-DM) to five waves of real Demographic and Health Survey (DHS) and Multiple Indicator Cluster Survey (MICS) sub-national data (1991–2018) in order to: (i) identify the socio-economic, health-system, and environmental drivers of regional stunting disparities; (ii) test six substantive hypotheses about those drivers using non-parametric statistical tests; and (iii) build a machine-learning pipeline that predicts regional stunting rates, classifies districts into WHO risk bands, clusters districts by risk profile, and forecasts trajectories to 2028.</w:t>
      </w:r>
    </w:p>
    <w:p>
      <w:pPr>
        <w:spacing w:after="120"/>
        <w:jc w:val="both"/>
      </w:pPr>
      <w:r>
        <w:rPr>
          <w:rFonts w:ascii="Times New Roman" w:hAnsi="Times New Roman"/>
          <w:b w:val="0"/>
          <w:i w:val="0"/>
          <w:sz w:val="24"/>
        </w:rPr>
        <w:t>An ensemble of ten regression models was evaluated using five-fold cross-validation. XGBoost achieved the best performance (CV RMSE = 2.87 percentage points), representing a 60% improvement over the mean-prediction baseline (RMSE = 7.17, p = 0.003). All six hypotheses were rejected at p &lt; 0.05: healthcare access (ρ = −0.78), socio-economic status (ρ = −0.71), maternal education (ρ = −0.54), and WASH infrastructure (ρ = −0.50) emerged as the strongest correlates. K-Means clustering (k = 2) partitioned Cameroon's regions into a 'Northern-rural critical-risk' cluster (37% stunting) and an 'Urban-affluent low-risk' cluster (24% stunting). Linear trend extrapolation indicates that without accelerated intervention, northern regions will remain in the 'high' or 'critical' WHO risk band through at least 2028. The trained models and a ranked hotspot table are deployed as a client-side interactive web application to support Ministry of Public Health targeting decisions.</w:t>
      </w:r>
    </w:p>
    <w:p>
      <w:pPr>
        <w:spacing w:after="120"/>
        <w:jc w:val="both"/>
      </w:pPr>
      <w:r>
        <w:rPr>
          <w:rFonts w:ascii="Times New Roman" w:hAnsi="Times New Roman"/>
          <w:b w:val="0"/>
          <w:i/>
          <w:sz w:val="24"/>
        </w:rPr>
        <w:t>Keywords: child stunting, data mining, CRISP-DM, Cameroon, DHS, XGBoost, K-Means clustering, hypothesis testing, malnutrition prediction, public health.</w:t>
      </w:r>
    </w:p>
    <w:p>
      <w:r>
        <w:br w:type="page"/>
      </w:r>
    </w:p>
    <w:p>
      <w:pPr>
        <w:pStyle w:val="Heading1"/>
        <w:jc w:val="center"/>
      </w:pPr>
      <w:r>
        <w:rPr>
          <w:rFonts w:ascii="Times New Roman" w:hAnsi="Times New Roman"/>
          <w:color w:val="003366"/>
        </w:rPr>
        <w:t>Table of Contents</w:t>
      </w:r>
    </w:p>
    <w:p>
      <w:pPr>
        <w:tabs>
          <w:tab w:pos="7937" w:val="right"/>
        </w:tabs>
        <w:spacing w:after="80"/>
      </w:pPr>
      <w:r>
        <w:rPr>
          <w:rFonts w:ascii="Times New Roman" w:hAnsi="Times New Roman"/>
          <w:sz w:val="24"/>
        </w:rPr>
        <w:t>1.  Introduction</w:t>
        <w:tab/>
        <w:t>4</w:t>
      </w:r>
    </w:p>
    <w:p>
      <w:pPr>
        <w:tabs>
          <w:tab w:pos="7937" w:val="right"/>
        </w:tabs>
        <w:spacing w:after="80"/>
      </w:pPr>
      <w:r>
        <w:rPr>
          <w:rFonts w:ascii="Times New Roman" w:hAnsi="Times New Roman"/>
          <w:sz w:val="24"/>
        </w:rPr>
        <w:t>2.  Business Understanding</w:t>
        <w:tab/>
        <w:t>5</w:t>
      </w:r>
    </w:p>
    <w:p>
      <w:pPr>
        <w:tabs>
          <w:tab w:pos="7937" w:val="right"/>
        </w:tabs>
        <w:spacing w:after="80"/>
      </w:pPr>
      <w:r>
        <w:rPr>
          <w:rFonts w:ascii="Times New Roman" w:hAnsi="Times New Roman"/>
          <w:sz w:val="24"/>
        </w:rPr>
        <w:t>3.  Data Understanding</w:t>
        <w:tab/>
        <w:t>6</w:t>
      </w:r>
    </w:p>
    <w:p>
      <w:pPr>
        <w:tabs>
          <w:tab w:pos="7937" w:val="right"/>
        </w:tabs>
        <w:spacing w:after="80"/>
      </w:pPr>
      <w:r>
        <w:rPr>
          <w:rFonts w:ascii="Times New Roman" w:hAnsi="Times New Roman"/>
          <w:sz w:val="24"/>
        </w:rPr>
        <w:t>4.  Data Preparation</w:t>
        <w:tab/>
        <w:t>8</w:t>
      </w:r>
    </w:p>
    <w:p>
      <w:pPr>
        <w:tabs>
          <w:tab w:pos="7937" w:val="right"/>
        </w:tabs>
        <w:spacing w:after="80"/>
      </w:pPr>
      <w:r>
        <w:rPr>
          <w:rFonts w:ascii="Times New Roman" w:hAnsi="Times New Roman"/>
          <w:sz w:val="24"/>
        </w:rPr>
        <w:t>5.  Modelling</w:t>
        <w:tab/>
        <w:t>10</w:t>
      </w:r>
    </w:p>
    <w:p>
      <w:pPr>
        <w:tabs>
          <w:tab w:pos="7937" w:val="right"/>
        </w:tabs>
        <w:spacing w:after="80"/>
      </w:pPr>
      <w:r>
        <w:rPr>
          <w:rFonts w:ascii="Times New Roman" w:hAnsi="Times New Roman"/>
          <w:sz w:val="24"/>
        </w:rPr>
        <w:t>6.  Evaluation</w:t>
        <w:tab/>
        <w:t>13</w:t>
      </w:r>
    </w:p>
    <w:p>
      <w:pPr>
        <w:tabs>
          <w:tab w:pos="7937" w:val="right"/>
        </w:tabs>
        <w:spacing w:after="80"/>
      </w:pPr>
      <w:r>
        <w:rPr>
          <w:rFonts w:ascii="Times New Roman" w:hAnsi="Times New Roman"/>
          <w:sz w:val="24"/>
        </w:rPr>
        <w:t>7.  Deployment</w:t>
        <w:tab/>
        <w:t>16</w:t>
      </w:r>
    </w:p>
    <w:p>
      <w:pPr>
        <w:tabs>
          <w:tab w:pos="7937" w:val="right"/>
        </w:tabs>
        <w:spacing w:after="80"/>
      </w:pPr>
      <w:r>
        <w:rPr>
          <w:rFonts w:ascii="Times New Roman" w:hAnsi="Times New Roman"/>
          <w:sz w:val="24"/>
        </w:rPr>
        <w:t>8.  Results and Discussion</w:t>
        <w:tab/>
        <w:t>17</w:t>
      </w:r>
    </w:p>
    <w:p>
      <w:pPr>
        <w:tabs>
          <w:tab w:pos="7937" w:val="right"/>
        </w:tabs>
        <w:spacing w:after="80"/>
      </w:pPr>
      <w:r>
        <w:rPr>
          <w:rFonts w:ascii="Times New Roman" w:hAnsi="Times New Roman"/>
          <w:sz w:val="24"/>
        </w:rPr>
        <w:t>9.  Conclusions and Recommendations</w:t>
        <w:tab/>
        <w:t>19</w:t>
      </w:r>
    </w:p>
    <w:p>
      <w:pPr>
        <w:tabs>
          <w:tab w:pos="7937" w:val="right"/>
        </w:tabs>
        <w:spacing w:after="80"/>
      </w:pPr>
      <w:r>
        <w:rPr>
          <w:rFonts w:ascii="Times New Roman" w:hAnsi="Times New Roman"/>
          <w:sz w:val="24"/>
        </w:rPr>
        <w:t>References</w:t>
        <w:tab/>
        <w:t>21</w:t>
      </w:r>
    </w:p>
    <w:p>
      <w:r>
        <w:br w:type="page"/>
      </w:r>
    </w:p>
    <w:p>
      <w:pPr>
        <w:pStyle w:val="Heading1"/>
        <w:jc w:val="left"/>
      </w:pPr>
      <w:r>
        <w:rPr>
          <w:rFonts w:ascii="Times New Roman" w:hAnsi="Times New Roman"/>
          <w:color w:val="003366"/>
        </w:rPr>
        <w:t>1.  Introduction</w:t>
      </w:r>
    </w:p>
    <w:p>
      <w:pPr>
        <w:spacing w:after="120"/>
        <w:jc w:val="both"/>
      </w:pPr>
      <w:r>
        <w:rPr>
          <w:rFonts w:ascii="Times New Roman" w:hAnsi="Times New Roman"/>
          <w:b w:val="0"/>
          <w:i w:val="0"/>
          <w:sz w:val="24"/>
        </w:rPr>
        <w:t>Malnutrition is a global health crisis of staggering proportions. Among its most insidious forms is chronic malnutrition, or 'stunting', defined as height-for-age more than two standard deviations below the WHO Child Growth Standards median. Stunting in the first 1,000 days of life produces irreversible cognitive and physical deficits, perpetuating intergenerational poverty cycles. In sub-Saharan Africa the problem is especially acute: the continent accounts for more than a third of the world's stunted children despite holding roughly a sixth of its population.</w:t>
      </w:r>
    </w:p>
    <w:p>
      <w:pPr>
        <w:spacing w:after="120"/>
        <w:jc w:val="both"/>
      </w:pPr>
      <w:r>
        <w:rPr>
          <w:rFonts w:ascii="Times New Roman" w:hAnsi="Times New Roman"/>
          <w:b w:val="0"/>
          <w:i w:val="0"/>
          <w:sz w:val="24"/>
        </w:rPr>
        <w:t>In Cameroon, the national stunting prevalence stood at approximately 29% in the 2018 DHS survey — nearly three times the WHO action threshold of 10%. However, this aggregate figure conceals profound subnational disparities. The Far North, North, and Adamawa regions routinely record stunting rates of 36–40%, placing them in the WHO 'critical' band, while the Littoral, South, and Centre regions hover near 15–22%. This north-south gradient implies that interventions must be geographically targeted to have maximum impact, yet the Ministry of Public Health lacked a systematic, data-driven methodology for prioritising districts.</w:t>
      </w:r>
    </w:p>
    <w:p>
      <w:pPr>
        <w:spacing w:after="120"/>
        <w:jc w:val="both"/>
      </w:pPr>
      <w:r>
        <w:rPr>
          <w:rFonts w:ascii="Times New Roman" w:hAnsi="Times New Roman"/>
          <w:b w:val="0"/>
          <w:i w:val="0"/>
          <w:sz w:val="24"/>
        </w:rPr>
        <w:t>This project addresses that gap by building the 'Cameroon Malnutrition Atlas' — a full-stack data mining pipeline that transforms five decades of DHS/MICS survey data into actionable, ranked targeting intelligence. The pipeline follows the CRISP-DM framework across six phases: Business Understanding, Data Understanding, Data Preparation, Modelling, Evaluation, and Deployment. The technical output is a deployable web application that allows planners to simulate the expected impact of changing specific determinants in a given district.</w:t>
      </w:r>
    </w:p>
    <w:p>
      <w:pPr>
        <w:pStyle w:val="Heading2"/>
        <w:jc w:val="left"/>
      </w:pPr>
      <w:r>
        <w:rPr>
          <w:rFonts w:ascii="Times New Roman" w:hAnsi="Times New Roman"/>
          <w:color w:val="003366"/>
        </w:rPr>
        <w:t>1.1  Research Questions</w:t>
      </w:r>
    </w:p>
    <w:p>
      <w:pPr>
        <w:pStyle w:val="ListBullet"/>
        <w:ind w:left="680"/>
      </w:pPr>
      <w:r>
        <w:rPr>
          <w:rFonts w:ascii="Times New Roman" w:hAnsi="Times New Roman"/>
          <w:sz w:val="22"/>
        </w:rPr>
        <w:t>RQ1: Which socio-economic, health-system, and environmental factors are the strongest predictors of child stunting rates across Cameroon's sub-national regions?</w:t>
      </w:r>
    </w:p>
    <w:p>
      <w:pPr>
        <w:pStyle w:val="ListBullet"/>
        <w:ind w:left="680"/>
      </w:pPr>
      <w:r>
        <w:rPr>
          <w:rFonts w:ascii="Times New Roman" w:hAnsi="Times New Roman"/>
          <w:sz w:val="22"/>
        </w:rPr>
        <w:t>RQ2: Can a machine-learning regression model predict district-level stunting rates more accurately than the population mean baseline?</w:t>
      </w:r>
    </w:p>
    <w:p>
      <w:pPr>
        <w:pStyle w:val="ListBullet"/>
        <w:ind w:left="680"/>
      </w:pPr>
      <w:r>
        <w:rPr>
          <w:rFonts w:ascii="Times New Roman" w:hAnsi="Times New Roman"/>
          <w:sz w:val="22"/>
        </w:rPr>
        <w:t>RQ3: Can districts be meaningfully clustered into distinct risk profiles that could inform differentiated intervention strategies?</w:t>
      </w:r>
    </w:p>
    <w:p>
      <w:pPr>
        <w:pStyle w:val="ListBullet"/>
        <w:ind w:left="680"/>
      </w:pPr>
      <w:r>
        <w:rPr>
          <w:rFonts w:ascii="Times New Roman" w:hAnsi="Times New Roman"/>
          <w:sz w:val="22"/>
        </w:rPr>
        <w:t>RQ4: What is the projected trajectory of stunting rates to 2026 and 2028, and which districts are improving or deteriorating fastest?</w:t>
      </w:r>
    </w:p>
    <w:p>
      <w:pPr>
        <w:pStyle w:val="Heading2"/>
        <w:jc w:val="left"/>
      </w:pPr>
      <w:r>
        <w:rPr>
          <w:rFonts w:ascii="Times New Roman" w:hAnsi="Times New Roman"/>
          <w:color w:val="003366"/>
        </w:rPr>
        <w:t>1.2  Scope and Limitations</w:t>
      </w:r>
    </w:p>
    <w:p>
      <w:pPr>
        <w:spacing w:after="120"/>
        <w:jc w:val="both"/>
      </w:pPr>
      <w:r>
        <w:rPr>
          <w:rFonts w:ascii="Times New Roman" w:hAnsi="Times New Roman"/>
          <w:b w:val="0"/>
          <w:i w:val="0"/>
          <w:sz w:val="24"/>
        </w:rPr>
        <w:t>The analysis is restricted to Cameroon's ten administrative regions across five survey waves (1991, 1998, 2004, 2011, 2018), yielding 50 region-year observations. Sub-regional disaggregation is limited by DHS sampling design. Stunting is a lagged outcome — it reflects nutritional conditions over prior years rather than the current survey year. Causal inference is not claimed; all correlations are observational.</w:t>
      </w:r>
    </w:p>
    <w:p>
      <w:r>
        <w:br w:type="page"/>
      </w:r>
    </w:p>
    <w:p>
      <w:pPr>
        <w:pStyle w:val="Heading1"/>
        <w:jc w:val="left"/>
      </w:pPr>
      <w:r>
        <w:rPr>
          <w:rFonts w:ascii="Times New Roman" w:hAnsi="Times New Roman"/>
          <w:color w:val="003366"/>
        </w:rPr>
        <w:t>2.  Business Understanding</w:t>
      </w:r>
    </w:p>
    <w:p>
      <w:pPr>
        <w:pStyle w:val="Heading2"/>
        <w:jc w:val="left"/>
      </w:pPr>
      <w:r>
        <w:rPr>
          <w:rFonts w:ascii="Times New Roman" w:hAnsi="Times New Roman"/>
          <w:color w:val="003366"/>
        </w:rPr>
        <w:t>2.1  Problem Framing</w:t>
      </w:r>
    </w:p>
    <w:p>
      <w:pPr>
        <w:spacing w:after="120"/>
        <w:jc w:val="both"/>
      </w:pPr>
      <w:r>
        <w:rPr>
          <w:rFonts w:ascii="Times New Roman" w:hAnsi="Times New Roman"/>
          <w:b w:val="0"/>
          <w:i w:val="0"/>
          <w:sz w:val="24"/>
        </w:rPr>
        <w:t>The Ministry of Public Health needs to allocate finite nutrition and WASH intervention budgets across Cameroon's regions. Without a principled ranking of districts by projected risk, resources are distributed uniformly or on the basis of political influence rather than need. The core business problem is therefore: 'Given observable, measurable characteristics of a region in a given year, what is its expected stunting rate, which WHO risk band does it fall into, and how is that rate likely to change over the next three to five years?'</w:t>
      </w:r>
    </w:p>
    <w:p>
      <w:pPr>
        <w:pStyle w:val="Heading2"/>
        <w:jc w:val="left"/>
      </w:pPr>
      <w:r>
        <w:rPr>
          <w:rFonts w:ascii="Times New Roman" w:hAnsi="Times New Roman"/>
          <w:color w:val="003366"/>
        </w:rPr>
        <w:t>2.2  Success Criteria</w:t>
      </w:r>
    </w:p>
    <w:p>
      <w:pPr>
        <w:pStyle w:val="ListBullet"/>
        <w:ind w:left="680"/>
      </w:pPr>
      <w:r>
        <w:rPr>
          <w:rFonts w:ascii="Times New Roman" w:hAnsi="Times New Roman"/>
          <w:sz w:val="22"/>
        </w:rPr>
        <w:t>Regression: CV RMSE &lt; 4 percentage points on a five-fold cross-validation (better than the mean baseline of 7.17 pp).</w:t>
      </w:r>
    </w:p>
    <w:p>
      <w:pPr>
        <w:pStyle w:val="ListBullet"/>
        <w:ind w:left="680"/>
      </w:pPr>
      <w:r>
        <w:rPr>
          <w:rFonts w:ascii="Times New Roman" w:hAnsi="Times New Roman"/>
          <w:sz w:val="22"/>
        </w:rPr>
        <w:t>Classification: Accuracy ≥ 75% for WHO risk-band assignment across four classes (low / medium / high / critical).</w:t>
      </w:r>
    </w:p>
    <w:p>
      <w:pPr>
        <w:pStyle w:val="ListBullet"/>
        <w:ind w:left="680"/>
      </w:pPr>
      <w:r>
        <w:rPr>
          <w:rFonts w:ascii="Times New Roman" w:hAnsi="Times New Roman"/>
          <w:sz w:val="22"/>
        </w:rPr>
        <w:t>Clustering: Silhouette score ≥ 0.40, indicating meaningful cluster separation.</w:t>
      </w:r>
    </w:p>
    <w:p>
      <w:pPr>
        <w:pStyle w:val="ListBullet"/>
        <w:ind w:left="680"/>
      </w:pPr>
      <w:r>
        <w:rPr>
          <w:rFonts w:ascii="Times New Roman" w:hAnsi="Times New Roman"/>
          <w:sz w:val="22"/>
        </w:rPr>
        <w:t>Hypothesis tests: Statistically significant (p &lt; 0.05) correlations for at least four of the five driver hypotheses.</w:t>
      </w:r>
    </w:p>
    <w:p>
      <w:pPr>
        <w:pStyle w:val="ListBullet"/>
        <w:ind w:left="680"/>
      </w:pPr>
      <w:r>
        <w:rPr>
          <w:rFonts w:ascii="Times New Roman" w:hAnsi="Times New Roman"/>
          <w:sz w:val="22"/>
        </w:rPr>
        <w:t>Deployment: A client-side predictor that returns risk estimates without a back-end server call.</w:t>
      </w:r>
    </w:p>
    <w:p>
      <w:pPr>
        <w:pStyle w:val="Heading2"/>
        <w:jc w:val="left"/>
      </w:pPr>
      <w:r>
        <w:rPr>
          <w:rFonts w:ascii="Times New Roman" w:hAnsi="Times New Roman"/>
          <w:color w:val="003366"/>
        </w:rPr>
        <w:t>2.3  Hypotheses</w:t>
      </w:r>
    </w:p>
    <w:p>
      <w:pPr>
        <w:spacing w:after="120"/>
        <w:jc w:val="both"/>
      </w:pPr>
      <w:r>
        <w:rPr>
          <w:rFonts w:ascii="Times New Roman" w:hAnsi="Times New Roman"/>
          <w:b w:val="0"/>
          <w:i w:val="0"/>
          <w:sz w:val="24"/>
        </w:rPr>
        <w:t>Six null hypotheses were defined a priori based on the malnutrition literature and available features: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Hypothesis</w:t>
            </w:r>
          </w:p>
        </w:tc>
        <w:tc>
          <w:tcPr>
            <w:tcW w:type="dxa" w:w="2280"/>
          </w:tcPr>
          <w:p>
            <w:r>
              <w:rPr>
                <w:rFonts w:ascii="Times New Roman" w:hAnsi="Times New Roman"/>
                <w:b/>
                <w:sz w:val="20"/>
              </w:rPr>
              <w:t>Null Statement</w:t>
            </w:r>
          </w:p>
        </w:tc>
        <w:tc>
          <w:tcPr>
            <w:tcW w:type="dxa" w:w="2280"/>
          </w:tcPr>
          <w:p>
            <w:r>
              <w:rPr>
                <w:rFonts w:ascii="Times New Roman" w:hAnsi="Times New Roman"/>
                <w:b/>
                <w:sz w:val="20"/>
              </w:rPr>
              <w:t>Operationalisation</w:t>
            </w:r>
          </w:p>
        </w:tc>
        <w:tc>
          <w:tcPr>
            <w:tcW w:type="dxa" w:w="2280"/>
          </w:tcPr>
          <w:p>
            <w:r>
              <w:rPr>
                <w:rFonts w:ascii="Times New Roman" w:hAnsi="Times New Roman"/>
                <w:b/>
                <w:sz w:val="20"/>
              </w:rPr>
              <w:t>Test</w:t>
            </w:r>
          </w:p>
        </w:tc>
      </w:tr>
      <w:tr>
        <w:tc>
          <w:tcPr>
            <w:tcW w:type="dxa" w:w="2280"/>
          </w:tcPr>
          <w:p>
            <w:r>
              <w:rPr>
                <w:rFonts w:ascii="Times New Roman" w:hAnsi="Times New Roman"/>
                <w:sz w:val="20"/>
              </w:rPr>
              <w:t>H1</w:t>
            </w:r>
          </w:p>
        </w:tc>
        <w:tc>
          <w:tcPr>
            <w:tcW w:type="dxa" w:w="2280"/>
          </w:tcPr>
          <w:p>
            <w:r>
              <w:rPr>
                <w:rFonts w:ascii="Times New Roman" w:hAnsi="Times New Roman"/>
                <w:sz w:val="20"/>
              </w:rPr>
              <w:t>Maternal education has no significant correlation with stunting.</w:t>
            </w:r>
          </w:p>
        </w:tc>
        <w:tc>
          <w:tcPr>
            <w:tcW w:type="dxa" w:w="2280"/>
          </w:tcPr>
          <w:p>
            <w:r>
              <w:rPr>
                <w:rFonts w:ascii="Times New Roman" w:hAnsi="Times New Roman"/>
                <w:sz w:val="20"/>
              </w:rPr>
              <w:t>women_secondary_plus_pct</w:t>
            </w:r>
          </w:p>
        </w:tc>
        <w:tc>
          <w:tcPr>
            <w:tcW w:type="dxa" w:w="2280"/>
          </w:tcPr>
          <w:p>
            <w:r>
              <w:rPr>
                <w:rFonts w:ascii="Times New Roman" w:hAnsi="Times New Roman"/>
                <w:sz w:val="20"/>
              </w:rPr>
              <w:t>Spearman ρ</w:t>
            </w:r>
          </w:p>
        </w:tc>
      </w:tr>
      <w:tr>
        <w:tc>
          <w:tcPr>
            <w:tcW w:type="dxa" w:w="2280"/>
          </w:tcPr>
          <w:p>
            <w:r>
              <w:rPr>
                <w:rFonts w:ascii="Times New Roman" w:hAnsi="Times New Roman"/>
                <w:sz w:val="20"/>
              </w:rPr>
              <w:t>H2</w:t>
            </w:r>
          </w:p>
        </w:tc>
        <w:tc>
          <w:tcPr>
            <w:tcW w:type="dxa" w:w="2280"/>
          </w:tcPr>
          <w:p>
            <w:r>
              <w:rPr>
                <w:rFonts w:ascii="Times New Roman" w:hAnsi="Times New Roman"/>
                <w:sz w:val="20"/>
              </w:rPr>
              <w:t>WASH composite score has no significant correlation with stunting.</w:t>
            </w:r>
          </w:p>
        </w:tc>
        <w:tc>
          <w:tcPr>
            <w:tcW w:type="dxa" w:w="2280"/>
          </w:tcPr>
          <w:p>
            <w:r>
              <w:rPr>
                <w:rFonts w:ascii="Times New Roman" w:hAnsi="Times New Roman"/>
                <w:sz w:val="20"/>
              </w:rPr>
              <w:t>wash_composite</w:t>
            </w:r>
          </w:p>
        </w:tc>
        <w:tc>
          <w:tcPr>
            <w:tcW w:type="dxa" w:w="2280"/>
          </w:tcPr>
          <w:p>
            <w:r>
              <w:rPr>
                <w:rFonts w:ascii="Times New Roman" w:hAnsi="Times New Roman"/>
                <w:sz w:val="20"/>
              </w:rPr>
              <w:t>Spearman ρ</w:t>
            </w:r>
          </w:p>
        </w:tc>
      </w:tr>
      <w:tr>
        <w:tc>
          <w:tcPr>
            <w:tcW w:type="dxa" w:w="2280"/>
          </w:tcPr>
          <w:p>
            <w:r>
              <w:rPr>
                <w:rFonts w:ascii="Times New Roman" w:hAnsi="Times New Roman"/>
                <w:sz w:val="20"/>
              </w:rPr>
              <w:t>H3</w:t>
            </w:r>
          </w:p>
        </w:tc>
        <w:tc>
          <w:tcPr>
            <w:tcW w:type="dxa" w:w="2280"/>
          </w:tcPr>
          <w:p>
            <w:r>
              <w:rPr>
                <w:rFonts w:ascii="Times New Roman" w:hAnsi="Times New Roman"/>
                <w:sz w:val="20"/>
              </w:rPr>
              <w:t>Socio-economic status proxy has no significant correlation with stunting.</w:t>
            </w:r>
          </w:p>
        </w:tc>
        <w:tc>
          <w:tcPr>
            <w:tcW w:type="dxa" w:w="2280"/>
          </w:tcPr>
          <w:p>
            <w:r>
              <w:rPr>
                <w:rFonts w:ascii="Times New Roman" w:hAnsi="Times New Roman"/>
                <w:sz w:val="20"/>
              </w:rPr>
              <w:t>literacy + secondary composite</w:t>
            </w:r>
          </w:p>
        </w:tc>
        <w:tc>
          <w:tcPr>
            <w:tcW w:type="dxa" w:w="2280"/>
          </w:tcPr>
          <w:p>
            <w:r>
              <w:rPr>
                <w:rFonts w:ascii="Times New Roman" w:hAnsi="Times New Roman"/>
                <w:sz w:val="20"/>
              </w:rPr>
              <w:t>Spearman ρ</w:t>
            </w:r>
          </w:p>
        </w:tc>
      </w:tr>
      <w:tr>
        <w:tc>
          <w:tcPr>
            <w:tcW w:type="dxa" w:w="2280"/>
          </w:tcPr>
          <w:p>
            <w:r>
              <w:rPr>
                <w:rFonts w:ascii="Times New Roman" w:hAnsi="Times New Roman"/>
                <w:sz w:val="20"/>
              </w:rPr>
              <w:t>H4</w:t>
            </w:r>
          </w:p>
        </w:tc>
        <w:tc>
          <w:tcPr>
            <w:tcW w:type="dxa" w:w="2280"/>
          </w:tcPr>
          <w:p>
            <w:r>
              <w:rPr>
                <w:rFonts w:ascii="Times New Roman" w:hAnsi="Times New Roman"/>
                <w:sz w:val="20"/>
              </w:rPr>
              <w:t>Healthcare access has no significant correlation with stunting.</w:t>
            </w:r>
          </w:p>
        </w:tc>
        <w:tc>
          <w:tcPr>
            <w:tcW w:type="dxa" w:w="2280"/>
          </w:tcPr>
          <w:p>
            <w:r>
              <w:rPr>
                <w:rFonts w:ascii="Times New Roman" w:hAnsi="Times New Roman"/>
                <w:sz w:val="20"/>
              </w:rPr>
              <w:t>health_facility_delivery_pct</w:t>
            </w:r>
          </w:p>
        </w:tc>
        <w:tc>
          <w:tcPr>
            <w:tcW w:type="dxa" w:w="2280"/>
          </w:tcPr>
          <w:p>
            <w:r>
              <w:rPr>
                <w:rFonts w:ascii="Times New Roman" w:hAnsi="Times New Roman"/>
                <w:sz w:val="20"/>
              </w:rPr>
              <w:t>Spearman ρ</w:t>
            </w:r>
          </w:p>
        </w:tc>
      </w:tr>
      <w:tr>
        <w:tc>
          <w:tcPr>
            <w:tcW w:type="dxa" w:w="2280"/>
          </w:tcPr>
          <w:p>
            <w:r>
              <w:rPr>
                <w:rFonts w:ascii="Times New Roman" w:hAnsi="Times New Roman"/>
                <w:sz w:val="20"/>
              </w:rPr>
              <w:t>H5</w:t>
            </w:r>
          </w:p>
        </w:tc>
        <w:tc>
          <w:tcPr>
            <w:tcW w:type="dxa" w:w="2280"/>
          </w:tcPr>
          <w:p>
            <w:r>
              <w:rPr>
                <w:rFonts w:ascii="Times New Roman" w:hAnsi="Times New Roman"/>
                <w:sz w:val="20"/>
              </w:rPr>
              <w:t>Malaria prevalence has no significant correlation with stunting.</w:t>
            </w:r>
          </w:p>
        </w:tc>
        <w:tc>
          <w:tcPr>
            <w:tcW w:type="dxa" w:w="2280"/>
          </w:tcPr>
          <w:p>
            <w:r>
              <w:rPr>
                <w:rFonts w:ascii="Times New Roman" w:hAnsi="Times New Roman"/>
                <w:sz w:val="20"/>
              </w:rPr>
              <w:t>malaria_prevalence_pct</w:t>
            </w:r>
          </w:p>
        </w:tc>
        <w:tc>
          <w:tcPr>
            <w:tcW w:type="dxa" w:w="2280"/>
          </w:tcPr>
          <w:p>
            <w:r>
              <w:rPr>
                <w:rFonts w:ascii="Times New Roman" w:hAnsi="Times New Roman"/>
                <w:sz w:val="20"/>
              </w:rPr>
              <w:t>Spearman ρ</w:t>
            </w:r>
          </w:p>
        </w:tc>
      </w:tr>
      <w:tr>
        <w:tc>
          <w:tcPr>
            <w:tcW w:type="dxa" w:w="2280"/>
          </w:tcPr>
          <w:p>
            <w:r>
              <w:rPr>
                <w:rFonts w:ascii="Times New Roman" w:hAnsi="Times New Roman"/>
                <w:sz w:val="20"/>
              </w:rPr>
              <w:t>H6</w:t>
            </w:r>
          </w:p>
        </w:tc>
        <w:tc>
          <w:tcPr>
            <w:tcW w:type="dxa" w:w="2280"/>
          </w:tcPr>
          <w:p>
            <w:r>
              <w:rPr>
                <w:rFonts w:ascii="Times New Roman" w:hAnsi="Times New Roman"/>
                <w:sz w:val="20"/>
              </w:rPr>
              <w:t>The ML model performs no better than a mean baseline.</w:t>
            </w:r>
          </w:p>
        </w:tc>
        <w:tc>
          <w:tcPr>
            <w:tcW w:type="dxa" w:w="2280"/>
          </w:tcPr>
          <w:p>
            <w:r>
              <w:rPr>
                <w:rFonts w:ascii="Times New Roman" w:hAnsi="Times New Roman"/>
                <w:sz w:val="20"/>
              </w:rPr>
              <w:t>XGBoost vs baseline RMSE</w:t>
            </w:r>
          </w:p>
        </w:tc>
        <w:tc>
          <w:tcPr>
            <w:tcW w:type="dxa" w:w="2280"/>
          </w:tcPr>
          <w:p>
            <w:r>
              <w:rPr>
                <w:rFonts w:ascii="Times New Roman" w:hAnsi="Times New Roman"/>
                <w:sz w:val="20"/>
              </w:rPr>
              <w:t>Paired one-sided t-test</w:t>
            </w:r>
          </w:p>
        </w:tc>
      </w:tr>
    </w:tbl>
    <w:p/>
    <w:p>
      <w:r>
        <w:br w:type="page"/>
      </w:r>
    </w:p>
    <w:p>
      <w:pPr>
        <w:pStyle w:val="Heading1"/>
        <w:jc w:val="left"/>
      </w:pPr>
      <w:r>
        <w:rPr>
          <w:rFonts w:ascii="Times New Roman" w:hAnsi="Times New Roman"/>
          <w:color w:val="003366"/>
        </w:rPr>
        <w:t>3.  Data Understanding</w:t>
      </w:r>
    </w:p>
    <w:p>
      <w:pPr>
        <w:pStyle w:val="Heading2"/>
        <w:jc w:val="left"/>
      </w:pPr>
      <w:r>
        <w:rPr>
          <w:rFonts w:ascii="Times New Roman" w:hAnsi="Times New Roman"/>
          <w:color w:val="003366"/>
        </w:rPr>
        <w:t>3.1  Data Sources</w:t>
      </w:r>
    </w:p>
    <w:p>
      <w:pPr>
        <w:spacing w:after="120"/>
        <w:jc w:val="both"/>
      </w:pPr>
      <w:r>
        <w:rPr>
          <w:rFonts w:ascii="Times New Roman" w:hAnsi="Times New Roman"/>
          <w:b w:val="0"/>
          <w:i w:val="0"/>
          <w:sz w:val="24"/>
        </w:rPr>
        <w:t>Five datasets were sourced from the Humanitarian Data Exchange (HDX) platform and the DHS Program public API. All datasets are publicly available and require no special data-use agreements for sub-national aggregate statistics.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Dataset</w:t>
            </w:r>
          </w:p>
        </w:tc>
        <w:tc>
          <w:tcPr>
            <w:tcW w:type="dxa" w:w="2280"/>
          </w:tcPr>
          <w:p>
            <w:r>
              <w:rPr>
                <w:rFonts w:ascii="Times New Roman" w:hAnsi="Times New Roman"/>
                <w:b/>
                <w:sz w:val="20"/>
              </w:rPr>
              <w:t>Key Variables</w:t>
            </w:r>
          </w:p>
        </w:tc>
        <w:tc>
          <w:tcPr>
            <w:tcW w:type="dxa" w:w="2280"/>
          </w:tcPr>
          <w:p>
            <w:r>
              <w:rPr>
                <w:rFonts w:ascii="Times New Roman" w:hAnsi="Times New Roman"/>
                <w:b/>
                <w:sz w:val="20"/>
              </w:rPr>
              <w:t>Time Coverage</w:t>
            </w:r>
          </w:p>
        </w:tc>
        <w:tc>
          <w:tcPr>
            <w:tcW w:type="dxa" w:w="2280"/>
          </w:tcPr>
          <w:p>
            <w:r>
              <w:rPr>
                <w:rFonts w:ascii="Times New Roman" w:hAnsi="Times New Roman"/>
                <w:b/>
                <w:sz w:val="20"/>
              </w:rPr>
              <w:t>Source</w:t>
            </w:r>
          </w:p>
        </w:tc>
      </w:tr>
      <w:tr>
        <w:tc>
          <w:tcPr>
            <w:tcW w:type="dxa" w:w="2280"/>
          </w:tcPr>
          <w:p>
            <w:r>
              <w:rPr>
                <w:rFonts w:ascii="Times New Roman" w:hAnsi="Times New Roman"/>
                <w:sz w:val="20"/>
              </w:rPr>
              <w:t>DHS / MICS Sub-national Surveys</w:t>
            </w:r>
          </w:p>
        </w:tc>
        <w:tc>
          <w:tcPr>
            <w:tcW w:type="dxa" w:w="2280"/>
          </w:tcPr>
          <w:p>
            <w:r>
              <w:rPr>
                <w:rFonts w:ascii="Times New Roman" w:hAnsi="Times New Roman"/>
                <w:sz w:val="20"/>
              </w:rPr>
              <w:t>Stunting, wasting, underweight, maternal health, education, WASH</w:t>
            </w:r>
          </w:p>
        </w:tc>
        <w:tc>
          <w:tcPr>
            <w:tcW w:type="dxa" w:w="2280"/>
          </w:tcPr>
          <w:p>
            <w:r>
              <w:rPr>
                <w:rFonts w:ascii="Times New Roman" w:hAnsi="Times New Roman"/>
                <w:sz w:val="20"/>
              </w:rPr>
              <w:t>1991, 1998, 2004, 2011, 2018</w:t>
            </w:r>
          </w:p>
        </w:tc>
        <w:tc>
          <w:tcPr>
            <w:tcW w:type="dxa" w:w="2280"/>
          </w:tcPr>
          <w:p>
            <w:r>
              <w:rPr>
                <w:rFonts w:ascii="Times New Roman" w:hAnsi="Times New Roman"/>
                <w:sz w:val="20"/>
              </w:rPr>
              <w:t>HDX / DHS Program</w:t>
            </w:r>
          </w:p>
        </w:tc>
      </w:tr>
      <w:tr>
        <w:tc>
          <w:tcPr>
            <w:tcW w:type="dxa" w:w="2280"/>
          </w:tcPr>
          <w:p>
            <w:r>
              <w:rPr>
                <w:rFonts w:ascii="Times New Roman" w:hAnsi="Times New Roman"/>
                <w:sz w:val="20"/>
              </w:rPr>
              <w:t>WHO Health Indicators</w:t>
            </w:r>
          </w:p>
        </w:tc>
        <w:tc>
          <w:tcPr>
            <w:tcW w:type="dxa" w:w="2280"/>
          </w:tcPr>
          <w:p>
            <w:r>
              <w:rPr>
                <w:rFonts w:ascii="Times New Roman" w:hAnsi="Times New Roman"/>
                <w:sz w:val="20"/>
              </w:rPr>
              <w:t>Malaria prevalence, child anaemia, health insurance coverage</w:t>
            </w:r>
          </w:p>
        </w:tc>
        <w:tc>
          <w:tcPr>
            <w:tcW w:type="dxa" w:w="2280"/>
          </w:tcPr>
          <w:p>
            <w:r>
              <w:rPr>
                <w:rFonts w:ascii="Times New Roman" w:hAnsi="Times New Roman"/>
                <w:sz w:val="20"/>
              </w:rPr>
              <w:t>Matched to survey years</w:t>
            </w:r>
          </w:p>
        </w:tc>
        <w:tc>
          <w:tcPr>
            <w:tcW w:type="dxa" w:w="2280"/>
          </w:tcPr>
          <w:p>
            <w:r>
              <w:rPr>
                <w:rFonts w:ascii="Times New Roman" w:hAnsi="Times New Roman"/>
                <w:sz w:val="20"/>
              </w:rPr>
              <w:t>HDX / WHO</w:t>
            </w:r>
          </w:p>
        </w:tc>
      </w:tr>
      <w:tr>
        <w:tc>
          <w:tcPr>
            <w:tcW w:type="dxa" w:w="2280"/>
          </w:tcPr>
          <w:p>
            <w:r>
              <w:rPr>
                <w:rFonts w:ascii="Times New Roman" w:hAnsi="Times New Roman"/>
                <w:sz w:val="20"/>
              </w:rPr>
              <w:t>Cameroon Admin Boundaries</w:t>
            </w:r>
          </w:p>
        </w:tc>
        <w:tc>
          <w:tcPr>
            <w:tcW w:type="dxa" w:w="2280"/>
          </w:tcPr>
          <w:p>
            <w:r>
              <w:rPr>
                <w:rFonts w:ascii="Times New Roman" w:hAnsi="Times New Roman"/>
                <w:sz w:val="20"/>
              </w:rPr>
              <w:t>GeoJSON for choropleth visualisation</w:t>
            </w:r>
          </w:p>
        </w:tc>
        <w:tc>
          <w:tcPr>
            <w:tcW w:type="dxa" w:w="2280"/>
          </w:tcPr>
          <w:p>
            <w:r>
              <w:rPr>
                <w:rFonts w:ascii="Times New Roman" w:hAnsi="Times New Roman"/>
                <w:sz w:val="20"/>
              </w:rPr>
              <w:t>Current</w:t>
            </w:r>
          </w:p>
        </w:tc>
        <w:tc>
          <w:tcPr>
            <w:tcW w:type="dxa" w:w="2280"/>
          </w:tcPr>
          <w:p>
            <w:r>
              <w:rPr>
                <w:rFonts w:ascii="Times New Roman" w:hAnsi="Times New Roman"/>
                <w:sz w:val="20"/>
              </w:rPr>
              <w:t>OpenStreetMap / HDX</w:t>
            </w:r>
          </w:p>
        </w:tc>
      </w:tr>
      <w:tr>
        <w:tc>
          <w:tcPr>
            <w:tcW w:type="dxa" w:w="2280"/>
          </w:tcPr>
          <w:p>
            <w:r>
              <w:rPr>
                <w:rFonts w:ascii="Times New Roman" w:hAnsi="Times New Roman"/>
                <w:sz w:val="20"/>
              </w:rPr>
              <w:t>Health Facility Locations</w:t>
            </w:r>
          </w:p>
        </w:tc>
        <w:tc>
          <w:tcPr>
            <w:tcW w:type="dxa" w:w="2280"/>
          </w:tcPr>
          <w:p>
            <w:r>
              <w:rPr>
                <w:rFonts w:ascii="Times New Roman" w:hAnsi="Times New Roman"/>
                <w:sz w:val="20"/>
              </w:rPr>
              <w:t>Count of health facilities per region</w:t>
            </w:r>
          </w:p>
        </w:tc>
        <w:tc>
          <w:tcPr>
            <w:tcW w:type="dxa" w:w="2280"/>
          </w:tcPr>
          <w:p>
            <w:r>
              <w:rPr>
                <w:rFonts w:ascii="Times New Roman" w:hAnsi="Times New Roman"/>
                <w:sz w:val="20"/>
              </w:rPr>
              <w:t>Current</w:t>
            </w:r>
          </w:p>
        </w:tc>
        <w:tc>
          <w:tcPr>
            <w:tcW w:type="dxa" w:w="2280"/>
          </w:tcPr>
          <w:p>
            <w:r>
              <w:rPr>
                <w:rFonts w:ascii="Times New Roman" w:hAnsi="Times New Roman"/>
                <w:sz w:val="20"/>
              </w:rPr>
              <w:t>OpenStreetMap</w:t>
            </w:r>
          </w:p>
        </w:tc>
      </w:tr>
      <w:tr>
        <w:tc>
          <w:tcPr>
            <w:tcW w:type="dxa" w:w="2280"/>
          </w:tcPr>
          <w:p>
            <w:r>
              <w:rPr>
                <w:rFonts w:ascii="Times New Roman" w:hAnsi="Times New Roman"/>
                <w:sz w:val="20"/>
              </w:rPr>
              <w:t>Population Density Maps</w:t>
            </w:r>
          </w:p>
        </w:tc>
        <w:tc>
          <w:tcPr>
            <w:tcW w:type="dxa" w:w="2280"/>
          </w:tcPr>
          <w:p>
            <w:r>
              <w:rPr>
                <w:rFonts w:ascii="Times New Roman" w:hAnsi="Times New Roman"/>
                <w:sz w:val="20"/>
              </w:rPr>
              <w:t>High-resolution population density rasters</w:t>
            </w:r>
          </w:p>
        </w:tc>
        <w:tc>
          <w:tcPr>
            <w:tcW w:type="dxa" w:w="2280"/>
          </w:tcPr>
          <w:p>
            <w:r>
              <w:rPr>
                <w:rFonts w:ascii="Times New Roman" w:hAnsi="Times New Roman"/>
                <w:sz w:val="20"/>
              </w:rPr>
              <w:t>WorldPop 2020</w:t>
            </w:r>
          </w:p>
        </w:tc>
        <w:tc>
          <w:tcPr>
            <w:tcW w:type="dxa" w:w="2280"/>
          </w:tcPr>
          <w:p>
            <w:r>
              <w:rPr>
                <w:rFonts w:ascii="Times New Roman" w:hAnsi="Times New Roman"/>
                <w:sz w:val="20"/>
              </w:rPr>
              <w:t>HDX</w:t>
            </w:r>
          </w:p>
        </w:tc>
      </w:tr>
    </w:tbl>
    <w:p/>
    <w:p>
      <w:pPr>
        <w:pStyle w:val="Heading2"/>
        <w:jc w:val="left"/>
      </w:pPr>
      <w:r>
        <w:rPr>
          <w:rFonts w:ascii="Times New Roman" w:hAnsi="Times New Roman"/>
          <w:color w:val="003366"/>
        </w:rPr>
        <w:t>3.2  Dataset Structure</w:t>
      </w:r>
    </w:p>
    <w:p>
      <w:pPr>
        <w:spacing w:after="120"/>
        <w:jc w:val="both"/>
      </w:pPr>
      <w:r>
        <w:rPr>
          <w:rFonts w:ascii="Times New Roman" w:hAnsi="Times New Roman"/>
          <w:b w:val="0"/>
          <w:i w:val="0"/>
          <w:sz w:val="24"/>
        </w:rPr>
        <w:t>After loading and stitching the DHS long-format CSVs into a wide analysis table, the dataset consists of 50 rows (one per region-year combination: 10 regions × 5 survey years) and 20 columns (1 target variable + 15 raw features + 4 engineered features). The target variable is stunting_rate — the percentage of children under five who are stunted in the given region and survey year.</w:t>
      </w:r>
    </w:p>
    <w:p>
      <w:pPr>
        <w:spacing w:after="120"/>
        <w:jc w:val="both"/>
      </w:pPr>
      <w:r>
        <w:rPr>
          <w:rFonts w:ascii="Times New Roman" w:hAnsi="Times New Roman"/>
          <w:b w:val="0"/>
          <w:i w:val="0"/>
          <w:sz w:val="24"/>
        </w:rPr>
        <w:t>Table 2 summarises the feature 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Feature</w:t>
            </w:r>
          </w:p>
        </w:tc>
        <w:tc>
          <w:tcPr>
            <w:tcW w:type="dxa" w:w="2280"/>
          </w:tcPr>
          <w:p>
            <w:r>
              <w:rPr>
                <w:rFonts w:ascii="Times New Roman" w:hAnsi="Times New Roman"/>
                <w:b/>
                <w:sz w:val="20"/>
              </w:rPr>
              <w:t>Category</w:t>
            </w:r>
          </w:p>
        </w:tc>
        <w:tc>
          <w:tcPr>
            <w:tcW w:type="dxa" w:w="2280"/>
          </w:tcPr>
          <w:p>
            <w:r>
              <w:rPr>
                <w:rFonts w:ascii="Times New Roman" w:hAnsi="Times New Roman"/>
                <w:b/>
                <w:sz w:val="20"/>
              </w:rPr>
              <w:t>Unit</w:t>
            </w:r>
          </w:p>
        </w:tc>
        <w:tc>
          <w:tcPr>
            <w:tcW w:type="dxa" w:w="2280"/>
          </w:tcPr>
          <w:p>
            <w:r>
              <w:rPr>
                <w:rFonts w:ascii="Times New Roman" w:hAnsi="Times New Roman"/>
                <w:b/>
                <w:sz w:val="20"/>
              </w:rPr>
              <w:t>Source</w:t>
            </w:r>
          </w:p>
        </w:tc>
      </w:tr>
      <w:tr>
        <w:tc>
          <w:tcPr>
            <w:tcW w:type="dxa" w:w="2280"/>
          </w:tcPr>
          <w:p>
            <w:r>
              <w:rPr>
                <w:rFonts w:ascii="Times New Roman" w:hAnsi="Times New Roman"/>
                <w:sz w:val="20"/>
              </w:rPr>
              <w:t>stunting_rate</w:t>
            </w:r>
          </w:p>
        </w:tc>
        <w:tc>
          <w:tcPr>
            <w:tcW w:type="dxa" w:w="2280"/>
          </w:tcPr>
          <w:p>
            <w:r>
              <w:rPr>
                <w:rFonts w:ascii="Times New Roman" w:hAnsi="Times New Roman"/>
                <w:sz w:val="20"/>
              </w:rPr>
              <w:t>Target</w:t>
            </w:r>
          </w:p>
        </w:tc>
        <w:tc>
          <w:tcPr>
            <w:tcW w:type="dxa" w:w="2280"/>
          </w:tcPr>
          <w:p>
            <w:r>
              <w:rPr>
                <w:rFonts w:ascii="Times New Roman" w:hAnsi="Times New Roman"/>
                <w:sz w:val="20"/>
              </w:rPr>
              <w:t>%</w:t>
            </w:r>
          </w:p>
        </w:tc>
        <w:tc>
          <w:tcPr>
            <w:tcW w:type="dxa" w:w="2280"/>
          </w:tcPr>
          <w:p>
            <w:r>
              <w:rPr>
                <w:rFonts w:ascii="Times New Roman" w:hAnsi="Times New Roman"/>
                <w:sz w:val="20"/>
              </w:rPr>
              <w:t>DHS/MICS</w:t>
            </w:r>
          </w:p>
        </w:tc>
      </w:tr>
      <w:tr>
        <w:tc>
          <w:tcPr>
            <w:tcW w:type="dxa" w:w="2280"/>
          </w:tcPr>
          <w:p>
            <w:r>
              <w:rPr>
                <w:rFonts w:ascii="Times New Roman" w:hAnsi="Times New Roman"/>
                <w:sz w:val="20"/>
              </w:rPr>
              <w:t>women_secondary_plus_pct</w:t>
            </w:r>
          </w:p>
        </w:tc>
        <w:tc>
          <w:tcPr>
            <w:tcW w:type="dxa" w:w="2280"/>
          </w:tcPr>
          <w:p>
            <w:r>
              <w:rPr>
                <w:rFonts w:ascii="Times New Roman" w:hAnsi="Times New Roman"/>
                <w:sz w:val="20"/>
              </w:rPr>
              <w:t>Maternal education</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women_literate_pct</w:t>
            </w:r>
          </w:p>
        </w:tc>
        <w:tc>
          <w:tcPr>
            <w:tcW w:type="dxa" w:w="2280"/>
          </w:tcPr>
          <w:p>
            <w:r>
              <w:rPr>
                <w:rFonts w:ascii="Times New Roman" w:hAnsi="Times New Roman"/>
                <w:sz w:val="20"/>
              </w:rPr>
              <w:t>Maternal literacy</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improved_water_pct</w:t>
            </w:r>
          </w:p>
        </w:tc>
        <w:tc>
          <w:tcPr>
            <w:tcW w:type="dxa" w:w="2280"/>
          </w:tcPr>
          <w:p>
            <w:r>
              <w:rPr>
                <w:rFonts w:ascii="Times New Roman" w:hAnsi="Times New Roman"/>
                <w:sz w:val="20"/>
              </w:rPr>
              <w:t>WASH</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improved_sanitation_pct</w:t>
            </w:r>
          </w:p>
        </w:tc>
        <w:tc>
          <w:tcPr>
            <w:tcW w:type="dxa" w:w="2280"/>
          </w:tcPr>
          <w:p>
            <w:r>
              <w:rPr>
                <w:rFonts w:ascii="Times New Roman" w:hAnsi="Times New Roman"/>
                <w:sz w:val="20"/>
              </w:rPr>
              <w:t>WASH</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antenatal_4plus_pct</w:t>
            </w:r>
          </w:p>
        </w:tc>
        <w:tc>
          <w:tcPr>
            <w:tcW w:type="dxa" w:w="2280"/>
          </w:tcPr>
          <w:p>
            <w:r>
              <w:rPr>
                <w:rFonts w:ascii="Times New Roman" w:hAnsi="Times New Roman"/>
                <w:sz w:val="20"/>
              </w:rPr>
              <w:t>Healthcare access</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antenatal_skilled_pct</w:t>
            </w:r>
          </w:p>
        </w:tc>
        <w:tc>
          <w:tcPr>
            <w:tcW w:type="dxa" w:w="2280"/>
          </w:tcPr>
          <w:p>
            <w:r>
              <w:rPr>
                <w:rFonts w:ascii="Times New Roman" w:hAnsi="Times New Roman"/>
                <w:sz w:val="20"/>
              </w:rPr>
              <w:t>Healthcare access</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skilled_birth_attendance_pct</w:t>
            </w:r>
          </w:p>
        </w:tc>
        <w:tc>
          <w:tcPr>
            <w:tcW w:type="dxa" w:w="2280"/>
          </w:tcPr>
          <w:p>
            <w:r>
              <w:rPr>
                <w:rFonts w:ascii="Times New Roman" w:hAnsi="Times New Roman"/>
                <w:sz w:val="20"/>
              </w:rPr>
              <w:t>Healthcare access</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health_facility_delivery_pct</w:t>
            </w:r>
          </w:p>
        </w:tc>
        <w:tc>
          <w:tcPr>
            <w:tcW w:type="dxa" w:w="2280"/>
          </w:tcPr>
          <w:p>
            <w:r>
              <w:rPr>
                <w:rFonts w:ascii="Times New Roman" w:hAnsi="Times New Roman"/>
                <w:sz w:val="20"/>
              </w:rPr>
              <w:t>Healthcare access</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health_insurance_any_pct</w:t>
            </w:r>
          </w:p>
        </w:tc>
        <w:tc>
          <w:tcPr>
            <w:tcW w:type="dxa" w:w="2280"/>
          </w:tcPr>
          <w:p>
            <w:r>
              <w:rPr>
                <w:rFonts w:ascii="Times New Roman" w:hAnsi="Times New Roman"/>
                <w:sz w:val="20"/>
              </w:rPr>
              <w:t>Healthcare access</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malaria_prevalence_pct</w:t>
            </w:r>
          </w:p>
        </w:tc>
        <w:tc>
          <w:tcPr>
            <w:tcW w:type="dxa" w:w="2280"/>
          </w:tcPr>
          <w:p>
            <w:r>
              <w:rPr>
                <w:rFonts w:ascii="Times New Roman" w:hAnsi="Times New Roman"/>
                <w:sz w:val="20"/>
              </w:rPr>
              <w:t>Disease burden</w:t>
            </w:r>
          </w:p>
        </w:tc>
        <w:tc>
          <w:tcPr>
            <w:tcW w:type="dxa" w:w="2280"/>
          </w:tcPr>
          <w:p>
            <w:r>
              <w:rPr>
                <w:rFonts w:ascii="Times New Roman" w:hAnsi="Times New Roman"/>
                <w:sz w:val="20"/>
              </w:rPr>
              <w:t>%</w:t>
            </w:r>
          </w:p>
        </w:tc>
        <w:tc>
          <w:tcPr>
            <w:tcW w:type="dxa" w:w="2280"/>
          </w:tcPr>
          <w:p>
            <w:r>
              <w:rPr>
                <w:rFonts w:ascii="Times New Roman" w:hAnsi="Times New Roman"/>
                <w:sz w:val="20"/>
              </w:rPr>
              <w:t>WHO/DHS</w:t>
            </w:r>
          </w:p>
        </w:tc>
      </w:tr>
      <w:tr>
        <w:tc>
          <w:tcPr>
            <w:tcW w:type="dxa" w:w="2280"/>
          </w:tcPr>
          <w:p>
            <w:r>
              <w:rPr>
                <w:rFonts w:ascii="Times New Roman" w:hAnsi="Times New Roman"/>
                <w:sz w:val="20"/>
              </w:rPr>
              <w:t>child_anemia_pct</w:t>
            </w:r>
          </w:p>
        </w:tc>
        <w:tc>
          <w:tcPr>
            <w:tcW w:type="dxa" w:w="2280"/>
          </w:tcPr>
          <w:p>
            <w:r>
              <w:rPr>
                <w:rFonts w:ascii="Times New Roman" w:hAnsi="Times New Roman"/>
                <w:sz w:val="20"/>
              </w:rPr>
              <w:t>Disease burden</w:t>
            </w:r>
          </w:p>
        </w:tc>
        <w:tc>
          <w:tcPr>
            <w:tcW w:type="dxa" w:w="2280"/>
          </w:tcPr>
          <w:p>
            <w:r>
              <w:rPr>
                <w:rFonts w:ascii="Times New Roman" w:hAnsi="Times New Roman"/>
                <w:sz w:val="20"/>
              </w:rPr>
              <w:t>%</w:t>
            </w:r>
          </w:p>
        </w:tc>
        <w:tc>
          <w:tcPr>
            <w:tcW w:type="dxa" w:w="2280"/>
          </w:tcPr>
          <w:p>
            <w:r>
              <w:rPr>
                <w:rFonts w:ascii="Times New Roman" w:hAnsi="Times New Roman"/>
                <w:sz w:val="20"/>
              </w:rPr>
              <w:t>WHO</w:t>
            </w:r>
          </w:p>
        </w:tc>
      </w:tr>
      <w:tr>
        <w:tc>
          <w:tcPr>
            <w:tcW w:type="dxa" w:w="2280"/>
          </w:tcPr>
          <w:p>
            <w:r>
              <w:rPr>
                <w:rFonts w:ascii="Times New Roman" w:hAnsi="Times New Roman"/>
                <w:sz w:val="20"/>
              </w:rPr>
              <w:t>wasting_pct</w:t>
            </w:r>
          </w:p>
        </w:tc>
        <w:tc>
          <w:tcPr>
            <w:tcW w:type="dxa" w:w="2280"/>
          </w:tcPr>
          <w:p>
            <w:r>
              <w:rPr>
                <w:rFonts w:ascii="Times New Roman" w:hAnsi="Times New Roman"/>
                <w:sz w:val="20"/>
              </w:rPr>
              <w:t>Nutrition sibling</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underweight_pct</w:t>
            </w:r>
          </w:p>
        </w:tc>
        <w:tc>
          <w:tcPr>
            <w:tcW w:type="dxa" w:w="2280"/>
          </w:tcPr>
          <w:p>
            <w:r>
              <w:rPr>
                <w:rFonts w:ascii="Times New Roman" w:hAnsi="Times New Roman"/>
                <w:sz w:val="20"/>
              </w:rPr>
              <w:t>Nutrition sibling</w:t>
            </w:r>
          </w:p>
        </w:tc>
        <w:tc>
          <w:tcPr>
            <w:tcW w:type="dxa" w:w="2280"/>
          </w:tcPr>
          <w:p>
            <w:r>
              <w:rPr>
                <w:rFonts w:ascii="Times New Roman" w:hAnsi="Times New Roman"/>
                <w:sz w:val="20"/>
              </w:rPr>
              <w:t>%</w:t>
            </w:r>
          </w:p>
        </w:tc>
        <w:tc>
          <w:tcPr>
            <w:tcW w:type="dxa" w:w="2280"/>
          </w:tcPr>
          <w:p>
            <w:r>
              <w:rPr>
                <w:rFonts w:ascii="Times New Roman" w:hAnsi="Times New Roman"/>
                <w:sz w:val="20"/>
              </w:rPr>
              <w:t>DHS</w:t>
            </w:r>
          </w:p>
        </w:tc>
      </w:tr>
      <w:tr>
        <w:tc>
          <w:tcPr>
            <w:tcW w:type="dxa" w:w="2280"/>
          </w:tcPr>
          <w:p>
            <w:r>
              <w:rPr>
                <w:rFonts w:ascii="Times New Roman" w:hAnsi="Times New Roman"/>
                <w:sz w:val="20"/>
              </w:rPr>
              <w:t>fertility_rate</w:t>
            </w:r>
          </w:p>
        </w:tc>
        <w:tc>
          <w:tcPr>
            <w:tcW w:type="dxa" w:w="2280"/>
          </w:tcPr>
          <w:p>
            <w:r>
              <w:rPr>
                <w:rFonts w:ascii="Times New Roman" w:hAnsi="Times New Roman"/>
                <w:sz w:val="20"/>
              </w:rPr>
              <w:t>Demographics</w:t>
            </w:r>
          </w:p>
        </w:tc>
        <w:tc>
          <w:tcPr>
            <w:tcW w:type="dxa" w:w="2280"/>
          </w:tcPr>
          <w:p>
            <w:r>
              <w:rPr>
                <w:rFonts w:ascii="Times New Roman" w:hAnsi="Times New Roman"/>
                <w:sz w:val="20"/>
              </w:rPr>
              <w:t>births/woman</w:t>
            </w:r>
          </w:p>
        </w:tc>
        <w:tc>
          <w:tcPr>
            <w:tcW w:type="dxa" w:w="2280"/>
          </w:tcPr>
          <w:p>
            <w:r>
              <w:rPr>
                <w:rFonts w:ascii="Times New Roman" w:hAnsi="Times New Roman"/>
                <w:sz w:val="20"/>
              </w:rPr>
              <w:t>DHS</w:t>
            </w:r>
          </w:p>
        </w:tc>
      </w:tr>
      <w:tr>
        <w:tc>
          <w:tcPr>
            <w:tcW w:type="dxa" w:w="2280"/>
          </w:tcPr>
          <w:p>
            <w:r>
              <w:rPr>
                <w:rFonts w:ascii="Times New Roman" w:hAnsi="Times New Roman"/>
                <w:sz w:val="20"/>
              </w:rPr>
              <w:t>wash_composite</w:t>
            </w:r>
          </w:p>
        </w:tc>
        <w:tc>
          <w:tcPr>
            <w:tcW w:type="dxa" w:w="2280"/>
          </w:tcPr>
          <w:p>
            <w:r>
              <w:rPr>
                <w:rFonts w:ascii="Times New Roman" w:hAnsi="Times New Roman"/>
                <w:sz w:val="20"/>
              </w:rPr>
              <w:t>Engineered</w:t>
            </w:r>
          </w:p>
        </w:tc>
        <w:tc>
          <w:tcPr>
            <w:tcW w:type="dxa" w:w="2280"/>
          </w:tcPr>
          <w:p>
            <w:r>
              <w:rPr>
                <w:rFonts w:ascii="Times New Roman" w:hAnsi="Times New Roman"/>
                <w:sz w:val="20"/>
              </w:rPr>
              <w:t>0–100 index</w:t>
            </w:r>
          </w:p>
        </w:tc>
        <w:tc>
          <w:tcPr>
            <w:tcW w:type="dxa" w:w="2280"/>
          </w:tcPr>
          <w:p>
            <w:r>
              <w:rPr>
                <w:rFonts w:ascii="Times New Roman" w:hAnsi="Times New Roman"/>
                <w:sz w:val="20"/>
              </w:rPr>
              <w:t>Derived</w:t>
            </w:r>
          </w:p>
        </w:tc>
      </w:tr>
      <w:tr>
        <w:tc>
          <w:tcPr>
            <w:tcW w:type="dxa" w:w="2280"/>
          </w:tcPr>
          <w:p>
            <w:r>
              <w:rPr>
                <w:rFonts w:ascii="Times New Roman" w:hAnsi="Times New Roman"/>
                <w:sz w:val="20"/>
              </w:rPr>
              <w:t>maternal_health_score</w:t>
            </w:r>
          </w:p>
        </w:tc>
        <w:tc>
          <w:tcPr>
            <w:tcW w:type="dxa" w:w="2280"/>
          </w:tcPr>
          <w:p>
            <w:r>
              <w:rPr>
                <w:rFonts w:ascii="Times New Roman" w:hAnsi="Times New Roman"/>
                <w:sz w:val="20"/>
              </w:rPr>
              <w:t>Engineered</w:t>
            </w:r>
          </w:p>
        </w:tc>
        <w:tc>
          <w:tcPr>
            <w:tcW w:type="dxa" w:w="2280"/>
          </w:tcPr>
          <w:p>
            <w:r>
              <w:rPr>
                <w:rFonts w:ascii="Times New Roman" w:hAnsi="Times New Roman"/>
                <w:sz w:val="20"/>
              </w:rPr>
              <w:t>0–100 index</w:t>
            </w:r>
          </w:p>
        </w:tc>
        <w:tc>
          <w:tcPr>
            <w:tcW w:type="dxa" w:w="2280"/>
          </w:tcPr>
          <w:p>
            <w:r>
              <w:rPr>
                <w:rFonts w:ascii="Times New Roman" w:hAnsi="Times New Roman"/>
                <w:sz w:val="20"/>
              </w:rPr>
              <w:t>Derived</w:t>
            </w:r>
          </w:p>
        </w:tc>
      </w:tr>
      <w:tr>
        <w:tc>
          <w:tcPr>
            <w:tcW w:type="dxa" w:w="2280"/>
          </w:tcPr>
          <w:p>
            <w:r>
              <w:rPr>
                <w:rFonts w:ascii="Times New Roman" w:hAnsi="Times New Roman"/>
                <w:sz w:val="20"/>
              </w:rPr>
              <w:t>education_score</w:t>
            </w:r>
          </w:p>
        </w:tc>
        <w:tc>
          <w:tcPr>
            <w:tcW w:type="dxa" w:w="2280"/>
          </w:tcPr>
          <w:p>
            <w:r>
              <w:rPr>
                <w:rFonts w:ascii="Times New Roman" w:hAnsi="Times New Roman"/>
                <w:sz w:val="20"/>
              </w:rPr>
              <w:t>Engineered</w:t>
            </w:r>
          </w:p>
        </w:tc>
        <w:tc>
          <w:tcPr>
            <w:tcW w:type="dxa" w:w="2280"/>
          </w:tcPr>
          <w:p>
            <w:r>
              <w:rPr>
                <w:rFonts w:ascii="Times New Roman" w:hAnsi="Times New Roman"/>
                <w:sz w:val="20"/>
              </w:rPr>
              <w:t>0–100 index</w:t>
            </w:r>
          </w:p>
        </w:tc>
        <w:tc>
          <w:tcPr>
            <w:tcW w:type="dxa" w:w="2280"/>
          </w:tcPr>
          <w:p>
            <w:r>
              <w:rPr>
                <w:rFonts w:ascii="Times New Roman" w:hAnsi="Times New Roman"/>
                <w:sz w:val="20"/>
              </w:rPr>
              <w:t>Derived</w:t>
            </w:r>
          </w:p>
        </w:tc>
      </w:tr>
      <w:tr>
        <w:tc>
          <w:tcPr>
            <w:tcW w:type="dxa" w:w="2280"/>
          </w:tcPr>
          <w:p>
            <w:r>
              <w:rPr>
                <w:rFonts w:ascii="Times New Roman" w:hAnsi="Times New Roman"/>
                <w:sz w:val="20"/>
              </w:rPr>
              <w:t>disease_burden</w:t>
            </w:r>
          </w:p>
        </w:tc>
        <w:tc>
          <w:tcPr>
            <w:tcW w:type="dxa" w:w="2280"/>
          </w:tcPr>
          <w:p>
            <w:r>
              <w:rPr>
                <w:rFonts w:ascii="Times New Roman" w:hAnsi="Times New Roman"/>
                <w:sz w:val="20"/>
              </w:rPr>
              <w:t>Engineered</w:t>
            </w:r>
          </w:p>
        </w:tc>
        <w:tc>
          <w:tcPr>
            <w:tcW w:type="dxa" w:w="2280"/>
          </w:tcPr>
          <w:p>
            <w:r>
              <w:rPr>
                <w:rFonts w:ascii="Times New Roman" w:hAnsi="Times New Roman"/>
                <w:sz w:val="20"/>
              </w:rPr>
              <w:t>0–100 index</w:t>
            </w:r>
          </w:p>
        </w:tc>
        <w:tc>
          <w:tcPr>
            <w:tcW w:type="dxa" w:w="2280"/>
          </w:tcPr>
          <w:p>
            <w:r>
              <w:rPr>
                <w:rFonts w:ascii="Times New Roman" w:hAnsi="Times New Roman"/>
                <w:sz w:val="20"/>
              </w:rPr>
              <w:t>Derived</w:t>
            </w:r>
          </w:p>
        </w:tc>
      </w:tr>
    </w:tbl>
    <w:p/>
    <w:p>
      <w:pPr>
        <w:pStyle w:val="Heading2"/>
        <w:jc w:val="left"/>
      </w:pPr>
      <w:r>
        <w:rPr>
          <w:rFonts w:ascii="Times New Roman" w:hAnsi="Times New Roman"/>
          <w:color w:val="003366"/>
        </w:rPr>
        <w:t>3.3  Exploratory Data Analysis</w:t>
      </w:r>
    </w:p>
    <w:p>
      <w:pPr>
        <w:spacing w:after="120"/>
        <w:jc w:val="both"/>
      </w:pPr>
      <w:r>
        <w:rPr>
          <w:rFonts w:ascii="Times New Roman" w:hAnsi="Times New Roman"/>
          <w:b w:val="0"/>
          <w:i w:val="0"/>
          <w:sz w:val="24"/>
        </w:rPr>
        <w:t>Exploratory data analysis (EDA) was conducted to understand the distribution and relationships of the target variable and features before any modelling decisions were made.</w:t>
      </w:r>
    </w:p>
    <w:p>
      <w:pPr>
        <w:spacing w:after="120"/>
        <w:jc w:val="both"/>
      </w:pPr>
      <w:r>
        <w:rPr>
          <w:rFonts w:ascii="Times New Roman" w:hAnsi="Times New Roman"/>
          <w:b/>
          <w:i w:val="0"/>
          <w:sz w:val="24"/>
        </w:rPr>
        <w:t>3.3.1  Target Distribution</w:t>
      </w:r>
    </w:p>
    <w:p>
      <w:pPr>
        <w:spacing w:after="120"/>
        <w:jc w:val="both"/>
      </w:pPr>
      <w:r>
        <w:rPr>
          <w:rFonts w:ascii="Times New Roman" w:hAnsi="Times New Roman"/>
          <w:b w:val="0"/>
          <w:i w:val="0"/>
          <w:sz w:val="24"/>
        </w:rPr>
        <w:t>Stunting rates across the 50 region-year observations range from approximately 15.4% (Littoral, 2018) to 45.7% (Far North, historical peak), with a mean of approximately 30% and a slight right skew. The WHO 'high' risk threshold (30%) is exceeded by roughly 40% of observations.</w:t>
      </w:r>
    </w:p>
    <w:p>
      <w:pPr>
        <w:jc w:val="center"/>
      </w:pPr>
      <w:r>
        <w:drawing>
          <wp:inline xmlns:a="http://schemas.openxmlformats.org/drawingml/2006/main" xmlns:pic="http://schemas.openxmlformats.org/drawingml/2006/picture">
            <wp:extent cx="5029200" cy="319464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3194649"/>
                    </a:xfrm>
                    <a:prstGeom prst="rect"/>
                  </pic:spPr>
                </pic:pic>
              </a:graphicData>
            </a:graphic>
          </wp:inline>
        </w:drawing>
      </w:r>
    </w:p>
    <w:p>
      <w:pPr>
        <w:spacing w:after="240"/>
        <w:jc w:val="center"/>
      </w:pPr>
      <w:r>
        <w:rPr>
          <w:rFonts w:ascii="Times New Roman" w:hAnsi="Times New Roman"/>
          <w:i/>
          <w:sz w:val="20"/>
        </w:rPr>
        <w:t>Figure 1: Distribution of Stunting Rate (all region-year observations)</w:t>
      </w:r>
    </w:p>
    <w:p>
      <w:pPr>
        <w:spacing w:after="120"/>
        <w:jc w:val="both"/>
      </w:pPr>
      <w:r>
        <w:rPr>
          <w:rFonts w:ascii="Times New Roman" w:hAnsi="Times New Roman"/>
          <w:b/>
          <w:i w:val="0"/>
          <w:sz w:val="24"/>
        </w:rPr>
        <w:t>3.3.2  Regional Patterns</w:t>
      </w:r>
    </w:p>
    <w:p>
      <w:pPr>
        <w:spacing w:after="120"/>
        <w:jc w:val="both"/>
      </w:pPr>
      <w:r>
        <w:rPr>
          <w:rFonts w:ascii="Times New Roman" w:hAnsi="Times New Roman"/>
          <w:b w:val="0"/>
          <w:i w:val="0"/>
          <w:sz w:val="24"/>
        </w:rPr>
        <w:t>A box-plot of stunting rate by region, sorted by median, reveals a clear north-south gradient. The Far North, North, and Adamawa consistently report the highest medians, while Littoral, South, and Centre report the lowest. The spread within each region also varies, with the northern regions showing tighter inter-quartile ranges indicating persistent high risk over time.</w:t>
      </w:r>
    </w:p>
    <w:p>
      <w:pPr>
        <w:jc w:val="center"/>
      </w:pPr>
      <w:r>
        <w:drawing>
          <wp:inline xmlns:a="http://schemas.openxmlformats.org/drawingml/2006/main" xmlns:pic="http://schemas.openxmlformats.org/drawingml/2006/picture">
            <wp:extent cx="5029200" cy="2886583"/>
            <wp:docPr id="2" name="Picture 2"/>
            <wp:cNvGraphicFramePr>
              <a:graphicFrameLocks noChangeAspect="1"/>
            </wp:cNvGraphicFramePr>
            <a:graphic>
              <a:graphicData uri="http://schemas.openxmlformats.org/drawingml/2006/picture">
                <pic:pic>
                  <pic:nvPicPr>
                    <pic:cNvPr id="0" name="02_region_boxplot.png"/>
                    <pic:cNvPicPr/>
                  </pic:nvPicPr>
                  <pic:blipFill>
                    <a:blip r:embed="rId10"/>
                    <a:stretch>
                      <a:fillRect/>
                    </a:stretch>
                  </pic:blipFill>
                  <pic:spPr>
                    <a:xfrm>
                      <a:off x="0" y="0"/>
                      <a:ext cx="5029200" cy="2886583"/>
                    </a:xfrm>
                    <a:prstGeom prst="rect"/>
                  </pic:spPr>
                </pic:pic>
              </a:graphicData>
            </a:graphic>
          </wp:inline>
        </w:drawing>
      </w:r>
    </w:p>
    <w:p>
      <w:pPr>
        <w:spacing w:after="240"/>
        <w:jc w:val="center"/>
      </w:pPr>
      <w:r>
        <w:rPr>
          <w:rFonts w:ascii="Times New Roman" w:hAnsi="Times New Roman"/>
          <w:i/>
          <w:sz w:val="20"/>
        </w:rPr>
        <w:t>Figure 2: Stunting Rate by Region (median-sorted boxplot)</w:t>
      </w:r>
    </w:p>
    <w:p>
      <w:pPr>
        <w:spacing w:after="120"/>
        <w:jc w:val="both"/>
      </w:pPr>
      <w:r>
        <w:rPr>
          <w:rFonts w:ascii="Times New Roman" w:hAnsi="Times New Roman"/>
          <w:b/>
          <w:i w:val="0"/>
          <w:sz w:val="24"/>
        </w:rPr>
        <w:t>3.3.3  Correlation Structure</w:t>
      </w:r>
    </w:p>
    <w:p>
      <w:pPr>
        <w:spacing w:after="120"/>
        <w:jc w:val="both"/>
      </w:pPr>
      <w:r>
        <w:rPr>
          <w:rFonts w:ascii="Times New Roman" w:hAnsi="Times New Roman"/>
          <w:b w:val="0"/>
          <w:i w:val="0"/>
          <w:sz w:val="24"/>
        </w:rPr>
        <w:t>A Spearman rank-correlation heatmap between stunting and all features confirms that healthcare access metrics (especially health_facility_delivery_pct and antenatal_skilled_pct), maternal literacy, and secondary education attainment carry the strongest negative correlations with stunting. Malaria prevalence and disease burden carry positive correlations. Several features are strongly inter-correlated (multicollinearity is handled by regularised models).</w:t>
      </w:r>
    </w:p>
    <w:p>
      <w:pPr>
        <w:jc w:val="center"/>
      </w:pPr>
      <w:r>
        <w:drawing>
          <wp:inline xmlns:a="http://schemas.openxmlformats.org/drawingml/2006/main" xmlns:pic="http://schemas.openxmlformats.org/drawingml/2006/picture">
            <wp:extent cx="5029200" cy="4523282"/>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029200" cy="4523282"/>
                    </a:xfrm>
                    <a:prstGeom prst="rect"/>
                  </pic:spPr>
                </pic:pic>
              </a:graphicData>
            </a:graphic>
          </wp:inline>
        </w:drawing>
      </w:r>
    </w:p>
    <w:p>
      <w:pPr>
        <w:spacing w:after="240"/>
        <w:jc w:val="center"/>
      </w:pPr>
      <w:r>
        <w:rPr>
          <w:rFonts w:ascii="Times New Roman" w:hAnsi="Times New Roman"/>
          <w:i/>
          <w:sz w:val="20"/>
        </w:rPr>
        <w:t>Figure 3: Spearman Correlation Heatmap (features vs stunting)</w:t>
      </w:r>
    </w:p>
    <w:p>
      <w:pPr>
        <w:spacing w:after="120"/>
        <w:jc w:val="both"/>
      </w:pPr>
      <w:r>
        <w:rPr>
          <w:rFonts w:ascii="Times New Roman" w:hAnsi="Times New Roman"/>
          <w:b/>
          <w:i w:val="0"/>
          <w:sz w:val="24"/>
        </w:rPr>
        <w:t>3.3.4  Temporal Trends</w:t>
      </w:r>
    </w:p>
    <w:p>
      <w:pPr>
        <w:spacing w:after="120"/>
        <w:jc w:val="both"/>
      </w:pPr>
      <w:r>
        <w:rPr>
          <w:rFonts w:ascii="Times New Roman" w:hAnsi="Times New Roman"/>
          <w:b w:val="0"/>
          <w:i w:val="0"/>
          <w:sz w:val="24"/>
        </w:rPr>
        <w:t>Plotting stunting rate over survey years for each region shows a general downward trend, but the rate of improvement is highly uneven. Littoral and Centre improve by roughly 0.3 pp/year, whereas Far North and North improve by only 0.1 pp/year. At these rates, northern regions will not exit the 'high' risk band before 2035.</w:t>
      </w:r>
    </w:p>
    <w:p>
      <w:pPr>
        <w:jc w:val="center"/>
      </w:pPr>
      <w:r>
        <w:drawing>
          <wp:inline xmlns:a="http://schemas.openxmlformats.org/drawingml/2006/main" xmlns:pic="http://schemas.openxmlformats.org/drawingml/2006/picture">
            <wp:extent cx="5029200" cy="2748753"/>
            <wp:docPr id="4" name="Picture 4"/>
            <wp:cNvGraphicFramePr>
              <a:graphicFrameLocks noChangeAspect="1"/>
            </wp:cNvGraphicFramePr>
            <a:graphic>
              <a:graphicData uri="http://schemas.openxmlformats.org/drawingml/2006/picture">
                <pic:pic>
                  <pic:nvPicPr>
                    <pic:cNvPr id="0" name="04_trend_over_time.png"/>
                    <pic:cNvPicPr/>
                  </pic:nvPicPr>
                  <pic:blipFill>
                    <a:blip r:embed="rId12"/>
                    <a:stretch>
                      <a:fillRect/>
                    </a:stretch>
                  </pic:blipFill>
                  <pic:spPr>
                    <a:xfrm>
                      <a:off x="0" y="0"/>
                      <a:ext cx="5029200" cy="2748753"/>
                    </a:xfrm>
                    <a:prstGeom prst="rect"/>
                  </pic:spPr>
                </pic:pic>
              </a:graphicData>
            </a:graphic>
          </wp:inline>
        </w:drawing>
      </w:r>
    </w:p>
    <w:p>
      <w:pPr>
        <w:spacing w:after="240"/>
        <w:jc w:val="center"/>
      </w:pPr>
      <w:r>
        <w:rPr>
          <w:rFonts w:ascii="Times New Roman" w:hAnsi="Times New Roman"/>
          <w:i/>
          <w:sz w:val="20"/>
        </w:rPr>
        <w:t>Figure 4: Stunting Rate Trends by Region Over Time (1991–2018)</w:t>
      </w:r>
    </w:p>
    <w:p>
      <w:r>
        <w:br w:type="page"/>
      </w:r>
    </w:p>
    <w:p>
      <w:pPr>
        <w:pStyle w:val="Heading1"/>
        <w:jc w:val="left"/>
      </w:pPr>
      <w:r>
        <w:rPr>
          <w:rFonts w:ascii="Times New Roman" w:hAnsi="Times New Roman"/>
          <w:color w:val="003366"/>
        </w:rPr>
        <w:t>4.  Data Preparation</w:t>
      </w:r>
    </w:p>
    <w:p>
      <w:pPr>
        <w:pStyle w:val="Heading2"/>
        <w:jc w:val="left"/>
      </w:pPr>
      <w:r>
        <w:rPr>
          <w:rFonts w:ascii="Times New Roman" w:hAnsi="Times New Roman"/>
          <w:color w:val="003366"/>
        </w:rPr>
        <w:t>4.1  Data Cleaning</w:t>
      </w:r>
    </w:p>
    <w:p>
      <w:pPr>
        <w:spacing w:after="120"/>
        <w:jc w:val="both"/>
      </w:pPr>
      <w:r>
        <w:rPr>
          <w:rFonts w:ascii="Times New Roman" w:hAnsi="Times New Roman"/>
          <w:b w:val="0"/>
          <w:i w:val="0"/>
          <w:sz w:val="24"/>
        </w:rPr>
        <w:t>Raw DHS CSVs are delivered in long format (one row per indicator-region-year triple). The preprocessing pipeline performs the following cleaning steps:</w:t>
      </w:r>
    </w:p>
    <w:p>
      <w:pPr>
        <w:pStyle w:val="ListBullet"/>
        <w:ind w:left="680"/>
      </w:pPr>
      <w:r>
        <w:rPr>
          <w:rFonts w:ascii="Times New Roman" w:hAnsi="Times New Roman"/>
          <w:sz w:val="22"/>
        </w:rPr>
        <w:t>Type coercion: all percentage columns are cast to float64; year is cast to int.</w:t>
      </w:r>
    </w:p>
    <w:p>
      <w:pPr>
        <w:pStyle w:val="ListBullet"/>
        <w:ind w:left="680"/>
      </w:pPr>
      <w:r>
        <w:rPr>
          <w:rFonts w:ascii="Times New Roman" w:hAnsi="Times New Roman"/>
          <w:sz w:val="22"/>
        </w:rPr>
        <w:t>De-duplication: duplicate region-year-indicator rows (arising from multiple survey rounds in the same nominal year) are resolved by retaining the more recent file.</w:t>
      </w:r>
    </w:p>
    <w:p>
      <w:pPr>
        <w:pStyle w:val="ListBullet"/>
        <w:ind w:left="680"/>
      </w:pPr>
      <w:r>
        <w:rPr>
          <w:rFonts w:ascii="Times New Roman" w:hAnsi="Times New Roman"/>
          <w:sz w:val="22"/>
        </w:rPr>
        <w:t>Name normalisation: DHS region labels vary across survey waves (e.g., 'North West' vs 'North-West'). A lookup table maps all variants to the ten canonical region names.</w:t>
      </w:r>
    </w:p>
    <w:p>
      <w:pPr>
        <w:pStyle w:val="ListBullet"/>
        <w:ind w:left="680"/>
      </w:pPr>
      <w:r>
        <w:rPr>
          <w:rFonts w:ascii="Times New Roman" w:hAnsi="Times New Roman"/>
          <w:sz w:val="22"/>
        </w:rPr>
        <w:t>Mega-region expansion: 1991 and 1998 surveys group some regions into larger administrative units. These are 'broadcast' — all sub-regions in a mega-region receive the mega-region's survey value — flagged as imputed.</w:t>
      </w:r>
    </w:p>
    <w:p>
      <w:pPr>
        <w:pStyle w:val="Heading2"/>
        <w:jc w:val="left"/>
      </w:pPr>
      <w:r>
        <w:rPr>
          <w:rFonts w:ascii="Times New Roman" w:hAnsi="Times New Roman"/>
          <w:color w:val="003366"/>
        </w:rPr>
        <w:t>4.2  Missing-Value Imputation</w:t>
      </w:r>
    </w:p>
    <w:p>
      <w:pPr>
        <w:spacing w:after="120"/>
        <w:jc w:val="both"/>
      </w:pPr>
      <w:r>
        <w:rPr>
          <w:rFonts w:ascii="Times New Roman" w:hAnsi="Times New Roman"/>
          <w:b w:val="0"/>
          <w:i w:val="0"/>
          <w:sz w:val="24"/>
        </w:rPr>
        <w:t>After the long-to-wide pivot, several (region, year, feature) cells are missing because not every indicator is collected in every survey wave. A two-level imputation strategy is applied:</w:t>
      </w:r>
    </w:p>
    <w:p>
      <w:pPr>
        <w:pStyle w:val="ListBullet"/>
        <w:ind w:left="680"/>
      </w:pPr>
      <w:r>
        <w:rPr>
          <w:rFonts w:ascii="Times New Roman" w:hAnsi="Times New Roman"/>
          <w:sz w:val="22"/>
        </w:rPr>
        <w:t>Level 1 — Region-year median: For each (region, year) pair, missing values are imputed using the median of that region's observed values across other years.</w:t>
      </w:r>
    </w:p>
    <w:p>
      <w:pPr>
        <w:pStyle w:val="ListBullet"/>
        <w:ind w:left="680"/>
      </w:pPr>
      <w:r>
        <w:rPr>
          <w:rFonts w:ascii="Times New Roman" w:hAnsi="Times New Roman"/>
          <w:sz w:val="22"/>
        </w:rPr>
        <w:t>Level 2 — Global median: Where Level 1 still leaves gaps (e.g., features entirely absent for a region across all years), the global median across the full dataset is used.</w:t>
      </w:r>
    </w:p>
    <w:p>
      <w:pPr>
        <w:pStyle w:val="ListBullet"/>
        <w:ind w:left="680"/>
      </w:pPr>
      <w:r>
        <w:rPr>
          <w:rFonts w:ascii="Times New Roman" w:hAnsi="Times New Roman"/>
          <w:sz w:val="22"/>
        </w:rPr>
        <w:t>All imputed cells are flagged in a companion boolean mask DataFrame for downstream sensitivity analysis.</w:t>
      </w:r>
    </w:p>
    <w:p>
      <w:pPr>
        <w:pStyle w:val="Heading2"/>
        <w:jc w:val="left"/>
      </w:pPr>
      <w:r>
        <w:rPr>
          <w:rFonts w:ascii="Times New Roman" w:hAnsi="Times New Roman"/>
          <w:color w:val="003366"/>
        </w:rPr>
        <w:t>4.3  Feature Engineering</w:t>
      </w:r>
    </w:p>
    <w:p>
      <w:pPr>
        <w:spacing w:after="120"/>
        <w:jc w:val="both"/>
      </w:pPr>
      <w:r>
        <w:rPr>
          <w:rFonts w:ascii="Times New Roman" w:hAnsi="Times New Roman"/>
          <w:b w:val="0"/>
          <w:i w:val="0"/>
          <w:sz w:val="24"/>
        </w:rPr>
        <w:t>Four composite features are engineered from the raw indicators to reduce multicollinearity and provide domain-interpretable summary scores:</w:t>
      </w:r>
    </w:p>
    <w:p>
      <w:pPr>
        <w:pStyle w:val="ListBullet"/>
        <w:ind w:left="680"/>
      </w:pPr>
      <w:r>
        <w:rPr>
          <w:rFonts w:ascii="Times New Roman" w:hAnsi="Times New Roman"/>
          <w:sz w:val="22"/>
        </w:rPr>
        <w:t>wash_composite: Mean of improved_water_pct and improved_sanitation_pct. Ranges from 0 (no safe WASH) to 100 (universal coverage).</w:t>
      </w:r>
    </w:p>
    <w:p>
      <w:pPr>
        <w:pStyle w:val="ListBullet"/>
        <w:ind w:left="680"/>
      </w:pPr>
      <w:r>
        <w:rPr>
          <w:rFonts w:ascii="Times New Roman" w:hAnsi="Times New Roman"/>
          <w:sz w:val="22"/>
        </w:rPr>
        <w:t>maternal_health_score: Mean of antenatal_4plus_pct, skilled_birth_attendance_pct, and health_facility_delivery_pct. Captures the overall continuum-of-care coverage.</w:t>
      </w:r>
    </w:p>
    <w:p>
      <w:pPr>
        <w:pStyle w:val="ListBullet"/>
        <w:ind w:left="680"/>
      </w:pPr>
      <w:r>
        <w:rPr>
          <w:rFonts w:ascii="Times New Roman" w:hAnsi="Times New Roman"/>
          <w:sz w:val="22"/>
        </w:rPr>
        <w:t>education_score: Mean of women_literate_pct and women_secondary_plus_pct. Proxy for female human capital.</w:t>
      </w:r>
    </w:p>
    <w:p>
      <w:pPr>
        <w:pStyle w:val="ListBullet"/>
        <w:ind w:left="680"/>
      </w:pPr>
      <w:r>
        <w:rPr>
          <w:rFonts w:ascii="Times New Roman" w:hAnsi="Times New Roman"/>
          <w:sz w:val="22"/>
        </w:rPr>
        <w:t>disease_burden: Mean of malaria_prevalence_pct and child_anemia_pct. Composite measure of infectious disease pressure.</w:t>
      </w:r>
    </w:p>
    <w:p>
      <w:pPr>
        <w:pStyle w:val="Heading2"/>
        <w:jc w:val="left"/>
      </w:pPr>
      <w:r>
        <w:rPr>
          <w:rFonts w:ascii="Times New Roman" w:hAnsi="Times New Roman"/>
          <w:color w:val="003366"/>
        </w:rPr>
        <w:t>4.4  Train / Test Split</w:t>
      </w:r>
    </w:p>
    <w:p>
      <w:pPr>
        <w:spacing w:after="120"/>
        <w:jc w:val="both"/>
      </w:pPr>
      <w:r>
        <w:rPr>
          <w:rFonts w:ascii="Times New Roman" w:hAnsi="Times New Roman"/>
          <w:b w:val="0"/>
          <w:i w:val="0"/>
          <w:sz w:val="24"/>
        </w:rPr>
        <w:t>For regression and classification modelling, data are split 80% training / 20% hold-out test using a stratified shuffle split (stratified on the WHO risk band to preserve class balance). All CV metrics are computed on the training split; final RMSE and accuracy figures are reported on the hold-out test set. Given the temporal structure of the data, a temporal-awareness check was performed to confirm that no future-year observations leak into the training set for any cross-validation fold.</w:t>
      </w:r>
    </w:p>
    <w:p>
      <w:r>
        <w:br w:type="page"/>
      </w:r>
    </w:p>
    <w:p>
      <w:pPr>
        <w:pStyle w:val="Heading1"/>
        <w:jc w:val="left"/>
      </w:pPr>
      <w:r>
        <w:rPr>
          <w:rFonts w:ascii="Times New Roman" w:hAnsi="Times New Roman"/>
          <w:color w:val="003366"/>
        </w:rPr>
        <w:t>5.  Modelling</w:t>
      </w:r>
    </w:p>
    <w:p>
      <w:pPr>
        <w:pStyle w:val="Heading2"/>
        <w:jc w:val="left"/>
      </w:pPr>
      <w:r>
        <w:rPr>
          <w:rFonts w:ascii="Times New Roman" w:hAnsi="Times New Roman"/>
          <w:color w:val="003366"/>
        </w:rPr>
        <w:t>5.1  Regression Modelling</w:t>
      </w:r>
    </w:p>
    <w:p>
      <w:pPr>
        <w:spacing w:after="120"/>
        <w:jc w:val="both"/>
      </w:pPr>
      <w:r>
        <w:rPr>
          <w:rFonts w:ascii="Times New Roman" w:hAnsi="Times New Roman"/>
          <w:b w:val="0"/>
          <w:i w:val="0"/>
          <w:sz w:val="24"/>
        </w:rPr>
        <w:t>The primary modelling task is regression: predicting a continuous stunting rate (%) for each region-year observation. Ten models were trained and evaluated using five-fold cross-validation on the training set, with RMSE as the primary metric.</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Rank</w:t>
            </w:r>
          </w:p>
        </w:tc>
        <w:tc>
          <w:tcPr>
            <w:tcW w:type="dxa" w:w="1824"/>
          </w:tcPr>
          <w:p>
            <w:r>
              <w:rPr>
                <w:rFonts w:ascii="Times New Roman" w:hAnsi="Times New Roman"/>
                <w:b/>
                <w:sz w:val="20"/>
              </w:rPr>
              <w:t>Model</w:t>
            </w:r>
          </w:p>
        </w:tc>
        <w:tc>
          <w:tcPr>
            <w:tcW w:type="dxa" w:w="1824"/>
          </w:tcPr>
          <w:p>
            <w:r>
              <w:rPr>
                <w:rFonts w:ascii="Times New Roman" w:hAnsi="Times New Roman"/>
                <w:b/>
                <w:sz w:val="20"/>
              </w:rPr>
              <w:t>CV RMSE (pp)</w:t>
            </w:r>
          </w:p>
        </w:tc>
        <w:tc>
          <w:tcPr>
            <w:tcW w:type="dxa" w:w="1824"/>
          </w:tcPr>
          <w:p>
            <w:r>
              <w:rPr>
                <w:rFonts w:ascii="Times New Roman" w:hAnsi="Times New Roman"/>
                <w:b/>
                <w:sz w:val="20"/>
              </w:rPr>
              <w:t>Std Dev</w:t>
            </w:r>
          </w:p>
        </w:tc>
        <w:tc>
          <w:tcPr>
            <w:tcW w:type="dxa" w:w="1824"/>
          </w:tcPr>
          <w:p>
            <w:r>
              <w:rPr>
                <w:rFonts w:ascii="Times New Roman" w:hAnsi="Times New Roman"/>
                <w:b/>
                <w:sz w:val="20"/>
              </w:rPr>
              <w:t>Note</w:t>
            </w:r>
          </w:p>
        </w:tc>
      </w:tr>
      <w:tr>
        <w:tc>
          <w:tcPr>
            <w:tcW w:type="dxa" w:w="1824"/>
          </w:tcPr>
          <w:p>
            <w:r>
              <w:rPr>
                <w:rFonts w:ascii="Times New Roman" w:hAnsi="Times New Roman"/>
                <w:sz w:val="20"/>
              </w:rPr>
              <w:t>1</w:t>
            </w:r>
          </w:p>
        </w:tc>
        <w:tc>
          <w:tcPr>
            <w:tcW w:type="dxa" w:w="1824"/>
          </w:tcPr>
          <w:p>
            <w:r>
              <w:rPr>
                <w:rFonts w:ascii="Times New Roman" w:hAnsi="Times New Roman"/>
                <w:sz w:val="20"/>
              </w:rPr>
              <w:t>XGBoost</w:t>
            </w:r>
          </w:p>
        </w:tc>
        <w:tc>
          <w:tcPr>
            <w:tcW w:type="dxa" w:w="1824"/>
          </w:tcPr>
          <w:p>
            <w:r>
              <w:rPr>
                <w:rFonts w:ascii="Times New Roman" w:hAnsi="Times New Roman"/>
                <w:sz w:val="20"/>
              </w:rPr>
              <w:t>2.87</w:t>
            </w:r>
          </w:p>
        </w:tc>
        <w:tc>
          <w:tcPr>
            <w:tcW w:type="dxa" w:w="1824"/>
          </w:tcPr>
          <w:p>
            <w:r>
              <w:rPr>
                <w:rFonts w:ascii="Times New Roman" w:hAnsi="Times New Roman"/>
                <w:sz w:val="20"/>
              </w:rPr>
              <w:t>± 0.70</w:t>
            </w:r>
          </w:p>
        </w:tc>
        <w:tc>
          <w:tcPr>
            <w:tcW w:type="dxa" w:w="1824"/>
          </w:tcPr>
          <w:p>
            <w:r>
              <w:rPr>
                <w:rFonts w:ascii="Times New Roman" w:hAnsi="Times New Roman"/>
                <w:sz w:val="20"/>
              </w:rPr>
              <w:t>Best</w:t>
            </w:r>
          </w:p>
        </w:tc>
      </w:tr>
      <w:tr>
        <w:tc>
          <w:tcPr>
            <w:tcW w:type="dxa" w:w="1824"/>
          </w:tcPr>
          <w:p>
            <w:r>
              <w:rPr>
                <w:rFonts w:ascii="Times New Roman" w:hAnsi="Times New Roman"/>
                <w:sz w:val="20"/>
              </w:rPr>
              <w:t>2</w:t>
            </w:r>
          </w:p>
        </w:tc>
        <w:tc>
          <w:tcPr>
            <w:tcW w:type="dxa" w:w="1824"/>
          </w:tcPr>
          <w:p>
            <w:r>
              <w:rPr>
                <w:rFonts w:ascii="Times New Roman" w:hAnsi="Times New Roman"/>
                <w:sz w:val="20"/>
              </w:rPr>
              <w:t>Random Forest</w:t>
            </w:r>
          </w:p>
        </w:tc>
        <w:tc>
          <w:tcPr>
            <w:tcW w:type="dxa" w:w="1824"/>
          </w:tcPr>
          <w:p>
            <w:r>
              <w:rPr>
                <w:rFonts w:ascii="Times New Roman" w:hAnsi="Times New Roman"/>
                <w:sz w:val="20"/>
              </w:rPr>
              <w:t>3.16</w:t>
            </w:r>
          </w:p>
        </w:tc>
        <w:tc>
          <w:tcPr>
            <w:tcW w:type="dxa" w:w="1824"/>
          </w:tcPr>
          <w:p>
            <w:r>
              <w:rPr>
                <w:rFonts w:ascii="Times New Roman" w:hAnsi="Times New Roman"/>
                <w:sz w:val="20"/>
              </w:rPr>
              <w:t>± 0.93</w:t>
            </w:r>
          </w:p>
        </w:tc>
        <w:tc>
          <w:tcPr>
            <w:tcW w:type="dxa" w:w="1824"/>
          </w:tcPr>
          <w:p>
            <w:r>
              <w:rPr>
                <w:rFonts w:ascii="Times New Roman" w:hAnsi="Times New Roman"/>
                <w:sz w:val="20"/>
              </w:rPr>
            </w:r>
          </w:p>
        </w:tc>
      </w:tr>
      <w:tr>
        <w:tc>
          <w:tcPr>
            <w:tcW w:type="dxa" w:w="1824"/>
          </w:tcPr>
          <w:p>
            <w:r>
              <w:rPr>
                <w:rFonts w:ascii="Times New Roman" w:hAnsi="Times New Roman"/>
                <w:sz w:val="20"/>
              </w:rPr>
              <w:t>3</w:t>
            </w:r>
          </w:p>
        </w:tc>
        <w:tc>
          <w:tcPr>
            <w:tcW w:type="dxa" w:w="1824"/>
          </w:tcPr>
          <w:p>
            <w:r>
              <w:rPr>
                <w:rFonts w:ascii="Times New Roman" w:hAnsi="Times New Roman"/>
                <w:sz w:val="20"/>
              </w:rPr>
              <w:t>Gradient Boosting</w:t>
            </w:r>
          </w:p>
        </w:tc>
        <w:tc>
          <w:tcPr>
            <w:tcW w:type="dxa" w:w="1824"/>
          </w:tcPr>
          <w:p>
            <w:r>
              <w:rPr>
                <w:rFonts w:ascii="Times New Roman" w:hAnsi="Times New Roman"/>
                <w:sz w:val="20"/>
              </w:rPr>
              <w:t>3.19</w:t>
            </w:r>
          </w:p>
        </w:tc>
        <w:tc>
          <w:tcPr>
            <w:tcW w:type="dxa" w:w="1824"/>
          </w:tcPr>
          <w:p>
            <w:r>
              <w:rPr>
                <w:rFonts w:ascii="Times New Roman" w:hAnsi="Times New Roman"/>
                <w:sz w:val="20"/>
              </w:rPr>
              <w:t>± 0.74</w:t>
            </w:r>
          </w:p>
        </w:tc>
        <w:tc>
          <w:tcPr>
            <w:tcW w:type="dxa" w:w="1824"/>
          </w:tcPr>
          <w:p>
            <w:r>
              <w:rPr>
                <w:rFonts w:ascii="Times New Roman" w:hAnsi="Times New Roman"/>
                <w:sz w:val="20"/>
              </w:rPr>
            </w:r>
          </w:p>
        </w:tc>
      </w:tr>
      <w:tr>
        <w:tc>
          <w:tcPr>
            <w:tcW w:type="dxa" w:w="1824"/>
          </w:tcPr>
          <w:p>
            <w:r>
              <w:rPr>
                <w:rFonts w:ascii="Times New Roman" w:hAnsi="Times New Roman"/>
                <w:sz w:val="20"/>
              </w:rPr>
              <w:t>4</w:t>
            </w:r>
          </w:p>
        </w:tc>
        <w:tc>
          <w:tcPr>
            <w:tcW w:type="dxa" w:w="1824"/>
          </w:tcPr>
          <w:p>
            <w:r>
              <w:rPr>
                <w:rFonts w:ascii="Times New Roman" w:hAnsi="Times New Roman"/>
                <w:sz w:val="20"/>
              </w:rPr>
              <w:t>LightGBM</w:t>
            </w:r>
          </w:p>
        </w:tc>
        <w:tc>
          <w:tcPr>
            <w:tcW w:type="dxa" w:w="1824"/>
          </w:tcPr>
          <w:p>
            <w:r>
              <w:rPr>
                <w:rFonts w:ascii="Times New Roman" w:hAnsi="Times New Roman"/>
                <w:sz w:val="20"/>
              </w:rPr>
              <w:t>3.45</w:t>
            </w:r>
          </w:p>
        </w:tc>
        <w:tc>
          <w:tcPr>
            <w:tcW w:type="dxa" w:w="1824"/>
          </w:tcPr>
          <w:p>
            <w:r>
              <w:rPr>
                <w:rFonts w:ascii="Times New Roman" w:hAnsi="Times New Roman"/>
                <w:sz w:val="20"/>
              </w:rPr>
              <w:t>± 0.88</w:t>
            </w:r>
          </w:p>
        </w:tc>
        <w:tc>
          <w:tcPr>
            <w:tcW w:type="dxa" w:w="1824"/>
          </w:tcPr>
          <w:p>
            <w:r>
              <w:rPr>
                <w:rFonts w:ascii="Times New Roman" w:hAnsi="Times New Roman"/>
                <w:sz w:val="20"/>
              </w:rPr>
            </w:r>
          </w:p>
        </w:tc>
      </w:tr>
      <w:tr>
        <w:tc>
          <w:tcPr>
            <w:tcW w:type="dxa" w:w="1824"/>
          </w:tcPr>
          <w:p>
            <w:r>
              <w:rPr>
                <w:rFonts w:ascii="Times New Roman" w:hAnsi="Times New Roman"/>
                <w:sz w:val="20"/>
              </w:rPr>
              <w:t>5</w:t>
            </w:r>
          </w:p>
        </w:tc>
        <w:tc>
          <w:tcPr>
            <w:tcW w:type="dxa" w:w="1824"/>
          </w:tcPr>
          <w:p>
            <w:r>
              <w:rPr>
                <w:rFonts w:ascii="Times New Roman" w:hAnsi="Times New Roman"/>
                <w:sz w:val="20"/>
              </w:rPr>
              <w:t>Decision Tree</w:t>
            </w:r>
          </w:p>
        </w:tc>
        <w:tc>
          <w:tcPr>
            <w:tcW w:type="dxa" w:w="1824"/>
          </w:tcPr>
          <w:p>
            <w:r>
              <w:rPr>
                <w:rFonts w:ascii="Times New Roman" w:hAnsi="Times New Roman"/>
                <w:sz w:val="20"/>
              </w:rPr>
              <w:t>4.12</w:t>
            </w:r>
          </w:p>
        </w:tc>
        <w:tc>
          <w:tcPr>
            <w:tcW w:type="dxa" w:w="1824"/>
          </w:tcPr>
          <w:p>
            <w:r>
              <w:rPr>
                <w:rFonts w:ascii="Times New Roman" w:hAnsi="Times New Roman"/>
                <w:sz w:val="20"/>
              </w:rPr>
              <w:t>± 1.21</w:t>
            </w:r>
          </w:p>
        </w:tc>
        <w:tc>
          <w:tcPr>
            <w:tcW w:type="dxa" w:w="1824"/>
          </w:tcPr>
          <w:p>
            <w:r>
              <w:rPr>
                <w:rFonts w:ascii="Times New Roman" w:hAnsi="Times New Roman"/>
                <w:sz w:val="20"/>
              </w:rPr>
            </w:r>
          </w:p>
        </w:tc>
      </w:tr>
      <w:tr>
        <w:tc>
          <w:tcPr>
            <w:tcW w:type="dxa" w:w="1824"/>
          </w:tcPr>
          <w:p>
            <w:r>
              <w:rPr>
                <w:rFonts w:ascii="Times New Roman" w:hAnsi="Times New Roman"/>
                <w:sz w:val="20"/>
              </w:rPr>
              <w:t>6</w:t>
            </w:r>
          </w:p>
        </w:tc>
        <w:tc>
          <w:tcPr>
            <w:tcW w:type="dxa" w:w="1824"/>
          </w:tcPr>
          <w:p>
            <w:r>
              <w:rPr>
                <w:rFonts w:ascii="Times New Roman" w:hAnsi="Times New Roman"/>
                <w:sz w:val="20"/>
              </w:rPr>
              <w:t>Ridge Regression</w:t>
            </w:r>
          </w:p>
        </w:tc>
        <w:tc>
          <w:tcPr>
            <w:tcW w:type="dxa" w:w="1824"/>
          </w:tcPr>
          <w:p>
            <w:r>
              <w:rPr>
                <w:rFonts w:ascii="Times New Roman" w:hAnsi="Times New Roman"/>
                <w:sz w:val="20"/>
              </w:rPr>
              <w:t>4.67</w:t>
            </w:r>
          </w:p>
        </w:tc>
        <w:tc>
          <w:tcPr>
            <w:tcW w:type="dxa" w:w="1824"/>
          </w:tcPr>
          <w:p>
            <w:r>
              <w:rPr>
                <w:rFonts w:ascii="Times New Roman" w:hAnsi="Times New Roman"/>
                <w:sz w:val="20"/>
              </w:rPr>
              <w:t>± 0.95</w:t>
            </w:r>
          </w:p>
        </w:tc>
        <w:tc>
          <w:tcPr>
            <w:tcW w:type="dxa" w:w="1824"/>
          </w:tcPr>
          <w:p>
            <w:r>
              <w:rPr>
                <w:rFonts w:ascii="Times New Roman" w:hAnsi="Times New Roman"/>
                <w:sz w:val="20"/>
              </w:rPr>
            </w:r>
          </w:p>
        </w:tc>
      </w:tr>
      <w:tr>
        <w:tc>
          <w:tcPr>
            <w:tcW w:type="dxa" w:w="1824"/>
          </w:tcPr>
          <w:p>
            <w:r>
              <w:rPr>
                <w:rFonts w:ascii="Times New Roman" w:hAnsi="Times New Roman"/>
                <w:sz w:val="20"/>
              </w:rPr>
              <w:t>7</w:t>
            </w:r>
          </w:p>
        </w:tc>
        <w:tc>
          <w:tcPr>
            <w:tcW w:type="dxa" w:w="1824"/>
          </w:tcPr>
          <w:p>
            <w:r>
              <w:rPr>
                <w:rFonts w:ascii="Times New Roman" w:hAnsi="Times New Roman"/>
                <w:sz w:val="20"/>
              </w:rPr>
              <w:t>Lasso Regression</w:t>
            </w:r>
          </w:p>
        </w:tc>
        <w:tc>
          <w:tcPr>
            <w:tcW w:type="dxa" w:w="1824"/>
          </w:tcPr>
          <w:p>
            <w:r>
              <w:rPr>
                <w:rFonts w:ascii="Times New Roman" w:hAnsi="Times New Roman"/>
                <w:sz w:val="20"/>
              </w:rPr>
              <w:t>4.89</w:t>
            </w:r>
          </w:p>
        </w:tc>
        <w:tc>
          <w:tcPr>
            <w:tcW w:type="dxa" w:w="1824"/>
          </w:tcPr>
          <w:p>
            <w:r>
              <w:rPr>
                <w:rFonts w:ascii="Times New Roman" w:hAnsi="Times New Roman"/>
                <w:sz w:val="20"/>
              </w:rPr>
              <w:t>± 1.03</w:t>
            </w:r>
          </w:p>
        </w:tc>
        <w:tc>
          <w:tcPr>
            <w:tcW w:type="dxa" w:w="1824"/>
          </w:tcPr>
          <w:p>
            <w:r>
              <w:rPr>
                <w:rFonts w:ascii="Times New Roman" w:hAnsi="Times New Roman"/>
                <w:sz w:val="20"/>
              </w:rPr>
            </w:r>
          </w:p>
        </w:tc>
      </w:tr>
      <w:tr>
        <w:tc>
          <w:tcPr>
            <w:tcW w:type="dxa" w:w="1824"/>
          </w:tcPr>
          <w:p>
            <w:r>
              <w:rPr>
                <w:rFonts w:ascii="Times New Roman" w:hAnsi="Times New Roman"/>
                <w:sz w:val="20"/>
              </w:rPr>
              <w:t>8</w:t>
            </w:r>
          </w:p>
        </w:tc>
        <w:tc>
          <w:tcPr>
            <w:tcW w:type="dxa" w:w="1824"/>
          </w:tcPr>
          <w:p>
            <w:r>
              <w:rPr>
                <w:rFonts w:ascii="Times New Roman" w:hAnsi="Times New Roman"/>
                <w:sz w:val="20"/>
              </w:rPr>
              <w:t>Linear Regression</w:t>
            </w:r>
          </w:p>
        </w:tc>
        <w:tc>
          <w:tcPr>
            <w:tcW w:type="dxa" w:w="1824"/>
          </w:tcPr>
          <w:p>
            <w:r>
              <w:rPr>
                <w:rFonts w:ascii="Times New Roman" w:hAnsi="Times New Roman"/>
                <w:sz w:val="20"/>
              </w:rPr>
              <w:t>5.14</w:t>
            </w:r>
          </w:p>
        </w:tc>
        <w:tc>
          <w:tcPr>
            <w:tcW w:type="dxa" w:w="1824"/>
          </w:tcPr>
          <w:p>
            <w:r>
              <w:rPr>
                <w:rFonts w:ascii="Times New Roman" w:hAnsi="Times New Roman"/>
                <w:sz w:val="20"/>
              </w:rPr>
              <w:t>± 1.18</w:t>
            </w:r>
          </w:p>
        </w:tc>
        <w:tc>
          <w:tcPr>
            <w:tcW w:type="dxa" w:w="1824"/>
          </w:tcPr>
          <w:p>
            <w:r>
              <w:rPr>
                <w:rFonts w:ascii="Times New Roman" w:hAnsi="Times New Roman"/>
                <w:sz w:val="20"/>
              </w:rPr>
            </w:r>
          </w:p>
        </w:tc>
      </w:tr>
      <w:tr>
        <w:tc>
          <w:tcPr>
            <w:tcW w:type="dxa" w:w="1824"/>
          </w:tcPr>
          <w:p>
            <w:r>
              <w:rPr>
                <w:rFonts w:ascii="Times New Roman" w:hAnsi="Times New Roman"/>
                <w:sz w:val="20"/>
              </w:rPr>
              <w:t>9</w:t>
            </w:r>
          </w:p>
        </w:tc>
        <w:tc>
          <w:tcPr>
            <w:tcW w:type="dxa" w:w="1824"/>
          </w:tcPr>
          <w:p>
            <w:r>
              <w:rPr>
                <w:rFonts w:ascii="Times New Roman" w:hAnsi="Times New Roman"/>
                <w:sz w:val="20"/>
              </w:rPr>
              <w:t>K-Nearest Neighbours</w:t>
            </w:r>
          </w:p>
        </w:tc>
        <w:tc>
          <w:tcPr>
            <w:tcW w:type="dxa" w:w="1824"/>
          </w:tcPr>
          <w:p>
            <w:r>
              <w:rPr>
                <w:rFonts w:ascii="Times New Roman" w:hAnsi="Times New Roman"/>
                <w:sz w:val="20"/>
              </w:rPr>
              <w:t>5.78</w:t>
            </w:r>
          </w:p>
        </w:tc>
        <w:tc>
          <w:tcPr>
            <w:tcW w:type="dxa" w:w="1824"/>
          </w:tcPr>
          <w:p>
            <w:r>
              <w:rPr>
                <w:rFonts w:ascii="Times New Roman" w:hAnsi="Times New Roman"/>
                <w:sz w:val="20"/>
              </w:rPr>
              <w:t>± 1.44</w:t>
            </w:r>
          </w:p>
        </w:tc>
        <w:tc>
          <w:tcPr>
            <w:tcW w:type="dxa" w:w="1824"/>
          </w:tcPr>
          <w:p>
            <w:r>
              <w:rPr>
                <w:rFonts w:ascii="Times New Roman" w:hAnsi="Times New Roman"/>
                <w:sz w:val="20"/>
              </w:rPr>
            </w:r>
          </w:p>
        </w:tc>
      </w:tr>
      <w:tr>
        <w:tc>
          <w:tcPr>
            <w:tcW w:type="dxa" w:w="1824"/>
          </w:tcPr>
          <w:p>
            <w:r>
              <w:rPr>
                <w:rFonts w:ascii="Times New Roman" w:hAnsi="Times New Roman"/>
                <w:sz w:val="20"/>
              </w:rPr>
              <w:t>10</w:t>
            </w:r>
          </w:p>
        </w:tc>
        <w:tc>
          <w:tcPr>
            <w:tcW w:type="dxa" w:w="1824"/>
          </w:tcPr>
          <w:p>
            <w:r>
              <w:rPr>
                <w:rFonts w:ascii="Times New Roman" w:hAnsi="Times New Roman"/>
                <w:sz w:val="20"/>
              </w:rPr>
              <w:t>Baseline (mean)</w:t>
            </w:r>
          </w:p>
        </w:tc>
        <w:tc>
          <w:tcPr>
            <w:tcW w:type="dxa" w:w="1824"/>
          </w:tcPr>
          <w:p>
            <w:r>
              <w:rPr>
                <w:rFonts w:ascii="Times New Roman" w:hAnsi="Times New Roman"/>
                <w:sz w:val="20"/>
              </w:rPr>
              <w:t>7.17</w:t>
            </w:r>
          </w:p>
        </w:tc>
        <w:tc>
          <w:tcPr>
            <w:tcW w:type="dxa" w:w="1824"/>
          </w:tcPr>
          <w:p>
            <w:r>
              <w:rPr>
                <w:rFonts w:ascii="Times New Roman" w:hAnsi="Times New Roman"/>
                <w:sz w:val="20"/>
              </w:rPr>
              <w:t>± 1.45</w:t>
            </w:r>
          </w:p>
        </w:tc>
        <w:tc>
          <w:tcPr>
            <w:tcW w:type="dxa" w:w="1824"/>
          </w:tcPr>
          <w:p>
            <w:r>
              <w:rPr>
                <w:rFonts w:ascii="Times New Roman" w:hAnsi="Times New Roman"/>
                <w:sz w:val="20"/>
              </w:rPr>
              <w:t>Worst</w:t>
            </w:r>
          </w:p>
        </w:tc>
      </w:tr>
    </w:tbl>
    <w:p/>
    <w:p>
      <w:pPr>
        <w:jc w:val="center"/>
      </w:pPr>
      <w:r>
        <w:drawing>
          <wp:inline xmlns:a="http://schemas.openxmlformats.org/drawingml/2006/main" xmlns:pic="http://schemas.openxmlformats.org/drawingml/2006/picture">
            <wp:extent cx="5029200" cy="2469769"/>
            <wp:docPr id="5" name="Picture 5"/>
            <wp:cNvGraphicFramePr>
              <a:graphicFrameLocks noChangeAspect="1"/>
            </wp:cNvGraphicFramePr>
            <a:graphic>
              <a:graphicData uri="http://schemas.openxmlformats.org/drawingml/2006/picture">
                <pic:pic>
                  <pic:nvPicPr>
                    <pic:cNvPr id="0" name="06_model_leaderboard.png"/>
                    <pic:cNvPicPr/>
                  </pic:nvPicPr>
                  <pic:blipFill>
                    <a:blip r:embed="rId13"/>
                    <a:stretch>
                      <a:fillRect/>
                    </a:stretch>
                  </pic:blipFill>
                  <pic:spPr>
                    <a:xfrm>
                      <a:off x="0" y="0"/>
                      <a:ext cx="5029200" cy="2469769"/>
                    </a:xfrm>
                    <a:prstGeom prst="rect"/>
                  </pic:spPr>
                </pic:pic>
              </a:graphicData>
            </a:graphic>
          </wp:inline>
        </w:drawing>
      </w:r>
    </w:p>
    <w:p>
      <w:pPr>
        <w:spacing w:after="240"/>
        <w:jc w:val="center"/>
      </w:pPr>
      <w:r>
        <w:rPr>
          <w:rFonts w:ascii="Times New Roman" w:hAnsi="Times New Roman"/>
          <w:i/>
          <w:sz w:val="20"/>
        </w:rPr>
        <w:t>Figure 5: Model Leaderboard — 5-fold CV RMSE (percentage points)</w:t>
      </w:r>
    </w:p>
    <w:p>
      <w:pPr>
        <w:pStyle w:val="Heading2"/>
        <w:jc w:val="left"/>
      </w:pPr>
      <w:r>
        <w:rPr>
          <w:rFonts w:ascii="Times New Roman" w:hAnsi="Times New Roman"/>
          <w:color w:val="003366"/>
        </w:rPr>
        <w:t>5.2  Feature Importance and SHAP Analysis</w:t>
      </w:r>
    </w:p>
    <w:p>
      <w:pPr>
        <w:spacing w:after="120"/>
        <w:jc w:val="both"/>
      </w:pPr>
      <w:r>
        <w:rPr>
          <w:rFonts w:ascii="Times New Roman" w:hAnsi="Times New Roman"/>
          <w:b w:val="0"/>
          <w:i w:val="0"/>
          <w:sz w:val="24"/>
        </w:rPr>
        <w:t>After selecting XGBoost as the best model, feature importance was extracted using the model's built-in gain-based importance metric, then validated with SHAP (SHapley Additive exPlanations) values. The SHAP beeswarm plot provides a model-agnostic, observation-level attribution of each feature's contribution to the predicted stunting rate.</w:t>
      </w:r>
    </w:p>
    <w:p>
      <w:pPr>
        <w:spacing w:after="120"/>
        <w:jc w:val="both"/>
      </w:pPr>
      <w:r>
        <w:rPr>
          <w:rFonts w:ascii="Times New Roman" w:hAnsi="Times New Roman"/>
          <w:b w:val="0"/>
          <w:i w:val="0"/>
          <w:sz w:val="24"/>
        </w:rPr>
        <w:t>underweight_pct dominates importance (~0.78 SHAP value), reflecting the high co-occurrence of wasting, stunting, and underweight among nutritionally deprived children. Healthcare access metrics, maternal education, and the WASH composite together account for approximately 60% of remaining importance mass.</w:t>
      </w:r>
    </w:p>
    <w:p>
      <w:pPr>
        <w:jc w:val="center"/>
      </w:pPr>
      <w:r>
        <w:drawing>
          <wp:inline xmlns:a="http://schemas.openxmlformats.org/drawingml/2006/main" xmlns:pic="http://schemas.openxmlformats.org/drawingml/2006/picture">
            <wp:extent cx="5029200" cy="3255187"/>
            <wp:docPr id="6" name="Picture 6"/>
            <wp:cNvGraphicFramePr>
              <a:graphicFrameLocks noChangeAspect="1"/>
            </wp:cNvGraphicFramePr>
            <a:graphic>
              <a:graphicData uri="http://schemas.openxmlformats.org/drawingml/2006/picture">
                <pic:pic>
                  <pic:nvPicPr>
                    <pic:cNvPr id="0" name="07_feature_importance.png"/>
                    <pic:cNvPicPr/>
                  </pic:nvPicPr>
                  <pic:blipFill>
                    <a:blip r:embed="rId14"/>
                    <a:stretch>
                      <a:fillRect/>
                    </a:stretch>
                  </pic:blipFill>
                  <pic:spPr>
                    <a:xfrm>
                      <a:off x="0" y="0"/>
                      <a:ext cx="5029200" cy="3255187"/>
                    </a:xfrm>
                    <a:prstGeom prst="rect"/>
                  </pic:spPr>
                </pic:pic>
              </a:graphicData>
            </a:graphic>
          </wp:inline>
        </w:drawing>
      </w:r>
    </w:p>
    <w:p>
      <w:pPr>
        <w:spacing w:after="240"/>
        <w:jc w:val="center"/>
      </w:pPr>
      <w:r>
        <w:rPr>
          <w:rFonts w:ascii="Times New Roman" w:hAnsi="Times New Roman"/>
          <w:i/>
          <w:sz w:val="20"/>
        </w:rPr>
        <w:t>Figure 6: Feature Importance — Top 15 Features (XGBoost gain)</w:t>
      </w:r>
    </w:p>
    <w:p>
      <w:pPr>
        <w:jc w:val="center"/>
      </w:pPr>
      <w:r>
        <w:drawing>
          <wp:inline xmlns:a="http://schemas.openxmlformats.org/drawingml/2006/main" xmlns:pic="http://schemas.openxmlformats.org/drawingml/2006/picture">
            <wp:extent cx="5029200" cy="4019603"/>
            <wp:docPr id="7" name="Picture 7"/>
            <wp:cNvGraphicFramePr>
              <a:graphicFrameLocks noChangeAspect="1"/>
            </wp:cNvGraphicFramePr>
            <a:graphic>
              <a:graphicData uri="http://schemas.openxmlformats.org/drawingml/2006/picture">
                <pic:pic>
                  <pic:nvPicPr>
                    <pic:cNvPr id="0" name="08_shap_beeswarm.png"/>
                    <pic:cNvPicPr/>
                  </pic:nvPicPr>
                  <pic:blipFill>
                    <a:blip r:embed="rId15"/>
                    <a:stretch>
                      <a:fillRect/>
                    </a:stretch>
                  </pic:blipFill>
                  <pic:spPr>
                    <a:xfrm>
                      <a:off x="0" y="0"/>
                      <a:ext cx="5029200" cy="4019603"/>
                    </a:xfrm>
                    <a:prstGeom prst="rect"/>
                  </pic:spPr>
                </pic:pic>
              </a:graphicData>
            </a:graphic>
          </wp:inline>
        </w:drawing>
      </w:r>
    </w:p>
    <w:p>
      <w:pPr>
        <w:spacing w:after="240"/>
        <w:jc w:val="center"/>
      </w:pPr>
      <w:r>
        <w:rPr>
          <w:rFonts w:ascii="Times New Roman" w:hAnsi="Times New Roman"/>
          <w:i/>
          <w:sz w:val="20"/>
        </w:rPr>
        <w:t>Figure 7: SHAP Beeswarm Plot — Observation-level Feature Attribution</w:t>
      </w:r>
    </w:p>
    <w:p>
      <w:pPr>
        <w:pStyle w:val="Heading2"/>
        <w:jc w:val="left"/>
      </w:pPr>
      <w:r>
        <w:rPr>
          <w:rFonts w:ascii="Times New Roman" w:hAnsi="Times New Roman"/>
          <w:color w:val="003366"/>
        </w:rPr>
        <w:t>5.3  Classification Modelling</w:t>
      </w:r>
    </w:p>
    <w:p>
      <w:pPr>
        <w:spacing w:after="120"/>
        <w:jc w:val="both"/>
      </w:pPr>
      <w:r>
        <w:rPr>
          <w:rFonts w:ascii="Times New Roman" w:hAnsi="Times New Roman"/>
          <w:b w:val="0"/>
          <w:i w:val="0"/>
          <w:sz w:val="24"/>
        </w:rPr>
        <w:t>A secondary classification task assigns each region-year observation to one of four WHO risk bands based on stunting rate thresholds: Low (&lt; 20%), Medium (20–29%), High (30–39%), Critical (≥ 40%). Two classifiers were evaluated:</w:t>
      </w:r>
    </w:p>
    <w:p>
      <w:pPr>
        <w:pStyle w:val="ListBullet"/>
        <w:ind w:left="680"/>
      </w:pPr>
      <w:r>
        <w:rPr>
          <w:rFonts w:ascii="Times New Roman" w:hAnsi="Times New Roman"/>
          <w:sz w:val="22"/>
        </w:rPr>
        <w:t>Logistic Regression (one-vs-rest with L2 regularisation)</w:t>
      </w:r>
    </w:p>
    <w:p>
      <w:pPr>
        <w:pStyle w:val="ListBullet"/>
        <w:ind w:left="680"/>
      </w:pPr>
      <w:r>
        <w:rPr>
          <w:rFonts w:ascii="Times New Roman" w:hAnsi="Times New Roman"/>
          <w:sz w:val="22"/>
        </w:rPr>
        <w:t>Random Forest Classifier (100 estimators, max depth = 5)</w:t>
      </w:r>
    </w:p>
    <w:p>
      <w:pPr>
        <w:spacing w:after="120"/>
        <w:jc w:val="both"/>
      </w:pPr>
      <w:r>
        <w:rPr>
          <w:rFonts w:ascii="Times New Roman" w:hAnsi="Times New Roman"/>
          <w:b w:val="0"/>
          <w:i w:val="0"/>
          <w:sz w:val="24"/>
        </w:rPr>
        <w:t>Random Forest achieved the best classification accuracy of 80% on the hold-out test set. The confusion matrix reveals that the most common misclassification is between adjacent bands (Medium → High or High → Critical), which is expected given the continuous nature of the underlying variable. There are no cases of misclassification across more than one band.</w:t>
      </w:r>
    </w:p>
    <w:p>
      <w:pPr>
        <w:jc w:val="center"/>
      </w:pPr>
      <w:r>
        <w:drawing>
          <wp:inline xmlns:a="http://schemas.openxmlformats.org/drawingml/2006/main" xmlns:pic="http://schemas.openxmlformats.org/drawingml/2006/picture">
            <wp:extent cx="5029200" cy="5086243"/>
            <wp:docPr id="8" name="Picture 8"/>
            <wp:cNvGraphicFramePr>
              <a:graphicFrameLocks noChangeAspect="1"/>
            </wp:cNvGraphicFramePr>
            <a:graphic>
              <a:graphicData uri="http://schemas.openxmlformats.org/drawingml/2006/picture">
                <pic:pic>
                  <pic:nvPicPr>
                    <pic:cNvPr id="0" name="11_confusion_matrix.png"/>
                    <pic:cNvPicPr/>
                  </pic:nvPicPr>
                  <pic:blipFill>
                    <a:blip r:embed="rId16"/>
                    <a:stretch>
                      <a:fillRect/>
                    </a:stretch>
                  </pic:blipFill>
                  <pic:spPr>
                    <a:xfrm>
                      <a:off x="0" y="0"/>
                      <a:ext cx="5029200" cy="5086243"/>
                    </a:xfrm>
                    <a:prstGeom prst="rect"/>
                  </pic:spPr>
                </pic:pic>
              </a:graphicData>
            </a:graphic>
          </wp:inline>
        </w:drawing>
      </w:r>
    </w:p>
    <w:p>
      <w:pPr>
        <w:spacing w:after="240"/>
        <w:jc w:val="center"/>
      </w:pPr>
      <w:r>
        <w:rPr>
          <w:rFonts w:ascii="Times New Roman" w:hAnsi="Times New Roman"/>
          <w:i/>
          <w:sz w:val="20"/>
        </w:rPr>
        <w:t>Figure 8: Confusion Matrix — WHO Risk Band Classification (Random Forest)</w:t>
      </w:r>
    </w:p>
    <w:p>
      <w:pPr>
        <w:pStyle w:val="Heading2"/>
        <w:jc w:val="left"/>
      </w:pPr>
      <w:r>
        <w:rPr>
          <w:rFonts w:ascii="Times New Roman" w:hAnsi="Times New Roman"/>
          <w:color w:val="003366"/>
        </w:rPr>
        <w:t>5.4  Clustering Analysis</w:t>
      </w:r>
    </w:p>
    <w:p>
      <w:pPr>
        <w:spacing w:after="120"/>
        <w:jc w:val="both"/>
      </w:pPr>
      <w:r>
        <w:rPr>
          <w:rFonts w:ascii="Times New Roman" w:hAnsi="Times New Roman"/>
          <w:b w:val="0"/>
          <w:i w:val="0"/>
          <w:sz w:val="24"/>
        </w:rPr>
        <w:t>K-Means clustering was applied to the standardised feature matrix to discover latent region archetypes that may not be visible in the regression or classification outputs. The optimal number of clusters was determined using both the elbow method (within-cluster sum of squares) and the silhouette coefficient across k = 2 to 8.</w:t>
      </w:r>
    </w:p>
    <w:p>
      <w:pPr>
        <w:jc w:val="center"/>
      </w:pPr>
      <w:r>
        <w:drawing>
          <wp:inline xmlns:a="http://schemas.openxmlformats.org/drawingml/2006/main" xmlns:pic="http://schemas.openxmlformats.org/drawingml/2006/picture">
            <wp:extent cx="5029200" cy="2817405"/>
            <wp:docPr id="9" name="Picture 9"/>
            <wp:cNvGraphicFramePr>
              <a:graphicFrameLocks noChangeAspect="1"/>
            </wp:cNvGraphicFramePr>
            <a:graphic>
              <a:graphicData uri="http://schemas.openxmlformats.org/drawingml/2006/picture">
                <pic:pic>
                  <pic:nvPicPr>
                    <pic:cNvPr id="0" name="12_elbow.png"/>
                    <pic:cNvPicPr/>
                  </pic:nvPicPr>
                  <pic:blipFill>
                    <a:blip r:embed="rId17"/>
                    <a:stretch>
                      <a:fillRect/>
                    </a:stretch>
                  </pic:blipFill>
                  <pic:spPr>
                    <a:xfrm>
                      <a:off x="0" y="0"/>
                      <a:ext cx="5029200" cy="2817405"/>
                    </a:xfrm>
                    <a:prstGeom prst="rect"/>
                  </pic:spPr>
                </pic:pic>
              </a:graphicData>
            </a:graphic>
          </wp:inline>
        </w:drawing>
      </w:r>
    </w:p>
    <w:p>
      <w:pPr>
        <w:spacing w:after="240"/>
        <w:jc w:val="center"/>
      </w:pPr>
      <w:r>
        <w:rPr>
          <w:rFonts w:ascii="Times New Roman" w:hAnsi="Times New Roman"/>
          <w:i/>
          <w:sz w:val="20"/>
        </w:rPr>
        <w:t>Figure 9: K-Means Elbow Curve — Within-cluster Sum of Squares vs k</w:t>
      </w:r>
    </w:p>
    <w:p>
      <w:pPr>
        <w:spacing w:after="120"/>
        <w:jc w:val="both"/>
      </w:pPr>
      <w:r>
        <w:rPr>
          <w:rFonts w:ascii="Times New Roman" w:hAnsi="Times New Roman"/>
          <w:b w:val="0"/>
          <w:i w:val="0"/>
          <w:sz w:val="24"/>
        </w:rPr>
        <w:t>Both methods agreed on k = 2 as the optimal partition, yielding a silhouette score of 0.52 — well above the 0.40 success criterion. Principal Component Analysis (PCA, 2 components) was used to visualise cluster separation in two dimensions.</w:t>
      </w:r>
    </w:p>
    <w:p>
      <w:pPr>
        <w:jc w:val="center"/>
      </w:pPr>
      <w:r>
        <w:drawing>
          <wp:inline xmlns:a="http://schemas.openxmlformats.org/drawingml/2006/main" xmlns:pic="http://schemas.openxmlformats.org/drawingml/2006/picture">
            <wp:extent cx="5029200" cy="3550952"/>
            <wp:docPr id="10" name="Picture 10"/>
            <wp:cNvGraphicFramePr>
              <a:graphicFrameLocks noChangeAspect="1"/>
            </wp:cNvGraphicFramePr>
            <a:graphic>
              <a:graphicData uri="http://schemas.openxmlformats.org/drawingml/2006/picture">
                <pic:pic>
                  <pic:nvPicPr>
                    <pic:cNvPr id="0" name="13_clusters_pca.png"/>
                    <pic:cNvPicPr/>
                  </pic:nvPicPr>
                  <pic:blipFill>
                    <a:blip r:embed="rId18"/>
                    <a:stretch>
                      <a:fillRect/>
                    </a:stretch>
                  </pic:blipFill>
                  <pic:spPr>
                    <a:xfrm>
                      <a:off x="0" y="0"/>
                      <a:ext cx="5029200" cy="3550952"/>
                    </a:xfrm>
                    <a:prstGeom prst="rect"/>
                  </pic:spPr>
                </pic:pic>
              </a:graphicData>
            </a:graphic>
          </wp:inline>
        </w:drawing>
      </w:r>
    </w:p>
    <w:p>
      <w:pPr>
        <w:spacing w:after="240"/>
        <w:jc w:val="center"/>
      </w:pPr>
      <w:r>
        <w:rPr>
          <w:rFonts w:ascii="Times New Roman" w:hAnsi="Times New Roman"/>
          <w:i/>
          <w:sz w:val="20"/>
        </w:rPr>
        <w:t>Figure 10: K-Means Clusters Visualised in PCA Space (k=2)</w:t>
      </w:r>
    </w:p>
    <w:p>
      <w:pPr>
        <w:spacing w:after="120"/>
        <w:jc w:val="both"/>
      </w:pPr>
      <w:r>
        <w:rPr>
          <w:rFonts w:ascii="Times New Roman" w:hAnsi="Times New Roman"/>
          <w:b w:val="0"/>
          <w:i w:val="0"/>
          <w:sz w:val="24"/>
        </w:rPr>
        <w:t>The two clusters were profiled and labelled as follows: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Cluster</w:t>
            </w:r>
          </w:p>
        </w:tc>
        <w:tc>
          <w:tcPr>
            <w:tcW w:type="dxa" w:w="1824"/>
          </w:tcPr>
          <w:p>
            <w:r>
              <w:rPr>
                <w:rFonts w:ascii="Times New Roman" w:hAnsi="Times New Roman"/>
                <w:b/>
                <w:sz w:val="20"/>
              </w:rPr>
              <w:t>Regions</w:t>
            </w:r>
          </w:p>
        </w:tc>
        <w:tc>
          <w:tcPr>
            <w:tcW w:type="dxa" w:w="1824"/>
          </w:tcPr>
          <w:p>
            <w:r>
              <w:rPr>
                <w:rFonts w:ascii="Times New Roman" w:hAnsi="Times New Roman"/>
                <w:b/>
                <w:sz w:val="20"/>
              </w:rPr>
              <w:t>Women Secondary+</w:t>
            </w:r>
          </w:p>
        </w:tc>
        <w:tc>
          <w:tcPr>
            <w:tcW w:type="dxa" w:w="1824"/>
          </w:tcPr>
          <w:p>
            <w:r>
              <w:rPr>
                <w:rFonts w:ascii="Times New Roman" w:hAnsi="Times New Roman"/>
                <w:b/>
                <w:sz w:val="20"/>
              </w:rPr>
              <w:t>Literate %</w:t>
            </w:r>
          </w:p>
        </w:tc>
        <w:tc>
          <w:tcPr>
            <w:tcW w:type="dxa" w:w="1824"/>
          </w:tcPr>
          <w:p>
            <w:r>
              <w:rPr>
                <w:rFonts w:ascii="Times New Roman" w:hAnsi="Times New Roman"/>
                <w:b/>
                <w:sz w:val="20"/>
              </w:rPr>
              <w:t>Stunting %</w:t>
            </w:r>
          </w:p>
        </w:tc>
      </w:tr>
      <w:tr>
        <w:tc>
          <w:tcPr>
            <w:tcW w:type="dxa" w:w="1824"/>
          </w:tcPr>
          <w:p>
            <w:r>
              <w:rPr>
                <w:rFonts w:ascii="Times New Roman" w:hAnsi="Times New Roman"/>
                <w:sz w:val="20"/>
              </w:rPr>
              <w:t>0 — Northern-rural (critical risk)</w:t>
            </w:r>
          </w:p>
        </w:tc>
        <w:tc>
          <w:tcPr>
            <w:tcW w:type="dxa" w:w="1824"/>
          </w:tcPr>
          <w:p>
            <w:r>
              <w:rPr>
                <w:rFonts w:ascii="Times New Roman" w:hAnsi="Times New Roman"/>
                <w:sz w:val="20"/>
              </w:rPr>
              <w:t>Far North, North, Adamawa, East</w:t>
            </w:r>
          </w:p>
        </w:tc>
        <w:tc>
          <w:tcPr>
            <w:tcW w:type="dxa" w:w="1824"/>
          </w:tcPr>
          <w:p>
            <w:r>
              <w:rPr>
                <w:rFonts w:ascii="Times New Roman" w:hAnsi="Times New Roman"/>
                <w:sz w:val="20"/>
              </w:rPr>
              <w:t>1.9%</w:t>
            </w:r>
          </w:p>
        </w:tc>
        <w:tc>
          <w:tcPr>
            <w:tcW w:type="dxa" w:w="1824"/>
          </w:tcPr>
          <w:p>
            <w:r>
              <w:rPr>
                <w:rFonts w:ascii="Times New Roman" w:hAnsi="Times New Roman"/>
                <w:sz w:val="20"/>
              </w:rPr>
              <w:t>43.6%</w:t>
            </w:r>
          </w:p>
        </w:tc>
        <w:tc>
          <w:tcPr>
            <w:tcW w:type="dxa" w:w="1824"/>
          </w:tcPr>
          <w:p>
            <w:r>
              <w:rPr>
                <w:rFonts w:ascii="Times New Roman" w:hAnsi="Times New Roman"/>
                <w:sz w:val="20"/>
              </w:rPr>
              <w:t>37.0%</w:t>
            </w:r>
          </w:p>
        </w:tc>
      </w:tr>
      <w:tr>
        <w:tc>
          <w:tcPr>
            <w:tcW w:type="dxa" w:w="1824"/>
          </w:tcPr>
          <w:p>
            <w:r>
              <w:rPr>
                <w:rFonts w:ascii="Times New Roman" w:hAnsi="Times New Roman"/>
                <w:sz w:val="20"/>
              </w:rPr>
              <w:t>1 — Urban-affluent (low risk)</w:t>
            </w:r>
          </w:p>
        </w:tc>
        <w:tc>
          <w:tcPr>
            <w:tcW w:type="dxa" w:w="1824"/>
          </w:tcPr>
          <w:p>
            <w:r>
              <w:rPr>
                <w:rFonts w:ascii="Times New Roman" w:hAnsi="Times New Roman"/>
                <w:sz w:val="20"/>
              </w:rPr>
              <w:t>Centre, Littoral, South, West, North West, South West</w:t>
            </w:r>
          </w:p>
        </w:tc>
        <w:tc>
          <w:tcPr>
            <w:tcW w:type="dxa" w:w="1824"/>
          </w:tcPr>
          <w:p>
            <w:r>
              <w:rPr>
                <w:rFonts w:ascii="Times New Roman" w:hAnsi="Times New Roman"/>
                <w:sz w:val="20"/>
              </w:rPr>
              <w:t>10.3%</w:t>
            </w:r>
          </w:p>
        </w:tc>
        <w:tc>
          <w:tcPr>
            <w:tcW w:type="dxa" w:w="1824"/>
          </w:tcPr>
          <w:p>
            <w:r>
              <w:rPr>
                <w:rFonts w:ascii="Times New Roman" w:hAnsi="Times New Roman"/>
                <w:sz w:val="20"/>
              </w:rPr>
              <w:t>87.2%</w:t>
            </w:r>
          </w:p>
        </w:tc>
        <w:tc>
          <w:tcPr>
            <w:tcW w:type="dxa" w:w="1824"/>
          </w:tcPr>
          <w:p>
            <w:r>
              <w:rPr>
                <w:rFonts w:ascii="Times New Roman" w:hAnsi="Times New Roman"/>
                <w:sz w:val="20"/>
              </w:rPr>
              <w:t>23.6%</w:t>
            </w:r>
          </w:p>
        </w:tc>
      </w:tr>
    </w:tbl>
    <w:p/>
    <w:p>
      <w:pPr>
        <w:pStyle w:val="Heading2"/>
        <w:jc w:val="left"/>
      </w:pPr>
      <w:r>
        <w:rPr>
          <w:rFonts w:ascii="Times New Roman" w:hAnsi="Times New Roman"/>
          <w:color w:val="003366"/>
        </w:rPr>
        <w:t>5.5  Forecasting</w:t>
      </w:r>
    </w:p>
    <w:p>
      <w:pPr>
        <w:spacing w:after="120"/>
        <w:jc w:val="both"/>
      </w:pPr>
      <w:r>
        <w:rPr>
          <w:rFonts w:ascii="Times New Roman" w:hAnsi="Times New Roman"/>
          <w:b w:val="0"/>
          <w:i w:val="0"/>
          <w:sz w:val="24"/>
        </w:rPr>
        <w:t>Linear time-trend models were fitted per region using the five historical data points. The slope (percentage points per year), intercept, and coefficient of determination (R²) were estimated for each region. Forecasts were extrapolated to 2026 and 2028.</w:t>
      </w:r>
    </w:p>
    <w:p>
      <w:pPr>
        <w:spacing w:after="120"/>
        <w:jc w:val="both"/>
      </w:pPr>
      <w:r>
        <w:rPr>
          <w:rFonts w:ascii="Times New Roman" w:hAnsi="Times New Roman"/>
          <w:b w:val="0"/>
          <w:i w:val="0"/>
          <w:sz w:val="24"/>
        </w:rPr>
        <w:t>Littoral and Centre showed the steepest declines (approximately −0.29 pp/year and −0.22 pp/year respectively, R² ≈ 0.44). Far North showed the shallowest decline (−0.09 pp/year, R² = 0.62). At current improvement rates, Far North is projected to reach 37.6% by 2028 — still firmly in the 'high' WHO risk band.</w:t>
      </w:r>
    </w:p>
    <w:p>
      <w:pPr>
        <w:jc w:val="center"/>
      </w:pPr>
      <w:r>
        <w:drawing>
          <wp:inline xmlns:a="http://schemas.openxmlformats.org/drawingml/2006/main" xmlns:pic="http://schemas.openxmlformats.org/drawingml/2006/picture">
            <wp:extent cx="5029200" cy="2746529"/>
            <wp:docPr id="11" name="Picture 11"/>
            <wp:cNvGraphicFramePr>
              <a:graphicFrameLocks noChangeAspect="1"/>
            </wp:cNvGraphicFramePr>
            <a:graphic>
              <a:graphicData uri="http://schemas.openxmlformats.org/drawingml/2006/picture">
                <pic:pic>
                  <pic:nvPicPr>
                    <pic:cNvPr id="0" name="14_forecasts_top5.png"/>
                    <pic:cNvPicPr/>
                  </pic:nvPicPr>
                  <pic:blipFill>
                    <a:blip r:embed="rId19"/>
                    <a:stretch>
                      <a:fillRect/>
                    </a:stretch>
                  </pic:blipFill>
                  <pic:spPr>
                    <a:xfrm>
                      <a:off x="0" y="0"/>
                      <a:ext cx="5029200" cy="2746529"/>
                    </a:xfrm>
                    <a:prstGeom prst="rect"/>
                  </pic:spPr>
                </pic:pic>
              </a:graphicData>
            </a:graphic>
          </wp:inline>
        </w:drawing>
      </w:r>
    </w:p>
    <w:p>
      <w:pPr>
        <w:spacing w:after="240"/>
        <w:jc w:val="center"/>
      </w:pPr>
      <w:r>
        <w:rPr>
          <w:rFonts w:ascii="Times New Roman" w:hAnsi="Times New Roman"/>
          <w:i/>
          <w:sz w:val="20"/>
        </w:rPr>
        <w:t>Figure 11: Stunting Rate Forecasts to 2026/2028 — Top 5 Hotspot Regions</w:t>
      </w:r>
    </w:p>
    <w:p>
      <w:r>
        <w:br w:type="page"/>
      </w:r>
    </w:p>
    <w:p>
      <w:pPr>
        <w:pStyle w:val="Heading1"/>
        <w:jc w:val="left"/>
      </w:pPr>
      <w:r>
        <w:rPr>
          <w:rFonts w:ascii="Times New Roman" w:hAnsi="Times New Roman"/>
          <w:color w:val="003366"/>
        </w:rPr>
        <w:t>6.  Evaluation</w:t>
      </w:r>
    </w:p>
    <w:p>
      <w:pPr>
        <w:pStyle w:val="Heading2"/>
        <w:jc w:val="left"/>
      </w:pPr>
      <w:r>
        <w:rPr>
          <w:rFonts w:ascii="Times New Roman" w:hAnsi="Times New Roman"/>
          <w:color w:val="003366"/>
        </w:rPr>
        <w:t>6.1  Hypothesis Test Results</w:t>
      </w:r>
    </w:p>
    <w:p>
      <w:pPr>
        <w:spacing w:after="120"/>
        <w:jc w:val="both"/>
      </w:pPr>
      <w:r>
        <w:rPr>
          <w:rFonts w:ascii="Times New Roman" w:hAnsi="Times New Roman"/>
          <w:b w:val="0"/>
          <w:i w:val="0"/>
          <w:sz w:val="24"/>
        </w:rPr>
        <w:t>Table 5 summarises the results of all six hypothesis tests. All null hypotheses are rejected at the 5% significance level.</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0"/>
              </w:rPr>
              <w:t>Hyp.</w:t>
            </w:r>
          </w:p>
        </w:tc>
        <w:tc>
          <w:tcPr>
            <w:tcW w:type="dxa" w:w="1520"/>
          </w:tcPr>
          <w:p>
            <w:r>
              <w:rPr>
                <w:rFonts w:ascii="Times New Roman" w:hAnsi="Times New Roman"/>
                <w:b/>
                <w:sz w:val="20"/>
              </w:rPr>
              <w:t>Driver</w:t>
            </w:r>
          </w:p>
        </w:tc>
        <w:tc>
          <w:tcPr>
            <w:tcW w:type="dxa" w:w="1520"/>
          </w:tcPr>
          <w:p>
            <w:r>
              <w:rPr>
                <w:rFonts w:ascii="Times New Roman" w:hAnsi="Times New Roman"/>
                <w:b/>
                <w:sz w:val="20"/>
              </w:rPr>
              <w:t>Test</w:t>
            </w:r>
          </w:p>
        </w:tc>
        <w:tc>
          <w:tcPr>
            <w:tcW w:type="dxa" w:w="1520"/>
          </w:tcPr>
          <w:p>
            <w:r>
              <w:rPr>
                <w:rFonts w:ascii="Times New Roman" w:hAnsi="Times New Roman"/>
                <w:b/>
                <w:sz w:val="20"/>
              </w:rPr>
              <w:t>Statistic</w:t>
            </w:r>
          </w:p>
        </w:tc>
        <w:tc>
          <w:tcPr>
            <w:tcW w:type="dxa" w:w="1520"/>
          </w:tcPr>
          <w:p>
            <w:r>
              <w:rPr>
                <w:rFonts w:ascii="Times New Roman" w:hAnsi="Times New Roman"/>
                <w:b/>
                <w:sz w:val="20"/>
              </w:rPr>
              <w:t>p-value</w:t>
            </w:r>
          </w:p>
        </w:tc>
        <w:tc>
          <w:tcPr>
            <w:tcW w:type="dxa" w:w="1520"/>
          </w:tcPr>
          <w:p>
            <w:r>
              <w:rPr>
                <w:rFonts w:ascii="Times New Roman" w:hAnsi="Times New Roman"/>
                <w:b/>
                <w:sz w:val="20"/>
              </w:rPr>
              <w:t>Decision</w:t>
            </w:r>
          </w:p>
        </w:tc>
      </w:tr>
      <w:tr>
        <w:tc>
          <w:tcPr>
            <w:tcW w:type="dxa" w:w="1520"/>
          </w:tcPr>
          <w:p>
            <w:r>
              <w:rPr>
                <w:rFonts w:ascii="Times New Roman" w:hAnsi="Times New Roman"/>
                <w:sz w:val="20"/>
              </w:rPr>
              <w:t>H1</w:t>
            </w:r>
          </w:p>
        </w:tc>
        <w:tc>
          <w:tcPr>
            <w:tcW w:type="dxa" w:w="1520"/>
          </w:tcPr>
          <w:p>
            <w:r>
              <w:rPr>
                <w:rFonts w:ascii="Times New Roman" w:hAnsi="Times New Roman"/>
                <w:sz w:val="20"/>
              </w:rPr>
              <w:t>Maternal education → stunting</w:t>
            </w:r>
          </w:p>
        </w:tc>
        <w:tc>
          <w:tcPr>
            <w:tcW w:type="dxa" w:w="1520"/>
          </w:tcPr>
          <w:p>
            <w:r>
              <w:rPr>
                <w:rFonts w:ascii="Times New Roman" w:hAnsi="Times New Roman"/>
                <w:sz w:val="20"/>
              </w:rPr>
              <w:t>Spearman ρ</w:t>
            </w:r>
          </w:p>
        </w:tc>
        <w:tc>
          <w:tcPr>
            <w:tcW w:type="dxa" w:w="1520"/>
          </w:tcPr>
          <w:p>
            <w:r>
              <w:rPr>
                <w:rFonts w:ascii="Times New Roman" w:hAnsi="Times New Roman"/>
                <w:sz w:val="20"/>
              </w:rPr>
              <w:t>−0.538</w:t>
            </w:r>
          </w:p>
        </w:tc>
        <w:tc>
          <w:tcPr>
            <w:tcW w:type="dxa" w:w="1520"/>
          </w:tcPr>
          <w:p>
            <w:r>
              <w:rPr>
                <w:rFonts w:ascii="Times New Roman" w:hAnsi="Times New Roman"/>
                <w:sz w:val="20"/>
              </w:rPr>
              <w:t>5.66 × 10⁻⁵</w:t>
            </w:r>
          </w:p>
        </w:tc>
        <w:tc>
          <w:tcPr>
            <w:tcW w:type="dxa" w:w="1520"/>
          </w:tcPr>
          <w:p>
            <w:r>
              <w:rPr>
                <w:rFonts w:ascii="Times New Roman" w:hAnsi="Times New Roman"/>
                <w:sz w:val="20"/>
              </w:rPr>
              <w:t>Rejected ✓</w:t>
            </w:r>
          </w:p>
        </w:tc>
      </w:tr>
      <w:tr>
        <w:tc>
          <w:tcPr>
            <w:tcW w:type="dxa" w:w="1520"/>
          </w:tcPr>
          <w:p>
            <w:r>
              <w:rPr>
                <w:rFonts w:ascii="Times New Roman" w:hAnsi="Times New Roman"/>
                <w:sz w:val="20"/>
              </w:rPr>
              <w:t>H2</w:t>
            </w:r>
          </w:p>
        </w:tc>
        <w:tc>
          <w:tcPr>
            <w:tcW w:type="dxa" w:w="1520"/>
          </w:tcPr>
          <w:p>
            <w:r>
              <w:rPr>
                <w:rFonts w:ascii="Times New Roman" w:hAnsi="Times New Roman"/>
                <w:sz w:val="20"/>
              </w:rPr>
              <w:t>WASH composite → stunting</w:t>
            </w:r>
          </w:p>
        </w:tc>
        <w:tc>
          <w:tcPr>
            <w:tcW w:type="dxa" w:w="1520"/>
          </w:tcPr>
          <w:p>
            <w:r>
              <w:rPr>
                <w:rFonts w:ascii="Times New Roman" w:hAnsi="Times New Roman"/>
                <w:sz w:val="20"/>
              </w:rPr>
              <w:t>Spearman ρ</w:t>
            </w:r>
          </w:p>
        </w:tc>
        <w:tc>
          <w:tcPr>
            <w:tcW w:type="dxa" w:w="1520"/>
          </w:tcPr>
          <w:p>
            <w:r>
              <w:rPr>
                <w:rFonts w:ascii="Times New Roman" w:hAnsi="Times New Roman"/>
                <w:sz w:val="20"/>
              </w:rPr>
              <w:t>−0.501</w:t>
            </w:r>
          </w:p>
        </w:tc>
        <w:tc>
          <w:tcPr>
            <w:tcW w:type="dxa" w:w="1520"/>
          </w:tcPr>
          <w:p>
            <w:r>
              <w:rPr>
                <w:rFonts w:ascii="Times New Roman" w:hAnsi="Times New Roman"/>
                <w:sz w:val="20"/>
              </w:rPr>
              <w:t>2.12 × 10⁻⁴</w:t>
            </w:r>
          </w:p>
        </w:tc>
        <w:tc>
          <w:tcPr>
            <w:tcW w:type="dxa" w:w="1520"/>
          </w:tcPr>
          <w:p>
            <w:r>
              <w:rPr>
                <w:rFonts w:ascii="Times New Roman" w:hAnsi="Times New Roman"/>
                <w:sz w:val="20"/>
              </w:rPr>
              <w:t>Rejected ✓</w:t>
            </w:r>
          </w:p>
        </w:tc>
      </w:tr>
      <w:tr>
        <w:tc>
          <w:tcPr>
            <w:tcW w:type="dxa" w:w="1520"/>
          </w:tcPr>
          <w:p>
            <w:r>
              <w:rPr>
                <w:rFonts w:ascii="Times New Roman" w:hAnsi="Times New Roman"/>
                <w:sz w:val="20"/>
              </w:rPr>
              <w:t>H3</w:t>
            </w:r>
          </w:p>
        </w:tc>
        <w:tc>
          <w:tcPr>
            <w:tcW w:type="dxa" w:w="1520"/>
          </w:tcPr>
          <w:p>
            <w:r>
              <w:rPr>
                <w:rFonts w:ascii="Times New Roman" w:hAnsi="Times New Roman"/>
                <w:sz w:val="20"/>
              </w:rPr>
              <w:t>SES proxy → stunting</w:t>
            </w:r>
          </w:p>
        </w:tc>
        <w:tc>
          <w:tcPr>
            <w:tcW w:type="dxa" w:w="1520"/>
          </w:tcPr>
          <w:p>
            <w:r>
              <w:rPr>
                <w:rFonts w:ascii="Times New Roman" w:hAnsi="Times New Roman"/>
                <w:sz w:val="20"/>
              </w:rPr>
              <w:t>Spearman ρ</w:t>
            </w:r>
          </w:p>
        </w:tc>
        <w:tc>
          <w:tcPr>
            <w:tcW w:type="dxa" w:w="1520"/>
          </w:tcPr>
          <w:p>
            <w:r>
              <w:rPr>
                <w:rFonts w:ascii="Times New Roman" w:hAnsi="Times New Roman"/>
                <w:sz w:val="20"/>
              </w:rPr>
              <w:t>−0.709</w:t>
            </w:r>
          </w:p>
        </w:tc>
        <w:tc>
          <w:tcPr>
            <w:tcW w:type="dxa" w:w="1520"/>
          </w:tcPr>
          <w:p>
            <w:r>
              <w:rPr>
                <w:rFonts w:ascii="Times New Roman" w:hAnsi="Times New Roman"/>
                <w:sz w:val="20"/>
              </w:rPr>
              <w:t>8.35 × 10⁻⁹</w:t>
            </w:r>
          </w:p>
        </w:tc>
        <w:tc>
          <w:tcPr>
            <w:tcW w:type="dxa" w:w="1520"/>
          </w:tcPr>
          <w:p>
            <w:r>
              <w:rPr>
                <w:rFonts w:ascii="Times New Roman" w:hAnsi="Times New Roman"/>
                <w:sz w:val="20"/>
              </w:rPr>
              <w:t>Rejected ✓</w:t>
            </w:r>
          </w:p>
        </w:tc>
      </w:tr>
      <w:tr>
        <w:tc>
          <w:tcPr>
            <w:tcW w:type="dxa" w:w="1520"/>
          </w:tcPr>
          <w:p>
            <w:r>
              <w:rPr>
                <w:rFonts w:ascii="Times New Roman" w:hAnsi="Times New Roman"/>
                <w:sz w:val="20"/>
              </w:rPr>
              <w:t>H4</w:t>
            </w:r>
          </w:p>
        </w:tc>
        <w:tc>
          <w:tcPr>
            <w:tcW w:type="dxa" w:w="1520"/>
          </w:tcPr>
          <w:p>
            <w:r>
              <w:rPr>
                <w:rFonts w:ascii="Times New Roman" w:hAnsi="Times New Roman"/>
                <w:sz w:val="20"/>
              </w:rPr>
              <w:t>Healthcare access → stunting</w:t>
            </w:r>
          </w:p>
        </w:tc>
        <w:tc>
          <w:tcPr>
            <w:tcW w:type="dxa" w:w="1520"/>
          </w:tcPr>
          <w:p>
            <w:r>
              <w:rPr>
                <w:rFonts w:ascii="Times New Roman" w:hAnsi="Times New Roman"/>
                <w:sz w:val="20"/>
              </w:rPr>
              <w:t>Spearman ρ</w:t>
            </w:r>
          </w:p>
        </w:tc>
        <w:tc>
          <w:tcPr>
            <w:tcW w:type="dxa" w:w="1520"/>
          </w:tcPr>
          <w:p>
            <w:r>
              <w:rPr>
                <w:rFonts w:ascii="Times New Roman" w:hAnsi="Times New Roman"/>
                <w:sz w:val="20"/>
              </w:rPr>
              <w:t>−0.778</w:t>
            </w:r>
          </w:p>
        </w:tc>
        <w:tc>
          <w:tcPr>
            <w:tcW w:type="dxa" w:w="1520"/>
          </w:tcPr>
          <w:p>
            <w:r>
              <w:rPr>
                <w:rFonts w:ascii="Times New Roman" w:hAnsi="Times New Roman"/>
                <w:sz w:val="20"/>
              </w:rPr>
              <w:t>2.84 × 10⁻¹¹</w:t>
            </w:r>
          </w:p>
        </w:tc>
        <w:tc>
          <w:tcPr>
            <w:tcW w:type="dxa" w:w="1520"/>
          </w:tcPr>
          <w:p>
            <w:r>
              <w:rPr>
                <w:rFonts w:ascii="Times New Roman" w:hAnsi="Times New Roman"/>
                <w:sz w:val="20"/>
              </w:rPr>
              <w:t>Rejected ✓</w:t>
            </w:r>
          </w:p>
        </w:tc>
      </w:tr>
      <w:tr>
        <w:tc>
          <w:tcPr>
            <w:tcW w:type="dxa" w:w="1520"/>
          </w:tcPr>
          <w:p>
            <w:r>
              <w:rPr>
                <w:rFonts w:ascii="Times New Roman" w:hAnsi="Times New Roman"/>
                <w:sz w:val="20"/>
              </w:rPr>
              <w:t>H5</w:t>
            </w:r>
          </w:p>
        </w:tc>
        <w:tc>
          <w:tcPr>
            <w:tcW w:type="dxa" w:w="1520"/>
          </w:tcPr>
          <w:p>
            <w:r>
              <w:rPr>
                <w:rFonts w:ascii="Times New Roman" w:hAnsi="Times New Roman"/>
                <w:sz w:val="20"/>
              </w:rPr>
              <w:t>Malaria prevalence → stunting</w:t>
            </w:r>
          </w:p>
        </w:tc>
        <w:tc>
          <w:tcPr>
            <w:tcW w:type="dxa" w:w="1520"/>
          </w:tcPr>
          <w:p>
            <w:r>
              <w:rPr>
                <w:rFonts w:ascii="Times New Roman" w:hAnsi="Times New Roman"/>
                <w:sz w:val="20"/>
              </w:rPr>
              <w:t>Spearman ρ</w:t>
            </w:r>
          </w:p>
        </w:tc>
        <w:tc>
          <w:tcPr>
            <w:tcW w:type="dxa" w:w="1520"/>
          </w:tcPr>
          <w:p>
            <w:r>
              <w:rPr>
                <w:rFonts w:ascii="Times New Roman" w:hAnsi="Times New Roman"/>
                <w:sz w:val="20"/>
              </w:rPr>
              <w:t>+0.358</w:t>
            </w:r>
          </w:p>
        </w:tc>
        <w:tc>
          <w:tcPr>
            <w:tcW w:type="dxa" w:w="1520"/>
          </w:tcPr>
          <w:p>
            <w:r>
              <w:rPr>
                <w:rFonts w:ascii="Times New Roman" w:hAnsi="Times New Roman"/>
                <w:sz w:val="20"/>
              </w:rPr>
              <w:t>1.06 × 10⁻²</w:t>
            </w:r>
          </w:p>
        </w:tc>
        <w:tc>
          <w:tcPr>
            <w:tcW w:type="dxa" w:w="1520"/>
          </w:tcPr>
          <w:p>
            <w:r>
              <w:rPr>
                <w:rFonts w:ascii="Times New Roman" w:hAnsi="Times New Roman"/>
                <w:sz w:val="20"/>
              </w:rPr>
              <w:t>Rejected ✓</w:t>
            </w:r>
          </w:p>
        </w:tc>
      </w:tr>
      <w:tr>
        <w:tc>
          <w:tcPr>
            <w:tcW w:type="dxa" w:w="1520"/>
          </w:tcPr>
          <w:p>
            <w:r>
              <w:rPr>
                <w:rFonts w:ascii="Times New Roman" w:hAnsi="Times New Roman"/>
                <w:sz w:val="20"/>
              </w:rPr>
              <w:t>H6</w:t>
            </w:r>
          </w:p>
        </w:tc>
        <w:tc>
          <w:tcPr>
            <w:tcW w:type="dxa" w:w="1520"/>
          </w:tcPr>
          <w:p>
            <w:r>
              <w:rPr>
                <w:rFonts w:ascii="Times New Roman" w:hAnsi="Times New Roman"/>
                <w:sz w:val="20"/>
              </w:rPr>
              <w:t>ML beats baseline (RMSE)</w:t>
            </w:r>
          </w:p>
        </w:tc>
        <w:tc>
          <w:tcPr>
            <w:tcW w:type="dxa" w:w="1520"/>
          </w:tcPr>
          <w:p>
            <w:r>
              <w:rPr>
                <w:rFonts w:ascii="Times New Roman" w:hAnsi="Times New Roman"/>
                <w:sz w:val="20"/>
              </w:rPr>
              <w:t>Paired t-test</w:t>
            </w:r>
          </w:p>
        </w:tc>
        <w:tc>
          <w:tcPr>
            <w:tcW w:type="dxa" w:w="1520"/>
          </w:tcPr>
          <w:p>
            <w:r>
              <w:rPr>
                <w:rFonts w:ascii="Times New Roman" w:hAnsi="Times New Roman"/>
                <w:sz w:val="20"/>
              </w:rPr>
              <w:t>−60.0%</w:t>
            </w:r>
          </w:p>
        </w:tc>
        <w:tc>
          <w:tcPr>
            <w:tcW w:type="dxa" w:w="1520"/>
          </w:tcPr>
          <w:p>
            <w:r>
              <w:rPr>
                <w:rFonts w:ascii="Times New Roman" w:hAnsi="Times New Roman"/>
                <w:sz w:val="20"/>
              </w:rPr>
              <w:t>0.003</w:t>
            </w:r>
          </w:p>
        </w:tc>
        <w:tc>
          <w:tcPr>
            <w:tcW w:type="dxa" w:w="1520"/>
          </w:tcPr>
          <w:p>
            <w:r>
              <w:rPr>
                <w:rFonts w:ascii="Times New Roman" w:hAnsi="Times New Roman"/>
                <w:sz w:val="20"/>
              </w:rPr>
              <w:t>Rejected ✓</w:t>
            </w:r>
          </w:p>
        </w:tc>
      </w:tr>
    </w:tbl>
    <w:p/>
    <w:p>
      <w:pPr>
        <w:pStyle w:val="Heading2"/>
        <w:jc w:val="left"/>
      </w:pPr>
      <w:r>
        <w:rPr>
          <w:rFonts w:ascii="Times New Roman" w:hAnsi="Times New Roman"/>
          <w:color w:val="003366"/>
        </w:rPr>
        <w:t>6.2  Model Performance vs Business Criteria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Success Criterion</w:t>
            </w:r>
          </w:p>
        </w:tc>
        <w:tc>
          <w:tcPr>
            <w:tcW w:type="dxa" w:w="3041"/>
          </w:tcPr>
          <w:p>
            <w:r>
              <w:rPr>
                <w:rFonts w:ascii="Times New Roman" w:hAnsi="Times New Roman"/>
                <w:b/>
                <w:sz w:val="20"/>
              </w:rPr>
              <w:t>Achieved Result</w:t>
            </w:r>
          </w:p>
        </w:tc>
        <w:tc>
          <w:tcPr>
            <w:tcW w:type="dxa" w:w="3041"/>
          </w:tcPr>
          <w:p>
            <w:r>
              <w:rPr>
                <w:rFonts w:ascii="Times New Roman" w:hAnsi="Times New Roman"/>
                <w:b/>
                <w:sz w:val="20"/>
              </w:rPr>
              <w:t>Status</w:t>
            </w:r>
          </w:p>
        </w:tc>
      </w:tr>
      <w:tr>
        <w:tc>
          <w:tcPr>
            <w:tcW w:type="dxa" w:w="3041"/>
          </w:tcPr>
          <w:p>
            <w:r>
              <w:rPr>
                <w:rFonts w:ascii="Times New Roman" w:hAnsi="Times New Roman"/>
                <w:sz w:val="20"/>
              </w:rPr>
              <w:t>Regression RMSE &lt; 4 pp</w:t>
            </w:r>
          </w:p>
        </w:tc>
        <w:tc>
          <w:tcPr>
            <w:tcW w:type="dxa" w:w="3041"/>
          </w:tcPr>
          <w:p>
            <w:r>
              <w:rPr>
                <w:rFonts w:ascii="Times New Roman" w:hAnsi="Times New Roman"/>
                <w:sz w:val="20"/>
              </w:rPr>
              <w:t>XGBoost CV RMSE = 2.87 pp</w:t>
            </w:r>
          </w:p>
        </w:tc>
        <w:tc>
          <w:tcPr>
            <w:tcW w:type="dxa" w:w="3041"/>
          </w:tcPr>
          <w:p>
            <w:r>
              <w:rPr>
                <w:rFonts w:ascii="Times New Roman" w:hAnsi="Times New Roman"/>
                <w:sz w:val="20"/>
              </w:rPr>
              <w:t>Met ✓</w:t>
            </w:r>
          </w:p>
        </w:tc>
      </w:tr>
      <w:tr>
        <w:tc>
          <w:tcPr>
            <w:tcW w:type="dxa" w:w="3041"/>
          </w:tcPr>
          <w:p>
            <w:r>
              <w:rPr>
                <w:rFonts w:ascii="Times New Roman" w:hAnsi="Times New Roman"/>
                <w:sz w:val="20"/>
              </w:rPr>
              <w:t>Classification accuracy ≥ 75%</w:t>
            </w:r>
          </w:p>
        </w:tc>
        <w:tc>
          <w:tcPr>
            <w:tcW w:type="dxa" w:w="3041"/>
          </w:tcPr>
          <w:p>
            <w:r>
              <w:rPr>
                <w:rFonts w:ascii="Times New Roman" w:hAnsi="Times New Roman"/>
                <w:sz w:val="20"/>
              </w:rPr>
              <w:t>Random Forest accuracy = 80%</w:t>
            </w:r>
          </w:p>
        </w:tc>
        <w:tc>
          <w:tcPr>
            <w:tcW w:type="dxa" w:w="3041"/>
          </w:tcPr>
          <w:p>
            <w:r>
              <w:rPr>
                <w:rFonts w:ascii="Times New Roman" w:hAnsi="Times New Roman"/>
                <w:sz w:val="20"/>
              </w:rPr>
              <w:t>Met ✓</w:t>
            </w:r>
          </w:p>
        </w:tc>
      </w:tr>
      <w:tr>
        <w:tc>
          <w:tcPr>
            <w:tcW w:type="dxa" w:w="3041"/>
          </w:tcPr>
          <w:p>
            <w:r>
              <w:rPr>
                <w:rFonts w:ascii="Times New Roman" w:hAnsi="Times New Roman"/>
                <w:sz w:val="20"/>
              </w:rPr>
              <w:t>Clustering silhouette ≥ 0.40</w:t>
            </w:r>
          </w:p>
        </w:tc>
        <w:tc>
          <w:tcPr>
            <w:tcW w:type="dxa" w:w="3041"/>
          </w:tcPr>
          <w:p>
            <w:r>
              <w:rPr>
                <w:rFonts w:ascii="Times New Roman" w:hAnsi="Times New Roman"/>
                <w:sz w:val="20"/>
              </w:rPr>
              <w:t>K-Means (k=2) silhouette = 0.52</w:t>
            </w:r>
          </w:p>
        </w:tc>
        <w:tc>
          <w:tcPr>
            <w:tcW w:type="dxa" w:w="3041"/>
          </w:tcPr>
          <w:p>
            <w:r>
              <w:rPr>
                <w:rFonts w:ascii="Times New Roman" w:hAnsi="Times New Roman"/>
                <w:sz w:val="20"/>
              </w:rPr>
              <w:t>Met ✓</w:t>
            </w:r>
          </w:p>
        </w:tc>
      </w:tr>
      <w:tr>
        <w:tc>
          <w:tcPr>
            <w:tcW w:type="dxa" w:w="3041"/>
          </w:tcPr>
          <w:p>
            <w:r>
              <w:rPr>
                <w:rFonts w:ascii="Times New Roman" w:hAnsi="Times New Roman"/>
                <w:sz w:val="20"/>
              </w:rPr>
              <w:t>≥ 4 of 5 driver hypotheses significant</w:t>
            </w:r>
          </w:p>
        </w:tc>
        <w:tc>
          <w:tcPr>
            <w:tcW w:type="dxa" w:w="3041"/>
          </w:tcPr>
          <w:p>
            <w:r>
              <w:rPr>
                <w:rFonts w:ascii="Times New Roman" w:hAnsi="Times New Roman"/>
                <w:sz w:val="20"/>
              </w:rPr>
              <w:t>All 5 rejected at p &lt; 0.05</w:t>
            </w:r>
          </w:p>
        </w:tc>
        <w:tc>
          <w:tcPr>
            <w:tcW w:type="dxa" w:w="3041"/>
          </w:tcPr>
          <w:p>
            <w:r>
              <w:rPr>
                <w:rFonts w:ascii="Times New Roman" w:hAnsi="Times New Roman"/>
                <w:sz w:val="20"/>
              </w:rPr>
              <w:t>Met ✓</w:t>
            </w:r>
          </w:p>
        </w:tc>
      </w:tr>
      <w:tr>
        <w:tc>
          <w:tcPr>
            <w:tcW w:type="dxa" w:w="3041"/>
          </w:tcPr>
          <w:p>
            <w:r>
              <w:rPr>
                <w:rFonts w:ascii="Times New Roman" w:hAnsi="Times New Roman"/>
                <w:sz w:val="20"/>
              </w:rPr>
              <w:t>Client-side predictor deployed</w:t>
            </w:r>
          </w:p>
        </w:tc>
        <w:tc>
          <w:tcPr>
            <w:tcW w:type="dxa" w:w="3041"/>
          </w:tcPr>
          <w:p>
            <w:r>
              <w:rPr>
                <w:rFonts w:ascii="Times New Roman" w:hAnsi="Times New Roman"/>
                <w:sz w:val="20"/>
              </w:rPr>
              <w:t>predictor.json + predict.ts live in webapp</w:t>
            </w:r>
          </w:p>
        </w:tc>
        <w:tc>
          <w:tcPr>
            <w:tcW w:type="dxa" w:w="3041"/>
          </w:tcPr>
          <w:p>
            <w:r>
              <w:rPr>
                <w:rFonts w:ascii="Times New Roman" w:hAnsi="Times New Roman"/>
                <w:sz w:val="20"/>
              </w:rPr>
              <w:t>Met ✓</w:t>
            </w:r>
          </w:p>
        </w:tc>
      </w:tr>
    </w:tbl>
    <w:p/>
    <w:p>
      <w:pPr>
        <w:pStyle w:val="Heading2"/>
        <w:jc w:val="left"/>
      </w:pPr>
      <w:r>
        <w:rPr>
          <w:rFonts w:ascii="Times New Roman" w:hAnsi="Times New Roman"/>
          <w:color w:val="003366"/>
        </w:rPr>
        <w:t>6.3  Predicted vs Actual</w:t>
      </w:r>
    </w:p>
    <w:p>
      <w:pPr>
        <w:spacing w:after="120"/>
        <w:jc w:val="both"/>
      </w:pPr>
      <w:r>
        <w:rPr>
          <w:rFonts w:ascii="Times New Roman" w:hAnsi="Times New Roman"/>
          <w:b w:val="0"/>
          <w:i w:val="0"/>
          <w:sz w:val="24"/>
        </w:rPr>
        <w:t>The scatter plot of predicted vs actual stunting rates on the hold-out test set shows good agreement around the 45° diagonal for most observations. The main deviations occur at the extremes of the distribution — consistent with tree-based models tending to shrink extreme predictions toward the training mean.</w:t>
      </w:r>
    </w:p>
    <w:p>
      <w:pPr>
        <w:jc w:val="center"/>
      </w:pPr>
      <w:r>
        <w:drawing>
          <wp:inline xmlns:a="http://schemas.openxmlformats.org/drawingml/2006/main" xmlns:pic="http://schemas.openxmlformats.org/drawingml/2006/picture">
            <wp:extent cx="5029200" cy="5023037"/>
            <wp:docPr id="12" name="Picture 12"/>
            <wp:cNvGraphicFramePr>
              <a:graphicFrameLocks noChangeAspect="1"/>
            </wp:cNvGraphicFramePr>
            <a:graphic>
              <a:graphicData uri="http://schemas.openxmlformats.org/drawingml/2006/picture">
                <pic:pic>
                  <pic:nvPicPr>
                    <pic:cNvPr id="0" name="09_predicted_vs_actual.png"/>
                    <pic:cNvPicPr/>
                  </pic:nvPicPr>
                  <pic:blipFill>
                    <a:blip r:embed="rId20"/>
                    <a:stretch>
                      <a:fillRect/>
                    </a:stretch>
                  </pic:blipFill>
                  <pic:spPr>
                    <a:xfrm>
                      <a:off x="0" y="0"/>
                      <a:ext cx="5029200" cy="5023037"/>
                    </a:xfrm>
                    <a:prstGeom prst="rect"/>
                  </pic:spPr>
                </pic:pic>
              </a:graphicData>
            </a:graphic>
          </wp:inline>
        </w:drawing>
      </w:r>
    </w:p>
    <w:p>
      <w:pPr>
        <w:spacing w:after="240"/>
        <w:jc w:val="center"/>
      </w:pPr>
      <w:r>
        <w:rPr>
          <w:rFonts w:ascii="Times New Roman" w:hAnsi="Times New Roman"/>
          <w:i/>
          <w:sz w:val="20"/>
        </w:rPr>
        <w:t>Figure 12: Predicted vs Actual Stunting Rate — Hold-out Test Set (XGBoost)</w:t>
      </w:r>
    </w:p>
    <w:p>
      <w:r>
        <w:br w:type="page"/>
      </w:r>
    </w:p>
    <w:p>
      <w:pPr>
        <w:pStyle w:val="Heading1"/>
        <w:jc w:val="left"/>
      </w:pPr>
      <w:r>
        <w:rPr>
          <w:rFonts w:ascii="Times New Roman" w:hAnsi="Times New Roman"/>
          <w:color w:val="003366"/>
        </w:rPr>
        <w:t>7.  Deployment</w:t>
      </w:r>
    </w:p>
    <w:p>
      <w:pPr>
        <w:pStyle w:val="Heading2"/>
        <w:jc w:val="left"/>
      </w:pPr>
      <w:r>
        <w:rPr>
          <w:rFonts w:ascii="Times New Roman" w:hAnsi="Times New Roman"/>
          <w:color w:val="003366"/>
        </w:rPr>
        <w:t>7.1  Offline Artefacts</w:t>
      </w:r>
    </w:p>
    <w:p>
      <w:pPr>
        <w:spacing w:after="120"/>
        <w:jc w:val="both"/>
      </w:pPr>
      <w:r>
        <w:rPr>
          <w:rFonts w:ascii="Times New Roman" w:hAnsi="Times New Roman"/>
          <w:b w:val="0"/>
          <w:i w:val="0"/>
          <w:sz w:val="24"/>
        </w:rPr>
        <w:t>The pipeline produces the following persistent artefacts in the outputs/ directory:</w:t>
      </w:r>
    </w:p>
    <w:p>
      <w:pPr>
        <w:pStyle w:val="ListBullet"/>
        <w:ind w:left="680"/>
      </w:pPr>
      <w:r>
        <w:rPr>
          <w:rFonts w:ascii="Times New Roman" w:hAnsi="Times New Roman"/>
          <w:sz w:val="22"/>
        </w:rPr>
        <w:t>best_model.joblib — Serialised XGBoost model for batch scoring.</w:t>
      </w:r>
    </w:p>
    <w:p>
      <w:pPr>
        <w:pStyle w:val="ListBullet"/>
        <w:ind w:left="680"/>
      </w:pPr>
      <w:r>
        <w:rPr>
          <w:rFonts w:ascii="Times New Roman" w:hAnsi="Times New Roman"/>
          <w:sz w:val="22"/>
        </w:rPr>
        <w:t>hotspots_ranked.csv — Ranked list of all regions with predicted stunting, WHO band, cluster label, and 2026/2028 forecast. Primary output for Ministry targeting.</w:t>
      </w:r>
    </w:p>
    <w:p>
      <w:pPr>
        <w:pStyle w:val="ListBullet"/>
        <w:ind w:left="680"/>
      </w:pPr>
      <w:r>
        <w:rPr>
          <w:rFonts w:ascii="Times New Roman" w:hAnsi="Times New Roman"/>
          <w:sz w:val="22"/>
        </w:rPr>
        <w:t>model_leaderboard.csv — Full comparison of all ten regression models.</w:t>
      </w:r>
    </w:p>
    <w:p>
      <w:pPr>
        <w:pStyle w:val="ListBullet"/>
        <w:ind w:left="680"/>
      </w:pPr>
      <w:r>
        <w:rPr>
          <w:rFonts w:ascii="Times New Roman" w:hAnsi="Times New Roman"/>
          <w:sz w:val="22"/>
        </w:rPr>
        <w:t>classifier_leaderboard.csv — Classification model comparison with confusion matrices.</w:t>
      </w:r>
    </w:p>
    <w:p>
      <w:pPr>
        <w:pStyle w:val="ListBullet"/>
        <w:ind w:left="680"/>
      </w:pPr>
      <w:r>
        <w:rPr>
          <w:rFonts w:ascii="Times New Roman" w:hAnsi="Times New Roman"/>
          <w:sz w:val="22"/>
        </w:rPr>
        <w:t>cluster_profiles.csv — Feature-mean profiles for each K-Means cluster.</w:t>
      </w:r>
    </w:p>
    <w:p>
      <w:pPr>
        <w:pStyle w:val="ListBullet"/>
        <w:ind w:left="680"/>
      </w:pPr>
      <w:r>
        <w:rPr>
          <w:rFonts w:ascii="Times New Roman" w:hAnsi="Times New Roman"/>
          <w:sz w:val="22"/>
        </w:rPr>
        <w:t>forecasts.csv — Per-region linear trend slopes and forecasts to 2026/2028.</w:t>
      </w:r>
    </w:p>
    <w:p>
      <w:pPr>
        <w:pStyle w:val="ListBullet"/>
        <w:ind w:left="680"/>
      </w:pPr>
      <w:r>
        <w:rPr>
          <w:rFonts w:ascii="Times New Roman" w:hAnsi="Times New Roman"/>
          <w:sz w:val="22"/>
        </w:rPr>
        <w:t>hypothesis_tests.csv — Machine-readable summary of all H1-H6 test results.</w:t>
      </w:r>
    </w:p>
    <w:p>
      <w:pPr>
        <w:pStyle w:val="ListBullet"/>
        <w:ind w:left="680"/>
      </w:pPr>
      <w:r>
        <w:rPr>
          <w:rFonts w:ascii="Times New Roman" w:hAnsi="Times New Roman"/>
          <w:sz w:val="22"/>
        </w:rPr>
        <w:t>predictor.json — Exportable coefficients and centroids for client-side inference.</w:t>
      </w:r>
    </w:p>
    <w:p>
      <w:pPr>
        <w:pStyle w:val="Heading2"/>
        <w:jc w:val="left"/>
      </w:pPr>
      <w:r>
        <w:rPr>
          <w:rFonts w:ascii="Times New Roman" w:hAnsi="Times New Roman"/>
          <w:color w:val="003366"/>
        </w:rPr>
        <w:t>7.2  Interactive Web Application</w:t>
      </w:r>
    </w:p>
    <w:p>
      <w:pPr>
        <w:spacing w:after="120"/>
        <w:jc w:val="both"/>
      </w:pPr>
      <w:r>
        <w:rPr>
          <w:rFonts w:ascii="Times New Roman" w:hAnsi="Times New Roman"/>
          <w:b w:val="0"/>
          <w:i w:val="0"/>
          <w:sz w:val="24"/>
        </w:rPr>
        <w:t>A Next.js 16 web application (React 19, TypeScript, Tailwind CSS 4) is deployed as the primary human-facing interface. The application consists of ten pages:</w:t>
      </w:r>
    </w:p>
    <w:p>
      <w:pPr>
        <w:pStyle w:val="ListBullet"/>
        <w:ind w:left="680"/>
      </w:pPr>
      <w:r>
        <w:rPr>
          <w:rFonts w:ascii="Times New Roman" w:hAnsi="Times New Roman"/>
          <w:sz w:val="22"/>
        </w:rPr>
        <w:t>Home — Key performance indicators (KPIs), hypothesis summary strip, top-10 hotspots.</w:t>
      </w:r>
    </w:p>
    <w:p>
      <w:pPr>
        <w:pStyle w:val="ListBullet"/>
        <w:ind w:left="680"/>
      </w:pPr>
      <w:r>
        <w:rPr>
          <w:rFonts w:ascii="Times New Roman" w:hAnsi="Times New Roman"/>
          <w:sz w:val="22"/>
        </w:rPr>
        <w:t>Hotspots — Choropleth map of Cameroon colour-coded by predicted stunting band + ranked table.</w:t>
      </w:r>
    </w:p>
    <w:p>
      <w:pPr>
        <w:pStyle w:val="ListBullet"/>
        <w:ind w:left="680"/>
      </w:pPr>
      <w:r>
        <w:rPr>
          <w:rFonts w:ascii="Times New Roman" w:hAnsi="Times New Roman"/>
          <w:sz w:val="22"/>
        </w:rPr>
        <w:t>Regression — Interactive model leaderboard chart.</w:t>
      </w:r>
    </w:p>
    <w:p>
      <w:pPr>
        <w:pStyle w:val="ListBullet"/>
        <w:ind w:left="680"/>
      </w:pPr>
      <w:r>
        <w:rPr>
          <w:rFonts w:ascii="Times New Roman" w:hAnsi="Times New Roman"/>
          <w:sz w:val="22"/>
        </w:rPr>
        <w:t>Classification — Confusion matrix and per-class precision/recall/F1.</w:t>
      </w:r>
    </w:p>
    <w:p>
      <w:pPr>
        <w:pStyle w:val="ListBullet"/>
        <w:ind w:left="680"/>
      </w:pPr>
      <w:r>
        <w:rPr>
          <w:rFonts w:ascii="Times New Roman" w:hAnsi="Times New Roman"/>
          <w:sz w:val="22"/>
        </w:rPr>
        <w:t>Clustering — Cluster profiles and silhouette scores.</w:t>
      </w:r>
    </w:p>
    <w:p>
      <w:pPr>
        <w:pStyle w:val="ListBullet"/>
        <w:ind w:left="680"/>
      </w:pPr>
      <w:r>
        <w:rPr>
          <w:rFonts w:ascii="Times New Roman" w:hAnsi="Times New Roman"/>
          <w:sz w:val="22"/>
        </w:rPr>
        <w:t>Forecasts — Per-region time-series trend lines with 2026/2028 projections.</w:t>
      </w:r>
    </w:p>
    <w:p>
      <w:pPr>
        <w:pStyle w:val="ListBullet"/>
        <w:ind w:left="680"/>
      </w:pPr>
      <w:r>
        <w:rPr>
          <w:rFonts w:ascii="Times New Roman" w:hAnsi="Times New Roman"/>
          <w:sz w:val="22"/>
        </w:rPr>
        <w:t>Hypotheses — H1-H6 cards with test statistics, p-values, and plain-English interpretation.</w:t>
      </w:r>
    </w:p>
    <w:p>
      <w:pPr>
        <w:pStyle w:val="ListBullet"/>
        <w:ind w:left="680"/>
      </w:pPr>
      <w:r>
        <w:rPr>
          <w:rFonts w:ascii="Times New Roman" w:hAnsi="Times New Roman"/>
          <w:sz w:val="22"/>
        </w:rPr>
        <w:t>Data Explorer — Filterable, sortable table of all 50 region-year observations.</w:t>
      </w:r>
    </w:p>
    <w:p>
      <w:pPr>
        <w:pStyle w:val="ListBullet"/>
        <w:ind w:left="680"/>
      </w:pPr>
      <w:r>
        <w:rPr>
          <w:rFonts w:ascii="Times New Roman" w:hAnsi="Times New Roman"/>
          <w:sz w:val="22"/>
        </w:rPr>
        <w:t>What-If Predictor — Client-side interactive predictor: sliders for all 15 features → immediate stunting estimate, risk band, and nearest cluster without any server call.</w:t>
      </w:r>
    </w:p>
    <w:p>
      <w:pPr>
        <w:pStyle w:val="ListBullet"/>
        <w:ind w:left="680"/>
      </w:pPr>
      <w:r>
        <w:rPr>
          <w:rFonts w:ascii="Times New Roman" w:hAnsi="Times New Roman"/>
          <w:sz w:val="22"/>
        </w:rPr>
        <w:t>Region Drill-down — Full profile for any selected region across all survey years.</w:t>
      </w:r>
    </w:p>
    <w:p>
      <w:pPr>
        <w:spacing w:after="120"/>
        <w:jc w:val="both"/>
      </w:pPr>
      <w:r>
        <w:rPr>
          <w:rFonts w:ascii="Times New Roman" w:hAnsi="Times New Roman"/>
          <w:b w:val="0"/>
          <w:i w:val="0"/>
          <w:sz w:val="24"/>
        </w:rPr>
        <w:t>The client-side predictor implements Linear Regression (for a continuous estimate), Logistic Regression (for the WHO band), and K-Means nearest-centroid assignment entirely in TypeScript (predict.ts), loading coefficient arrays from predictor.json. This architecture means the predictor functions offline and incurs no inference latency.</w:t>
      </w:r>
    </w:p>
    <w:p>
      <w:pPr>
        <w:pStyle w:val="Heading2"/>
        <w:jc w:val="left"/>
      </w:pPr>
      <w:r>
        <w:rPr>
          <w:rFonts w:ascii="Times New Roman" w:hAnsi="Times New Roman"/>
          <w:color w:val="003366"/>
        </w:rPr>
        <w:t>7.3  Hotspot Ranking Output</w:t>
      </w:r>
    </w:p>
    <w:p>
      <w:pPr>
        <w:spacing w:after="120"/>
        <w:jc w:val="both"/>
      </w:pPr>
      <w:r>
        <w:rPr>
          <w:rFonts w:ascii="Times New Roman" w:hAnsi="Times New Roman"/>
          <w:b w:val="0"/>
          <w:i w:val="0"/>
          <w:sz w:val="24"/>
        </w:rPr>
        <w:t>The primary actionable output of the pipeline is the ranked hotspot table, showing the top regions by predicted stunting rate in 2018 alongside their cluster, forecast, and risk band.</w:t>
      </w:r>
    </w:p>
    <w:p>
      <w:pPr>
        <w:jc w:val="center"/>
      </w:pPr>
      <w:r>
        <w:drawing>
          <wp:inline xmlns:a="http://schemas.openxmlformats.org/drawingml/2006/main" xmlns:pic="http://schemas.openxmlformats.org/drawingml/2006/picture">
            <wp:extent cx="5029200" cy="3083450"/>
            <wp:docPr id="13" name="Picture 13"/>
            <wp:cNvGraphicFramePr>
              <a:graphicFrameLocks noChangeAspect="1"/>
            </wp:cNvGraphicFramePr>
            <a:graphic>
              <a:graphicData uri="http://schemas.openxmlformats.org/drawingml/2006/picture">
                <pic:pic>
                  <pic:nvPicPr>
                    <pic:cNvPr id="0" name="10_hotspots_top15.png"/>
                    <pic:cNvPicPr/>
                  </pic:nvPicPr>
                  <pic:blipFill>
                    <a:blip r:embed="rId21"/>
                    <a:stretch>
                      <a:fillRect/>
                    </a:stretch>
                  </pic:blipFill>
                  <pic:spPr>
                    <a:xfrm>
                      <a:off x="0" y="0"/>
                      <a:ext cx="5029200" cy="3083450"/>
                    </a:xfrm>
                    <a:prstGeom prst="rect"/>
                  </pic:spPr>
                </pic:pic>
              </a:graphicData>
            </a:graphic>
          </wp:inline>
        </w:drawing>
      </w:r>
    </w:p>
    <w:p>
      <w:pPr>
        <w:spacing w:after="240"/>
        <w:jc w:val="center"/>
      </w:pPr>
      <w:r>
        <w:rPr>
          <w:rFonts w:ascii="Times New Roman" w:hAnsi="Times New Roman"/>
          <w:i/>
          <w:sz w:val="20"/>
        </w:rPr>
        <w:t>Figure 13: Top 15 Predicted Stunting Hotspots by Region (2018, XGBoost scores)</w:t>
      </w:r>
    </w:p>
    <w:p>
      <w:r>
        <w:br w:type="page"/>
      </w:r>
    </w:p>
    <w:p>
      <w:pPr>
        <w:pStyle w:val="Heading1"/>
        <w:jc w:val="left"/>
      </w:pPr>
      <w:r>
        <w:rPr>
          <w:rFonts w:ascii="Times New Roman" w:hAnsi="Times New Roman"/>
          <w:color w:val="003366"/>
        </w:rPr>
        <w:t>8.  Results and Discussion</w:t>
      </w:r>
    </w:p>
    <w:p>
      <w:pPr>
        <w:pStyle w:val="Heading2"/>
        <w:jc w:val="left"/>
      </w:pPr>
      <w:r>
        <w:rPr>
          <w:rFonts w:ascii="Times New Roman" w:hAnsi="Times New Roman"/>
          <w:color w:val="003366"/>
        </w:rPr>
        <w:t>8.1  North-South Gradient</w:t>
      </w:r>
    </w:p>
    <w:p>
      <w:pPr>
        <w:spacing w:after="120"/>
        <w:jc w:val="both"/>
      </w:pPr>
      <w:r>
        <w:rPr>
          <w:rFonts w:ascii="Times New Roman" w:hAnsi="Times New Roman"/>
          <w:b w:val="0"/>
          <w:i w:val="0"/>
          <w:sz w:val="24"/>
        </w:rPr>
        <w:t>The most prominent finding is the robustness and persistence of the north-south stunting gradient. Far North (37.9% predicted, 2018), North (37.2%), and Adamawa (36.5%) consistently occupy the top three positions in the hotspot ranking across every survey wave. This gradient is not simply a reflection of income differences: when controlling for wealth proxy, healthcare access retains its partial correlation with stunting (H4, ρ = −0.78), suggesting that health system investment in the north is independently important beyond the wealth effect.</w:t>
      </w:r>
    </w:p>
    <w:p>
      <w:pPr>
        <w:pStyle w:val="Heading2"/>
        <w:jc w:val="left"/>
      </w:pPr>
      <w:r>
        <w:rPr>
          <w:rFonts w:ascii="Times New Roman" w:hAnsi="Times New Roman"/>
          <w:color w:val="003366"/>
        </w:rPr>
        <w:t>8.2  Key Drivers</w:t>
      </w:r>
    </w:p>
    <w:p>
      <w:pPr>
        <w:spacing w:after="120"/>
        <w:jc w:val="both"/>
      </w:pPr>
      <w:r>
        <w:rPr>
          <w:rFonts w:ascii="Times New Roman" w:hAnsi="Times New Roman"/>
          <w:b w:val="0"/>
          <w:i w:val="0"/>
          <w:sz w:val="24"/>
        </w:rPr>
        <w:t>Healthcare access (H4) is the single strongest statistical correlate of stunting (ρ = −0.78, p = 2.84 × 10⁻¹¹), followed by socio-economic status proxy (H3, ρ = −0.71), maternal education (H1, ρ = −0.54), and WASH composite (H2, ρ = −0.50). Malaria prevalence shows a positive correlation (H5, ρ = +0.36), consistent with the established pathway from malaria burden to nutritional depletion. These findings align with the broader malnutrition literature and validate the feature selection strategy.</w:t>
      </w:r>
    </w:p>
    <w:p>
      <w:pPr>
        <w:pStyle w:val="Heading2"/>
        <w:jc w:val="left"/>
      </w:pPr>
      <w:r>
        <w:rPr>
          <w:rFonts w:ascii="Times New Roman" w:hAnsi="Times New Roman"/>
          <w:color w:val="003366"/>
        </w:rPr>
        <w:t>8.3  Model Performance</w:t>
      </w:r>
    </w:p>
    <w:p>
      <w:pPr>
        <w:spacing w:after="120"/>
        <w:jc w:val="both"/>
      </w:pPr>
      <w:r>
        <w:rPr>
          <w:rFonts w:ascii="Times New Roman" w:hAnsi="Times New Roman"/>
          <w:b w:val="0"/>
          <w:i w:val="0"/>
          <w:sz w:val="24"/>
        </w:rPr>
        <w:t>XGBoost's 60% RMSE improvement over the baseline (2.87 vs 7.17 pp) is both statistically significant (p = 0.003) and practically meaningful: a prediction error of 2.87 pp on a target variable ranging from 15–46% implies that the model can distinguish 'medium' from 'high' risk regions with high confidence. The Random Forest classifier's 80% accuracy confirms that WHO risk bands are predictable from observable features.</w:t>
      </w:r>
    </w:p>
    <w:p>
      <w:pPr>
        <w:pStyle w:val="Heading2"/>
        <w:jc w:val="left"/>
      </w:pPr>
      <w:r>
        <w:rPr>
          <w:rFonts w:ascii="Times New Roman" w:hAnsi="Times New Roman"/>
          <w:color w:val="003366"/>
        </w:rPr>
        <w:t>8.4  Clustering Insights</w:t>
      </w:r>
    </w:p>
    <w:p>
      <w:pPr>
        <w:spacing w:after="120"/>
        <w:jc w:val="both"/>
      </w:pPr>
      <w:r>
        <w:rPr>
          <w:rFonts w:ascii="Times New Roman" w:hAnsi="Times New Roman"/>
          <w:b w:val="0"/>
          <w:i w:val="0"/>
          <w:sz w:val="24"/>
        </w:rPr>
        <w:t>The two-cluster solution is substantively interpretable and policy-relevant. The 'Northern-rural critical risk' cluster is characterised by low female secondary enrolment (1.9% vs 10.3%), low literacy (43.6% vs 87.2%), poor WASH coverage, and a stunting rate 14 pp higher than the 'Urban-affluent' cluster. This implies that interventions in northern regions must simultaneously address education, WASH, and healthcare — a 'bundle' approach — rather than targeting any single determinant.</w:t>
      </w:r>
    </w:p>
    <w:p>
      <w:pPr>
        <w:pStyle w:val="Heading2"/>
        <w:jc w:val="left"/>
      </w:pPr>
      <w:r>
        <w:rPr>
          <w:rFonts w:ascii="Times New Roman" w:hAnsi="Times New Roman"/>
          <w:color w:val="003366"/>
        </w:rPr>
        <w:t>8.5  Forecasting Implications</w:t>
      </w:r>
    </w:p>
    <w:p>
      <w:pPr>
        <w:spacing w:after="120"/>
        <w:jc w:val="both"/>
      </w:pPr>
      <w:r>
        <w:rPr>
          <w:rFonts w:ascii="Times New Roman" w:hAnsi="Times New Roman"/>
          <w:b w:val="0"/>
          <w:i w:val="0"/>
          <w:sz w:val="24"/>
        </w:rPr>
        <w:t>Linear trend extrapolation indicates that at current improvement rates, even the fastest-improving northern region (Adamawa, −0.15 pp/yr) will still report 34.2% stunting in 2028. The Far North is projected at 37.6%. Without accelerated, multi-sectoral intervention, the northern regions will remain in the WHO 'high' or 'critical' band through at least 2030 — a finding that underscores the urgency of prioritised action.</w:t>
      </w:r>
    </w:p>
    <w:p>
      <w:pPr>
        <w:pStyle w:val="Heading2"/>
        <w:jc w:val="left"/>
      </w:pPr>
      <w:r>
        <w:rPr>
          <w:rFonts w:ascii="Times New Roman" w:hAnsi="Times New Roman"/>
          <w:color w:val="003366"/>
        </w:rPr>
        <w:t>8.6  Limitations</w:t>
      </w:r>
    </w:p>
    <w:p>
      <w:pPr>
        <w:pStyle w:val="ListBullet"/>
        <w:ind w:left="680"/>
      </w:pPr>
      <w:r>
        <w:rPr>
          <w:rFonts w:ascii="Times New Roman" w:hAnsi="Times New Roman"/>
          <w:sz w:val="22"/>
        </w:rPr>
        <w:t>Sample size: 50 region-year observations is small for machine learning; models may overfit despite cross-validation.</w:t>
      </w:r>
    </w:p>
    <w:p>
      <w:pPr>
        <w:pStyle w:val="ListBullet"/>
        <w:ind w:left="680"/>
      </w:pPr>
      <w:r>
        <w:rPr>
          <w:rFonts w:ascii="Times New Roman" w:hAnsi="Times New Roman"/>
          <w:sz w:val="22"/>
        </w:rPr>
        <w:t>Causal inference: all associations are observational. Confounding variables not captured in the DHS (e.g., conflict events, climate shocks) may influence both features and stunting.</w:t>
      </w:r>
    </w:p>
    <w:p>
      <w:pPr>
        <w:pStyle w:val="ListBullet"/>
        <w:ind w:left="680"/>
      </w:pPr>
      <w:r>
        <w:rPr>
          <w:rFonts w:ascii="Times New Roman" w:hAnsi="Times New Roman"/>
          <w:sz w:val="22"/>
        </w:rPr>
        <w:t>Temporal lag: stunting reflects nutritional conditions over prior years, not the current survey year — feature values from the same year are measured concurrently, not as leads.</w:t>
      </w:r>
    </w:p>
    <w:p>
      <w:pPr>
        <w:pStyle w:val="ListBullet"/>
        <w:ind w:left="680"/>
      </w:pPr>
      <w:r>
        <w:rPr>
          <w:rFonts w:ascii="Times New Roman" w:hAnsi="Times New Roman"/>
          <w:sz w:val="22"/>
        </w:rPr>
        <w:t>Linearity of forecasts: linear trend extrapolation assumes a constant rate of change; non-linear dynamics (policy shifts, conflict) are not captured.</w:t>
      </w:r>
    </w:p>
    <w:p>
      <w:pPr>
        <w:pStyle w:val="ListBullet"/>
        <w:ind w:left="680"/>
      </w:pPr>
      <w:r>
        <w:rPr>
          <w:rFonts w:ascii="Times New Roman" w:hAnsi="Times New Roman"/>
          <w:sz w:val="22"/>
        </w:rPr>
        <w:t>Mega-region imputation: 1991/1998 observations are broadcast from large administrative units to sub-regions, inflating sample size without adding independent information.</w:t>
      </w:r>
    </w:p>
    <w:p>
      <w:r>
        <w:br w:type="page"/>
      </w:r>
    </w:p>
    <w:p>
      <w:pPr>
        <w:pStyle w:val="Heading1"/>
        <w:jc w:val="left"/>
      </w:pPr>
      <w:r>
        <w:rPr>
          <w:rFonts w:ascii="Times New Roman" w:hAnsi="Times New Roman"/>
          <w:color w:val="003366"/>
        </w:rPr>
        <w:t>9.  Conclusions and Recommendations</w:t>
      </w:r>
    </w:p>
    <w:p>
      <w:pPr>
        <w:pStyle w:val="Heading2"/>
        <w:jc w:val="left"/>
      </w:pPr>
      <w:r>
        <w:rPr>
          <w:rFonts w:ascii="Times New Roman" w:hAnsi="Times New Roman"/>
          <w:color w:val="003366"/>
        </w:rPr>
        <w:t>9.1  Conclusions</w:t>
      </w:r>
    </w:p>
    <w:p>
      <w:pPr>
        <w:spacing w:after="120"/>
        <w:jc w:val="both"/>
      </w:pPr>
      <w:r>
        <w:rPr>
          <w:rFonts w:ascii="Times New Roman" w:hAnsi="Times New Roman"/>
          <w:b w:val="0"/>
          <w:i w:val="0"/>
          <w:sz w:val="24"/>
        </w:rPr>
        <w:t>This project has demonstrated that a CRISP-DM data mining pipeline applied to real Cameroon DHS/MICS sub-national survey data can produce actionable, statistically validated intelligence for public health targeting. The key conclusions are:</w:t>
      </w:r>
    </w:p>
    <w:p>
      <w:pPr>
        <w:pStyle w:val="ListBullet"/>
        <w:ind w:left="680"/>
      </w:pPr>
      <w:r>
        <w:rPr>
          <w:rFonts w:ascii="Times New Roman" w:hAnsi="Times New Roman"/>
          <w:sz w:val="22"/>
        </w:rPr>
        <w:t>All six a priori hypotheses were rejected at p &lt; 0.05, confirming that healthcare access, socio-economic status, maternal education, WASH infrastructure, and malaria burden are all significant predictors of regional child stunting rates.</w:t>
      </w:r>
    </w:p>
    <w:p>
      <w:pPr>
        <w:pStyle w:val="ListBullet"/>
        <w:ind w:left="680"/>
      </w:pPr>
      <w:r>
        <w:rPr>
          <w:rFonts w:ascii="Times New Roman" w:hAnsi="Times New Roman"/>
          <w:sz w:val="22"/>
        </w:rPr>
        <w:t>XGBoost achieves a 60% improvement in predictive accuracy over the mean baseline (CV RMSE = 2.87 pp vs 7.17 pp, p = 0.003), validating the use of machine learning for subnational malnutrition prediction.</w:t>
      </w:r>
    </w:p>
    <w:p>
      <w:pPr>
        <w:pStyle w:val="ListBullet"/>
        <w:ind w:left="680"/>
      </w:pPr>
      <w:r>
        <w:rPr>
          <w:rFonts w:ascii="Times New Roman" w:hAnsi="Times New Roman"/>
          <w:sz w:val="22"/>
        </w:rPr>
        <w:t>K-Means clustering (k = 2, silhouette = 0.52) identifies two distinct region archetypes — northern-rural high-risk and urban-affluent low-risk — that should inform differentiated intervention strategies.</w:t>
      </w:r>
    </w:p>
    <w:p>
      <w:pPr>
        <w:pStyle w:val="ListBullet"/>
        <w:ind w:left="680"/>
      </w:pPr>
      <w:r>
        <w:rPr>
          <w:rFonts w:ascii="Times New Roman" w:hAnsi="Times New Roman"/>
          <w:sz w:val="22"/>
        </w:rPr>
        <w:t>At current linear improvement rates, northern regions will not exit the WHO 'high' risk band before at least 2030, highlighting the need for accelerated intervention.</w:t>
      </w:r>
    </w:p>
    <w:p>
      <w:pPr>
        <w:pStyle w:val="ListBullet"/>
        <w:ind w:left="680"/>
      </w:pPr>
      <w:r>
        <w:rPr>
          <w:rFonts w:ascii="Times New Roman" w:hAnsi="Times New Roman"/>
          <w:sz w:val="22"/>
        </w:rPr>
        <w:t>The client-side interactive predictor successfully deploys the trained models without a back-end server, enabling offline use in low-connectivity field settings.</w:t>
      </w:r>
    </w:p>
    <w:p>
      <w:pPr>
        <w:pStyle w:val="Heading2"/>
        <w:jc w:val="left"/>
      </w:pPr>
      <w:r>
        <w:rPr>
          <w:rFonts w:ascii="Times New Roman" w:hAnsi="Times New Roman"/>
          <w:color w:val="003366"/>
        </w:rPr>
        <w:t>9.2  Policy Recommendations</w:t>
      </w:r>
    </w:p>
    <w:p>
      <w:pPr>
        <w:pStyle w:val="ListBullet"/>
        <w:ind w:left="680"/>
      </w:pPr>
      <w:r>
        <w:rPr>
          <w:rFonts w:ascii="Times New Roman" w:hAnsi="Times New Roman"/>
          <w:sz w:val="22"/>
        </w:rPr>
        <w:t>Priority targeting: Concentrate the first wave of nutrition and WASH investments on Far North, North, and Adamawa. These three regions consistently appear in the top three hotspot positions across every analytical lens (regression, classification, clustering, forecast).</w:t>
      </w:r>
    </w:p>
    <w:p>
      <w:pPr>
        <w:pStyle w:val="ListBullet"/>
        <w:ind w:left="680"/>
      </w:pPr>
      <w:r>
        <w:rPr>
          <w:rFonts w:ascii="Times New Roman" w:hAnsi="Times New Roman"/>
          <w:sz w:val="22"/>
        </w:rPr>
        <w:t>Bundle interventions: The two-cluster solution shows that high-risk regions suffer from simultaneous deficits in education, WASH, and healthcare. Single-sector interventions are unlikely to achieve the required stunting reduction. A bundled, multi-sectoral approach should be prioritised.</w:t>
      </w:r>
    </w:p>
    <w:p>
      <w:pPr>
        <w:pStyle w:val="ListBullet"/>
        <w:ind w:left="680"/>
      </w:pPr>
      <w:r>
        <w:rPr>
          <w:rFonts w:ascii="Times New Roman" w:hAnsi="Times New Roman"/>
          <w:sz w:val="22"/>
        </w:rPr>
        <w:t>Monitor improvement velocity: Regions with the slowest improvement slopes (Far North: −0.09 pp/yr) should receive disproportionately higher investment relative to their absolute stunting level to close the north-south gap.</w:t>
      </w:r>
    </w:p>
    <w:p>
      <w:pPr>
        <w:pStyle w:val="ListBullet"/>
        <w:ind w:left="680"/>
      </w:pPr>
      <w:r>
        <w:rPr>
          <w:rFonts w:ascii="Times New Roman" w:hAnsi="Times New Roman"/>
          <w:sz w:val="22"/>
        </w:rPr>
        <w:t>Use the What-If Predictor: District health officers should be trained to use the web application's predictor page to simulate the expected impact of improvements in healthcare access coverage before committing intervention budgets.</w:t>
      </w:r>
    </w:p>
    <w:p>
      <w:pPr>
        <w:pStyle w:val="ListBullet"/>
        <w:ind w:left="680"/>
      </w:pPr>
      <w:r>
        <w:rPr>
          <w:rFonts w:ascii="Times New Roman" w:hAnsi="Times New Roman"/>
          <w:sz w:val="22"/>
        </w:rPr>
        <w:t>Update with 2024/2025 DHS data: Once the next DHS wave is published, the pipeline should be re-run to update forecasts and re-validate the model on out-of-sample data.</w:t>
      </w:r>
    </w:p>
    <w:p>
      <w:pPr>
        <w:pStyle w:val="Heading2"/>
        <w:jc w:val="left"/>
      </w:pPr>
      <w:r>
        <w:rPr>
          <w:rFonts w:ascii="Times New Roman" w:hAnsi="Times New Roman"/>
          <w:color w:val="003366"/>
        </w:rPr>
        <w:t>9.3  Future Work</w:t>
      </w:r>
    </w:p>
    <w:p>
      <w:pPr>
        <w:pStyle w:val="ListBullet"/>
        <w:ind w:left="680"/>
      </w:pPr>
      <w:r>
        <w:rPr>
          <w:rFonts w:ascii="Times New Roman" w:hAnsi="Times New Roman"/>
          <w:sz w:val="22"/>
        </w:rPr>
        <w:t>Spatial autocorrelation: Apply Moran's I and spatial lag models to explicitly account for geographic spillover effects between neighbouring regions.</w:t>
      </w:r>
    </w:p>
    <w:p>
      <w:pPr>
        <w:pStyle w:val="ListBullet"/>
        <w:ind w:left="680"/>
      </w:pPr>
      <w:r>
        <w:rPr>
          <w:rFonts w:ascii="Times New Roman" w:hAnsi="Times New Roman"/>
          <w:sz w:val="22"/>
        </w:rPr>
        <w:t>Causal modelling: Use difference-in-differences or synthetic control methods with natural policy experiments to move from correlation to causal attribution.</w:t>
      </w:r>
    </w:p>
    <w:p>
      <w:pPr>
        <w:pStyle w:val="ListBullet"/>
        <w:ind w:left="680"/>
      </w:pPr>
      <w:r>
        <w:rPr>
          <w:rFonts w:ascii="Times New Roman" w:hAnsi="Times New Roman"/>
          <w:sz w:val="22"/>
        </w:rPr>
        <w:t>Deep learning: Explore LSTM time-series models to capture non-linear temporal dynamics in the stunting trend as more survey waves become available.</w:t>
      </w:r>
    </w:p>
    <w:p>
      <w:pPr>
        <w:pStyle w:val="ListBullet"/>
        <w:ind w:left="680"/>
      </w:pPr>
      <w:r>
        <w:rPr>
          <w:rFonts w:ascii="Times New Roman" w:hAnsi="Times New Roman"/>
          <w:sz w:val="22"/>
        </w:rPr>
        <w:t>Integration with conflict and climate data: Overlay ACLED conflict event data and CHIRPS rainfall anomaly data to capture the additional variance attributable to humanitarian and environmental shocks.</w:t>
      </w:r>
    </w:p>
    <w:p>
      <w:r>
        <w:br w:type="page"/>
      </w:r>
    </w:p>
    <w:p>
      <w:pPr>
        <w:pStyle w:val="Heading1"/>
        <w:jc w:val="left"/>
      </w:pPr>
      <w:r>
        <w:rPr>
          <w:rFonts w:ascii="Times New Roman" w:hAnsi="Times New Roman"/>
          <w:color w:val="003366"/>
        </w:rPr>
        <w:t>References</w:t>
      </w:r>
    </w:p>
    <w:p>
      <w:pPr>
        <w:spacing w:after="120"/>
        <w:ind w:left="709" w:hanging="709"/>
      </w:pPr>
      <w:r>
        <w:rPr>
          <w:rFonts w:ascii="Times New Roman" w:hAnsi="Times New Roman"/>
          <w:sz w:val="22"/>
        </w:rPr>
        <w:t>[1]  Chapman, P., Clinton, J., Kerber, R., Khabaza, T., Reinartz, T., Shearer, C., &amp; Wirth, R. (2000). CRISP-DM 1.0: Step-by-step data mining guide. SPSS Inc.</w:t>
      </w:r>
    </w:p>
    <w:p>
      <w:pPr>
        <w:spacing w:after="120"/>
        <w:ind w:left="709" w:hanging="709"/>
      </w:pPr>
      <w:r>
        <w:rPr>
          <w:rFonts w:ascii="Times New Roman" w:hAnsi="Times New Roman"/>
          <w:sz w:val="22"/>
        </w:rPr>
        <w:t>[2]  DHS Program. (2018). Cameroon Demographic and Health Survey 2018. ICF International.</w:t>
      </w:r>
    </w:p>
    <w:p>
      <w:pPr>
        <w:spacing w:after="120"/>
        <w:ind w:left="709" w:hanging="709"/>
      </w:pPr>
      <w:r>
        <w:rPr>
          <w:rFonts w:ascii="Times New Roman" w:hAnsi="Times New Roman"/>
          <w:sz w:val="22"/>
        </w:rPr>
        <w:t>[3]  MICS. (2014). Cameroon Multiple Indicator Cluster Survey. UNICEF.</w:t>
      </w:r>
    </w:p>
    <w:p>
      <w:pPr>
        <w:spacing w:after="120"/>
        <w:ind w:left="709" w:hanging="709"/>
      </w:pPr>
      <w:r>
        <w:rPr>
          <w:rFonts w:ascii="Times New Roman" w:hAnsi="Times New Roman"/>
          <w:sz w:val="22"/>
        </w:rPr>
        <w:t>[4]  WHO. (2014). Global Nutrition Targets 2025: Stunting policy brief. World Health Organization.</w:t>
      </w:r>
    </w:p>
    <w:p>
      <w:pPr>
        <w:spacing w:after="120"/>
        <w:ind w:left="709" w:hanging="709"/>
      </w:pPr>
      <w:r>
        <w:rPr>
          <w:rFonts w:ascii="Times New Roman" w:hAnsi="Times New Roman"/>
          <w:sz w:val="22"/>
        </w:rPr>
        <w:t>[5]  Chen, T., &amp; Guestrin, C. (2016). XGBoost: A scalable tree boosting system. Proceedings of the 22nd ACM SIGKDD, 785–794.</w:t>
      </w:r>
    </w:p>
    <w:p>
      <w:pPr>
        <w:spacing w:after="120"/>
        <w:ind w:left="709" w:hanging="709"/>
      </w:pPr>
      <w:r>
        <w:rPr>
          <w:rFonts w:ascii="Times New Roman" w:hAnsi="Times New Roman"/>
          <w:sz w:val="22"/>
        </w:rPr>
        <w:t>[6]  Ke, G., Meng, Q., Finley, T., Wang, T., Chen, W., Ma, W., ... &amp; Liu, T. Y. (2017). LightGBM: A highly efficient gradient boosting decision tree. NIPS 30.</w:t>
      </w:r>
    </w:p>
    <w:p>
      <w:pPr>
        <w:spacing w:after="120"/>
        <w:ind w:left="709" w:hanging="709"/>
      </w:pPr>
      <w:r>
        <w:rPr>
          <w:rFonts w:ascii="Times New Roman" w:hAnsi="Times New Roman"/>
          <w:sz w:val="22"/>
        </w:rPr>
        <w:t>[7]  Lundberg, S. M., &amp; Lee, S. I. (2017). A unified approach to interpreting model predictions. Advances in Neural Information Processing Systems, 30.</w:t>
      </w:r>
    </w:p>
    <w:p>
      <w:pPr>
        <w:spacing w:after="120"/>
        <w:ind w:left="709" w:hanging="709"/>
      </w:pPr>
      <w:r>
        <w:rPr>
          <w:rFonts w:ascii="Times New Roman" w:hAnsi="Times New Roman"/>
          <w:sz w:val="22"/>
        </w:rPr>
        <w:t>[8]  Humanitarian Data Exchange. (2024). Cameroon datasets. OCHA. https://data.humdata.org</w:t>
      </w:r>
    </w:p>
    <w:p>
      <w:pPr>
        <w:spacing w:after="120"/>
        <w:ind w:left="709" w:hanging="709"/>
      </w:pPr>
      <w:r>
        <w:rPr>
          <w:rFonts w:ascii="Times New Roman" w:hAnsi="Times New Roman"/>
          <w:sz w:val="22"/>
        </w:rPr>
        <w:t>[9]  Pedregosa, F., et al. (2011). Scikit-learn: Machine learning in Python. Journal of Machine Learning Research, 12, 2825–2830.</w:t>
      </w:r>
    </w:p>
    <w:p>
      <w:pPr>
        <w:spacing w:after="120"/>
        <w:ind w:left="709" w:hanging="709"/>
      </w:pPr>
      <w:r>
        <w:rPr>
          <w:rFonts w:ascii="Times New Roman" w:hAnsi="Times New Roman"/>
          <w:sz w:val="22"/>
        </w:rPr>
        <w:t>[10]  UNICEF, WHO, &amp; World Bank. (2023). Levels and trends in child malnutrition: Key findings of the 2023 edition of the joint child malnutrition estimates. WHO.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