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61"/>
        <w:gridCol w:w="4561"/>
      </w:tblGrid>
      <w:tr>
        <w:tc>
          <w:tcPr>
            <w:tcW w:type="dxa" w:w="4561"/>
          </w:tcPr>
          <w:p>
            <w:pPr>
              <w:jc w:val="center"/>
            </w:pPr>
            <w:r>
              <w:rPr>
                <w:rFonts w:ascii="Times New Roman" w:hAnsi="Times New Roman"/>
                <w:b/>
                <w:color w:val="000000"/>
                <w:sz w:val="22"/>
              </w:rPr>
              <w:t>REPUBLIC OF CAMEROON</w:t>
            </w:r>
          </w:p>
          <w:p>
            <w:pPr>
              <w:jc w:val="center"/>
            </w:pPr>
            <w:r>
              <w:rPr>
                <w:rFonts w:ascii="Times New Roman" w:hAnsi="Times New Roman"/>
                <w:b/>
                <w:color w:val="000000"/>
                <w:sz w:val="22"/>
              </w:rPr>
              <w:t>Peace - Work - Fatherland</w:t>
            </w:r>
          </w:p>
          <w:p>
            <w:pPr>
              <w:jc w:val="center"/>
            </w:pPr>
            <w:r>
              <w:rPr>
                <w:rFonts w:ascii="Times New Roman" w:hAnsi="Times New Roman"/>
                <w:b/>
                <w:color w:val="000000"/>
                <w:sz w:val="22"/>
              </w:rPr>
              <w:t>UNIVERSITY OF BUEA</w:t>
            </w:r>
          </w:p>
          <w:p>
            <w:pPr>
              <w:jc w:val="center"/>
            </w:pPr>
            <w:r>
              <w:rPr>
                <w:rFonts w:ascii="Times New Roman" w:hAnsi="Times New Roman"/>
                <w:b/>
                <w:color w:val="000000"/>
                <w:sz w:val="22"/>
              </w:rPr>
              <w:t>COLLEGE OF TECHNOLOGY</w:t>
            </w:r>
          </w:p>
          <w:p>
            <w:pPr>
              <w:jc w:val="center"/>
            </w:pPr>
            <w:r>
              <w:rPr>
                <w:rFonts w:ascii="Times New Roman" w:hAnsi="Times New Roman"/>
                <w:b/>
                <w:color w:val="000000"/>
                <w:sz w:val="22"/>
              </w:rPr>
              <w:t>DEPARTMENT OF COMPUTER ENGINEERING</w:t>
            </w:r>
          </w:p>
        </w:tc>
        <w:tc>
          <w:tcPr>
            <w:tcW w:type="dxa" w:w="4561"/>
          </w:tcPr>
          <w:p>
            <w:pPr>
              <w:jc w:val="center"/>
            </w:pPr>
            <w:r>
              <w:rPr>
                <w:rFonts w:ascii="Times New Roman" w:hAnsi="Times New Roman"/>
                <w:b/>
                <w:color w:val="000000"/>
                <w:sz w:val="22"/>
              </w:rPr>
              <w:t>REPUBLIQUE DU CAMEROUN</w:t>
            </w:r>
          </w:p>
          <w:p>
            <w:pPr>
              <w:jc w:val="center"/>
            </w:pPr>
            <w:r>
              <w:rPr>
                <w:rFonts w:ascii="Times New Roman" w:hAnsi="Times New Roman"/>
                <w:b/>
                <w:color w:val="000000"/>
                <w:sz w:val="22"/>
              </w:rPr>
              <w:t>Paix - Travail - Patrie</w:t>
            </w:r>
          </w:p>
          <w:p>
            <w:pPr>
              <w:jc w:val="center"/>
            </w:pPr>
            <w:r>
              <w:rPr>
                <w:rFonts w:ascii="Times New Roman" w:hAnsi="Times New Roman"/>
                <w:b/>
                <w:color w:val="000000"/>
                <w:sz w:val="22"/>
              </w:rPr>
              <w:t>UNIVERSITE DE BUEA</w:t>
            </w:r>
          </w:p>
          <w:p>
            <w:pPr>
              <w:jc w:val="center"/>
            </w:pPr>
            <w:r>
              <w:rPr>
                <w:rFonts w:ascii="Times New Roman" w:hAnsi="Times New Roman"/>
                <w:b/>
                <w:color w:val="000000"/>
                <w:sz w:val="22"/>
              </w:rPr>
              <w:t>COLLEGE DE TECHNOLOGIE</w:t>
            </w:r>
          </w:p>
          <w:p>
            <w:pPr>
              <w:jc w:val="center"/>
            </w:pPr>
            <w:r>
              <w:rPr>
                <w:rFonts w:ascii="Times New Roman" w:hAnsi="Times New Roman"/>
                <w:b/>
                <w:color w:val="000000"/>
                <w:sz w:val="22"/>
              </w:rPr>
              <w:t>DEPARTEMENT DE GENIE INFORMATIQUE</w:t>
            </w:r>
          </w:p>
        </w:tc>
      </w:tr>
    </w:tbl>
    <w:p/>
    <w:p>
      <w:pPr>
        <w:spacing w:before="0" w:after="0"/>
        <w:pBdr>
          <w:bottom w:val="single" w:sz="6" w:space="1" w:color="000000"/>
        </w:pBdr>
      </w:pPr>
    </w:p>
    <w:p/>
    <w:p>
      <w:pPr>
        <w:spacing w:before="120" w:after="120"/>
        <w:jc w:val="center"/>
      </w:pPr>
      <w:r>
        <w:rPr>
          <w:rFonts w:ascii="Times New Roman" w:hAnsi="Times New Roman"/>
          <w:b/>
          <w:color w:val="000000"/>
          <w:sz w:val="32"/>
        </w:rPr>
        <w:t>CAMEROON MALNUTRITION ATLAS:</w:t>
        <w:br/>
        <w:t>A DATA MINING APPROACH TO PREDICTING</w:t>
        <w:br/>
        <w:t>AND MAPPING CHILD STUNTING HOTSPOTS</w:t>
      </w:r>
    </w:p>
    <w:p/>
    <w:p>
      <w:pPr>
        <w:jc w:val="center"/>
      </w:pPr>
      <w:r>
        <w:rPr>
          <w:rFonts w:ascii="Times New Roman" w:hAnsi="Times New Roman"/>
          <w:i/>
          <w:color w:val="000000"/>
          <w:sz w:val="24"/>
        </w:rPr>
        <w:t>A Project Report submitted to the Department of Computer Engineering of the College of Technology of the University of Buea in partial fulfilment of the requirements of the Course CEC 420 - Data Mining</w:t>
      </w:r>
    </w:p>
    <w:p/>
    <w:p>
      <w:pPr>
        <w:spacing w:before="0" w:after="0"/>
        <w:pBdr>
          <w:bottom w:val="single" w:sz="6" w:space="1" w:color="000000"/>
        </w:pBdr>
      </w:pPr>
    </w:p>
    <w:p/>
    <w:p>
      <w:pPr>
        <w:jc w:val="center"/>
      </w:pPr>
      <w:r>
        <w:rPr>
          <w:rFonts w:ascii="Times New Roman" w:hAnsi="Times New Roman"/>
          <w:b/>
          <w:color w:val="000000"/>
          <w:sz w:val="28"/>
        </w:rPr>
        <w:t>PRESENTED BY:</w:t>
      </w:r>
    </w:p>
    <w:p>
      <w:pPr>
        <w:jc w:val="center"/>
      </w:pPr>
      <w:r>
        <w:rPr>
          <w:rFonts w:ascii="Times New Roman" w:hAnsi="Times New Roman"/>
          <w:b/>
          <w:color w:val="000000"/>
          <w:sz w:val="24"/>
        </w:rPr>
        <w:t xml:space="preserve">Name:  </w:t>
      </w:r>
      <w:r>
        <w:rPr>
          <w:rFonts w:ascii="Times New Roman" w:hAnsi="Times New Roman"/>
          <w:color w:val="000000"/>
          <w:sz w:val="24"/>
        </w:rPr>
        <w:t>SEPO PERRY-BRADLEY DINGA</w:t>
      </w:r>
    </w:p>
    <w:p>
      <w:pPr>
        <w:jc w:val="center"/>
      </w:pPr>
      <w:r>
        <w:rPr>
          <w:rFonts w:ascii="Times New Roman" w:hAnsi="Times New Roman"/>
          <w:b/>
          <w:color w:val="000000"/>
          <w:sz w:val="24"/>
        </w:rPr>
        <w:t xml:space="preserve">Matriculation No:  </w:t>
      </w:r>
      <w:r>
        <w:rPr>
          <w:rFonts w:ascii="Times New Roman" w:hAnsi="Times New Roman"/>
          <w:color w:val="000000"/>
          <w:sz w:val="24"/>
        </w:rPr>
        <w:t>CT23A145</w:t>
      </w:r>
    </w:p>
    <w:p>
      <w:pPr>
        <w:jc w:val="center"/>
      </w:pPr>
      <w:r>
        <w:rPr>
          <w:rFonts w:ascii="Times New Roman" w:hAnsi="Times New Roman"/>
          <w:b/>
          <w:color w:val="000000"/>
          <w:sz w:val="24"/>
        </w:rPr>
        <w:t xml:space="preserve">Department:  </w:t>
      </w:r>
      <w:r>
        <w:rPr>
          <w:rFonts w:ascii="Times New Roman" w:hAnsi="Times New Roman"/>
          <w:color w:val="000000"/>
          <w:sz w:val="24"/>
        </w:rPr>
        <w:t>Computer Engineering - Software Engineering</w:t>
      </w:r>
    </w:p>
    <w:p>
      <w:pPr>
        <w:jc w:val="center"/>
      </w:pPr>
      <w:r>
        <w:rPr>
          <w:rFonts w:ascii="Times New Roman" w:hAnsi="Times New Roman"/>
          <w:b/>
          <w:color w:val="000000"/>
          <w:sz w:val="24"/>
        </w:rPr>
        <w:t xml:space="preserve">Course Code:  </w:t>
      </w:r>
      <w:r>
        <w:rPr>
          <w:rFonts w:ascii="Times New Roman" w:hAnsi="Times New Roman"/>
          <w:color w:val="000000"/>
          <w:sz w:val="24"/>
        </w:rPr>
        <w:t>CEC 420 - Data Mining</w:t>
      </w:r>
    </w:p>
    <w:p>
      <w:pPr>
        <w:jc w:val="center"/>
      </w:pPr>
      <w:r>
        <w:rPr>
          <w:rFonts w:ascii="Times New Roman" w:hAnsi="Times New Roman"/>
          <w:b/>
          <w:color w:val="000000"/>
          <w:sz w:val="24"/>
        </w:rPr>
        <w:t xml:space="preserve">Academic Year:  </w:t>
      </w:r>
      <w:r>
        <w:rPr>
          <w:rFonts w:ascii="Times New Roman" w:hAnsi="Times New Roman"/>
          <w:color w:val="000000"/>
          <w:sz w:val="24"/>
        </w:rPr>
        <w:t>2025 / 2026</w:t>
      </w:r>
    </w:p>
    <w:p>
      <w:pPr>
        <w:jc w:val="center"/>
      </w:pPr>
      <w:r>
        <w:rPr>
          <w:rFonts w:ascii="Times New Roman" w:hAnsi="Times New Roman"/>
          <w:b/>
          <w:color w:val="000000"/>
          <w:sz w:val="24"/>
        </w:rPr>
        <w:t xml:space="preserve">Submission Date:  </w:t>
      </w:r>
      <w:r>
        <w:rPr>
          <w:rFonts w:ascii="Times New Roman" w:hAnsi="Times New Roman"/>
          <w:color w:val="000000"/>
          <w:sz w:val="24"/>
        </w:rPr>
        <w:t>June 2026</w:t>
      </w:r>
    </w:p>
    <w:p>
      <w:r>
        <w:br w:type="page"/>
      </w:r>
    </w:p>
    <w:p>
      <w:pPr>
        <w:spacing w:before="240" w:after="80" w:lineRule="exact" w:line="240"/>
        <w:jc w:val="left"/>
      </w:pPr>
      <w:r>
        <w:rPr>
          <w:rFonts w:ascii="Times New Roman" w:hAnsi="Times New Roman"/>
          <w:b/>
          <w:i w:val="0"/>
          <w:color w:val="000000"/>
          <w:sz w:val="32"/>
        </w:rPr>
        <w:t>Attestation</w:t>
      </w:r>
    </w:p>
    <w:p>
      <w:pPr>
        <w:spacing w:after="120" w:lineRule="exact" w:line="360"/>
        <w:jc w:val="both"/>
      </w:pPr>
      <w:r>
        <w:rPr>
          <w:rFonts w:ascii="Times New Roman" w:hAnsi="Times New Roman"/>
          <w:b w:val="0"/>
          <w:i w:val="0"/>
          <w:color w:val="000000"/>
          <w:sz w:val="24"/>
        </w:rPr>
        <w:t>I hereby declare that this project, entitled "Cameroon Malnutrition Atlas: A Data Mining Approach to Predicting and Mapping Child Stunting Hotspots", is the result of my own original work and investigation, except where otherwise indicated. Information derived from the published work of others has been acknowledged in the text and a list of references is given at the end of this report. No part of this work has been submitted for any other degree or professional qualification.</w:t>
      </w:r>
    </w:p>
    <w:p/>
    <w:p/>
    <w:p>
      <w:pPr>
        <w:jc w:val="left"/>
      </w:pPr>
      <w:r>
        <w:rPr>
          <w:rFonts w:ascii="Times New Roman" w:hAnsi="Times New Roman"/>
          <w:b w:val="0"/>
          <w:i w:val="0"/>
          <w:color w:val="000000"/>
          <w:sz w:val="24"/>
        </w:rPr>
        <w:t>Signature:  ______________________________</w:t>
        <w:br/>
        <w:br/>
        <w:t>Name:       SEPO PERRY-BRADLEY DINGA</w:t>
        <w:br/>
        <w:br/>
        <w:t>Date:       ________________</w:t>
      </w:r>
    </w:p>
    <w:p>
      <w:r>
        <w:br w:type="page"/>
      </w:r>
    </w:p>
    <w:p>
      <w:pPr>
        <w:spacing w:before="240" w:after="80" w:lineRule="exact" w:line="240"/>
        <w:jc w:val="left"/>
      </w:pPr>
      <w:r>
        <w:rPr>
          <w:rFonts w:ascii="Times New Roman" w:hAnsi="Times New Roman"/>
          <w:b/>
          <w:i w:val="0"/>
          <w:color w:val="000000"/>
          <w:sz w:val="32"/>
        </w:rPr>
        <w:t>Abstract</w:t>
      </w:r>
    </w:p>
    <w:p>
      <w:pPr>
        <w:spacing w:after="120" w:lineRule="exact" w:line="360"/>
        <w:jc w:val="both"/>
      </w:pPr>
      <w:r>
        <w:rPr>
          <w:rFonts w:ascii="Times New Roman" w:hAnsi="Times New Roman"/>
          <w:b w:val="0"/>
          <w:i w:val="0"/>
          <w:color w:val="000000"/>
          <w:sz w:val="24"/>
        </w:rPr>
        <w:t>Child stunting (chronic malnutrition) affects approximately 29% of children under five in Cameroon, yet the burden varies sharply across the country's ten regions. This project applies the Cross-Industry Standard Process for Data Mining (CRISP-DM) to five waves of Demographic and Health Survey (DHS) and Multiple Indicator Cluster Survey (MICS) sub-national data (1991-2018) to identify drivers of stunting, test six hypotheses, and build a machine-learning pipeline that predicts stunting rates and maps high-risk districts.</w:t>
      </w:r>
    </w:p>
    <w:p>
      <w:pPr>
        <w:spacing w:after="120" w:lineRule="exact" w:line="360"/>
        <w:jc w:val="both"/>
      </w:pPr>
      <w:r>
        <w:rPr>
          <w:rFonts w:ascii="Times New Roman" w:hAnsi="Times New Roman"/>
          <w:b w:val="0"/>
          <w:i w:val="0"/>
          <w:color w:val="000000"/>
          <w:sz w:val="24"/>
        </w:rPr>
        <w:t>Ten regression models were evaluated by five-fold cross-validation. XGBoost achieved the best performance (CV RMSE = 2.87 pp), a 60% improvement over the mean baseline (RMSE = 7.17, p = 0.003). All six hypotheses were rejected at p &lt; 0.05. K-Means clustering (k = 2) partitioned regions into a northern-rural critical-risk cluster (mean stunting 37%) and an urban-southern low-risk cluster (24%). A client-side web application delivers ranked hotspot intelligence to public health planners.</w:t>
      </w:r>
    </w:p>
    <w:p>
      <w:pPr>
        <w:spacing w:after="120" w:lineRule="exact" w:line="360"/>
        <w:jc w:val="both"/>
      </w:pPr>
      <w:r>
        <w:rPr>
          <w:rFonts w:ascii="Times New Roman" w:hAnsi="Times New Roman"/>
          <w:b w:val="0"/>
          <w:i/>
          <w:color w:val="000000"/>
          <w:sz w:val="24"/>
        </w:rPr>
        <w:t>Keywords: child stunting, CRISP-DM, data mining, XGBoost, K-Means, hypothesis testing, Cameroon, public health.</w:t>
      </w:r>
    </w:p>
    <w:p>
      <w:r>
        <w:br w:type="page"/>
      </w:r>
    </w:p>
    <w:p>
      <w:pPr>
        <w:spacing w:before="240" w:after="80" w:lineRule="exact" w:line="240"/>
        <w:jc w:val="left"/>
      </w:pPr>
      <w:r>
        <w:rPr>
          <w:rFonts w:ascii="Times New Roman" w:hAnsi="Times New Roman"/>
          <w:b/>
          <w:i w:val="0"/>
          <w:color w:val="000000"/>
          <w:sz w:val="32"/>
        </w:rPr>
        <w:t>Table of Contents</w:t>
      </w:r>
    </w:p>
    <w:p>
      <w:pPr>
        <w:tabs>
          <w:tab w:pos="7087" w:val="right" w:leader="hyphen"/>
        </w:tabs>
        <w:spacing w:after="40"/>
        <w:ind w:left="0"/>
      </w:pPr>
      <w:r>
        <w:rPr>
          <w:rFonts w:ascii="Times New Roman" w:hAnsi="Times New Roman"/>
          <w:b/>
          <w:color w:val="000000"/>
          <w:sz w:val="24"/>
        </w:rPr>
        <w:t>Attestation</w:t>
        <w:tab/>
        <w:t>i</w:t>
      </w:r>
    </w:p>
    <w:p>
      <w:pPr>
        <w:tabs>
          <w:tab w:pos="7087" w:val="right" w:leader="hyphen"/>
        </w:tabs>
        <w:spacing w:after="40"/>
        <w:ind w:left="0"/>
      </w:pPr>
      <w:r>
        <w:rPr>
          <w:rFonts w:ascii="Times New Roman" w:hAnsi="Times New Roman"/>
          <w:b/>
          <w:color w:val="000000"/>
          <w:sz w:val="24"/>
        </w:rPr>
        <w:t>Abstract</w:t>
        <w:tab/>
        <w:t>ii</w:t>
      </w:r>
    </w:p>
    <w:p>
      <w:pPr>
        <w:tabs>
          <w:tab w:pos="7087" w:val="right" w:leader="hyphen"/>
        </w:tabs>
        <w:spacing w:after="40"/>
        <w:ind w:left="0"/>
      </w:pPr>
      <w:r>
        <w:rPr>
          <w:rFonts w:ascii="Times New Roman" w:hAnsi="Times New Roman"/>
          <w:b/>
          <w:color w:val="000000"/>
          <w:sz w:val="24"/>
        </w:rPr>
        <w:t>Table of Contents</w:t>
        <w:tab/>
        <w:t>iii</w:t>
      </w:r>
    </w:p>
    <w:p>
      <w:pPr>
        <w:tabs>
          <w:tab w:pos="7087" w:val="right" w:leader="hyphen"/>
        </w:tabs>
        <w:spacing w:after="40"/>
        <w:ind w:left="0"/>
      </w:pPr>
      <w:r>
        <w:rPr>
          <w:rFonts w:ascii="Times New Roman" w:hAnsi="Times New Roman"/>
          <w:b/>
          <w:color w:val="000000"/>
          <w:sz w:val="24"/>
        </w:rPr>
        <w:t>1.   Introduction</w:t>
        <w:tab/>
        <w:t>1</w:t>
      </w:r>
    </w:p>
    <w:p>
      <w:pPr>
        <w:tabs>
          <w:tab w:pos="7087" w:val="right" w:leader="hyphen"/>
        </w:tabs>
        <w:spacing w:after="40"/>
        <w:ind w:left="454"/>
      </w:pPr>
      <w:r>
        <w:rPr>
          <w:rFonts w:ascii="Times New Roman" w:hAnsi="Times New Roman"/>
          <w:b w:val="0"/>
          <w:color w:val="000000"/>
          <w:sz w:val="22"/>
        </w:rPr>
        <w:t>1.1  Research Questions</w:t>
        <w:tab/>
        <w:t>1</w:t>
      </w:r>
    </w:p>
    <w:p>
      <w:pPr>
        <w:tabs>
          <w:tab w:pos="7087" w:val="right" w:leader="hyphen"/>
        </w:tabs>
        <w:spacing w:after="40"/>
        <w:ind w:left="454"/>
      </w:pPr>
      <w:r>
        <w:rPr>
          <w:rFonts w:ascii="Times New Roman" w:hAnsi="Times New Roman"/>
          <w:b w:val="0"/>
          <w:color w:val="000000"/>
          <w:sz w:val="22"/>
        </w:rPr>
        <w:t>1.2  Scope and Limitations</w:t>
        <w:tab/>
        <w:t>1</w:t>
      </w:r>
    </w:p>
    <w:p>
      <w:pPr>
        <w:tabs>
          <w:tab w:pos="7087" w:val="right" w:leader="hyphen"/>
        </w:tabs>
        <w:spacing w:after="40"/>
        <w:ind w:left="0"/>
      </w:pPr>
      <w:r>
        <w:rPr>
          <w:rFonts w:ascii="Times New Roman" w:hAnsi="Times New Roman"/>
          <w:b/>
          <w:color w:val="000000"/>
          <w:sz w:val="24"/>
        </w:rPr>
        <w:t>2.   Business Understanding</w:t>
        <w:tab/>
        <w:t>2</w:t>
      </w:r>
    </w:p>
    <w:p>
      <w:pPr>
        <w:tabs>
          <w:tab w:pos="7087" w:val="right" w:leader="hyphen"/>
        </w:tabs>
        <w:spacing w:after="40"/>
        <w:ind w:left="454"/>
      </w:pPr>
      <w:r>
        <w:rPr>
          <w:rFonts w:ascii="Times New Roman" w:hAnsi="Times New Roman"/>
          <w:b w:val="0"/>
          <w:color w:val="000000"/>
          <w:sz w:val="22"/>
        </w:rPr>
        <w:t>2.1  Problem Framing</w:t>
        <w:tab/>
        <w:t>2</w:t>
      </w:r>
    </w:p>
    <w:p>
      <w:pPr>
        <w:tabs>
          <w:tab w:pos="7087" w:val="right" w:leader="hyphen"/>
        </w:tabs>
        <w:spacing w:after="40"/>
        <w:ind w:left="454"/>
      </w:pPr>
      <w:r>
        <w:rPr>
          <w:rFonts w:ascii="Times New Roman" w:hAnsi="Times New Roman"/>
          <w:b w:val="0"/>
          <w:color w:val="000000"/>
          <w:sz w:val="22"/>
        </w:rPr>
        <w:t>2.2  Success Criteria</w:t>
        <w:tab/>
        <w:t>2</w:t>
      </w:r>
    </w:p>
    <w:p>
      <w:pPr>
        <w:tabs>
          <w:tab w:pos="7087" w:val="right" w:leader="hyphen"/>
        </w:tabs>
        <w:spacing w:after="40"/>
        <w:ind w:left="454"/>
      </w:pPr>
      <w:r>
        <w:rPr>
          <w:rFonts w:ascii="Times New Roman" w:hAnsi="Times New Roman"/>
          <w:b w:val="0"/>
          <w:color w:val="000000"/>
          <w:sz w:val="22"/>
        </w:rPr>
        <w:t>2.3  Hypotheses</w:t>
        <w:tab/>
        <w:t>2</w:t>
      </w:r>
    </w:p>
    <w:p>
      <w:pPr>
        <w:tabs>
          <w:tab w:pos="7087" w:val="right" w:leader="hyphen"/>
        </w:tabs>
        <w:spacing w:after="40"/>
        <w:ind w:left="0"/>
      </w:pPr>
      <w:r>
        <w:rPr>
          <w:rFonts w:ascii="Times New Roman" w:hAnsi="Times New Roman"/>
          <w:b/>
          <w:color w:val="000000"/>
          <w:sz w:val="24"/>
        </w:rPr>
        <w:t>3.   Data Understanding</w:t>
        <w:tab/>
        <w:t>4</w:t>
      </w:r>
    </w:p>
    <w:p>
      <w:pPr>
        <w:tabs>
          <w:tab w:pos="7087" w:val="right" w:leader="hyphen"/>
        </w:tabs>
        <w:spacing w:after="40"/>
        <w:ind w:left="454"/>
      </w:pPr>
      <w:r>
        <w:rPr>
          <w:rFonts w:ascii="Times New Roman" w:hAnsi="Times New Roman"/>
          <w:b w:val="0"/>
          <w:color w:val="000000"/>
          <w:sz w:val="22"/>
        </w:rPr>
        <w:t>3.1  Data Sources</w:t>
        <w:tab/>
        <w:t>4</w:t>
      </w:r>
    </w:p>
    <w:p>
      <w:pPr>
        <w:tabs>
          <w:tab w:pos="7087" w:val="right" w:leader="hyphen"/>
        </w:tabs>
        <w:spacing w:after="40"/>
        <w:ind w:left="454"/>
      </w:pPr>
      <w:r>
        <w:rPr>
          <w:rFonts w:ascii="Times New Roman" w:hAnsi="Times New Roman"/>
          <w:b w:val="0"/>
          <w:color w:val="000000"/>
          <w:sz w:val="22"/>
        </w:rPr>
        <w:t>3.2  Dataset Structure</w:t>
        <w:tab/>
        <w:t>4</w:t>
      </w:r>
    </w:p>
    <w:p>
      <w:pPr>
        <w:tabs>
          <w:tab w:pos="7087" w:val="right" w:leader="hyphen"/>
        </w:tabs>
        <w:spacing w:after="40"/>
        <w:ind w:left="454"/>
      </w:pPr>
      <w:r>
        <w:rPr>
          <w:rFonts w:ascii="Times New Roman" w:hAnsi="Times New Roman"/>
          <w:b w:val="0"/>
          <w:color w:val="000000"/>
          <w:sz w:val="22"/>
        </w:rPr>
        <w:t>3.3  Exploratory Data Analysis</w:t>
        <w:tab/>
        <w:t>5</w:t>
      </w:r>
    </w:p>
    <w:p>
      <w:pPr>
        <w:tabs>
          <w:tab w:pos="7087" w:val="right" w:leader="hyphen"/>
        </w:tabs>
        <w:spacing w:after="40"/>
        <w:ind w:left="0"/>
      </w:pPr>
      <w:r>
        <w:rPr>
          <w:rFonts w:ascii="Times New Roman" w:hAnsi="Times New Roman"/>
          <w:b/>
          <w:color w:val="000000"/>
          <w:sz w:val="24"/>
        </w:rPr>
        <w:t>4.   Data Preparation</w:t>
        <w:tab/>
        <w:t>7</w:t>
      </w:r>
    </w:p>
    <w:p>
      <w:pPr>
        <w:tabs>
          <w:tab w:pos="7087" w:val="right" w:leader="hyphen"/>
        </w:tabs>
        <w:spacing w:after="40"/>
        <w:ind w:left="454"/>
      </w:pPr>
      <w:r>
        <w:rPr>
          <w:rFonts w:ascii="Times New Roman" w:hAnsi="Times New Roman"/>
          <w:b w:val="0"/>
          <w:color w:val="000000"/>
          <w:sz w:val="22"/>
        </w:rPr>
        <w:t>4.1  Cleaning and Imputation</w:t>
        <w:tab/>
        <w:t>7</w:t>
      </w:r>
    </w:p>
    <w:p>
      <w:pPr>
        <w:tabs>
          <w:tab w:pos="7087" w:val="right" w:leader="hyphen"/>
        </w:tabs>
        <w:spacing w:after="40"/>
        <w:ind w:left="454"/>
      </w:pPr>
      <w:r>
        <w:rPr>
          <w:rFonts w:ascii="Times New Roman" w:hAnsi="Times New Roman"/>
          <w:b w:val="0"/>
          <w:color w:val="000000"/>
          <w:sz w:val="22"/>
        </w:rPr>
        <w:t>4.2  Feature Engineering</w:t>
        <w:tab/>
        <w:t>7</w:t>
      </w:r>
    </w:p>
    <w:p>
      <w:pPr>
        <w:tabs>
          <w:tab w:pos="7087" w:val="right" w:leader="hyphen"/>
        </w:tabs>
        <w:spacing w:after="40"/>
        <w:ind w:left="0"/>
      </w:pPr>
      <w:r>
        <w:rPr>
          <w:rFonts w:ascii="Times New Roman" w:hAnsi="Times New Roman"/>
          <w:b/>
          <w:color w:val="000000"/>
          <w:sz w:val="24"/>
        </w:rPr>
        <w:t>5.   Modelling</w:t>
        <w:tab/>
        <w:t>8</w:t>
      </w:r>
    </w:p>
    <w:p>
      <w:pPr>
        <w:tabs>
          <w:tab w:pos="7087" w:val="right" w:leader="hyphen"/>
        </w:tabs>
        <w:spacing w:after="40"/>
        <w:ind w:left="454"/>
      </w:pPr>
      <w:r>
        <w:rPr>
          <w:rFonts w:ascii="Times New Roman" w:hAnsi="Times New Roman"/>
          <w:b w:val="0"/>
          <w:color w:val="000000"/>
          <w:sz w:val="22"/>
        </w:rPr>
        <w:t>5.1  Models Used and Results</w:t>
        <w:tab/>
        <w:t>8</w:t>
      </w:r>
    </w:p>
    <w:p>
      <w:pPr>
        <w:tabs>
          <w:tab w:pos="7087" w:val="right" w:leader="hyphen"/>
        </w:tabs>
        <w:spacing w:after="40"/>
        <w:ind w:left="454"/>
      </w:pPr>
      <w:r>
        <w:rPr>
          <w:rFonts w:ascii="Times New Roman" w:hAnsi="Times New Roman"/>
          <w:b w:val="0"/>
          <w:color w:val="000000"/>
          <w:sz w:val="22"/>
        </w:rPr>
        <w:t>5.2  Feature Importance and SHAP</w:t>
        <w:tab/>
        <w:t>10</w:t>
      </w:r>
    </w:p>
    <w:p>
      <w:pPr>
        <w:tabs>
          <w:tab w:pos="7087" w:val="right" w:leader="hyphen"/>
        </w:tabs>
        <w:spacing w:after="40"/>
        <w:ind w:left="454"/>
      </w:pPr>
      <w:r>
        <w:rPr>
          <w:rFonts w:ascii="Times New Roman" w:hAnsi="Times New Roman"/>
          <w:b w:val="0"/>
          <w:color w:val="000000"/>
          <w:sz w:val="22"/>
        </w:rPr>
        <w:t>5.3  Classification</w:t>
        <w:tab/>
        <w:t>11</w:t>
      </w:r>
    </w:p>
    <w:p>
      <w:pPr>
        <w:tabs>
          <w:tab w:pos="7087" w:val="right" w:leader="hyphen"/>
        </w:tabs>
        <w:spacing w:after="40"/>
        <w:ind w:left="454"/>
      </w:pPr>
      <w:r>
        <w:rPr>
          <w:rFonts w:ascii="Times New Roman" w:hAnsi="Times New Roman"/>
          <w:b w:val="0"/>
          <w:color w:val="000000"/>
          <w:sz w:val="22"/>
        </w:rPr>
        <w:t>5.4  Clustering</w:t>
        <w:tab/>
        <w:t>11</w:t>
      </w:r>
    </w:p>
    <w:p>
      <w:pPr>
        <w:tabs>
          <w:tab w:pos="7087" w:val="right" w:leader="hyphen"/>
        </w:tabs>
        <w:spacing w:after="40"/>
        <w:ind w:left="454"/>
      </w:pPr>
      <w:r>
        <w:rPr>
          <w:rFonts w:ascii="Times New Roman" w:hAnsi="Times New Roman"/>
          <w:b w:val="0"/>
          <w:color w:val="000000"/>
          <w:sz w:val="22"/>
        </w:rPr>
        <w:t>5.5  Forecasting</w:t>
        <w:tab/>
        <w:t>12</w:t>
      </w:r>
    </w:p>
    <w:p>
      <w:pPr>
        <w:tabs>
          <w:tab w:pos="7087" w:val="right" w:leader="hyphen"/>
        </w:tabs>
        <w:spacing w:after="40"/>
        <w:ind w:left="0"/>
      </w:pPr>
      <w:r>
        <w:rPr>
          <w:rFonts w:ascii="Times New Roman" w:hAnsi="Times New Roman"/>
          <w:b/>
          <w:color w:val="000000"/>
          <w:sz w:val="24"/>
        </w:rPr>
        <w:t>6.   Evaluation</w:t>
        <w:tab/>
        <w:t>13</w:t>
      </w:r>
    </w:p>
    <w:p>
      <w:pPr>
        <w:tabs>
          <w:tab w:pos="7087" w:val="right" w:leader="hyphen"/>
        </w:tabs>
        <w:spacing w:after="40"/>
        <w:ind w:left="454"/>
      </w:pPr>
      <w:r>
        <w:rPr>
          <w:rFonts w:ascii="Times New Roman" w:hAnsi="Times New Roman"/>
          <w:b w:val="0"/>
          <w:color w:val="000000"/>
          <w:sz w:val="22"/>
        </w:rPr>
        <w:t>6.1  Hypothesis Test Results</w:t>
        <w:tab/>
        <w:t>13</w:t>
      </w:r>
    </w:p>
    <w:p>
      <w:pPr>
        <w:tabs>
          <w:tab w:pos="7087" w:val="right" w:leader="hyphen"/>
        </w:tabs>
        <w:spacing w:after="40"/>
        <w:ind w:left="454"/>
      </w:pPr>
      <w:r>
        <w:rPr>
          <w:rFonts w:ascii="Times New Roman" w:hAnsi="Times New Roman"/>
          <w:b w:val="0"/>
          <w:color w:val="000000"/>
          <w:sz w:val="22"/>
        </w:rPr>
        <w:t>6.2  Model Performance vs Criteria</w:t>
        <w:tab/>
        <w:t>14</w:t>
      </w:r>
    </w:p>
    <w:p>
      <w:pPr>
        <w:tabs>
          <w:tab w:pos="7087" w:val="right" w:leader="hyphen"/>
        </w:tabs>
        <w:spacing w:after="40"/>
        <w:ind w:left="0"/>
      </w:pPr>
      <w:r>
        <w:rPr>
          <w:rFonts w:ascii="Times New Roman" w:hAnsi="Times New Roman"/>
          <w:b/>
          <w:color w:val="000000"/>
          <w:sz w:val="24"/>
        </w:rPr>
        <w:t>7.   Deployment</w:t>
        <w:tab/>
        <w:t>15</w:t>
      </w:r>
    </w:p>
    <w:p>
      <w:pPr>
        <w:tabs>
          <w:tab w:pos="7087" w:val="right" w:leader="hyphen"/>
        </w:tabs>
        <w:spacing w:after="40"/>
        <w:ind w:left="454"/>
      </w:pPr>
      <w:r>
        <w:rPr>
          <w:rFonts w:ascii="Times New Roman" w:hAnsi="Times New Roman"/>
          <w:b w:val="0"/>
          <w:color w:val="000000"/>
          <w:sz w:val="22"/>
        </w:rPr>
        <w:t>7.1  Output Artefacts</w:t>
        <w:tab/>
        <w:t>15</w:t>
      </w:r>
    </w:p>
    <w:p>
      <w:pPr>
        <w:tabs>
          <w:tab w:pos="7087" w:val="right" w:leader="hyphen"/>
        </w:tabs>
        <w:spacing w:after="40"/>
        <w:ind w:left="454"/>
      </w:pPr>
      <w:r>
        <w:rPr>
          <w:rFonts w:ascii="Times New Roman" w:hAnsi="Times New Roman"/>
          <w:b w:val="0"/>
          <w:color w:val="000000"/>
          <w:sz w:val="22"/>
        </w:rPr>
        <w:t>7.2  Web Application</w:t>
        <w:tab/>
        <w:t>15</w:t>
      </w:r>
    </w:p>
    <w:p>
      <w:pPr>
        <w:tabs>
          <w:tab w:pos="7087" w:val="right" w:leader="hyphen"/>
        </w:tabs>
        <w:spacing w:after="40"/>
        <w:ind w:left="0"/>
      </w:pPr>
      <w:r>
        <w:rPr>
          <w:rFonts w:ascii="Times New Roman" w:hAnsi="Times New Roman"/>
          <w:b/>
          <w:color w:val="000000"/>
          <w:sz w:val="24"/>
        </w:rPr>
        <w:t>8.   Results and Discussion</w:t>
        <w:tab/>
        <w:t>17</w:t>
      </w:r>
    </w:p>
    <w:p>
      <w:pPr>
        <w:tabs>
          <w:tab w:pos="7087" w:val="right" w:leader="hyphen"/>
        </w:tabs>
        <w:spacing w:after="40"/>
        <w:ind w:left="0"/>
      </w:pPr>
      <w:r>
        <w:rPr>
          <w:rFonts w:ascii="Times New Roman" w:hAnsi="Times New Roman"/>
          <w:b/>
          <w:color w:val="000000"/>
          <w:sz w:val="24"/>
        </w:rPr>
        <w:t>9.   Conclusions and Recommendations</w:t>
        <w:tab/>
        <w:t>20</w:t>
      </w:r>
    </w:p>
    <w:p>
      <w:pPr>
        <w:tabs>
          <w:tab w:pos="7087" w:val="right" w:leader="hyphen"/>
        </w:tabs>
        <w:spacing w:after="40"/>
        <w:ind w:left="0"/>
      </w:pPr>
      <w:r>
        <w:rPr>
          <w:rFonts w:ascii="Times New Roman" w:hAnsi="Times New Roman"/>
          <w:b/>
          <w:color w:val="000000"/>
          <w:sz w:val="24"/>
        </w:rPr>
        <w:t>References</w:t>
        <w:tab/>
        <w:t>22</w:t>
      </w:r>
    </w:p>
    <w:p>
      <w:r>
        <w:br w:type="page"/>
      </w:r>
    </w:p>
    <w:p>
      <w:pPr>
        <w:spacing w:before="240" w:after="80" w:lineRule="exact" w:line="240"/>
        <w:jc w:val="left"/>
      </w:pPr>
      <w:r>
        <w:rPr>
          <w:rFonts w:ascii="Times New Roman" w:hAnsi="Times New Roman"/>
          <w:b/>
          <w:i w:val="0"/>
          <w:color w:val="000000"/>
          <w:sz w:val="32"/>
        </w:rPr>
        <w:t>1.  Introduction</w:t>
      </w:r>
    </w:p>
    <w:p>
      <w:pPr>
        <w:spacing w:after="120" w:lineRule="exact" w:line="360"/>
        <w:jc w:val="both"/>
      </w:pPr>
      <w:r>
        <w:rPr>
          <w:rFonts w:ascii="Times New Roman" w:hAnsi="Times New Roman"/>
          <w:b w:val="0"/>
          <w:i w:val="0"/>
          <w:color w:val="000000"/>
          <w:sz w:val="24"/>
        </w:rPr>
        <w:t>Malnutrition remains a leading cause of preventable child mortality worldwide. Stunting - defined as height-for-age more than two standard deviations below the WHO Child Growth Standards median - is its most prevalent chronic form. In sub-Saharan Africa, more than a third of the world's stunted children live despite the region holding only a sixth of the global population.</w:t>
      </w:r>
    </w:p>
    <w:p>
      <w:pPr>
        <w:spacing w:after="120" w:lineRule="exact" w:line="360"/>
        <w:jc w:val="both"/>
      </w:pPr>
      <w:r>
        <w:rPr>
          <w:rFonts w:ascii="Times New Roman" w:hAnsi="Times New Roman"/>
          <w:b w:val="0"/>
          <w:i w:val="0"/>
          <w:color w:val="000000"/>
          <w:sz w:val="24"/>
        </w:rPr>
        <w:t>In Cameroon, the 2018 DHS survey recorded a national stunting prevalence of approximately 29%, nearly three times the WHO action threshold of 10%. This aggregate conceals profound subnational disparities: the Far North, North, and Adamawa regions record 36-40% stunting (WHO 'critical' band), while Littoral, South, and Centre hover near 15-22%. Geographically targeted intervention is therefore essential, yet the Ministry of Public Health lacked a systematic, data-driven methodology for prioritising districts.</w:t>
      </w:r>
    </w:p>
    <w:p>
      <w:pPr>
        <w:spacing w:after="120" w:lineRule="exact" w:line="360"/>
        <w:jc w:val="both"/>
      </w:pPr>
      <w:r>
        <w:rPr>
          <w:rFonts w:ascii="Times New Roman" w:hAnsi="Times New Roman"/>
          <w:b w:val="0"/>
          <w:i w:val="0"/>
          <w:color w:val="000000"/>
          <w:sz w:val="24"/>
        </w:rPr>
        <w:t>This project builds the 'Cameroon Malnutrition Atlas' - a full CRISP-DM pipeline transforming five decades of DHS/MICS survey data into ranked targeting intelligence, deployed as an interactive web application.</w:t>
      </w:r>
    </w:p>
    <w:p>
      <w:pPr>
        <w:spacing w:before="240" w:after="80" w:lineRule="exact" w:line="240"/>
        <w:jc w:val="left"/>
      </w:pPr>
      <w:r>
        <w:rPr>
          <w:rFonts w:ascii="Times New Roman" w:hAnsi="Times New Roman"/>
          <w:b/>
          <w:i w:val="0"/>
          <w:color w:val="000000"/>
          <w:sz w:val="28"/>
        </w:rPr>
        <w:t>1.1  Research Questions</w:t>
      </w:r>
    </w:p>
    <w:p>
      <w:pPr>
        <w:pStyle w:val="ListBullet"/>
        <w:spacing w:after="60" w:lineRule="exact" w:line="360"/>
        <w:ind w:left="680"/>
      </w:pPr>
      <w:r>
        <w:rPr>
          <w:rFonts w:ascii="Times New Roman" w:hAnsi="Times New Roman"/>
          <w:b w:val="0"/>
          <w:i w:val="0"/>
          <w:color w:val="000000"/>
          <w:sz w:val="24"/>
        </w:rPr>
        <w:t>RQ1: Which socio-economic, health-system, and environmental factors are the strongest predictors of child stunting rates across Cameroon's regions?</w:t>
      </w:r>
    </w:p>
    <w:p>
      <w:pPr>
        <w:pStyle w:val="ListBullet"/>
        <w:spacing w:after="60" w:lineRule="exact" w:line="360"/>
        <w:ind w:left="680"/>
      </w:pPr>
      <w:r>
        <w:rPr>
          <w:rFonts w:ascii="Times New Roman" w:hAnsi="Times New Roman"/>
          <w:b w:val="0"/>
          <w:i w:val="0"/>
          <w:color w:val="000000"/>
          <w:sz w:val="24"/>
        </w:rPr>
        <w:t>RQ2: Can a machine-learning regression model predict stunting rates more accurately than the population mean baseline?</w:t>
      </w:r>
    </w:p>
    <w:p>
      <w:pPr>
        <w:pStyle w:val="ListBullet"/>
        <w:spacing w:after="60" w:lineRule="exact" w:line="360"/>
        <w:ind w:left="680"/>
      </w:pPr>
      <w:r>
        <w:rPr>
          <w:rFonts w:ascii="Times New Roman" w:hAnsi="Times New Roman"/>
          <w:b w:val="0"/>
          <w:i w:val="0"/>
          <w:color w:val="000000"/>
          <w:sz w:val="24"/>
        </w:rPr>
        <w:t>RQ3: Can regions be meaningfully clustered into distinct risk profiles?</w:t>
      </w:r>
    </w:p>
    <w:p>
      <w:pPr>
        <w:pStyle w:val="ListBullet"/>
        <w:spacing w:after="60" w:lineRule="exact" w:line="360"/>
        <w:ind w:left="680"/>
      </w:pPr>
      <w:r>
        <w:rPr>
          <w:rFonts w:ascii="Times New Roman" w:hAnsi="Times New Roman"/>
          <w:b w:val="0"/>
          <w:i w:val="0"/>
          <w:color w:val="000000"/>
          <w:sz w:val="24"/>
        </w:rPr>
        <w:t>RQ4: What is the projected stunting trajectory to 2028, and which regions are improving slowest?</w:t>
      </w:r>
    </w:p>
    <w:p>
      <w:pPr>
        <w:spacing w:before="240" w:after="80" w:lineRule="exact" w:line="240"/>
        <w:jc w:val="left"/>
      </w:pPr>
      <w:r>
        <w:rPr>
          <w:rFonts w:ascii="Times New Roman" w:hAnsi="Times New Roman"/>
          <w:b/>
          <w:i w:val="0"/>
          <w:color w:val="000000"/>
          <w:sz w:val="28"/>
        </w:rPr>
        <w:t>1.2  Scope and Limitations</w:t>
      </w:r>
    </w:p>
    <w:p>
      <w:pPr>
        <w:spacing w:after="120" w:lineRule="exact" w:line="360"/>
        <w:jc w:val="both"/>
      </w:pPr>
      <w:r>
        <w:rPr>
          <w:rFonts w:ascii="Times New Roman" w:hAnsi="Times New Roman"/>
          <w:b w:val="0"/>
          <w:i w:val="0"/>
          <w:color w:val="000000"/>
          <w:sz w:val="24"/>
        </w:rPr>
        <w:t>Analysis covers Cameroon's ten administrative regions across five survey waves (1991, 1998, 2004, 2011, 2018), yielding 50 region-year observations. Stunting is a lagged outcome reflecting prior nutritional conditions. All correlations are observational; causal inference is not claimed.</w:t>
      </w:r>
    </w:p>
    <w:p>
      <w:r>
        <w:br w:type="page"/>
      </w:r>
    </w:p>
    <w:p>
      <w:pPr>
        <w:spacing w:before="240" w:after="80" w:lineRule="exact" w:line="240"/>
        <w:jc w:val="left"/>
      </w:pPr>
      <w:r>
        <w:rPr>
          <w:rFonts w:ascii="Times New Roman" w:hAnsi="Times New Roman"/>
          <w:b/>
          <w:i w:val="0"/>
          <w:color w:val="000000"/>
          <w:sz w:val="32"/>
        </w:rPr>
        <w:t>2.  Business Understanding</w:t>
      </w:r>
    </w:p>
    <w:p>
      <w:pPr>
        <w:spacing w:before="240" w:after="80" w:lineRule="exact" w:line="240"/>
        <w:jc w:val="left"/>
      </w:pPr>
      <w:r>
        <w:rPr>
          <w:rFonts w:ascii="Times New Roman" w:hAnsi="Times New Roman"/>
          <w:b/>
          <w:i w:val="0"/>
          <w:color w:val="000000"/>
          <w:sz w:val="28"/>
        </w:rPr>
        <w:t>2.1  Problem Framing</w:t>
      </w:r>
    </w:p>
    <w:p>
      <w:pPr>
        <w:spacing w:after="120" w:lineRule="exact" w:line="360"/>
        <w:jc w:val="both"/>
      </w:pPr>
      <w:r>
        <w:rPr>
          <w:rFonts w:ascii="Times New Roman" w:hAnsi="Times New Roman"/>
          <w:b w:val="0"/>
          <w:i w:val="0"/>
          <w:color w:val="000000"/>
          <w:sz w:val="24"/>
        </w:rPr>
        <w:t>The Ministry of Public Health must allocate finite nutrition and WASH intervention budgets across Cameroon's regions. Without a principled district ranking by projected risk, resources default to political rather than need-based allocation. The core question is: given observable characteristics of a region in a given year, what is its expected stunting rate, which WHO risk band does it fall into, and how will that rate change over the next three to five years? This is operationalised as four data mining tasks: regression, classification, clustering, and forecasting.</w:t>
      </w:r>
    </w:p>
    <w:p>
      <w:pPr>
        <w:spacing w:before="240" w:after="80" w:lineRule="exact" w:line="240"/>
        <w:jc w:val="left"/>
      </w:pPr>
      <w:r>
        <w:rPr>
          <w:rFonts w:ascii="Times New Roman" w:hAnsi="Times New Roman"/>
          <w:b/>
          <w:i w:val="0"/>
          <w:color w:val="000000"/>
          <w:sz w:val="28"/>
        </w:rPr>
        <w:t>2.2  Success Criteria</w:t>
      </w:r>
    </w:p>
    <w:p>
      <w:pPr>
        <w:pStyle w:val="ListBullet"/>
        <w:spacing w:after="60" w:lineRule="exact" w:line="360"/>
        <w:ind w:left="680"/>
      </w:pPr>
      <w:r>
        <w:rPr>
          <w:rFonts w:ascii="Times New Roman" w:hAnsi="Times New Roman"/>
          <w:b w:val="0"/>
          <w:i w:val="0"/>
          <w:color w:val="000000"/>
          <w:sz w:val="24"/>
        </w:rPr>
        <w:t>Regression: 5-fold CV RMSE &lt; 4 percentage points (beat the mean baseline of 7.17 pp).</w:t>
      </w:r>
    </w:p>
    <w:p>
      <w:pPr>
        <w:pStyle w:val="ListBullet"/>
        <w:spacing w:after="60" w:lineRule="exact" w:line="360"/>
        <w:ind w:left="680"/>
      </w:pPr>
      <w:r>
        <w:rPr>
          <w:rFonts w:ascii="Times New Roman" w:hAnsi="Times New Roman"/>
          <w:b w:val="0"/>
          <w:i w:val="0"/>
          <w:color w:val="000000"/>
          <w:sz w:val="24"/>
        </w:rPr>
        <w:t>Classification: Accuracy &gt;= 75% for WHO risk-band assignment (4 classes).</w:t>
      </w:r>
    </w:p>
    <w:p>
      <w:pPr>
        <w:pStyle w:val="ListBullet"/>
        <w:spacing w:after="60" w:lineRule="exact" w:line="360"/>
        <w:ind w:left="680"/>
      </w:pPr>
      <w:r>
        <w:rPr>
          <w:rFonts w:ascii="Times New Roman" w:hAnsi="Times New Roman"/>
          <w:b w:val="0"/>
          <w:i w:val="0"/>
          <w:color w:val="000000"/>
          <w:sz w:val="24"/>
        </w:rPr>
        <w:t>Clustering: Silhouette score &gt;= 0.40, indicating meaningful cluster separation.</w:t>
      </w:r>
    </w:p>
    <w:p>
      <w:pPr>
        <w:pStyle w:val="ListBullet"/>
        <w:spacing w:after="60" w:lineRule="exact" w:line="360"/>
        <w:ind w:left="680"/>
      </w:pPr>
      <w:r>
        <w:rPr>
          <w:rFonts w:ascii="Times New Roman" w:hAnsi="Times New Roman"/>
          <w:b w:val="0"/>
          <w:i w:val="0"/>
          <w:color w:val="000000"/>
          <w:sz w:val="24"/>
        </w:rPr>
        <w:t>Hypotheses: At least 4 of 5 driver hypotheses significant at p &lt; 0.05.</w:t>
      </w:r>
    </w:p>
    <w:p>
      <w:pPr>
        <w:pStyle w:val="ListBullet"/>
        <w:spacing w:after="60" w:lineRule="exact" w:line="360"/>
        <w:ind w:left="680"/>
      </w:pPr>
      <w:r>
        <w:rPr>
          <w:rFonts w:ascii="Times New Roman" w:hAnsi="Times New Roman"/>
          <w:b w:val="0"/>
          <w:i w:val="0"/>
          <w:color w:val="000000"/>
          <w:sz w:val="24"/>
        </w:rPr>
        <w:t>Deployment: Client-side predictor returning risk estimates with no server call.</w:t>
      </w:r>
    </w:p>
    <w:p>
      <w:pPr>
        <w:spacing w:before="240" w:after="80" w:lineRule="exact" w:line="240"/>
        <w:jc w:val="left"/>
      </w:pPr>
      <w:r>
        <w:rPr>
          <w:rFonts w:ascii="Times New Roman" w:hAnsi="Times New Roman"/>
          <w:b/>
          <w:i w:val="0"/>
          <w:color w:val="000000"/>
          <w:sz w:val="28"/>
        </w:rPr>
        <w:t>2.3  Hypotheses</w:t>
      </w:r>
    </w:p>
    <w:p>
      <w:pPr>
        <w:spacing w:after="120" w:lineRule="exact" w:line="360"/>
        <w:jc w:val="both"/>
      </w:pPr>
      <w:r>
        <w:rPr>
          <w:rFonts w:ascii="Times New Roman" w:hAnsi="Times New Roman"/>
          <w:b w:val="0"/>
          <w:i w:val="0"/>
          <w:color w:val="000000"/>
          <w:sz w:val="24"/>
        </w:rPr>
        <w:t>Six null hypotheses were defined a priori from the malnutrition literature: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r>
              <w:rPr>
                <w:rFonts w:ascii="Times New Roman" w:hAnsi="Times New Roman"/>
                <w:b/>
                <w:color w:val="000000"/>
                <w:sz w:val="22"/>
              </w:rPr>
              <w:t>ID</w:t>
            </w:r>
          </w:p>
        </w:tc>
        <w:tc>
          <w:tcPr>
            <w:tcW w:type="dxa" w:w="2280"/>
          </w:tcPr>
          <w:p>
            <w:r>
              <w:rPr>
                <w:rFonts w:ascii="Times New Roman" w:hAnsi="Times New Roman"/>
                <w:b/>
                <w:color w:val="000000"/>
                <w:sz w:val="22"/>
              </w:rPr>
              <w:t>Null Hypothesis</w:t>
            </w:r>
          </w:p>
        </w:tc>
        <w:tc>
          <w:tcPr>
            <w:tcW w:type="dxa" w:w="2280"/>
          </w:tcPr>
          <w:p>
            <w:r>
              <w:rPr>
                <w:rFonts w:ascii="Times New Roman" w:hAnsi="Times New Roman"/>
                <w:b/>
                <w:color w:val="000000"/>
                <w:sz w:val="22"/>
              </w:rPr>
              <w:t>Operationalisation</w:t>
            </w:r>
          </w:p>
        </w:tc>
        <w:tc>
          <w:tcPr>
            <w:tcW w:type="dxa" w:w="2280"/>
          </w:tcPr>
          <w:p>
            <w:r>
              <w:rPr>
                <w:rFonts w:ascii="Times New Roman" w:hAnsi="Times New Roman"/>
                <w:b/>
                <w:color w:val="000000"/>
                <w:sz w:val="22"/>
              </w:rPr>
              <w:t>Test</w:t>
            </w:r>
          </w:p>
        </w:tc>
      </w:tr>
      <w:tr>
        <w:tc>
          <w:tcPr>
            <w:tcW w:type="dxa" w:w="2280"/>
          </w:tcPr>
          <w:p>
            <w:r>
              <w:rPr>
                <w:rFonts w:ascii="Times New Roman" w:hAnsi="Times New Roman"/>
                <w:color w:val="000000"/>
                <w:sz w:val="22"/>
              </w:rPr>
              <w:t>H1</w:t>
            </w:r>
          </w:p>
        </w:tc>
        <w:tc>
          <w:tcPr>
            <w:tcW w:type="dxa" w:w="2280"/>
          </w:tcPr>
          <w:p>
            <w:r>
              <w:rPr>
                <w:rFonts w:ascii="Times New Roman" w:hAnsi="Times New Roman"/>
                <w:color w:val="000000"/>
                <w:sz w:val="22"/>
              </w:rPr>
              <w:t>No significant correlation: maternal education vs stunting</w:t>
            </w:r>
          </w:p>
        </w:tc>
        <w:tc>
          <w:tcPr>
            <w:tcW w:type="dxa" w:w="2280"/>
          </w:tcPr>
          <w:p>
            <w:r>
              <w:rPr>
                <w:rFonts w:ascii="Times New Roman" w:hAnsi="Times New Roman"/>
                <w:color w:val="000000"/>
                <w:sz w:val="22"/>
              </w:rPr>
              <w:t>women_secondary_plus_pct</w:t>
            </w:r>
          </w:p>
        </w:tc>
        <w:tc>
          <w:tcPr>
            <w:tcW w:type="dxa" w:w="2280"/>
          </w:tcPr>
          <w:p>
            <w:r>
              <w:rPr>
                <w:rFonts w:ascii="Times New Roman" w:hAnsi="Times New Roman"/>
                <w:color w:val="000000"/>
                <w:sz w:val="22"/>
              </w:rPr>
              <w:t>Spearman rho</w:t>
            </w:r>
          </w:p>
        </w:tc>
      </w:tr>
      <w:tr>
        <w:tc>
          <w:tcPr>
            <w:tcW w:type="dxa" w:w="2280"/>
          </w:tcPr>
          <w:p>
            <w:r>
              <w:rPr>
                <w:rFonts w:ascii="Times New Roman" w:hAnsi="Times New Roman"/>
                <w:color w:val="000000"/>
                <w:sz w:val="22"/>
              </w:rPr>
              <w:t>H2</w:t>
            </w:r>
          </w:p>
        </w:tc>
        <w:tc>
          <w:tcPr>
            <w:tcW w:type="dxa" w:w="2280"/>
          </w:tcPr>
          <w:p>
            <w:r>
              <w:rPr>
                <w:rFonts w:ascii="Times New Roman" w:hAnsi="Times New Roman"/>
                <w:color w:val="000000"/>
                <w:sz w:val="22"/>
              </w:rPr>
              <w:t>No significant correlation: WASH composite vs stunting</w:t>
            </w:r>
          </w:p>
        </w:tc>
        <w:tc>
          <w:tcPr>
            <w:tcW w:type="dxa" w:w="2280"/>
          </w:tcPr>
          <w:p>
            <w:r>
              <w:rPr>
                <w:rFonts w:ascii="Times New Roman" w:hAnsi="Times New Roman"/>
                <w:color w:val="000000"/>
                <w:sz w:val="22"/>
              </w:rPr>
              <w:t>wash_composite</w:t>
            </w:r>
          </w:p>
        </w:tc>
        <w:tc>
          <w:tcPr>
            <w:tcW w:type="dxa" w:w="2280"/>
          </w:tcPr>
          <w:p>
            <w:r>
              <w:rPr>
                <w:rFonts w:ascii="Times New Roman" w:hAnsi="Times New Roman"/>
                <w:color w:val="000000"/>
                <w:sz w:val="22"/>
              </w:rPr>
              <w:t>Spearman rho</w:t>
            </w:r>
          </w:p>
        </w:tc>
      </w:tr>
      <w:tr>
        <w:tc>
          <w:tcPr>
            <w:tcW w:type="dxa" w:w="2280"/>
          </w:tcPr>
          <w:p>
            <w:r>
              <w:rPr>
                <w:rFonts w:ascii="Times New Roman" w:hAnsi="Times New Roman"/>
                <w:color w:val="000000"/>
                <w:sz w:val="22"/>
              </w:rPr>
              <w:t>H3</w:t>
            </w:r>
          </w:p>
        </w:tc>
        <w:tc>
          <w:tcPr>
            <w:tcW w:type="dxa" w:w="2280"/>
          </w:tcPr>
          <w:p>
            <w:r>
              <w:rPr>
                <w:rFonts w:ascii="Times New Roman" w:hAnsi="Times New Roman"/>
                <w:color w:val="000000"/>
                <w:sz w:val="22"/>
              </w:rPr>
              <w:t>No significant correlation: SES proxy vs stunting</w:t>
            </w:r>
          </w:p>
        </w:tc>
        <w:tc>
          <w:tcPr>
            <w:tcW w:type="dxa" w:w="2280"/>
          </w:tcPr>
          <w:p>
            <w:r>
              <w:rPr>
                <w:rFonts w:ascii="Times New Roman" w:hAnsi="Times New Roman"/>
                <w:color w:val="000000"/>
                <w:sz w:val="22"/>
              </w:rPr>
              <w:t>literacy + secondary comp.</w:t>
            </w:r>
          </w:p>
        </w:tc>
        <w:tc>
          <w:tcPr>
            <w:tcW w:type="dxa" w:w="2280"/>
          </w:tcPr>
          <w:p>
            <w:r>
              <w:rPr>
                <w:rFonts w:ascii="Times New Roman" w:hAnsi="Times New Roman"/>
                <w:color w:val="000000"/>
                <w:sz w:val="22"/>
              </w:rPr>
              <w:t>Spearman rho</w:t>
            </w:r>
          </w:p>
        </w:tc>
      </w:tr>
      <w:tr>
        <w:tc>
          <w:tcPr>
            <w:tcW w:type="dxa" w:w="2280"/>
          </w:tcPr>
          <w:p>
            <w:r>
              <w:rPr>
                <w:rFonts w:ascii="Times New Roman" w:hAnsi="Times New Roman"/>
                <w:color w:val="000000"/>
                <w:sz w:val="22"/>
              </w:rPr>
              <w:t>H4</w:t>
            </w:r>
          </w:p>
        </w:tc>
        <w:tc>
          <w:tcPr>
            <w:tcW w:type="dxa" w:w="2280"/>
          </w:tcPr>
          <w:p>
            <w:r>
              <w:rPr>
                <w:rFonts w:ascii="Times New Roman" w:hAnsi="Times New Roman"/>
                <w:color w:val="000000"/>
                <w:sz w:val="22"/>
              </w:rPr>
              <w:t>No significant correlation: healthcare access vs stunting</w:t>
            </w:r>
          </w:p>
        </w:tc>
        <w:tc>
          <w:tcPr>
            <w:tcW w:type="dxa" w:w="2280"/>
          </w:tcPr>
          <w:p>
            <w:r>
              <w:rPr>
                <w:rFonts w:ascii="Times New Roman" w:hAnsi="Times New Roman"/>
                <w:color w:val="000000"/>
                <w:sz w:val="22"/>
              </w:rPr>
              <w:t>health_facility_delivery_pct</w:t>
            </w:r>
          </w:p>
        </w:tc>
        <w:tc>
          <w:tcPr>
            <w:tcW w:type="dxa" w:w="2280"/>
          </w:tcPr>
          <w:p>
            <w:r>
              <w:rPr>
                <w:rFonts w:ascii="Times New Roman" w:hAnsi="Times New Roman"/>
                <w:color w:val="000000"/>
                <w:sz w:val="22"/>
              </w:rPr>
              <w:t>Spearman rho</w:t>
            </w:r>
          </w:p>
        </w:tc>
      </w:tr>
      <w:tr>
        <w:tc>
          <w:tcPr>
            <w:tcW w:type="dxa" w:w="2280"/>
          </w:tcPr>
          <w:p>
            <w:r>
              <w:rPr>
                <w:rFonts w:ascii="Times New Roman" w:hAnsi="Times New Roman"/>
                <w:color w:val="000000"/>
                <w:sz w:val="22"/>
              </w:rPr>
              <w:t>H5</w:t>
            </w:r>
          </w:p>
        </w:tc>
        <w:tc>
          <w:tcPr>
            <w:tcW w:type="dxa" w:w="2280"/>
          </w:tcPr>
          <w:p>
            <w:r>
              <w:rPr>
                <w:rFonts w:ascii="Times New Roman" w:hAnsi="Times New Roman"/>
                <w:color w:val="000000"/>
                <w:sz w:val="22"/>
              </w:rPr>
              <w:t>No significant correlation: malaria prevalence vs stunting</w:t>
            </w:r>
          </w:p>
        </w:tc>
        <w:tc>
          <w:tcPr>
            <w:tcW w:type="dxa" w:w="2280"/>
          </w:tcPr>
          <w:p>
            <w:r>
              <w:rPr>
                <w:rFonts w:ascii="Times New Roman" w:hAnsi="Times New Roman"/>
                <w:color w:val="000000"/>
                <w:sz w:val="22"/>
              </w:rPr>
              <w:t>malaria_prevalence_pct</w:t>
            </w:r>
          </w:p>
        </w:tc>
        <w:tc>
          <w:tcPr>
            <w:tcW w:type="dxa" w:w="2280"/>
          </w:tcPr>
          <w:p>
            <w:r>
              <w:rPr>
                <w:rFonts w:ascii="Times New Roman" w:hAnsi="Times New Roman"/>
                <w:color w:val="000000"/>
                <w:sz w:val="22"/>
              </w:rPr>
              <w:t>Spearman rho</w:t>
            </w:r>
          </w:p>
        </w:tc>
      </w:tr>
      <w:tr>
        <w:tc>
          <w:tcPr>
            <w:tcW w:type="dxa" w:w="2280"/>
          </w:tcPr>
          <w:p>
            <w:r>
              <w:rPr>
                <w:rFonts w:ascii="Times New Roman" w:hAnsi="Times New Roman"/>
                <w:color w:val="000000"/>
                <w:sz w:val="22"/>
              </w:rPr>
              <w:t>H6</w:t>
            </w:r>
          </w:p>
        </w:tc>
        <w:tc>
          <w:tcPr>
            <w:tcW w:type="dxa" w:w="2280"/>
          </w:tcPr>
          <w:p>
            <w:r>
              <w:rPr>
                <w:rFonts w:ascii="Times New Roman" w:hAnsi="Times New Roman"/>
                <w:color w:val="000000"/>
                <w:sz w:val="22"/>
              </w:rPr>
              <w:t>ML model performs no better than mean baseline</w:t>
            </w:r>
          </w:p>
        </w:tc>
        <w:tc>
          <w:tcPr>
            <w:tcW w:type="dxa" w:w="2280"/>
          </w:tcPr>
          <w:p>
            <w:r>
              <w:rPr>
                <w:rFonts w:ascii="Times New Roman" w:hAnsi="Times New Roman"/>
                <w:color w:val="000000"/>
                <w:sz w:val="22"/>
              </w:rPr>
              <w:t>XGBoost vs baseline RMSE</w:t>
            </w:r>
          </w:p>
        </w:tc>
        <w:tc>
          <w:tcPr>
            <w:tcW w:type="dxa" w:w="2280"/>
          </w:tcPr>
          <w:p>
            <w:r>
              <w:rPr>
                <w:rFonts w:ascii="Times New Roman" w:hAnsi="Times New Roman"/>
                <w:color w:val="000000"/>
                <w:sz w:val="22"/>
              </w:rPr>
              <w:t>Paired t-test</w:t>
            </w:r>
          </w:p>
        </w:tc>
      </w:tr>
    </w:tbl>
    <w:p>
      <w:pPr>
        <w:spacing w:after="200"/>
        <w:jc w:val="center"/>
      </w:pPr>
      <w:r>
        <w:rPr>
          <w:rFonts w:ascii="Times New Roman" w:hAnsi="Times New Roman"/>
          <w:b w:val="0"/>
          <w:i/>
          <w:color w:val="000000"/>
          <w:sz w:val="20"/>
        </w:rPr>
        <w:t>Table 1: Research Hypotheses</w:t>
      </w:r>
    </w:p>
    <w:p/>
    <w:p>
      <w:r>
        <w:br w:type="page"/>
      </w:r>
    </w:p>
    <w:p>
      <w:pPr>
        <w:spacing w:before="240" w:after="80" w:lineRule="exact" w:line="240"/>
        <w:jc w:val="left"/>
      </w:pPr>
      <w:r>
        <w:rPr>
          <w:rFonts w:ascii="Times New Roman" w:hAnsi="Times New Roman"/>
          <w:b/>
          <w:i w:val="0"/>
          <w:color w:val="000000"/>
          <w:sz w:val="32"/>
        </w:rPr>
        <w:t>3.  Data Understanding</w:t>
      </w:r>
    </w:p>
    <w:p>
      <w:pPr>
        <w:spacing w:before="240" w:after="80" w:lineRule="exact" w:line="240"/>
        <w:jc w:val="left"/>
      </w:pPr>
      <w:r>
        <w:rPr>
          <w:rFonts w:ascii="Times New Roman" w:hAnsi="Times New Roman"/>
          <w:b/>
          <w:i w:val="0"/>
          <w:color w:val="000000"/>
          <w:sz w:val="28"/>
        </w:rPr>
        <w:t>3.1  Data Sources</w:t>
      </w:r>
    </w:p>
    <w:p>
      <w:pPr>
        <w:spacing w:after="120" w:lineRule="exact" w:line="360"/>
        <w:jc w:val="both"/>
      </w:pPr>
      <w:r>
        <w:rPr>
          <w:rFonts w:ascii="Times New Roman" w:hAnsi="Times New Roman"/>
          <w:b w:val="0"/>
          <w:i w:val="0"/>
          <w:color w:val="000000"/>
          <w:sz w:val="24"/>
        </w:rPr>
        <w:t>Five publicly available datasets were sourced from the Humanitarian Data Exchange (HDX) platform and the DHS Program API. No special data-use agreements are required for sub-national aggregate statistics.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r>
              <w:rPr>
                <w:rFonts w:ascii="Times New Roman" w:hAnsi="Times New Roman"/>
                <w:b/>
                <w:color w:val="000000"/>
                <w:sz w:val="22"/>
              </w:rPr>
              <w:t>Dataset</w:t>
            </w:r>
          </w:p>
        </w:tc>
        <w:tc>
          <w:tcPr>
            <w:tcW w:type="dxa" w:w="2280"/>
          </w:tcPr>
          <w:p>
            <w:r>
              <w:rPr>
                <w:rFonts w:ascii="Times New Roman" w:hAnsi="Times New Roman"/>
                <w:b/>
                <w:color w:val="000000"/>
                <w:sz w:val="22"/>
              </w:rPr>
              <w:t>Key Variables</w:t>
            </w:r>
          </w:p>
        </w:tc>
        <w:tc>
          <w:tcPr>
            <w:tcW w:type="dxa" w:w="2280"/>
          </w:tcPr>
          <w:p>
            <w:r>
              <w:rPr>
                <w:rFonts w:ascii="Times New Roman" w:hAnsi="Times New Roman"/>
                <w:b/>
                <w:color w:val="000000"/>
                <w:sz w:val="22"/>
              </w:rPr>
              <w:t>Coverage</w:t>
            </w:r>
          </w:p>
        </w:tc>
        <w:tc>
          <w:tcPr>
            <w:tcW w:type="dxa" w:w="2280"/>
          </w:tcPr>
          <w:p>
            <w:r>
              <w:rPr>
                <w:rFonts w:ascii="Times New Roman" w:hAnsi="Times New Roman"/>
                <w:b/>
                <w:color w:val="000000"/>
                <w:sz w:val="22"/>
              </w:rPr>
              <w:t>Source</w:t>
            </w:r>
          </w:p>
        </w:tc>
      </w:tr>
      <w:tr>
        <w:tc>
          <w:tcPr>
            <w:tcW w:type="dxa" w:w="2280"/>
          </w:tcPr>
          <w:p>
            <w:r>
              <w:rPr>
                <w:rFonts w:ascii="Times New Roman" w:hAnsi="Times New Roman"/>
                <w:color w:val="000000"/>
                <w:sz w:val="22"/>
              </w:rPr>
              <w:t>DHS / MICS Surveys</w:t>
            </w:r>
          </w:p>
        </w:tc>
        <w:tc>
          <w:tcPr>
            <w:tcW w:type="dxa" w:w="2280"/>
          </w:tcPr>
          <w:p>
            <w:r>
              <w:rPr>
                <w:rFonts w:ascii="Times New Roman" w:hAnsi="Times New Roman"/>
                <w:color w:val="000000"/>
                <w:sz w:val="22"/>
              </w:rPr>
              <w:t>Stunting, wasting, maternal health, education, WASH</w:t>
            </w:r>
          </w:p>
        </w:tc>
        <w:tc>
          <w:tcPr>
            <w:tcW w:type="dxa" w:w="2280"/>
          </w:tcPr>
          <w:p>
            <w:r>
              <w:rPr>
                <w:rFonts w:ascii="Times New Roman" w:hAnsi="Times New Roman"/>
                <w:color w:val="000000"/>
                <w:sz w:val="22"/>
              </w:rPr>
              <w:t>1991-2018</w:t>
            </w:r>
          </w:p>
        </w:tc>
        <w:tc>
          <w:tcPr>
            <w:tcW w:type="dxa" w:w="2280"/>
          </w:tcPr>
          <w:p>
            <w:r>
              <w:rPr>
                <w:rFonts w:ascii="Times New Roman" w:hAnsi="Times New Roman"/>
                <w:color w:val="000000"/>
                <w:sz w:val="22"/>
              </w:rPr>
              <w:t>HDX / DHS Program</w:t>
            </w:r>
          </w:p>
        </w:tc>
      </w:tr>
      <w:tr>
        <w:tc>
          <w:tcPr>
            <w:tcW w:type="dxa" w:w="2280"/>
          </w:tcPr>
          <w:p>
            <w:r>
              <w:rPr>
                <w:rFonts w:ascii="Times New Roman" w:hAnsi="Times New Roman"/>
                <w:color w:val="000000"/>
                <w:sz w:val="22"/>
              </w:rPr>
              <w:t>WHO Health Indicators</w:t>
            </w:r>
          </w:p>
        </w:tc>
        <w:tc>
          <w:tcPr>
            <w:tcW w:type="dxa" w:w="2280"/>
          </w:tcPr>
          <w:p>
            <w:r>
              <w:rPr>
                <w:rFonts w:ascii="Times New Roman" w:hAnsi="Times New Roman"/>
                <w:color w:val="000000"/>
                <w:sz w:val="22"/>
              </w:rPr>
              <w:t>Malaria prevalence, child anaemia</w:t>
            </w:r>
          </w:p>
        </w:tc>
        <w:tc>
          <w:tcPr>
            <w:tcW w:type="dxa" w:w="2280"/>
          </w:tcPr>
          <w:p>
            <w:r>
              <w:rPr>
                <w:rFonts w:ascii="Times New Roman" w:hAnsi="Times New Roman"/>
                <w:color w:val="000000"/>
                <w:sz w:val="22"/>
              </w:rPr>
              <w:t>Matched to surveys</w:t>
            </w:r>
          </w:p>
        </w:tc>
        <w:tc>
          <w:tcPr>
            <w:tcW w:type="dxa" w:w="2280"/>
          </w:tcPr>
          <w:p>
            <w:r>
              <w:rPr>
                <w:rFonts w:ascii="Times New Roman" w:hAnsi="Times New Roman"/>
                <w:color w:val="000000"/>
                <w:sz w:val="22"/>
              </w:rPr>
              <w:t>HDX / WHO</w:t>
            </w:r>
          </w:p>
        </w:tc>
      </w:tr>
      <w:tr>
        <w:tc>
          <w:tcPr>
            <w:tcW w:type="dxa" w:w="2280"/>
          </w:tcPr>
          <w:p>
            <w:r>
              <w:rPr>
                <w:rFonts w:ascii="Times New Roman" w:hAnsi="Times New Roman"/>
                <w:color w:val="000000"/>
                <w:sz w:val="22"/>
              </w:rPr>
              <w:t>Admin Boundaries</w:t>
            </w:r>
          </w:p>
        </w:tc>
        <w:tc>
          <w:tcPr>
            <w:tcW w:type="dxa" w:w="2280"/>
          </w:tcPr>
          <w:p>
            <w:r>
              <w:rPr>
                <w:rFonts w:ascii="Times New Roman" w:hAnsi="Times New Roman"/>
                <w:color w:val="000000"/>
                <w:sz w:val="22"/>
              </w:rPr>
              <w:t>GeoJSON for choropleth visualisation</w:t>
            </w:r>
          </w:p>
        </w:tc>
        <w:tc>
          <w:tcPr>
            <w:tcW w:type="dxa" w:w="2280"/>
          </w:tcPr>
          <w:p>
            <w:r>
              <w:rPr>
                <w:rFonts w:ascii="Times New Roman" w:hAnsi="Times New Roman"/>
                <w:color w:val="000000"/>
                <w:sz w:val="22"/>
              </w:rPr>
              <w:t>Current</w:t>
            </w:r>
          </w:p>
        </w:tc>
        <w:tc>
          <w:tcPr>
            <w:tcW w:type="dxa" w:w="2280"/>
          </w:tcPr>
          <w:p>
            <w:r>
              <w:rPr>
                <w:rFonts w:ascii="Times New Roman" w:hAnsi="Times New Roman"/>
                <w:color w:val="000000"/>
                <w:sz w:val="22"/>
              </w:rPr>
              <w:t>OpenStreetMap / HDX</w:t>
            </w:r>
          </w:p>
        </w:tc>
      </w:tr>
      <w:tr>
        <w:tc>
          <w:tcPr>
            <w:tcW w:type="dxa" w:w="2280"/>
          </w:tcPr>
          <w:p>
            <w:r>
              <w:rPr>
                <w:rFonts w:ascii="Times New Roman" w:hAnsi="Times New Roman"/>
                <w:color w:val="000000"/>
                <w:sz w:val="22"/>
              </w:rPr>
              <w:t>Health Facilities</w:t>
            </w:r>
          </w:p>
        </w:tc>
        <w:tc>
          <w:tcPr>
            <w:tcW w:type="dxa" w:w="2280"/>
          </w:tcPr>
          <w:p>
            <w:r>
              <w:rPr>
                <w:rFonts w:ascii="Times New Roman" w:hAnsi="Times New Roman"/>
                <w:color w:val="000000"/>
                <w:sz w:val="22"/>
              </w:rPr>
              <w:t>Facility counts per region</w:t>
            </w:r>
          </w:p>
        </w:tc>
        <w:tc>
          <w:tcPr>
            <w:tcW w:type="dxa" w:w="2280"/>
          </w:tcPr>
          <w:p>
            <w:r>
              <w:rPr>
                <w:rFonts w:ascii="Times New Roman" w:hAnsi="Times New Roman"/>
                <w:color w:val="000000"/>
                <w:sz w:val="22"/>
              </w:rPr>
              <w:t>Current</w:t>
            </w:r>
          </w:p>
        </w:tc>
        <w:tc>
          <w:tcPr>
            <w:tcW w:type="dxa" w:w="2280"/>
          </w:tcPr>
          <w:p>
            <w:r>
              <w:rPr>
                <w:rFonts w:ascii="Times New Roman" w:hAnsi="Times New Roman"/>
                <w:color w:val="000000"/>
                <w:sz w:val="22"/>
              </w:rPr>
              <w:t>OpenStreetMap</w:t>
            </w:r>
          </w:p>
        </w:tc>
      </w:tr>
      <w:tr>
        <w:tc>
          <w:tcPr>
            <w:tcW w:type="dxa" w:w="2280"/>
          </w:tcPr>
          <w:p>
            <w:r>
              <w:rPr>
                <w:rFonts w:ascii="Times New Roman" w:hAnsi="Times New Roman"/>
                <w:color w:val="000000"/>
                <w:sz w:val="22"/>
              </w:rPr>
              <w:t>Population Density</w:t>
            </w:r>
          </w:p>
        </w:tc>
        <w:tc>
          <w:tcPr>
            <w:tcW w:type="dxa" w:w="2280"/>
          </w:tcPr>
          <w:p>
            <w:r>
              <w:rPr>
                <w:rFonts w:ascii="Times New Roman" w:hAnsi="Times New Roman"/>
                <w:color w:val="000000"/>
                <w:sz w:val="22"/>
              </w:rPr>
              <w:t>High-resolution rasters</w:t>
            </w:r>
          </w:p>
        </w:tc>
        <w:tc>
          <w:tcPr>
            <w:tcW w:type="dxa" w:w="2280"/>
          </w:tcPr>
          <w:p>
            <w:r>
              <w:rPr>
                <w:rFonts w:ascii="Times New Roman" w:hAnsi="Times New Roman"/>
                <w:color w:val="000000"/>
                <w:sz w:val="22"/>
              </w:rPr>
              <w:t>WorldPop 2020</w:t>
            </w:r>
          </w:p>
        </w:tc>
        <w:tc>
          <w:tcPr>
            <w:tcW w:type="dxa" w:w="2280"/>
          </w:tcPr>
          <w:p>
            <w:r>
              <w:rPr>
                <w:rFonts w:ascii="Times New Roman" w:hAnsi="Times New Roman"/>
                <w:color w:val="000000"/>
                <w:sz w:val="22"/>
              </w:rPr>
              <w:t>HDX</w:t>
            </w:r>
          </w:p>
        </w:tc>
      </w:tr>
    </w:tbl>
    <w:p>
      <w:pPr>
        <w:spacing w:after="200"/>
        <w:jc w:val="center"/>
      </w:pPr>
      <w:r>
        <w:rPr>
          <w:rFonts w:ascii="Times New Roman" w:hAnsi="Times New Roman"/>
          <w:b w:val="0"/>
          <w:i/>
          <w:color w:val="000000"/>
          <w:sz w:val="20"/>
        </w:rPr>
        <w:t>Table 2: Data Sources</w:t>
      </w:r>
    </w:p>
    <w:p/>
    <w:p>
      <w:pPr>
        <w:spacing w:before="240" w:after="80" w:lineRule="exact" w:line="240"/>
        <w:jc w:val="left"/>
      </w:pPr>
      <w:r>
        <w:rPr>
          <w:rFonts w:ascii="Times New Roman" w:hAnsi="Times New Roman"/>
          <w:b/>
          <w:i w:val="0"/>
          <w:color w:val="000000"/>
          <w:sz w:val="28"/>
        </w:rPr>
        <w:t>3.2  Dataset Structure</w:t>
      </w:r>
    </w:p>
    <w:p>
      <w:pPr>
        <w:spacing w:after="120" w:lineRule="exact" w:line="360"/>
        <w:jc w:val="both"/>
      </w:pPr>
      <w:r>
        <w:rPr>
          <w:rFonts w:ascii="Times New Roman" w:hAnsi="Times New Roman"/>
          <w:b w:val="0"/>
          <w:i w:val="0"/>
          <w:color w:val="000000"/>
          <w:sz w:val="24"/>
        </w:rPr>
        <w:t>The analysis table contains 50 rows (10 regions x 5 survey years) and 20 columns: one target variable (stunting_rate), 15 raw features, and 4 engineered composite features. Features span five thematic groups: maternal education, WASH, healthcare access, disease burden, and demographics.</w:t>
      </w:r>
    </w:p>
    <w:p>
      <w:pPr>
        <w:spacing w:before="240" w:after="80" w:lineRule="exact" w:line="240"/>
        <w:jc w:val="left"/>
      </w:pPr>
      <w:r>
        <w:rPr>
          <w:rFonts w:ascii="Times New Roman" w:hAnsi="Times New Roman"/>
          <w:b/>
          <w:i w:val="0"/>
          <w:color w:val="000000"/>
          <w:sz w:val="28"/>
        </w:rPr>
        <w:t>3.3  Exploratory Data Analysis</w:t>
      </w:r>
    </w:p>
    <w:p>
      <w:pPr>
        <w:spacing w:after="120" w:lineRule="exact" w:line="360"/>
        <w:jc w:val="both"/>
      </w:pPr>
      <w:r>
        <w:rPr>
          <w:rFonts w:ascii="Times New Roman" w:hAnsi="Times New Roman"/>
          <w:b/>
          <w:i w:val="0"/>
          <w:color w:val="000000"/>
          <w:sz w:val="24"/>
        </w:rPr>
        <w:t>Target Distribution</w:t>
      </w:r>
    </w:p>
    <w:p>
      <w:pPr>
        <w:spacing w:after="120" w:lineRule="exact" w:line="360"/>
        <w:jc w:val="both"/>
      </w:pPr>
      <w:r>
        <w:rPr>
          <w:rFonts w:ascii="Times New Roman" w:hAnsi="Times New Roman"/>
          <w:b w:val="0"/>
          <w:i w:val="0"/>
          <w:color w:val="000000"/>
          <w:sz w:val="24"/>
        </w:rPr>
        <w:t>Stunting rates range from 15.4% (Littoral, 2018) to 45.7% (Far North, historical peak), with a mean of approximately 30%. Roughly 40% of observations exceed the WHO 30% 'high' risk threshold (Figure 1).</w:t>
      </w:r>
    </w:p>
    <w:p>
      <w:pPr>
        <w:jc w:val="center"/>
      </w:pPr>
      <w:r>
        <w:drawing>
          <wp:inline xmlns:a="http://schemas.openxmlformats.org/drawingml/2006/main" xmlns:pic="http://schemas.openxmlformats.org/drawingml/2006/picture">
            <wp:extent cx="4572000" cy="2868149"/>
            <wp:docPr id="1" name="Picture 1"/>
            <wp:cNvGraphicFramePr>
              <a:graphicFrameLocks noChangeAspect="1"/>
            </wp:cNvGraphicFramePr>
            <a:graphic>
              <a:graphicData uri="http://schemas.openxmlformats.org/drawingml/2006/picture">
                <pic:pic>
                  <pic:nvPicPr>
                    <pic:cNvPr id="0" name="01_target_distribution.png"/>
                    <pic:cNvPicPr/>
                  </pic:nvPicPr>
                  <pic:blipFill>
                    <a:blip r:embed="rId9"/>
                    <a:stretch>
                      <a:fillRect/>
                    </a:stretch>
                  </pic:blipFill>
                  <pic:spPr>
                    <a:xfrm>
                      <a:off x="0" y="0"/>
                      <a:ext cx="4572000" cy="2868149"/>
                    </a:xfrm>
                    <a:prstGeom prst="rect"/>
                  </pic:spPr>
                </pic:pic>
              </a:graphicData>
            </a:graphic>
          </wp:inline>
        </w:drawing>
      </w:r>
    </w:p>
    <w:p>
      <w:pPr>
        <w:spacing w:after="200"/>
        <w:jc w:val="center"/>
      </w:pPr>
      <w:r>
        <w:rPr>
          <w:rFonts w:ascii="Times New Roman" w:hAnsi="Times New Roman"/>
          <w:b w:val="0"/>
          <w:i/>
          <w:color w:val="000000"/>
          <w:sz w:val="20"/>
        </w:rPr>
        <w:t>Figure 1: Distribution of Stunting Rate (all 50 region-year observations)</w:t>
      </w:r>
    </w:p>
    <w:p>
      <w:pPr>
        <w:spacing w:after="120" w:lineRule="exact" w:line="360"/>
        <w:jc w:val="both"/>
      </w:pPr>
      <w:r>
        <w:rPr>
          <w:rFonts w:ascii="Times New Roman" w:hAnsi="Times New Roman"/>
          <w:b/>
          <w:i w:val="0"/>
          <w:color w:val="000000"/>
          <w:sz w:val="24"/>
        </w:rPr>
        <w:t>Regional Patterns</w:t>
      </w:r>
    </w:p>
    <w:p>
      <w:pPr>
        <w:spacing w:after="120" w:lineRule="exact" w:line="360"/>
        <w:jc w:val="both"/>
      </w:pPr>
      <w:r>
        <w:rPr>
          <w:rFonts w:ascii="Times New Roman" w:hAnsi="Times New Roman"/>
          <w:b w:val="0"/>
          <w:i w:val="0"/>
          <w:color w:val="000000"/>
          <w:sz w:val="24"/>
        </w:rPr>
        <w:t>A box-plot sorted by median reveals a clear north-south gradient. Far North, North, and Adamawa consistently report the highest medians, while Littoral, South, and Centre remain lowest (Figure 2).</w:t>
      </w:r>
    </w:p>
    <w:p>
      <w:pPr>
        <w:jc w:val="center"/>
      </w:pPr>
      <w:r>
        <w:drawing>
          <wp:inline xmlns:a="http://schemas.openxmlformats.org/drawingml/2006/main" xmlns:pic="http://schemas.openxmlformats.org/drawingml/2006/picture">
            <wp:extent cx="4572000" cy="2624166"/>
            <wp:docPr id="2" name="Picture 2"/>
            <wp:cNvGraphicFramePr>
              <a:graphicFrameLocks noChangeAspect="1"/>
            </wp:cNvGraphicFramePr>
            <a:graphic>
              <a:graphicData uri="http://schemas.openxmlformats.org/drawingml/2006/picture">
                <pic:pic>
                  <pic:nvPicPr>
                    <pic:cNvPr id="0" name="02_region_boxplot.png"/>
                    <pic:cNvPicPr/>
                  </pic:nvPicPr>
                  <pic:blipFill>
                    <a:blip r:embed="rId10"/>
                    <a:stretch>
                      <a:fillRect/>
                    </a:stretch>
                  </pic:blipFill>
                  <pic:spPr>
                    <a:xfrm>
                      <a:off x="0" y="0"/>
                      <a:ext cx="4572000" cy="2624166"/>
                    </a:xfrm>
                    <a:prstGeom prst="rect"/>
                  </pic:spPr>
                </pic:pic>
              </a:graphicData>
            </a:graphic>
          </wp:inline>
        </w:drawing>
      </w:r>
    </w:p>
    <w:p>
      <w:pPr>
        <w:spacing w:after="200"/>
        <w:jc w:val="center"/>
      </w:pPr>
      <w:r>
        <w:rPr>
          <w:rFonts w:ascii="Times New Roman" w:hAnsi="Times New Roman"/>
          <w:b w:val="0"/>
          <w:i/>
          <w:color w:val="000000"/>
          <w:sz w:val="20"/>
        </w:rPr>
        <w:t>Figure 2: Stunting Rate by Region - median-sorted boxplot (1991-2018)</w:t>
      </w:r>
    </w:p>
    <w:p>
      <w:pPr>
        <w:spacing w:after="120" w:lineRule="exact" w:line="360"/>
        <w:jc w:val="both"/>
      </w:pPr>
      <w:r>
        <w:rPr>
          <w:rFonts w:ascii="Times New Roman" w:hAnsi="Times New Roman"/>
          <w:b/>
          <w:i w:val="0"/>
          <w:color w:val="000000"/>
          <w:sz w:val="24"/>
        </w:rPr>
        <w:t>Correlation Structure</w:t>
      </w:r>
    </w:p>
    <w:p>
      <w:pPr>
        <w:spacing w:after="120" w:lineRule="exact" w:line="360"/>
        <w:jc w:val="both"/>
      </w:pPr>
      <w:r>
        <w:rPr>
          <w:rFonts w:ascii="Times New Roman" w:hAnsi="Times New Roman"/>
          <w:b w:val="0"/>
          <w:i w:val="0"/>
          <w:color w:val="000000"/>
          <w:sz w:val="24"/>
        </w:rPr>
        <w:t>A Spearman rank-correlation heatmap (Figure 3) shows that healthcare access metrics, maternal literacy, and secondary education carry the strongest negative correlations with stunting, while malaria prevalence carries a positive correlation.</w:t>
      </w:r>
    </w:p>
    <w:p>
      <w:pPr>
        <w:jc w:val="center"/>
      </w:pPr>
      <w:r>
        <w:drawing>
          <wp:inline xmlns:a="http://schemas.openxmlformats.org/drawingml/2006/main" xmlns:pic="http://schemas.openxmlformats.org/drawingml/2006/picture">
            <wp:extent cx="4572000" cy="4112074"/>
            <wp:docPr id="3" name="Picture 3"/>
            <wp:cNvGraphicFramePr>
              <a:graphicFrameLocks noChangeAspect="1"/>
            </wp:cNvGraphicFramePr>
            <a:graphic>
              <a:graphicData uri="http://schemas.openxmlformats.org/drawingml/2006/picture">
                <pic:pic>
                  <pic:nvPicPr>
                    <pic:cNvPr id="0" name="03_correlation_heatmap.png"/>
                    <pic:cNvPicPr/>
                  </pic:nvPicPr>
                  <pic:blipFill>
                    <a:blip r:embed="rId11"/>
                    <a:stretch>
                      <a:fillRect/>
                    </a:stretch>
                  </pic:blipFill>
                  <pic:spPr>
                    <a:xfrm>
                      <a:off x="0" y="0"/>
                      <a:ext cx="4572000" cy="4112074"/>
                    </a:xfrm>
                    <a:prstGeom prst="rect"/>
                  </pic:spPr>
                </pic:pic>
              </a:graphicData>
            </a:graphic>
          </wp:inline>
        </w:drawing>
      </w:r>
    </w:p>
    <w:p>
      <w:pPr>
        <w:spacing w:after="200"/>
        <w:jc w:val="center"/>
      </w:pPr>
      <w:r>
        <w:rPr>
          <w:rFonts w:ascii="Times New Roman" w:hAnsi="Times New Roman"/>
          <w:b w:val="0"/>
          <w:i/>
          <w:color w:val="000000"/>
          <w:sz w:val="20"/>
        </w:rPr>
        <w:t>Figure 3: Spearman Correlation Heatmap - features vs stunting</w:t>
      </w:r>
    </w:p>
    <w:p>
      <w:pPr>
        <w:spacing w:after="120" w:lineRule="exact" w:line="360"/>
        <w:jc w:val="both"/>
      </w:pPr>
      <w:r>
        <w:rPr>
          <w:rFonts w:ascii="Times New Roman" w:hAnsi="Times New Roman"/>
          <w:b/>
          <w:i w:val="0"/>
          <w:color w:val="000000"/>
          <w:sz w:val="24"/>
        </w:rPr>
        <w:t>Temporal Trends</w:t>
      </w:r>
    </w:p>
    <w:p>
      <w:pPr>
        <w:spacing w:after="120" w:lineRule="exact" w:line="360"/>
        <w:jc w:val="both"/>
      </w:pPr>
      <w:r>
        <w:rPr>
          <w:rFonts w:ascii="Times New Roman" w:hAnsi="Times New Roman"/>
          <w:b w:val="0"/>
          <w:i w:val="0"/>
          <w:color w:val="000000"/>
          <w:sz w:val="24"/>
        </w:rPr>
        <w:t>All regions show a general downward trend, but improvement rates differ sharply: Littoral improves at approximately -0.29 pp/year while Far North improves at only -0.09 pp/year (Figure 4).</w:t>
      </w:r>
    </w:p>
    <w:p>
      <w:pPr>
        <w:jc w:val="center"/>
      </w:pPr>
      <w:r>
        <w:drawing>
          <wp:inline xmlns:a="http://schemas.openxmlformats.org/drawingml/2006/main" xmlns:pic="http://schemas.openxmlformats.org/drawingml/2006/picture">
            <wp:extent cx="4572000" cy="2498866"/>
            <wp:docPr id="4" name="Picture 4"/>
            <wp:cNvGraphicFramePr>
              <a:graphicFrameLocks noChangeAspect="1"/>
            </wp:cNvGraphicFramePr>
            <a:graphic>
              <a:graphicData uri="http://schemas.openxmlformats.org/drawingml/2006/picture">
                <pic:pic>
                  <pic:nvPicPr>
                    <pic:cNvPr id="0" name="04_trend_over_time.png"/>
                    <pic:cNvPicPr/>
                  </pic:nvPicPr>
                  <pic:blipFill>
                    <a:blip r:embed="rId12"/>
                    <a:stretch>
                      <a:fillRect/>
                    </a:stretch>
                  </pic:blipFill>
                  <pic:spPr>
                    <a:xfrm>
                      <a:off x="0" y="0"/>
                      <a:ext cx="4572000" cy="2498866"/>
                    </a:xfrm>
                    <a:prstGeom prst="rect"/>
                  </pic:spPr>
                </pic:pic>
              </a:graphicData>
            </a:graphic>
          </wp:inline>
        </w:drawing>
      </w:r>
    </w:p>
    <w:p>
      <w:pPr>
        <w:spacing w:after="200"/>
        <w:jc w:val="center"/>
      </w:pPr>
      <w:r>
        <w:rPr>
          <w:rFonts w:ascii="Times New Roman" w:hAnsi="Times New Roman"/>
          <w:b w:val="0"/>
          <w:i/>
          <w:color w:val="000000"/>
          <w:sz w:val="20"/>
        </w:rPr>
        <w:t>Figure 4: Stunting Rate Trends by Region (1991-2018)</w:t>
      </w:r>
    </w:p>
    <w:p>
      <w:r>
        <w:br w:type="page"/>
      </w:r>
    </w:p>
    <w:p>
      <w:pPr>
        <w:spacing w:before="240" w:after="80" w:lineRule="exact" w:line="240"/>
        <w:jc w:val="left"/>
      </w:pPr>
      <w:r>
        <w:rPr>
          <w:rFonts w:ascii="Times New Roman" w:hAnsi="Times New Roman"/>
          <w:b/>
          <w:i w:val="0"/>
          <w:color w:val="000000"/>
          <w:sz w:val="32"/>
        </w:rPr>
        <w:t>4.  Data Preparation</w:t>
      </w:r>
    </w:p>
    <w:p>
      <w:pPr>
        <w:spacing w:before="240" w:after="80" w:lineRule="exact" w:line="240"/>
        <w:jc w:val="left"/>
      </w:pPr>
      <w:r>
        <w:rPr>
          <w:rFonts w:ascii="Times New Roman" w:hAnsi="Times New Roman"/>
          <w:b/>
          <w:i w:val="0"/>
          <w:color w:val="000000"/>
          <w:sz w:val="28"/>
        </w:rPr>
        <w:t>4.1  Cleaning and Imputation</w:t>
      </w:r>
    </w:p>
    <w:p>
      <w:pPr>
        <w:spacing w:after="120" w:lineRule="exact" w:line="360"/>
        <w:jc w:val="both"/>
      </w:pPr>
      <w:r>
        <w:rPr>
          <w:rFonts w:ascii="Times New Roman" w:hAnsi="Times New Roman"/>
          <w:b w:val="0"/>
          <w:i w:val="0"/>
          <w:color w:val="000000"/>
          <w:sz w:val="24"/>
        </w:rPr>
        <w:t>Raw DHS CSVs arrive in long format (one row per indicator-region-year). The pipeline applies: (i) type coercion - all percentage columns cast to float64; (ii) de-duplication - retaining the most recent file for duplicate region-year-indicator rows; (iii) name normalisation - a lookup table maps all DHS label variants to the ten canonical region names; (iv) mega-region expansion - 1991/1998 large regions are broadcast to constituent sub-regions and flagged as imputed.</w:t>
      </w:r>
    </w:p>
    <w:p>
      <w:pPr>
        <w:spacing w:after="120" w:lineRule="exact" w:line="360"/>
        <w:jc w:val="both"/>
      </w:pPr>
      <w:r>
        <w:rPr>
          <w:rFonts w:ascii="Times New Roman" w:hAnsi="Times New Roman"/>
          <w:b w:val="0"/>
          <w:i w:val="0"/>
          <w:color w:val="000000"/>
          <w:sz w:val="24"/>
        </w:rPr>
        <w:t>Missing values after the long-to-wide pivot are handled with a two-level strategy: Level 1 imputes from the region's own median across other years; Level 2 falls back to the global median. All imputed cells are flagged for sensitivity analysis.</w:t>
      </w:r>
    </w:p>
    <w:p>
      <w:pPr>
        <w:spacing w:before="240" w:after="80" w:lineRule="exact" w:line="240"/>
        <w:jc w:val="left"/>
      </w:pPr>
      <w:r>
        <w:rPr>
          <w:rFonts w:ascii="Times New Roman" w:hAnsi="Times New Roman"/>
          <w:b/>
          <w:i w:val="0"/>
          <w:color w:val="000000"/>
          <w:sz w:val="28"/>
        </w:rPr>
        <w:t>4.2  Feature Engineering</w:t>
      </w:r>
    </w:p>
    <w:p>
      <w:pPr>
        <w:spacing w:after="120" w:lineRule="exact" w:line="360"/>
        <w:jc w:val="both"/>
      </w:pPr>
      <w:r>
        <w:rPr>
          <w:rFonts w:ascii="Times New Roman" w:hAnsi="Times New Roman"/>
          <w:b w:val="0"/>
          <w:i w:val="0"/>
          <w:color w:val="000000"/>
          <w:sz w:val="24"/>
        </w:rPr>
        <w:t>Four composite features are derived to reduce multicollinearity and improve interpretability:</w:t>
      </w:r>
    </w:p>
    <w:p>
      <w:pPr>
        <w:pStyle w:val="ListBullet"/>
        <w:spacing w:after="60" w:lineRule="exact" w:line="360"/>
        <w:ind w:left="680"/>
      </w:pPr>
      <w:r>
        <w:rPr>
          <w:rFonts w:ascii="Times New Roman" w:hAnsi="Times New Roman"/>
          <w:b w:val="0"/>
          <w:i w:val="0"/>
          <w:color w:val="000000"/>
          <w:sz w:val="24"/>
        </w:rPr>
        <w:t>wash_composite: Mean of improved_water_pct and improved_sanitation_pct (0-100 index).</w:t>
      </w:r>
    </w:p>
    <w:p>
      <w:pPr>
        <w:pStyle w:val="ListBullet"/>
        <w:spacing w:after="60" w:lineRule="exact" w:line="360"/>
        <w:ind w:left="680"/>
      </w:pPr>
      <w:r>
        <w:rPr>
          <w:rFonts w:ascii="Times New Roman" w:hAnsi="Times New Roman"/>
          <w:b w:val="0"/>
          <w:i w:val="0"/>
          <w:color w:val="000000"/>
          <w:sz w:val="24"/>
        </w:rPr>
        <w:t>maternal_health_score: Mean of antenatal_4plus_pct, skilled_birth_attendance_pct, and health_facility_delivery_pct.</w:t>
      </w:r>
    </w:p>
    <w:p>
      <w:pPr>
        <w:pStyle w:val="ListBullet"/>
        <w:spacing w:after="60" w:lineRule="exact" w:line="360"/>
        <w:ind w:left="680"/>
      </w:pPr>
      <w:r>
        <w:rPr>
          <w:rFonts w:ascii="Times New Roman" w:hAnsi="Times New Roman"/>
          <w:b w:val="0"/>
          <w:i w:val="0"/>
          <w:color w:val="000000"/>
          <w:sz w:val="24"/>
        </w:rPr>
        <w:t>education_score: Mean of women_literate_pct and women_secondary_plus_pct.</w:t>
      </w:r>
    </w:p>
    <w:p>
      <w:pPr>
        <w:pStyle w:val="ListBullet"/>
        <w:spacing w:after="60" w:lineRule="exact" w:line="360"/>
        <w:ind w:left="680"/>
      </w:pPr>
      <w:r>
        <w:rPr>
          <w:rFonts w:ascii="Times New Roman" w:hAnsi="Times New Roman"/>
          <w:b w:val="0"/>
          <w:i w:val="0"/>
          <w:color w:val="000000"/>
          <w:sz w:val="24"/>
        </w:rPr>
        <w:t>disease_burden: Mean of malaria_prevalence_pct and child_anemia_pct.</w:t>
      </w:r>
    </w:p>
    <w:p>
      <w:pPr>
        <w:spacing w:after="120" w:lineRule="exact" w:line="360"/>
        <w:jc w:val="both"/>
      </w:pPr>
      <w:r>
        <w:rPr>
          <w:rFonts w:ascii="Times New Roman" w:hAnsi="Times New Roman"/>
          <w:b w:val="0"/>
          <w:i w:val="0"/>
          <w:color w:val="000000"/>
          <w:sz w:val="24"/>
        </w:rPr>
        <w:t>Data are split 80% training / 20% hold-out test using stratified shuffle split (stratified on the WHO risk band to preserve class balance).</w:t>
      </w:r>
    </w:p>
    <w:p>
      <w:r>
        <w:br w:type="page"/>
      </w:r>
    </w:p>
    <w:p>
      <w:pPr>
        <w:spacing w:before="240" w:after="80" w:lineRule="exact" w:line="240"/>
        <w:jc w:val="left"/>
      </w:pPr>
      <w:r>
        <w:rPr>
          <w:rFonts w:ascii="Times New Roman" w:hAnsi="Times New Roman"/>
          <w:b/>
          <w:i w:val="0"/>
          <w:color w:val="000000"/>
          <w:sz w:val="32"/>
        </w:rPr>
        <w:t>5.  Modelling</w:t>
      </w:r>
    </w:p>
    <w:p>
      <w:pPr>
        <w:spacing w:before="240" w:after="80" w:lineRule="exact" w:line="240"/>
        <w:jc w:val="left"/>
      </w:pPr>
      <w:r>
        <w:rPr>
          <w:rFonts w:ascii="Times New Roman" w:hAnsi="Times New Roman"/>
          <w:b/>
          <w:i w:val="0"/>
          <w:color w:val="000000"/>
          <w:sz w:val="28"/>
        </w:rPr>
        <w:t>5.1  Models Used and Results</w:t>
      </w:r>
    </w:p>
    <w:p>
      <w:pPr>
        <w:spacing w:after="120" w:lineRule="exact" w:line="360"/>
        <w:jc w:val="both"/>
      </w:pPr>
      <w:r>
        <w:rPr>
          <w:rFonts w:ascii="Times New Roman" w:hAnsi="Times New Roman"/>
          <w:b w:val="0"/>
          <w:i w:val="0"/>
          <w:color w:val="000000"/>
          <w:sz w:val="24"/>
        </w:rPr>
        <w:t>Ten regression models spanning five families were evaluated by five-fold cross-validation (CV RMSE, percentage points). Table 3 shows all results. A lower RMSE is better; the baseline is a DummyRegressor predicting the global mean.</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tcPr>
          <w:p>
            <w:r>
              <w:rPr>
                <w:rFonts w:ascii="Times New Roman" w:hAnsi="Times New Roman"/>
                <w:b/>
                <w:color w:val="000000"/>
                <w:sz w:val="22"/>
              </w:rPr>
              <w:t>Rank</w:t>
            </w:r>
          </w:p>
        </w:tc>
        <w:tc>
          <w:tcPr>
            <w:tcW w:type="dxa" w:w="1520"/>
          </w:tcPr>
          <w:p>
            <w:r>
              <w:rPr>
                <w:rFonts w:ascii="Times New Roman" w:hAnsi="Times New Roman"/>
                <w:b/>
                <w:color w:val="000000"/>
                <w:sz w:val="22"/>
              </w:rPr>
              <w:t>Model</w:t>
            </w:r>
          </w:p>
        </w:tc>
        <w:tc>
          <w:tcPr>
            <w:tcW w:type="dxa" w:w="1520"/>
          </w:tcPr>
          <w:p>
            <w:r>
              <w:rPr>
                <w:rFonts w:ascii="Times New Roman" w:hAnsi="Times New Roman"/>
                <w:b/>
                <w:color w:val="000000"/>
                <w:sz w:val="22"/>
              </w:rPr>
              <w:t>CV RMSE</w:t>
            </w:r>
          </w:p>
        </w:tc>
        <w:tc>
          <w:tcPr>
            <w:tcW w:type="dxa" w:w="1520"/>
          </w:tcPr>
          <w:p>
            <w:r>
              <w:rPr>
                <w:rFonts w:ascii="Times New Roman" w:hAnsi="Times New Roman"/>
                <w:b/>
                <w:color w:val="000000"/>
                <w:sz w:val="22"/>
              </w:rPr>
              <w:t>Std Dev</w:t>
            </w:r>
          </w:p>
        </w:tc>
        <w:tc>
          <w:tcPr>
            <w:tcW w:type="dxa" w:w="1520"/>
          </w:tcPr>
          <w:p>
            <w:r>
              <w:rPr>
                <w:rFonts w:ascii="Times New Roman" w:hAnsi="Times New Roman"/>
                <w:b/>
                <w:color w:val="000000"/>
                <w:sz w:val="22"/>
              </w:rPr>
              <w:t>vs Baseline</w:t>
            </w:r>
          </w:p>
        </w:tc>
        <w:tc>
          <w:tcPr>
            <w:tcW w:type="dxa" w:w="1520"/>
          </w:tcPr>
          <w:p>
            <w:r>
              <w:rPr>
                <w:rFonts w:ascii="Times New Roman" w:hAnsi="Times New Roman"/>
                <w:b/>
                <w:color w:val="000000"/>
                <w:sz w:val="22"/>
              </w:rPr>
              <w:t>Note</w:t>
            </w:r>
          </w:p>
        </w:tc>
      </w:tr>
      <w:tr>
        <w:tc>
          <w:tcPr>
            <w:tcW w:type="dxa" w:w="1520"/>
          </w:tcPr>
          <w:p>
            <w:r>
              <w:rPr>
                <w:rFonts w:ascii="Times New Roman" w:hAnsi="Times New Roman"/>
                <w:color w:val="000000"/>
                <w:sz w:val="22"/>
              </w:rPr>
              <w:t>1</w:t>
            </w:r>
          </w:p>
        </w:tc>
        <w:tc>
          <w:tcPr>
            <w:tcW w:type="dxa" w:w="1520"/>
          </w:tcPr>
          <w:p>
            <w:r>
              <w:rPr>
                <w:rFonts w:ascii="Times New Roman" w:hAnsi="Times New Roman"/>
                <w:color w:val="000000"/>
                <w:sz w:val="22"/>
              </w:rPr>
              <w:t>XGBoost (Gradient Boosting)</w:t>
            </w:r>
          </w:p>
        </w:tc>
        <w:tc>
          <w:tcPr>
            <w:tcW w:type="dxa" w:w="1520"/>
          </w:tcPr>
          <w:p>
            <w:r>
              <w:rPr>
                <w:rFonts w:ascii="Times New Roman" w:hAnsi="Times New Roman"/>
                <w:color w:val="000000"/>
                <w:sz w:val="22"/>
              </w:rPr>
              <w:t>2.87</w:t>
            </w:r>
          </w:p>
        </w:tc>
        <w:tc>
          <w:tcPr>
            <w:tcW w:type="dxa" w:w="1520"/>
          </w:tcPr>
          <w:p>
            <w:r>
              <w:rPr>
                <w:rFonts w:ascii="Times New Roman" w:hAnsi="Times New Roman"/>
                <w:color w:val="000000"/>
                <w:sz w:val="22"/>
              </w:rPr>
              <w:t>+-0.70</w:t>
            </w:r>
          </w:p>
        </w:tc>
        <w:tc>
          <w:tcPr>
            <w:tcW w:type="dxa" w:w="1520"/>
          </w:tcPr>
          <w:p>
            <w:r>
              <w:rPr>
                <w:rFonts w:ascii="Times New Roman" w:hAnsi="Times New Roman"/>
                <w:color w:val="000000"/>
                <w:sz w:val="22"/>
              </w:rPr>
              <w:t>60% below baseline</w:t>
            </w:r>
          </w:p>
        </w:tc>
        <w:tc>
          <w:tcPr>
            <w:tcW w:type="dxa" w:w="1520"/>
          </w:tcPr>
          <w:p>
            <w:r>
              <w:rPr>
                <w:rFonts w:ascii="Times New Roman" w:hAnsi="Times New Roman"/>
                <w:color w:val="000000"/>
                <w:sz w:val="22"/>
              </w:rPr>
              <w:t>Best</w:t>
            </w:r>
          </w:p>
        </w:tc>
      </w:tr>
      <w:tr>
        <w:tc>
          <w:tcPr>
            <w:tcW w:type="dxa" w:w="1520"/>
          </w:tcPr>
          <w:p>
            <w:r>
              <w:rPr>
                <w:rFonts w:ascii="Times New Roman" w:hAnsi="Times New Roman"/>
                <w:color w:val="000000"/>
                <w:sz w:val="22"/>
              </w:rPr>
              <w:t>2</w:t>
            </w:r>
          </w:p>
        </w:tc>
        <w:tc>
          <w:tcPr>
            <w:tcW w:type="dxa" w:w="1520"/>
          </w:tcPr>
          <w:p>
            <w:r>
              <w:rPr>
                <w:rFonts w:ascii="Times New Roman" w:hAnsi="Times New Roman"/>
                <w:color w:val="000000"/>
                <w:sz w:val="22"/>
              </w:rPr>
              <w:t>Random Forest (Bagging)</w:t>
            </w:r>
          </w:p>
        </w:tc>
        <w:tc>
          <w:tcPr>
            <w:tcW w:type="dxa" w:w="1520"/>
          </w:tcPr>
          <w:p>
            <w:r>
              <w:rPr>
                <w:rFonts w:ascii="Times New Roman" w:hAnsi="Times New Roman"/>
                <w:color w:val="000000"/>
                <w:sz w:val="22"/>
              </w:rPr>
              <w:t>3.16</w:t>
            </w:r>
          </w:p>
        </w:tc>
        <w:tc>
          <w:tcPr>
            <w:tcW w:type="dxa" w:w="1520"/>
          </w:tcPr>
          <w:p>
            <w:r>
              <w:rPr>
                <w:rFonts w:ascii="Times New Roman" w:hAnsi="Times New Roman"/>
                <w:color w:val="000000"/>
                <w:sz w:val="22"/>
              </w:rPr>
              <w:t>+-0.93</w:t>
            </w:r>
          </w:p>
        </w:tc>
        <w:tc>
          <w:tcPr>
            <w:tcW w:type="dxa" w:w="1520"/>
          </w:tcPr>
          <w:p>
            <w:r>
              <w:rPr>
                <w:rFonts w:ascii="Times New Roman" w:hAnsi="Times New Roman"/>
                <w:color w:val="000000"/>
                <w:sz w:val="22"/>
              </w:rPr>
              <w:t>56% below baseline</w:t>
            </w:r>
          </w:p>
        </w:tc>
        <w:tc>
          <w:tcPr>
            <w:tcW w:type="dxa" w:w="1520"/>
          </w:tcPr>
          <w:p>
            <w:r>
              <w:rPr>
                <w:rFonts w:ascii="Times New Roman" w:hAnsi="Times New Roman"/>
                <w:color w:val="000000"/>
                <w:sz w:val="22"/>
              </w:rPr>
            </w:r>
          </w:p>
        </w:tc>
      </w:tr>
      <w:tr>
        <w:tc>
          <w:tcPr>
            <w:tcW w:type="dxa" w:w="1520"/>
          </w:tcPr>
          <w:p>
            <w:r>
              <w:rPr>
                <w:rFonts w:ascii="Times New Roman" w:hAnsi="Times New Roman"/>
                <w:color w:val="000000"/>
                <w:sz w:val="22"/>
              </w:rPr>
              <w:t>3</w:t>
            </w:r>
          </w:p>
        </w:tc>
        <w:tc>
          <w:tcPr>
            <w:tcW w:type="dxa" w:w="1520"/>
          </w:tcPr>
          <w:p>
            <w:r>
              <w:rPr>
                <w:rFonts w:ascii="Times New Roman" w:hAnsi="Times New Roman"/>
                <w:color w:val="000000"/>
                <w:sz w:val="22"/>
              </w:rPr>
              <w:t>Gradient Boosting (sklearn)</w:t>
            </w:r>
          </w:p>
        </w:tc>
        <w:tc>
          <w:tcPr>
            <w:tcW w:type="dxa" w:w="1520"/>
          </w:tcPr>
          <w:p>
            <w:r>
              <w:rPr>
                <w:rFonts w:ascii="Times New Roman" w:hAnsi="Times New Roman"/>
                <w:color w:val="000000"/>
                <w:sz w:val="22"/>
              </w:rPr>
              <w:t>3.19</w:t>
            </w:r>
          </w:p>
        </w:tc>
        <w:tc>
          <w:tcPr>
            <w:tcW w:type="dxa" w:w="1520"/>
          </w:tcPr>
          <w:p>
            <w:r>
              <w:rPr>
                <w:rFonts w:ascii="Times New Roman" w:hAnsi="Times New Roman"/>
                <w:color w:val="000000"/>
                <w:sz w:val="22"/>
              </w:rPr>
              <w:t>+-0.74</w:t>
            </w:r>
          </w:p>
        </w:tc>
        <w:tc>
          <w:tcPr>
            <w:tcW w:type="dxa" w:w="1520"/>
          </w:tcPr>
          <w:p>
            <w:r>
              <w:rPr>
                <w:rFonts w:ascii="Times New Roman" w:hAnsi="Times New Roman"/>
                <w:color w:val="000000"/>
                <w:sz w:val="22"/>
              </w:rPr>
              <w:t>55% below baseline</w:t>
            </w:r>
          </w:p>
        </w:tc>
        <w:tc>
          <w:tcPr>
            <w:tcW w:type="dxa" w:w="1520"/>
          </w:tcPr>
          <w:p>
            <w:r>
              <w:rPr>
                <w:rFonts w:ascii="Times New Roman" w:hAnsi="Times New Roman"/>
                <w:color w:val="000000"/>
                <w:sz w:val="22"/>
              </w:rPr>
            </w:r>
          </w:p>
        </w:tc>
      </w:tr>
      <w:tr>
        <w:tc>
          <w:tcPr>
            <w:tcW w:type="dxa" w:w="1520"/>
          </w:tcPr>
          <w:p>
            <w:r>
              <w:rPr>
                <w:rFonts w:ascii="Times New Roman" w:hAnsi="Times New Roman"/>
                <w:color w:val="000000"/>
                <w:sz w:val="22"/>
              </w:rPr>
              <w:t>4</w:t>
            </w:r>
          </w:p>
        </w:tc>
        <w:tc>
          <w:tcPr>
            <w:tcW w:type="dxa" w:w="1520"/>
          </w:tcPr>
          <w:p>
            <w:r>
              <w:rPr>
                <w:rFonts w:ascii="Times New Roman" w:hAnsi="Times New Roman"/>
                <w:color w:val="000000"/>
                <w:sz w:val="22"/>
              </w:rPr>
              <w:t>LightGBM</w:t>
            </w:r>
          </w:p>
        </w:tc>
        <w:tc>
          <w:tcPr>
            <w:tcW w:type="dxa" w:w="1520"/>
          </w:tcPr>
          <w:p>
            <w:r>
              <w:rPr>
                <w:rFonts w:ascii="Times New Roman" w:hAnsi="Times New Roman"/>
                <w:color w:val="000000"/>
                <w:sz w:val="22"/>
              </w:rPr>
              <w:t>3.45</w:t>
            </w:r>
          </w:p>
        </w:tc>
        <w:tc>
          <w:tcPr>
            <w:tcW w:type="dxa" w:w="1520"/>
          </w:tcPr>
          <w:p>
            <w:r>
              <w:rPr>
                <w:rFonts w:ascii="Times New Roman" w:hAnsi="Times New Roman"/>
                <w:color w:val="000000"/>
                <w:sz w:val="22"/>
              </w:rPr>
              <w:t>+-0.88</w:t>
            </w:r>
          </w:p>
        </w:tc>
        <w:tc>
          <w:tcPr>
            <w:tcW w:type="dxa" w:w="1520"/>
          </w:tcPr>
          <w:p>
            <w:r>
              <w:rPr>
                <w:rFonts w:ascii="Times New Roman" w:hAnsi="Times New Roman"/>
                <w:color w:val="000000"/>
                <w:sz w:val="22"/>
              </w:rPr>
              <w:t>52% below baseline</w:t>
            </w:r>
          </w:p>
        </w:tc>
        <w:tc>
          <w:tcPr>
            <w:tcW w:type="dxa" w:w="1520"/>
          </w:tcPr>
          <w:p>
            <w:r>
              <w:rPr>
                <w:rFonts w:ascii="Times New Roman" w:hAnsi="Times New Roman"/>
                <w:color w:val="000000"/>
                <w:sz w:val="22"/>
              </w:rPr>
            </w:r>
          </w:p>
        </w:tc>
      </w:tr>
      <w:tr>
        <w:tc>
          <w:tcPr>
            <w:tcW w:type="dxa" w:w="1520"/>
          </w:tcPr>
          <w:p>
            <w:r>
              <w:rPr>
                <w:rFonts w:ascii="Times New Roman" w:hAnsi="Times New Roman"/>
                <w:color w:val="000000"/>
                <w:sz w:val="22"/>
              </w:rPr>
              <w:t>5</w:t>
            </w:r>
          </w:p>
        </w:tc>
        <w:tc>
          <w:tcPr>
            <w:tcW w:type="dxa" w:w="1520"/>
          </w:tcPr>
          <w:p>
            <w:r>
              <w:rPr>
                <w:rFonts w:ascii="Times New Roman" w:hAnsi="Times New Roman"/>
                <w:color w:val="000000"/>
                <w:sz w:val="22"/>
              </w:rPr>
              <w:t>Decision Tree (depth=6)</w:t>
            </w:r>
          </w:p>
        </w:tc>
        <w:tc>
          <w:tcPr>
            <w:tcW w:type="dxa" w:w="1520"/>
          </w:tcPr>
          <w:p>
            <w:r>
              <w:rPr>
                <w:rFonts w:ascii="Times New Roman" w:hAnsi="Times New Roman"/>
                <w:color w:val="000000"/>
                <w:sz w:val="22"/>
              </w:rPr>
              <w:t>4.12</w:t>
            </w:r>
          </w:p>
        </w:tc>
        <w:tc>
          <w:tcPr>
            <w:tcW w:type="dxa" w:w="1520"/>
          </w:tcPr>
          <w:p>
            <w:r>
              <w:rPr>
                <w:rFonts w:ascii="Times New Roman" w:hAnsi="Times New Roman"/>
                <w:color w:val="000000"/>
                <w:sz w:val="22"/>
              </w:rPr>
              <w:t>+-1.21</w:t>
            </w:r>
          </w:p>
        </w:tc>
        <w:tc>
          <w:tcPr>
            <w:tcW w:type="dxa" w:w="1520"/>
          </w:tcPr>
          <w:p>
            <w:r>
              <w:rPr>
                <w:rFonts w:ascii="Times New Roman" w:hAnsi="Times New Roman"/>
                <w:color w:val="000000"/>
                <w:sz w:val="22"/>
              </w:rPr>
              <w:t>43% below baseline</w:t>
            </w:r>
          </w:p>
        </w:tc>
        <w:tc>
          <w:tcPr>
            <w:tcW w:type="dxa" w:w="1520"/>
          </w:tcPr>
          <w:p>
            <w:r>
              <w:rPr>
                <w:rFonts w:ascii="Times New Roman" w:hAnsi="Times New Roman"/>
                <w:color w:val="000000"/>
                <w:sz w:val="22"/>
              </w:rPr>
            </w:r>
          </w:p>
        </w:tc>
      </w:tr>
      <w:tr>
        <w:tc>
          <w:tcPr>
            <w:tcW w:type="dxa" w:w="1520"/>
          </w:tcPr>
          <w:p>
            <w:r>
              <w:rPr>
                <w:rFonts w:ascii="Times New Roman" w:hAnsi="Times New Roman"/>
                <w:color w:val="000000"/>
                <w:sz w:val="22"/>
              </w:rPr>
              <w:t>6</w:t>
            </w:r>
          </w:p>
        </w:tc>
        <w:tc>
          <w:tcPr>
            <w:tcW w:type="dxa" w:w="1520"/>
          </w:tcPr>
          <w:p>
            <w:r>
              <w:rPr>
                <w:rFonts w:ascii="Times New Roman" w:hAnsi="Times New Roman"/>
                <w:color w:val="000000"/>
                <w:sz w:val="22"/>
              </w:rPr>
              <w:t>Ridge Regression (L2)</w:t>
            </w:r>
          </w:p>
        </w:tc>
        <w:tc>
          <w:tcPr>
            <w:tcW w:type="dxa" w:w="1520"/>
          </w:tcPr>
          <w:p>
            <w:r>
              <w:rPr>
                <w:rFonts w:ascii="Times New Roman" w:hAnsi="Times New Roman"/>
                <w:color w:val="000000"/>
                <w:sz w:val="22"/>
              </w:rPr>
              <w:t>4.67</w:t>
            </w:r>
          </w:p>
        </w:tc>
        <w:tc>
          <w:tcPr>
            <w:tcW w:type="dxa" w:w="1520"/>
          </w:tcPr>
          <w:p>
            <w:r>
              <w:rPr>
                <w:rFonts w:ascii="Times New Roman" w:hAnsi="Times New Roman"/>
                <w:color w:val="000000"/>
                <w:sz w:val="22"/>
              </w:rPr>
              <w:t>+-0.95</w:t>
            </w:r>
          </w:p>
        </w:tc>
        <w:tc>
          <w:tcPr>
            <w:tcW w:type="dxa" w:w="1520"/>
          </w:tcPr>
          <w:p>
            <w:r>
              <w:rPr>
                <w:rFonts w:ascii="Times New Roman" w:hAnsi="Times New Roman"/>
                <w:color w:val="000000"/>
                <w:sz w:val="22"/>
              </w:rPr>
              <w:t>35% below baseline</w:t>
            </w:r>
          </w:p>
        </w:tc>
        <w:tc>
          <w:tcPr>
            <w:tcW w:type="dxa" w:w="1520"/>
          </w:tcPr>
          <w:p>
            <w:r>
              <w:rPr>
                <w:rFonts w:ascii="Times New Roman" w:hAnsi="Times New Roman"/>
                <w:color w:val="000000"/>
                <w:sz w:val="22"/>
              </w:rPr>
            </w:r>
          </w:p>
        </w:tc>
      </w:tr>
      <w:tr>
        <w:tc>
          <w:tcPr>
            <w:tcW w:type="dxa" w:w="1520"/>
          </w:tcPr>
          <w:p>
            <w:r>
              <w:rPr>
                <w:rFonts w:ascii="Times New Roman" w:hAnsi="Times New Roman"/>
                <w:color w:val="000000"/>
                <w:sz w:val="22"/>
              </w:rPr>
              <w:t>7</w:t>
            </w:r>
          </w:p>
        </w:tc>
        <w:tc>
          <w:tcPr>
            <w:tcW w:type="dxa" w:w="1520"/>
          </w:tcPr>
          <w:p>
            <w:r>
              <w:rPr>
                <w:rFonts w:ascii="Times New Roman" w:hAnsi="Times New Roman"/>
                <w:color w:val="000000"/>
                <w:sz w:val="22"/>
              </w:rPr>
              <w:t>Lasso Regression (L1)</w:t>
            </w:r>
          </w:p>
        </w:tc>
        <w:tc>
          <w:tcPr>
            <w:tcW w:type="dxa" w:w="1520"/>
          </w:tcPr>
          <w:p>
            <w:r>
              <w:rPr>
                <w:rFonts w:ascii="Times New Roman" w:hAnsi="Times New Roman"/>
                <w:color w:val="000000"/>
                <w:sz w:val="22"/>
              </w:rPr>
              <w:t>4.89</w:t>
            </w:r>
          </w:p>
        </w:tc>
        <w:tc>
          <w:tcPr>
            <w:tcW w:type="dxa" w:w="1520"/>
          </w:tcPr>
          <w:p>
            <w:r>
              <w:rPr>
                <w:rFonts w:ascii="Times New Roman" w:hAnsi="Times New Roman"/>
                <w:color w:val="000000"/>
                <w:sz w:val="22"/>
              </w:rPr>
              <w:t>+-1.03</w:t>
            </w:r>
          </w:p>
        </w:tc>
        <w:tc>
          <w:tcPr>
            <w:tcW w:type="dxa" w:w="1520"/>
          </w:tcPr>
          <w:p>
            <w:r>
              <w:rPr>
                <w:rFonts w:ascii="Times New Roman" w:hAnsi="Times New Roman"/>
                <w:color w:val="000000"/>
                <w:sz w:val="22"/>
              </w:rPr>
              <w:t>32% below baseline</w:t>
            </w:r>
          </w:p>
        </w:tc>
        <w:tc>
          <w:tcPr>
            <w:tcW w:type="dxa" w:w="1520"/>
          </w:tcPr>
          <w:p>
            <w:r>
              <w:rPr>
                <w:rFonts w:ascii="Times New Roman" w:hAnsi="Times New Roman"/>
                <w:color w:val="000000"/>
                <w:sz w:val="22"/>
              </w:rPr>
            </w:r>
          </w:p>
        </w:tc>
      </w:tr>
      <w:tr>
        <w:tc>
          <w:tcPr>
            <w:tcW w:type="dxa" w:w="1520"/>
          </w:tcPr>
          <w:p>
            <w:r>
              <w:rPr>
                <w:rFonts w:ascii="Times New Roman" w:hAnsi="Times New Roman"/>
                <w:color w:val="000000"/>
                <w:sz w:val="22"/>
              </w:rPr>
              <w:t>8</w:t>
            </w:r>
          </w:p>
        </w:tc>
        <w:tc>
          <w:tcPr>
            <w:tcW w:type="dxa" w:w="1520"/>
          </w:tcPr>
          <w:p>
            <w:r>
              <w:rPr>
                <w:rFonts w:ascii="Times New Roman" w:hAnsi="Times New Roman"/>
                <w:color w:val="000000"/>
                <w:sz w:val="22"/>
              </w:rPr>
              <w:t>Linear Regression (OLS)</w:t>
            </w:r>
          </w:p>
        </w:tc>
        <w:tc>
          <w:tcPr>
            <w:tcW w:type="dxa" w:w="1520"/>
          </w:tcPr>
          <w:p>
            <w:r>
              <w:rPr>
                <w:rFonts w:ascii="Times New Roman" w:hAnsi="Times New Roman"/>
                <w:color w:val="000000"/>
                <w:sz w:val="22"/>
              </w:rPr>
              <w:t>5.14</w:t>
            </w:r>
          </w:p>
        </w:tc>
        <w:tc>
          <w:tcPr>
            <w:tcW w:type="dxa" w:w="1520"/>
          </w:tcPr>
          <w:p>
            <w:r>
              <w:rPr>
                <w:rFonts w:ascii="Times New Roman" w:hAnsi="Times New Roman"/>
                <w:color w:val="000000"/>
                <w:sz w:val="22"/>
              </w:rPr>
              <w:t>+-1.18</w:t>
            </w:r>
          </w:p>
        </w:tc>
        <w:tc>
          <w:tcPr>
            <w:tcW w:type="dxa" w:w="1520"/>
          </w:tcPr>
          <w:p>
            <w:r>
              <w:rPr>
                <w:rFonts w:ascii="Times New Roman" w:hAnsi="Times New Roman"/>
                <w:color w:val="000000"/>
                <w:sz w:val="22"/>
              </w:rPr>
              <w:t>28% below baseline</w:t>
            </w:r>
          </w:p>
        </w:tc>
        <w:tc>
          <w:tcPr>
            <w:tcW w:type="dxa" w:w="1520"/>
          </w:tcPr>
          <w:p>
            <w:r>
              <w:rPr>
                <w:rFonts w:ascii="Times New Roman" w:hAnsi="Times New Roman"/>
                <w:color w:val="000000"/>
                <w:sz w:val="22"/>
              </w:rPr>
            </w:r>
          </w:p>
        </w:tc>
      </w:tr>
      <w:tr>
        <w:tc>
          <w:tcPr>
            <w:tcW w:type="dxa" w:w="1520"/>
          </w:tcPr>
          <w:p>
            <w:r>
              <w:rPr>
                <w:rFonts w:ascii="Times New Roman" w:hAnsi="Times New Roman"/>
                <w:color w:val="000000"/>
                <w:sz w:val="22"/>
              </w:rPr>
              <w:t>9</w:t>
            </w:r>
          </w:p>
        </w:tc>
        <w:tc>
          <w:tcPr>
            <w:tcW w:type="dxa" w:w="1520"/>
          </w:tcPr>
          <w:p>
            <w:r>
              <w:rPr>
                <w:rFonts w:ascii="Times New Roman" w:hAnsi="Times New Roman"/>
                <w:color w:val="000000"/>
                <w:sz w:val="22"/>
              </w:rPr>
              <w:t>K-Nearest Neighbours (k=7)</w:t>
            </w:r>
          </w:p>
        </w:tc>
        <w:tc>
          <w:tcPr>
            <w:tcW w:type="dxa" w:w="1520"/>
          </w:tcPr>
          <w:p>
            <w:r>
              <w:rPr>
                <w:rFonts w:ascii="Times New Roman" w:hAnsi="Times New Roman"/>
                <w:color w:val="000000"/>
                <w:sz w:val="22"/>
              </w:rPr>
              <w:t>5.78</w:t>
            </w:r>
          </w:p>
        </w:tc>
        <w:tc>
          <w:tcPr>
            <w:tcW w:type="dxa" w:w="1520"/>
          </w:tcPr>
          <w:p>
            <w:r>
              <w:rPr>
                <w:rFonts w:ascii="Times New Roman" w:hAnsi="Times New Roman"/>
                <w:color w:val="000000"/>
                <w:sz w:val="22"/>
              </w:rPr>
              <w:t>+-1.44</w:t>
            </w:r>
          </w:p>
        </w:tc>
        <w:tc>
          <w:tcPr>
            <w:tcW w:type="dxa" w:w="1520"/>
          </w:tcPr>
          <w:p>
            <w:r>
              <w:rPr>
                <w:rFonts w:ascii="Times New Roman" w:hAnsi="Times New Roman"/>
                <w:color w:val="000000"/>
                <w:sz w:val="22"/>
              </w:rPr>
              <w:t>19% below baseline</w:t>
            </w:r>
          </w:p>
        </w:tc>
        <w:tc>
          <w:tcPr>
            <w:tcW w:type="dxa" w:w="1520"/>
          </w:tcPr>
          <w:p>
            <w:r>
              <w:rPr>
                <w:rFonts w:ascii="Times New Roman" w:hAnsi="Times New Roman"/>
                <w:color w:val="000000"/>
                <w:sz w:val="22"/>
              </w:rPr>
            </w:r>
          </w:p>
        </w:tc>
      </w:tr>
      <w:tr>
        <w:tc>
          <w:tcPr>
            <w:tcW w:type="dxa" w:w="1520"/>
          </w:tcPr>
          <w:p>
            <w:r>
              <w:rPr>
                <w:rFonts w:ascii="Times New Roman" w:hAnsi="Times New Roman"/>
                <w:color w:val="000000"/>
                <w:sz w:val="22"/>
              </w:rPr>
              <w:t>10</w:t>
            </w:r>
          </w:p>
        </w:tc>
        <w:tc>
          <w:tcPr>
            <w:tcW w:type="dxa" w:w="1520"/>
          </w:tcPr>
          <w:p>
            <w:r>
              <w:rPr>
                <w:rFonts w:ascii="Times New Roman" w:hAnsi="Times New Roman"/>
                <w:color w:val="000000"/>
                <w:sz w:val="22"/>
              </w:rPr>
              <w:t>Baseline - mean prediction</w:t>
            </w:r>
          </w:p>
        </w:tc>
        <w:tc>
          <w:tcPr>
            <w:tcW w:type="dxa" w:w="1520"/>
          </w:tcPr>
          <w:p>
            <w:r>
              <w:rPr>
                <w:rFonts w:ascii="Times New Roman" w:hAnsi="Times New Roman"/>
                <w:color w:val="000000"/>
                <w:sz w:val="22"/>
              </w:rPr>
              <w:t>7.17</w:t>
            </w:r>
          </w:p>
        </w:tc>
        <w:tc>
          <w:tcPr>
            <w:tcW w:type="dxa" w:w="1520"/>
          </w:tcPr>
          <w:p>
            <w:r>
              <w:rPr>
                <w:rFonts w:ascii="Times New Roman" w:hAnsi="Times New Roman"/>
                <w:color w:val="000000"/>
                <w:sz w:val="22"/>
              </w:rPr>
              <w:t>+-1.45</w:t>
            </w:r>
          </w:p>
        </w:tc>
        <w:tc>
          <w:tcPr>
            <w:tcW w:type="dxa" w:w="1520"/>
          </w:tcPr>
          <w:p>
            <w:r>
              <w:rPr>
                <w:rFonts w:ascii="Times New Roman" w:hAnsi="Times New Roman"/>
                <w:color w:val="000000"/>
                <w:sz w:val="22"/>
              </w:rPr>
              <w:t>Reference</w:t>
            </w:r>
          </w:p>
        </w:tc>
        <w:tc>
          <w:tcPr>
            <w:tcW w:type="dxa" w:w="1520"/>
          </w:tcPr>
          <w:p>
            <w:r>
              <w:rPr>
                <w:rFonts w:ascii="Times New Roman" w:hAnsi="Times New Roman"/>
                <w:color w:val="000000"/>
                <w:sz w:val="22"/>
              </w:rPr>
              <w:t>Worst</w:t>
            </w:r>
          </w:p>
        </w:tc>
      </w:tr>
    </w:tbl>
    <w:p>
      <w:pPr>
        <w:spacing w:after="200"/>
        <w:jc w:val="center"/>
      </w:pPr>
      <w:r>
        <w:rPr>
          <w:rFonts w:ascii="Times New Roman" w:hAnsi="Times New Roman"/>
          <w:b w:val="0"/>
          <w:i/>
          <w:color w:val="000000"/>
          <w:sz w:val="20"/>
        </w:rPr>
        <w:t>Table 3: Regression Model Leaderboard - 5-Fold CV RMSE (percentage points)</w:t>
      </w:r>
    </w:p>
    <w:p/>
    <w:p>
      <w:pPr>
        <w:jc w:val="center"/>
      </w:pPr>
      <w:r>
        <w:drawing>
          <wp:inline xmlns:a="http://schemas.openxmlformats.org/drawingml/2006/main" xmlns:pic="http://schemas.openxmlformats.org/drawingml/2006/picture">
            <wp:extent cx="4572000" cy="2245245"/>
            <wp:docPr id="5" name="Picture 5"/>
            <wp:cNvGraphicFramePr>
              <a:graphicFrameLocks noChangeAspect="1"/>
            </wp:cNvGraphicFramePr>
            <a:graphic>
              <a:graphicData uri="http://schemas.openxmlformats.org/drawingml/2006/picture">
                <pic:pic>
                  <pic:nvPicPr>
                    <pic:cNvPr id="0" name="06_model_leaderboard.png"/>
                    <pic:cNvPicPr/>
                  </pic:nvPicPr>
                  <pic:blipFill>
                    <a:blip r:embed="rId13"/>
                    <a:stretch>
                      <a:fillRect/>
                    </a:stretch>
                  </pic:blipFill>
                  <pic:spPr>
                    <a:xfrm>
                      <a:off x="0" y="0"/>
                      <a:ext cx="4572000" cy="2245245"/>
                    </a:xfrm>
                    <a:prstGeom prst="rect"/>
                  </pic:spPr>
                </pic:pic>
              </a:graphicData>
            </a:graphic>
          </wp:inline>
        </w:drawing>
      </w:r>
    </w:p>
    <w:p>
      <w:pPr>
        <w:spacing w:after="200"/>
        <w:jc w:val="center"/>
      </w:pPr>
      <w:r>
        <w:rPr>
          <w:rFonts w:ascii="Times New Roman" w:hAnsi="Times New Roman"/>
          <w:b w:val="0"/>
          <w:i/>
          <w:color w:val="000000"/>
          <w:sz w:val="20"/>
        </w:rPr>
        <w:t>Figure 5: Model Leaderboard - 5-fold CV RMSE comparison</w:t>
      </w:r>
    </w:p>
    <w:p>
      <w:pPr>
        <w:spacing w:after="120" w:lineRule="exact" w:line="360"/>
        <w:jc w:val="both"/>
      </w:pPr>
      <w:r>
        <w:rPr>
          <w:rFonts w:ascii="Times New Roman" w:hAnsi="Times New Roman"/>
          <w:b w:val="0"/>
          <w:i w:val="0"/>
          <w:color w:val="000000"/>
          <w:sz w:val="24"/>
        </w:rPr>
        <w:t>XGBoost was selected as the best model with hyperparameters: learning_rate = 0.05, n_estimators = 500, max_depth = 4, subsample = 0.8. The 60% RMSE reduction over the baseline is statistically significant (p = 0.003, paired one-sided t-test on per-fold RMSE, H6).</w:t>
      </w:r>
    </w:p>
    <w:p>
      <w:pPr>
        <w:spacing w:before="240" w:after="80" w:lineRule="exact" w:line="240"/>
        <w:jc w:val="left"/>
      </w:pPr>
      <w:r>
        <w:rPr>
          <w:rFonts w:ascii="Times New Roman" w:hAnsi="Times New Roman"/>
          <w:b/>
          <w:i w:val="0"/>
          <w:color w:val="000000"/>
          <w:sz w:val="28"/>
        </w:rPr>
        <w:t>5.2  Feature Importance and SHAP Analysis</w:t>
      </w:r>
    </w:p>
    <w:p>
      <w:pPr>
        <w:spacing w:after="120" w:lineRule="exact" w:line="360"/>
        <w:jc w:val="both"/>
      </w:pPr>
      <w:r>
        <w:rPr>
          <w:rFonts w:ascii="Times New Roman" w:hAnsi="Times New Roman"/>
          <w:b w:val="0"/>
          <w:i w:val="0"/>
          <w:color w:val="000000"/>
          <w:sz w:val="24"/>
        </w:rPr>
        <w:t>Feature importance was extracted using XGBoost's gain-based metric and validated with SHAP (SHapley Additive exPlanations) values. The SHAP beeswarm plot provides observation-level attribution for each feature.</w:t>
      </w:r>
    </w:p>
    <w:p>
      <w:pPr>
        <w:spacing w:after="120" w:lineRule="exact" w:line="360"/>
        <w:jc w:val="both"/>
      </w:pPr>
      <w:r>
        <w:rPr>
          <w:rFonts w:ascii="Times New Roman" w:hAnsi="Times New Roman"/>
          <w:b w:val="0"/>
          <w:i w:val="0"/>
          <w:color w:val="000000"/>
          <w:sz w:val="24"/>
        </w:rPr>
        <w:t>underweight_pct dominates (approx. 0.78 SHAP magnitude), reflecting the high co-occurrence of stunting, wasting, and underweight. Healthcare access, maternal education, and the WASH composite together account for approximately 60% of remaining importance mass (Figures 6 and 7).</w:t>
      </w:r>
    </w:p>
    <w:p>
      <w:pPr>
        <w:jc w:val="center"/>
      </w:pPr>
      <w:r>
        <w:drawing>
          <wp:inline xmlns:a="http://schemas.openxmlformats.org/drawingml/2006/main" xmlns:pic="http://schemas.openxmlformats.org/drawingml/2006/picture">
            <wp:extent cx="4572000" cy="2959261"/>
            <wp:docPr id="6" name="Picture 6"/>
            <wp:cNvGraphicFramePr>
              <a:graphicFrameLocks noChangeAspect="1"/>
            </wp:cNvGraphicFramePr>
            <a:graphic>
              <a:graphicData uri="http://schemas.openxmlformats.org/drawingml/2006/picture">
                <pic:pic>
                  <pic:nvPicPr>
                    <pic:cNvPr id="0" name="07_feature_importance.png"/>
                    <pic:cNvPicPr/>
                  </pic:nvPicPr>
                  <pic:blipFill>
                    <a:blip r:embed="rId14"/>
                    <a:stretch>
                      <a:fillRect/>
                    </a:stretch>
                  </pic:blipFill>
                  <pic:spPr>
                    <a:xfrm>
                      <a:off x="0" y="0"/>
                      <a:ext cx="4572000" cy="2959261"/>
                    </a:xfrm>
                    <a:prstGeom prst="rect"/>
                  </pic:spPr>
                </pic:pic>
              </a:graphicData>
            </a:graphic>
          </wp:inline>
        </w:drawing>
      </w:r>
    </w:p>
    <w:p>
      <w:pPr>
        <w:spacing w:after="200"/>
        <w:jc w:val="center"/>
      </w:pPr>
      <w:r>
        <w:rPr>
          <w:rFonts w:ascii="Times New Roman" w:hAnsi="Times New Roman"/>
          <w:b w:val="0"/>
          <w:i/>
          <w:color w:val="000000"/>
          <w:sz w:val="20"/>
        </w:rPr>
        <w:t>Figure 6: Feature Importance - Top 15 (XGBoost gain)</w:t>
      </w:r>
    </w:p>
    <w:p>
      <w:pPr>
        <w:jc w:val="center"/>
      </w:pPr>
      <w:r>
        <w:drawing>
          <wp:inline xmlns:a="http://schemas.openxmlformats.org/drawingml/2006/main" xmlns:pic="http://schemas.openxmlformats.org/drawingml/2006/picture">
            <wp:extent cx="4572000" cy="3654184"/>
            <wp:docPr id="7" name="Picture 7"/>
            <wp:cNvGraphicFramePr>
              <a:graphicFrameLocks noChangeAspect="1"/>
            </wp:cNvGraphicFramePr>
            <a:graphic>
              <a:graphicData uri="http://schemas.openxmlformats.org/drawingml/2006/picture">
                <pic:pic>
                  <pic:nvPicPr>
                    <pic:cNvPr id="0" name="08_shap_beeswarm.png"/>
                    <pic:cNvPicPr/>
                  </pic:nvPicPr>
                  <pic:blipFill>
                    <a:blip r:embed="rId15"/>
                    <a:stretch>
                      <a:fillRect/>
                    </a:stretch>
                  </pic:blipFill>
                  <pic:spPr>
                    <a:xfrm>
                      <a:off x="0" y="0"/>
                      <a:ext cx="4572000" cy="3654184"/>
                    </a:xfrm>
                    <a:prstGeom prst="rect"/>
                  </pic:spPr>
                </pic:pic>
              </a:graphicData>
            </a:graphic>
          </wp:inline>
        </w:drawing>
      </w:r>
    </w:p>
    <w:p>
      <w:pPr>
        <w:spacing w:after="200"/>
        <w:jc w:val="center"/>
      </w:pPr>
      <w:r>
        <w:rPr>
          <w:rFonts w:ascii="Times New Roman" w:hAnsi="Times New Roman"/>
          <w:b w:val="0"/>
          <w:i/>
          <w:color w:val="000000"/>
          <w:sz w:val="20"/>
        </w:rPr>
        <w:t>Figure 7: SHAP Beeswarm Plot - observation-level feature attribution</w:t>
      </w:r>
    </w:p>
    <w:p>
      <w:pPr>
        <w:spacing w:before="240" w:after="80" w:lineRule="exact" w:line="240"/>
        <w:jc w:val="left"/>
      </w:pPr>
      <w:r>
        <w:rPr>
          <w:rFonts w:ascii="Times New Roman" w:hAnsi="Times New Roman"/>
          <w:b/>
          <w:i w:val="0"/>
          <w:color w:val="000000"/>
          <w:sz w:val="28"/>
        </w:rPr>
        <w:t>5.3  Classification</w:t>
      </w:r>
    </w:p>
    <w:p>
      <w:pPr>
        <w:spacing w:after="120" w:lineRule="exact" w:line="360"/>
        <w:jc w:val="both"/>
      </w:pPr>
      <w:r>
        <w:rPr>
          <w:rFonts w:ascii="Times New Roman" w:hAnsi="Times New Roman"/>
          <w:b w:val="0"/>
          <w:i w:val="0"/>
          <w:color w:val="000000"/>
          <w:sz w:val="24"/>
        </w:rPr>
        <w:t>A secondary task assigns each observation to one of four WHO risk bands based on stunting thresholds: Low (&lt;20%), Medium (20-29%), High (30-39%), Critical (&gt;=40%). Two classifiers were compared:</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rFonts w:ascii="Times New Roman" w:hAnsi="Times New Roman"/>
                <w:b/>
                <w:color w:val="000000"/>
                <w:sz w:val="22"/>
              </w:rPr>
              <w:t>Classifier</w:t>
            </w:r>
          </w:p>
        </w:tc>
        <w:tc>
          <w:tcPr>
            <w:tcW w:type="dxa" w:w="3041"/>
          </w:tcPr>
          <w:p>
            <w:r>
              <w:rPr>
                <w:rFonts w:ascii="Times New Roman" w:hAnsi="Times New Roman"/>
                <w:b/>
                <w:color w:val="000000"/>
                <w:sz w:val="22"/>
              </w:rPr>
              <w:t>Accuracy</w:t>
            </w:r>
          </w:p>
        </w:tc>
        <w:tc>
          <w:tcPr>
            <w:tcW w:type="dxa" w:w="3041"/>
          </w:tcPr>
          <w:p>
            <w:r>
              <w:rPr>
                <w:rFonts w:ascii="Times New Roman" w:hAnsi="Times New Roman"/>
                <w:b/>
                <w:color w:val="000000"/>
                <w:sz w:val="22"/>
              </w:rPr>
              <w:t>Notes</w:t>
            </w:r>
          </w:p>
        </w:tc>
      </w:tr>
      <w:tr>
        <w:tc>
          <w:tcPr>
            <w:tcW w:type="dxa" w:w="3041"/>
          </w:tcPr>
          <w:p>
            <w:r>
              <w:rPr>
                <w:rFonts w:ascii="Times New Roman" w:hAnsi="Times New Roman"/>
                <w:color w:val="000000"/>
                <w:sz w:val="22"/>
              </w:rPr>
              <w:t>Logistic Regression (L2, one-vs-rest)</w:t>
            </w:r>
          </w:p>
        </w:tc>
        <w:tc>
          <w:tcPr>
            <w:tcW w:type="dxa" w:w="3041"/>
          </w:tcPr>
          <w:p>
            <w:r>
              <w:rPr>
                <w:rFonts w:ascii="Times New Roman" w:hAnsi="Times New Roman"/>
                <w:color w:val="000000"/>
                <w:sz w:val="22"/>
              </w:rPr>
              <w:t>73%</w:t>
            </w:r>
          </w:p>
        </w:tc>
        <w:tc>
          <w:tcPr>
            <w:tcW w:type="dxa" w:w="3041"/>
          </w:tcPr>
          <w:p>
            <w:r>
              <w:rPr>
                <w:rFonts w:ascii="Times New Roman" w:hAnsi="Times New Roman"/>
                <w:color w:val="000000"/>
                <w:sz w:val="22"/>
              </w:rPr>
              <w:t>Hold-out test set accuracy</w:t>
            </w:r>
          </w:p>
        </w:tc>
      </w:tr>
      <w:tr>
        <w:tc>
          <w:tcPr>
            <w:tcW w:type="dxa" w:w="3041"/>
          </w:tcPr>
          <w:p>
            <w:r>
              <w:rPr>
                <w:rFonts w:ascii="Times New Roman" w:hAnsi="Times New Roman"/>
                <w:color w:val="000000"/>
                <w:sz w:val="22"/>
              </w:rPr>
              <w:t>Random Forest (100 trees, depth=5)</w:t>
            </w:r>
          </w:p>
        </w:tc>
        <w:tc>
          <w:tcPr>
            <w:tcW w:type="dxa" w:w="3041"/>
          </w:tcPr>
          <w:p>
            <w:r>
              <w:rPr>
                <w:rFonts w:ascii="Times New Roman" w:hAnsi="Times New Roman"/>
                <w:color w:val="000000"/>
                <w:sz w:val="22"/>
              </w:rPr>
              <w:t>80%</w:t>
            </w:r>
          </w:p>
        </w:tc>
        <w:tc>
          <w:tcPr>
            <w:tcW w:type="dxa" w:w="3041"/>
          </w:tcPr>
          <w:p>
            <w:r>
              <w:rPr>
                <w:rFonts w:ascii="Times New Roman" w:hAnsi="Times New Roman"/>
                <w:color w:val="000000"/>
                <w:sz w:val="22"/>
              </w:rPr>
              <w:t>Hold-out test set accuracy - Best</w:t>
            </w:r>
          </w:p>
        </w:tc>
      </w:tr>
    </w:tbl>
    <w:p>
      <w:pPr>
        <w:spacing w:after="200"/>
        <w:jc w:val="center"/>
      </w:pPr>
      <w:r>
        <w:rPr>
          <w:rFonts w:ascii="Times New Roman" w:hAnsi="Times New Roman"/>
          <w:b w:val="0"/>
          <w:i/>
          <w:color w:val="000000"/>
          <w:sz w:val="20"/>
        </w:rPr>
        <w:t>Table 4: Classification Results</w:t>
      </w:r>
    </w:p>
    <w:p/>
    <w:p>
      <w:pPr>
        <w:spacing w:after="120" w:lineRule="exact" w:line="360"/>
        <w:jc w:val="both"/>
      </w:pPr>
      <w:r>
        <w:rPr>
          <w:rFonts w:ascii="Times New Roman" w:hAnsi="Times New Roman"/>
          <w:b w:val="0"/>
          <w:i w:val="0"/>
          <w:color w:val="000000"/>
          <w:sz w:val="24"/>
        </w:rPr>
        <w:t>Random Forest achieved 80% accuracy. The confusion matrix (Figure 8) shows all errors are confined to adjacent bands - no observation was misclassified by more than one band.</w:t>
      </w:r>
    </w:p>
    <w:p>
      <w:pPr>
        <w:jc w:val="center"/>
      </w:pPr>
      <w:r>
        <w:drawing>
          <wp:inline xmlns:a="http://schemas.openxmlformats.org/drawingml/2006/main" xmlns:pic="http://schemas.openxmlformats.org/drawingml/2006/picture">
            <wp:extent cx="4572000" cy="4623857"/>
            <wp:docPr id="8" name="Picture 8"/>
            <wp:cNvGraphicFramePr>
              <a:graphicFrameLocks noChangeAspect="1"/>
            </wp:cNvGraphicFramePr>
            <a:graphic>
              <a:graphicData uri="http://schemas.openxmlformats.org/drawingml/2006/picture">
                <pic:pic>
                  <pic:nvPicPr>
                    <pic:cNvPr id="0" name="11_confusion_matrix.png"/>
                    <pic:cNvPicPr/>
                  </pic:nvPicPr>
                  <pic:blipFill>
                    <a:blip r:embed="rId16"/>
                    <a:stretch>
                      <a:fillRect/>
                    </a:stretch>
                  </pic:blipFill>
                  <pic:spPr>
                    <a:xfrm>
                      <a:off x="0" y="0"/>
                      <a:ext cx="4572000" cy="4623857"/>
                    </a:xfrm>
                    <a:prstGeom prst="rect"/>
                  </pic:spPr>
                </pic:pic>
              </a:graphicData>
            </a:graphic>
          </wp:inline>
        </w:drawing>
      </w:r>
    </w:p>
    <w:p>
      <w:pPr>
        <w:spacing w:after="200"/>
        <w:jc w:val="center"/>
      </w:pPr>
      <w:r>
        <w:rPr>
          <w:rFonts w:ascii="Times New Roman" w:hAnsi="Times New Roman"/>
          <w:b w:val="0"/>
          <w:i/>
          <w:color w:val="000000"/>
          <w:sz w:val="20"/>
        </w:rPr>
        <w:t>Figure 8: Confusion Matrix - WHO Risk Band Classification (Random Forest, 80%)</w:t>
      </w:r>
    </w:p>
    <w:p>
      <w:pPr>
        <w:spacing w:before="240" w:after="80" w:lineRule="exact" w:line="240"/>
        <w:jc w:val="left"/>
      </w:pPr>
      <w:r>
        <w:rPr>
          <w:rFonts w:ascii="Times New Roman" w:hAnsi="Times New Roman"/>
          <w:b/>
          <w:i w:val="0"/>
          <w:color w:val="000000"/>
          <w:sz w:val="28"/>
        </w:rPr>
        <w:t>5.4  Clustering Analysis</w:t>
      </w:r>
    </w:p>
    <w:p>
      <w:pPr>
        <w:spacing w:after="120" w:lineRule="exact" w:line="360"/>
        <w:jc w:val="both"/>
      </w:pPr>
      <w:r>
        <w:rPr>
          <w:rFonts w:ascii="Times New Roman" w:hAnsi="Times New Roman"/>
          <w:b w:val="0"/>
          <w:i w:val="0"/>
          <w:color w:val="000000"/>
          <w:sz w:val="24"/>
        </w:rPr>
        <w:t>K-Means clustering was applied to the standardised feature matrix. The elbow method and silhouette coefficient (tested for k = 2 to 8) both agreed on k = 2, yielding a silhouette score of 0.52 (Figure 9).</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tcPr>
          <w:p>
            <w:r>
              <w:rPr>
                <w:rFonts w:ascii="Times New Roman" w:hAnsi="Times New Roman"/>
                <w:b/>
                <w:color w:val="000000"/>
                <w:sz w:val="22"/>
              </w:rPr>
              <w:t>Cluster</w:t>
            </w:r>
          </w:p>
        </w:tc>
        <w:tc>
          <w:tcPr>
            <w:tcW w:type="dxa" w:w="1824"/>
          </w:tcPr>
          <w:p>
            <w:r>
              <w:rPr>
                <w:rFonts w:ascii="Times New Roman" w:hAnsi="Times New Roman"/>
                <w:b/>
                <w:color w:val="000000"/>
                <w:sz w:val="22"/>
              </w:rPr>
              <w:t>Regions</w:t>
            </w:r>
          </w:p>
        </w:tc>
        <w:tc>
          <w:tcPr>
            <w:tcW w:type="dxa" w:w="1824"/>
          </w:tcPr>
          <w:p>
            <w:r>
              <w:rPr>
                <w:rFonts w:ascii="Times New Roman" w:hAnsi="Times New Roman"/>
                <w:b/>
                <w:color w:val="000000"/>
                <w:sz w:val="22"/>
              </w:rPr>
              <w:t>Women Sec+</w:t>
            </w:r>
          </w:p>
        </w:tc>
        <w:tc>
          <w:tcPr>
            <w:tcW w:type="dxa" w:w="1824"/>
          </w:tcPr>
          <w:p>
            <w:r>
              <w:rPr>
                <w:rFonts w:ascii="Times New Roman" w:hAnsi="Times New Roman"/>
                <w:b/>
                <w:color w:val="000000"/>
                <w:sz w:val="22"/>
              </w:rPr>
              <w:t>Literate</w:t>
            </w:r>
          </w:p>
        </w:tc>
        <w:tc>
          <w:tcPr>
            <w:tcW w:type="dxa" w:w="1824"/>
          </w:tcPr>
          <w:p>
            <w:r>
              <w:rPr>
                <w:rFonts w:ascii="Times New Roman" w:hAnsi="Times New Roman"/>
                <w:b/>
                <w:color w:val="000000"/>
                <w:sz w:val="22"/>
              </w:rPr>
              <w:t>Stunting</w:t>
            </w:r>
          </w:p>
        </w:tc>
      </w:tr>
      <w:tr>
        <w:tc>
          <w:tcPr>
            <w:tcW w:type="dxa" w:w="1824"/>
          </w:tcPr>
          <w:p>
            <w:r>
              <w:rPr>
                <w:rFonts w:ascii="Times New Roman" w:hAnsi="Times New Roman"/>
                <w:color w:val="000000"/>
                <w:sz w:val="22"/>
              </w:rPr>
              <w:t>Cluster 0 - Northern-rural (critical)</w:t>
            </w:r>
          </w:p>
        </w:tc>
        <w:tc>
          <w:tcPr>
            <w:tcW w:type="dxa" w:w="1824"/>
          </w:tcPr>
          <w:p>
            <w:r>
              <w:rPr>
                <w:rFonts w:ascii="Times New Roman" w:hAnsi="Times New Roman"/>
                <w:color w:val="000000"/>
                <w:sz w:val="22"/>
              </w:rPr>
              <w:t>Far North, North, Adamawa, East</w:t>
            </w:r>
          </w:p>
        </w:tc>
        <w:tc>
          <w:tcPr>
            <w:tcW w:type="dxa" w:w="1824"/>
          </w:tcPr>
          <w:p>
            <w:r>
              <w:rPr>
                <w:rFonts w:ascii="Times New Roman" w:hAnsi="Times New Roman"/>
                <w:color w:val="000000"/>
                <w:sz w:val="22"/>
              </w:rPr>
              <w:t>1.9%</w:t>
            </w:r>
          </w:p>
        </w:tc>
        <w:tc>
          <w:tcPr>
            <w:tcW w:type="dxa" w:w="1824"/>
          </w:tcPr>
          <w:p>
            <w:r>
              <w:rPr>
                <w:rFonts w:ascii="Times New Roman" w:hAnsi="Times New Roman"/>
                <w:color w:val="000000"/>
                <w:sz w:val="22"/>
              </w:rPr>
              <w:t>43.6%</w:t>
            </w:r>
          </w:p>
        </w:tc>
        <w:tc>
          <w:tcPr>
            <w:tcW w:type="dxa" w:w="1824"/>
          </w:tcPr>
          <w:p>
            <w:r>
              <w:rPr>
                <w:rFonts w:ascii="Times New Roman" w:hAnsi="Times New Roman"/>
                <w:color w:val="000000"/>
                <w:sz w:val="22"/>
              </w:rPr>
              <w:t>37.0%</w:t>
            </w:r>
          </w:p>
        </w:tc>
      </w:tr>
      <w:tr>
        <w:tc>
          <w:tcPr>
            <w:tcW w:type="dxa" w:w="1824"/>
          </w:tcPr>
          <w:p>
            <w:r>
              <w:rPr>
                <w:rFonts w:ascii="Times New Roman" w:hAnsi="Times New Roman"/>
                <w:color w:val="000000"/>
                <w:sz w:val="22"/>
              </w:rPr>
              <w:t>Cluster 1 - Urban-southern (low risk)</w:t>
            </w:r>
          </w:p>
        </w:tc>
        <w:tc>
          <w:tcPr>
            <w:tcW w:type="dxa" w:w="1824"/>
          </w:tcPr>
          <w:p>
            <w:r>
              <w:rPr>
                <w:rFonts w:ascii="Times New Roman" w:hAnsi="Times New Roman"/>
                <w:color w:val="000000"/>
                <w:sz w:val="22"/>
              </w:rPr>
              <w:t>Centre, Littoral, South, West, NW, SW</w:t>
            </w:r>
          </w:p>
        </w:tc>
        <w:tc>
          <w:tcPr>
            <w:tcW w:type="dxa" w:w="1824"/>
          </w:tcPr>
          <w:p>
            <w:r>
              <w:rPr>
                <w:rFonts w:ascii="Times New Roman" w:hAnsi="Times New Roman"/>
                <w:color w:val="000000"/>
                <w:sz w:val="22"/>
              </w:rPr>
              <w:t>10.3%</w:t>
            </w:r>
          </w:p>
        </w:tc>
        <w:tc>
          <w:tcPr>
            <w:tcW w:type="dxa" w:w="1824"/>
          </w:tcPr>
          <w:p>
            <w:r>
              <w:rPr>
                <w:rFonts w:ascii="Times New Roman" w:hAnsi="Times New Roman"/>
                <w:color w:val="000000"/>
                <w:sz w:val="22"/>
              </w:rPr>
              <w:t>87.2%</w:t>
            </w:r>
          </w:p>
        </w:tc>
        <w:tc>
          <w:tcPr>
            <w:tcW w:type="dxa" w:w="1824"/>
          </w:tcPr>
          <w:p>
            <w:r>
              <w:rPr>
                <w:rFonts w:ascii="Times New Roman" w:hAnsi="Times New Roman"/>
                <w:color w:val="000000"/>
                <w:sz w:val="22"/>
              </w:rPr>
              <w:t>23.6%</w:t>
            </w:r>
          </w:p>
        </w:tc>
      </w:tr>
    </w:tbl>
    <w:p>
      <w:pPr>
        <w:spacing w:after="200"/>
        <w:jc w:val="center"/>
      </w:pPr>
      <w:r>
        <w:rPr>
          <w:rFonts w:ascii="Times New Roman" w:hAnsi="Times New Roman"/>
          <w:b w:val="0"/>
          <w:i/>
          <w:color w:val="000000"/>
          <w:sz w:val="20"/>
        </w:rPr>
        <w:t>Table 5: K-Means Cluster Profiles</w:t>
      </w:r>
    </w:p>
    <w:p/>
    <w:p>
      <w:pPr>
        <w:jc w:val="center"/>
      </w:pPr>
      <w:r>
        <w:drawing>
          <wp:inline xmlns:a="http://schemas.openxmlformats.org/drawingml/2006/main" xmlns:pic="http://schemas.openxmlformats.org/drawingml/2006/picture">
            <wp:extent cx="4572000" cy="3228138"/>
            <wp:docPr id="9" name="Picture 9"/>
            <wp:cNvGraphicFramePr>
              <a:graphicFrameLocks noChangeAspect="1"/>
            </wp:cNvGraphicFramePr>
            <a:graphic>
              <a:graphicData uri="http://schemas.openxmlformats.org/drawingml/2006/picture">
                <pic:pic>
                  <pic:nvPicPr>
                    <pic:cNvPr id="0" name="13_clusters_pca.png"/>
                    <pic:cNvPicPr/>
                  </pic:nvPicPr>
                  <pic:blipFill>
                    <a:blip r:embed="rId17"/>
                    <a:stretch>
                      <a:fillRect/>
                    </a:stretch>
                  </pic:blipFill>
                  <pic:spPr>
                    <a:xfrm>
                      <a:off x="0" y="0"/>
                      <a:ext cx="4572000" cy="3228138"/>
                    </a:xfrm>
                    <a:prstGeom prst="rect"/>
                  </pic:spPr>
                </pic:pic>
              </a:graphicData>
            </a:graphic>
          </wp:inline>
        </w:drawing>
      </w:r>
    </w:p>
    <w:p>
      <w:pPr>
        <w:spacing w:after="200"/>
        <w:jc w:val="center"/>
      </w:pPr>
      <w:r>
        <w:rPr>
          <w:rFonts w:ascii="Times New Roman" w:hAnsi="Times New Roman"/>
          <w:b w:val="0"/>
          <w:i/>
          <w:color w:val="000000"/>
          <w:sz w:val="20"/>
        </w:rPr>
        <w:t>Figure 9: K-Means Clusters in PCA Space (k=2, silhouette=0.52)</w:t>
      </w:r>
    </w:p>
    <w:p>
      <w:pPr>
        <w:spacing w:before="240" w:after="80" w:lineRule="exact" w:line="240"/>
        <w:jc w:val="left"/>
      </w:pPr>
      <w:r>
        <w:rPr>
          <w:rFonts w:ascii="Times New Roman" w:hAnsi="Times New Roman"/>
          <w:b/>
          <w:i w:val="0"/>
          <w:color w:val="000000"/>
          <w:sz w:val="28"/>
        </w:rPr>
        <w:t>5.5  Forecasting</w:t>
      </w:r>
    </w:p>
    <w:p>
      <w:pPr>
        <w:spacing w:after="120" w:lineRule="exact" w:line="360"/>
        <w:jc w:val="both"/>
      </w:pPr>
      <w:r>
        <w:rPr>
          <w:rFonts w:ascii="Times New Roman" w:hAnsi="Times New Roman"/>
          <w:b w:val="0"/>
          <w:i w:val="0"/>
          <w:color w:val="000000"/>
          <w:sz w:val="24"/>
        </w:rPr>
        <w:t>Linear time-trend models were fitted per region using five historical data points. Far North shows the shallowest decline (-0.09 pp/year, R2 = 0.62); Littoral shows the steepest (-0.29 pp/year). At current rates, Far North is projected to reach 37.6% stunting by 2028 - still firmly in the WHO 'high' band (Figure 10).</w:t>
      </w:r>
    </w:p>
    <w:p>
      <w:pPr>
        <w:jc w:val="center"/>
      </w:pPr>
      <w:r>
        <w:drawing>
          <wp:inline xmlns:a="http://schemas.openxmlformats.org/drawingml/2006/main" xmlns:pic="http://schemas.openxmlformats.org/drawingml/2006/picture">
            <wp:extent cx="4572000" cy="2496845"/>
            <wp:docPr id="10" name="Picture 10"/>
            <wp:cNvGraphicFramePr>
              <a:graphicFrameLocks noChangeAspect="1"/>
            </wp:cNvGraphicFramePr>
            <a:graphic>
              <a:graphicData uri="http://schemas.openxmlformats.org/drawingml/2006/picture">
                <pic:pic>
                  <pic:nvPicPr>
                    <pic:cNvPr id="0" name="14_forecasts_top5.png"/>
                    <pic:cNvPicPr/>
                  </pic:nvPicPr>
                  <pic:blipFill>
                    <a:blip r:embed="rId18"/>
                    <a:stretch>
                      <a:fillRect/>
                    </a:stretch>
                  </pic:blipFill>
                  <pic:spPr>
                    <a:xfrm>
                      <a:off x="0" y="0"/>
                      <a:ext cx="4572000" cy="2496845"/>
                    </a:xfrm>
                    <a:prstGeom prst="rect"/>
                  </pic:spPr>
                </pic:pic>
              </a:graphicData>
            </a:graphic>
          </wp:inline>
        </w:drawing>
      </w:r>
    </w:p>
    <w:p>
      <w:pPr>
        <w:spacing w:after="200"/>
        <w:jc w:val="center"/>
      </w:pPr>
      <w:r>
        <w:rPr>
          <w:rFonts w:ascii="Times New Roman" w:hAnsi="Times New Roman"/>
          <w:b w:val="0"/>
          <w:i/>
          <w:color w:val="000000"/>
          <w:sz w:val="20"/>
        </w:rPr>
        <w:t>Figure 10: Stunting Rate Forecasts to 2026/2028 - Top 5 Hotspot Regions</w:t>
      </w:r>
    </w:p>
    <w:p>
      <w:r>
        <w:br w:type="page"/>
      </w:r>
    </w:p>
    <w:p>
      <w:pPr>
        <w:spacing w:before="240" w:after="80" w:lineRule="exact" w:line="240"/>
        <w:jc w:val="left"/>
      </w:pPr>
      <w:r>
        <w:rPr>
          <w:rFonts w:ascii="Times New Roman" w:hAnsi="Times New Roman"/>
          <w:b/>
          <w:i w:val="0"/>
          <w:color w:val="000000"/>
          <w:sz w:val="32"/>
        </w:rPr>
        <w:t>6.  Evaluation</w:t>
      </w:r>
    </w:p>
    <w:p>
      <w:pPr>
        <w:spacing w:before="240" w:after="80" w:lineRule="exact" w:line="240"/>
        <w:jc w:val="left"/>
      </w:pPr>
      <w:r>
        <w:rPr>
          <w:rFonts w:ascii="Times New Roman" w:hAnsi="Times New Roman"/>
          <w:b/>
          <w:i w:val="0"/>
          <w:color w:val="000000"/>
          <w:sz w:val="28"/>
        </w:rPr>
        <w:t>6.1  Hypothesis Test Results</w:t>
      </w:r>
    </w:p>
    <w:p>
      <w:pPr>
        <w:spacing w:after="120" w:lineRule="exact" w:line="360"/>
        <w:jc w:val="both"/>
      </w:pPr>
      <w:r>
        <w:rPr>
          <w:rFonts w:ascii="Times New Roman" w:hAnsi="Times New Roman"/>
          <w:b w:val="0"/>
          <w:i w:val="0"/>
          <w:color w:val="000000"/>
          <w:sz w:val="24"/>
        </w:rPr>
        <w:t>All six null hypotheses are rejected at the 5% significance level using Spearman rank correlation (H1-H5) and a paired one-sided t-test (H6).</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tcPr>
          <w:p>
            <w:r>
              <w:rPr>
                <w:rFonts w:ascii="Times New Roman" w:hAnsi="Times New Roman"/>
                <w:b/>
                <w:color w:val="000000"/>
                <w:sz w:val="22"/>
              </w:rPr>
              <w:t>Hyp.</w:t>
            </w:r>
          </w:p>
        </w:tc>
        <w:tc>
          <w:tcPr>
            <w:tcW w:type="dxa" w:w="1520"/>
          </w:tcPr>
          <w:p>
            <w:r>
              <w:rPr>
                <w:rFonts w:ascii="Times New Roman" w:hAnsi="Times New Roman"/>
                <w:b/>
                <w:color w:val="000000"/>
                <w:sz w:val="22"/>
              </w:rPr>
              <w:t>Driver</w:t>
            </w:r>
          </w:p>
        </w:tc>
        <w:tc>
          <w:tcPr>
            <w:tcW w:type="dxa" w:w="1520"/>
          </w:tcPr>
          <w:p>
            <w:r>
              <w:rPr>
                <w:rFonts w:ascii="Times New Roman" w:hAnsi="Times New Roman"/>
                <w:b/>
                <w:color w:val="000000"/>
                <w:sz w:val="22"/>
              </w:rPr>
              <w:t>Test</w:t>
            </w:r>
          </w:p>
        </w:tc>
        <w:tc>
          <w:tcPr>
            <w:tcW w:type="dxa" w:w="1520"/>
          </w:tcPr>
          <w:p>
            <w:r>
              <w:rPr>
                <w:rFonts w:ascii="Times New Roman" w:hAnsi="Times New Roman"/>
                <w:b/>
                <w:color w:val="000000"/>
                <w:sz w:val="22"/>
              </w:rPr>
              <w:t>Statistic</w:t>
            </w:r>
          </w:p>
        </w:tc>
        <w:tc>
          <w:tcPr>
            <w:tcW w:type="dxa" w:w="1520"/>
          </w:tcPr>
          <w:p>
            <w:r>
              <w:rPr>
                <w:rFonts w:ascii="Times New Roman" w:hAnsi="Times New Roman"/>
                <w:b/>
                <w:color w:val="000000"/>
                <w:sz w:val="22"/>
              </w:rPr>
              <w:t>p-value</w:t>
            </w:r>
          </w:p>
        </w:tc>
        <w:tc>
          <w:tcPr>
            <w:tcW w:type="dxa" w:w="1520"/>
          </w:tcPr>
          <w:p>
            <w:r>
              <w:rPr>
                <w:rFonts w:ascii="Times New Roman" w:hAnsi="Times New Roman"/>
                <w:b/>
                <w:color w:val="000000"/>
                <w:sz w:val="22"/>
              </w:rPr>
              <w:t>Decision</w:t>
            </w:r>
          </w:p>
        </w:tc>
      </w:tr>
      <w:tr>
        <w:tc>
          <w:tcPr>
            <w:tcW w:type="dxa" w:w="1520"/>
          </w:tcPr>
          <w:p>
            <w:r>
              <w:rPr>
                <w:rFonts w:ascii="Times New Roman" w:hAnsi="Times New Roman"/>
                <w:color w:val="000000"/>
                <w:sz w:val="22"/>
              </w:rPr>
              <w:t>H1</w:t>
            </w:r>
          </w:p>
        </w:tc>
        <w:tc>
          <w:tcPr>
            <w:tcW w:type="dxa" w:w="1520"/>
          </w:tcPr>
          <w:p>
            <w:r>
              <w:rPr>
                <w:rFonts w:ascii="Times New Roman" w:hAnsi="Times New Roman"/>
                <w:color w:val="000000"/>
                <w:sz w:val="22"/>
              </w:rPr>
              <w:t>Maternal education</w:t>
            </w:r>
          </w:p>
        </w:tc>
        <w:tc>
          <w:tcPr>
            <w:tcW w:type="dxa" w:w="1520"/>
          </w:tcPr>
          <w:p>
            <w:r>
              <w:rPr>
                <w:rFonts w:ascii="Times New Roman" w:hAnsi="Times New Roman"/>
                <w:color w:val="000000"/>
                <w:sz w:val="22"/>
              </w:rPr>
              <w:t>Spearman rho</w:t>
            </w:r>
          </w:p>
        </w:tc>
        <w:tc>
          <w:tcPr>
            <w:tcW w:type="dxa" w:w="1520"/>
          </w:tcPr>
          <w:p>
            <w:r>
              <w:rPr>
                <w:rFonts w:ascii="Times New Roman" w:hAnsi="Times New Roman"/>
                <w:color w:val="000000"/>
                <w:sz w:val="22"/>
              </w:rPr>
              <w:t>-0.538</w:t>
            </w:r>
          </w:p>
        </w:tc>
        <w:tc>
          <w:tcPr>
            <w:tcW w:type="dxa" w:w="1520"/>
          </w:tcPr>
          <w:p>
            <w:r>
              <w:rPr>
                <w:rFonts w:ascii="Times New Roman" w:hAnsi="Times New Roman"/>
                <w:color w:val="000000"/>
                <w:sz w:val="22"/>
              </w:rPr>
              <w:t>5.66e-05</w:t>
            </w:r>
          </w:p>
        </w:tc>
        <w:tc>
          <w:tcPr>
            <w:tcW w:type="dxa" w:w="1520"/>
          </w:tcPr>
          <w:p>
            <w:r>
              <w:rPr>
                <w:rFonts w:ascii="Times New Roman" w:hAnsi="Times New Roman"/>
                <w:color w:val="000000"/>
                <w:sz w:val="22"/>
              </w:rPr>
              <w:t>Rejected</w:t>
            </w:r>
          </w:p>
        </w:tc>
      </w:tr>
      <w:tr>
        <w:tc>
          <w:tcPr>
            <w:tcW w:type="dxa" w:w="1520"/>
          </w:tcPr>
          <w:p>
            <w:r>
              <w:rPr>
                <w:rFonts w:ascii="Times New Roman" w:hAnsi="Times New Roman"/>
                <w:color w:val="000000"/>
                <w:sz w:val="22"/>
              </w:rPr>
              <w:t>H2</w:t>
            </w:r>
          </w:p>
        </w:tc>
        <w:tc>
          <w:tcPr>
            <w:tcW w:type="dxa" w:w="1520"/>
          </w:tcPr>
          <w:p>
            <w:r>
              <w:rPr>
                <w:rFonts w:ascii="Times New Roman" w:hAnsi="Times New Roman"/>
                <w:color w:val="000000"/>
                <w:sz w:val="22"/>
              </w:rPr>
              <w:t>WASH composite</w:t>
            </w:r>
          </w:p>
        </w:tc>
        <w:tc>
          <w:tcPr>
            <w:tcW w:type="dxa" w:w="1520"/>
          </w:tcPr>
          <w:p>
            <w:r>
              <w:rPr>
                <w:rFonts w:ascii="Times New Roman" w:hAnsi="Times New Roman"/>
                <w:color w:val="000000"/>
                <w:sz w:val="22"/>
              </w:rPr>
              <w:t>Spearman rho</w:t>
            </w:r>
          </w:p>
        </w:tc>
        <w:tc>
          <w:tcPr>
            <w:tcW w:type="dxa" w:w="1520"/>
          </w:tcPr>
          <w:p>
            <w:r>
              <w:rPr>
                <w:rFonts w:ascii="Times New Roman" w:hAnsi="Times New Roman"/>
                <w:color w:val="000000"/>
                <w:sz w:val="22"/>
              </w:rPr>
              <w:t>-0.501</w:t>
            </w:r>
          </w:p>
        </w:tc>
        <w:tc>
          <w:tcPr>
            <w:tcW w:type="dxa" w:w="1520"/>
          </w:tcPr>
          <w:p>
            <w:r>
              <w:rPr>
                <w:rFonts w:ascii="Times New Roman" w:hAnsi="Times New Roman"/>
                <w:color w:val="000000"/>
                <w:sz w:val="22"/>
              </w:rPr>
              <w:t>2.12e-04</w:t>
            </w:r>
          </w:p>
        </w:tc>
        <w:tc>
          <w:tcPr>
            <w:tcW w:type="dxa" w:w="1520"/>
          </w:tcPr>
          <w:p>
            <w:r>
              <w:rPr>
                <w:rFonts w:ascii="Times New Roman" w:hAnsi="Times New Roman"/>
                <w:color w:val="000000"/>
                <w:sz w:val="22"/>
              </w:rPr>
              <w:t>Rejected</w:t>
            </w:r>
          </w:p>
        </w:tc>
      </w:tr>
      <w:tr>
        <w:tc>
          <w:tcPr>
            <w:tcW w:type="dxa" w:w="1520"/>
          </w:tcPr>
          <w:p>
            <w:r>
              <w:rPr>
                <w:rFonts w:ascii="Times New Roman" w:hAnsi="Times New Roman"/>
                <w:color w:val="000000"/>
                <w:sz w:val="22"/>
              </w:rPr>
              <w:t>H3</w:t>
            </w:r>
          </w:p>
        </w:tc>
        <w:tc>
          <w:tcPr>
            <w:tcW w:type="dxa" w:w="1520"/>
          </w:tcPr>
          <w:p>
            <w:r>
              <w:rPr>
                <w:rFonts w:ascii="Times New Roman" w:hAnsi="Times New Roman"/>
                <w:color w:val="000000"/>
                <w:sz w:val="22"/>
              </w:rPr>
              <w:t>SES proxy</w:t>
            </w:r>
          </w:p>
        </w:tc>
        <w:tc>
          <w:tcPr>
            <w:tcW w:type="dxa" w:w="1520"/>
          </w:tcPr>
          <w:p>
            <w:r>
              <w:rPr>
                <w:rFonts w:ascii="Times New Roman" w:hAnsi="Times New Roman"/>
                <w:color w:val="000000"/>
                <w:sz w:val="22"/>
              </w:rPr>
              <w:t>Spearman rho</w:t>
            </w:r>
          </w:p>
        </w:tc>
        <w:tc>
          <w:tcPr>
            <w:tcW w:type="dxa" w:w="1520"/>
          </w:tcPr>
          <w:p>
            <w:r>
              <w:rPr>
                <w:rFonts w:ascii="Times New Roman" w:hAnsi="Times New Roman"/>
                <w:color w:val="000000"/>
                <w:sz w:val="22"/>
              </w:rPr>
              <w:t>-0.709</w:t>
            </w:r>
          </w:p>
        </w:tc>
        <w:tc>
          <w:tcPr>
            <w:tcW w:type="dxa" w:w="1520"/>
          </w:tcPr>
          <w:p>
            <w:r>
              <w:rPr>
                <w:rFonts w:ascii="Times New Roman" w:hAnsi="Times New Roman"/>
                <w:color w:val="000000"/>
                <w:sz w:val="22"/>
              </w:rPr>
              <w:t>8.35e-09</w:t>
            </w:r>
          </w:p>
        </w:tc>
        <w:tc>
          <w:tcPr>
            <w:tcW w:type="dxa" w:w="1520"/>
          </w:tcPr>
          <w:p>
            <w:r>
              <w:rPr>
                <w:rFonts w:ascii="Times New Roman" w:hAnsi="Times New Roman"/>
                <w:color w:val="000000"/>
                <w:sz w:val="22"/>
              </w:rPr>
              <w:t>Rejected</w:t>
            </w:r>
          </w:p>
        </w:tc>
      </w:tr>
      <w:tr>
        <w:tc>
          <w:tcPr>
            <w:tcW w:type="dxa" w:w="1520"/>
          </w:tcPr>
          <w:p>
            <w:r>
              <w:rPr>
                <w:rFonts w:ascii="Times New Roman" w:hAnsi="Times New Roman"/>
                <w:color w:val="000000"/>
                <w:sz w:val="22"/>
              </w:rPr>
              <w:t>H4</w:t>
            </w:r>
          </w:p>
        </w:tc>
        <w:tc>
          <w:tcPr>
            <w:tcW w:type="dxa" w:w="1520"/>
          </w:tcPr>
          <w:p>
            <w:r>
              <w:rPr>
                <w:rFonts w:ascii="Times New Roman" w:hAnsi="Times New Roman"/>
                <w:color w:val="000000"/>
                <w:sz w:val="22"/>
              </w:rPr>
              <w:t>Healthcare access</w:t>
            </w:r>
          </w:p>
        </w:tc>
        <w:tc>
          <w:tcPr>
            <w:tcW w:type="dxa" w:w="1520"/>
          </w:tcPr>
          <w:p>
            <w:r>
              <w:rPr>
                <w:rFonts w:ascii="Times New Roman" w:hAnsi="Times New Roman"/>
                <w:color w:val="000000"/>
                <w:sz w:val="22"/>
              </w:rPr>
              <w:t>Spearman rho</w:t>
            </w:r>
          </w:p>
        </w:tc>
        <w:tc>
          <w:tcPr>
            <w:tcW w:type="dxa" w:w="1520"/>
          </w:tcPr>
          <w:p>
            <w:r>
              <w:rPr>
                <w:rFonts w:ascii="Times New Roman" w:hAnsi="Times New Roman"/>
                <w:color w:val="000000"/>
                <w:sz w:val="22"/>
              </w:rPr>
              <w:t>-0.778</w:t>
            </w:r>
          </w:p>
        </w:tc>
        <w:tc>
          <w:tcPr>
            <w:tcW w:type="dxa" w:w="1520"/>
          </w:tcPr>
          <w:p>
            <w:r>
              <w:rPr>
                <w:rFonts w:ascii="Times New Roman" w:hAnsi="Times New Roman"/>
                <w:color w:val="000000"/>
                <w:sz w:val="22"/>
              </w:rPr>
              <w:t>2.84e-11</w:t>
            </w:r>
          </w:p>
        </w:tc>
        <w:tc>
          <w:tcPr>
            <w:tcW w:type="dxa" w:w="1520"/>
          </w:tcPr>
          <w:p>
            <w:r>
              <w:rPr>
                <w:rFonts w:ascii="Times New Roman" w:hAnsi="Times New Roman"/>
                <w:color w:val="000000"/>
                <w:sz w:val="22"/>
              </w:rPr>
              <w:t>Rejected</w:t>
            </w:r>
          </w:p>
        </w:tc>
      </w:tr>
      <w:tr>
        <w:tc>
          <w:tcPr>
            <w:tcW w:type="dxa" w:w="1520"/>
          </w:tcPr>
          <w:p>
            <w:r>
              <w:rPr>
                <w:rFonts w:ascii="Times New Roman" w:hAnsi="Times New Roman"/>
                <w:color w:val="000000"/>
                <w:sz w:val="22"/>
              </w:rPr>
              <w:t>H5</w:t>
            </w:r>
          </w:p>
        </w:tc>
        <w:tc>
          <w:tcPr>
            <w:tcW w:type="dxa" w:w="1520"/>
          </w:tcPr>
          <w:p>
            <w:r>
              <w:rPr>
                <w:rFonts w:ascii="Times New Roman" w:hAnsi="Times New Roman"/>
                <w:color w:val="000000"/>
                <w:sz w:val="22"/>
              </w:rPr>
              <w:t>Malaria prevalence</w:t>
            </w:r>
          </w:p>
        </w:tc>
        <w:tc>
          <w:tcPr>
            <w:tcW w:type="dxa" w:w="1520"/>
          </w:tcPr>
          <w:p>
            <w:r>
              <w:rPr>
                <w:rFonts w:ascii="Times New Roman" w:hAnsi="Times New Roman"/>
                <w:color w:val="000000"/>
                <w:sz w:val="22"/>
              </w:rPr>
              <w:t>Spearman rho</w:t>
            </w:r>
          </w:p>
        </w:tc>
        <w:tc>
          <w:tcPr>
            <w:tcW w:type="dxa" w:w="1520"/>
          </w:tcPr>
          <w:p>
            <w:r>
              <w:rPr>
                <w:rFonts w:ascii="Times New Roman" w:hAnsi="Times New Roman"/>
                <w:color w:val="000000"/>
                <w:sz w:val="22"/>
              </w:rPr>
              <w:t>+0.358</w:t>
            </w:r>
          </w:p>
        </w:tc>
        <w:tc>
          <w:tcPr>
            <w:tcW w:type="dxa" w:w="1520"/>
          </w:tcPr>
          <w:p>
            <w:r>
              <w:rPr>
                <w:rFonts w:ascii="Times New Roman" w:hAnsi="Times New Roman"/>
                <w:color w:val="000000"/>
                <w:sz w:val="22"/>
              </w:rPr>
              <w:t>1.06e-02</w:t>
            </w:r>
          </w:p>
        </w:tc>
        <w:tc>
          <w:tcPr>
            <w:tcW w:type="dxa" w:w="1520"/>
          </w:tcPr>
          <w:p>
            <w:r>
              <w:rPr>
                <w:rFonts w:ascii="Times New Roman" w:hAnsi="Times New Roman"/>
                <w:color w:val="000000"/>
                <w:sz w:val="22"/>
              </w:rPr>
              <w:t>Rejected</w:t>
            </w:r>
          </w:p>
        </w:tc>
      </w:tr>
      <w:tr>
        <w:tc>
          <w:tcPr>
            <w:tcW w:type="dxa" w:w="1520"/>
          </w:tcPr>
          <w:p>
            <w:r>
              <w:rPr>
                <w:rFonts w:ascii="Times New Roman" w:hAnsi="Times New Roman"/>
                <w:color w:val="000000"/>
                <w:sz w:val="22"/>
              </w:rPr>
              <w:t>H6</w:t>
            </w:r>
          </w:p>
        </w:tc>
        <w:tc>
          <w:tcPr>
            <w:tcW w:type="dxa" w:w="1520"/>
          </w:tcPr>
          <w:p>
            <w:r>
              <w:rPr>
                <w:rFonts w:ascii="Times New Roman" w:hAnsi="Times New Roman"/>
                <w:color w:val="000000"/>
                <w:sz w:val="22"/>
              </w:rPr>
              <w:t>ML vs baseline</w:t>
            </w:r>
          </w:p>
        </w:tc>
        <w:tc>
          <w:tcPr>
            <w:tcW w:type="dxa" w:w="1520"/>
          </w:tcPr>
          <w:p>
            <w:r>
              <w:rPr>
                <w:rFonts w:ascii="Times New Roman" w:hAnsi="Times New Roman"/>
                <w:color w:val="000000"/>
                <w:sz w:val="22"/>
              </w:rPr>
              <w:t>Paired t-test</w:t>
            </w:r>
          </w:p>
        </w:tc>
        <w:tc>
          <w:tcPr>
            <w:tcW w:type="dxa" w:w="1520"/>
          </w:tcPr>
          <w:p>
            <w:r>
              <w:rPr>
                <w:rFonts w:ascii="Times New Roman" w:hAnsi="Times New Roman"/>
                <w:color w:val="000000"/>
                <w:sz w:val="22"/>
              </w:rPr>
              <w:t>-60.0%</w:t>
            </w:r>
          </w:p>
        </w:tc>
        <w:tc>
          <w:tcPr>
            <w:tcW w:type="dxa" w:w="1520"/>
          </w:tcPr>
          <w:p>
            <w:r>
              <w:rPr>
                <w:rFonts w:ascii="Times New Roman" w:hAnsi="Times New Roman"/>
                <w:color w:val="000000"/>
                <w:sz w:val="22"/>
              </w:rPr>
              <w:t>0.003</w:t>
            </w:r>
          </w:p>
        </w:tc>
        <w:tc>
          <w:tcPr>
            <w:tcW w:type="dxa" w:w="1520"/>
          </w:tcPr>
          <w:p>
            <w:r>
              <w:rPr>
                <w:rFonts w:ascii="Times New Roman" w:hAnsi="Times New Roman"/>
                <w:color w:val="000000"/>
                <w:sz w:val="22"/>
              </w:rPr>
              <w:t>Rejected</w:t>
            </w:r>
          </w:p>
        </w:tc>
      </w:tr>
    </w:tbl>
    <w:p>
      <w:pPr>
        <w:spacing w:after="200"/>
        <w:jc w:val="center"/>
      </w:pPr>
      <w:r>
        <w:rPr>
          <w:rFonts w:ascii="Times New Roman" w:hAnsi="Times New Roman"/>
          <w:b w:val="0"/>
          <w:i/>
          <w:color w:val="000000"/>
          <w:sz w:val="20"/>
        </w:rPr>
        <w:t>Table 6: Hypothesis Test Results</w:t>
      </w:r>
    </w:p>
    <w:p/>
    <w:p>
      <w:pPr>
        <w:spacing w:before="240" w:after="80" w:lineRule="exact" w:line="240"/>
        <w:jc w:val="left"/>
      </w:pPr>
      <w:r>
        <w:rPr>
          <w:rFonts w:ascii="Times New Roman" w:hAnsi="Times New Roman"/>
          <w:b/>
          <w:i w:val="0"/>
          <w:color w:val="000000"/>
          <w:sz w:val="28"/>
        </w:rPr>
        <w:t>6.2  Model Performance vs Success Criteria</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rFonts w:ascii="Times New Roman" w:hAnsi="Times New Roman"/>
                <w:b/>
                <w:color w:val="000000"/>
                <w:sz w:val="22"/>
              </w:rPr>
              <w:t>Success Criterion</w:t>
            </w:r>
          </w:p>
        </w:tc>
        <w:tc>
          <w:tcPr>
            <w:tcW w:type="dxa" w:w="3041"/>
          </w:tcPr>
          <w:p>
            <w:r>
              <w:rPr>
                <w:rFonts w:ascii="Times New Roman" w:hAnsi="Times New Roman"/>
                <w:b/>
                <w:color w:val="000000"/>
                <w:sz w:val="22"/>
              </w:rPr>
              <w:t>Achieved Result</w:t>
            </w:r>
          </w:p>
        </w:tc>
        <w:tc>
          <w:tcPr>
            <w:tcW w:type="dxa" w:w="3041"/>
          </w:tcPr>
          <w:p>
            <w:r>
              <w:rPr>
                <w:rFonts w:ascii="Times New Roman" w:hAnsi="Times New Roman"/>
                <w:b/>
                <w:color w:val="000000"/>
                <w:sz w:val="22"/>
              </w:rPr>
              <w:t>Status</w:t>
            </w:r>
          </w:p>
        </w:tc>
      </w:tr>
      <w:tr>
        <w:tc>
          <w:tcPr>
            <w:tcW w:type="dxa" w:w="3041"/>
          </w:tcPr>
          <w:p>
            <w:r>
              <w:rPr>
                <w:rFonts w:ascii="Times New Roman" w:hAnsi="Times New Roman"/>
                <w:color w:val="000000"/>
                <w:sz w:val="22"/>
              </w:rPr>
              <w:t>CV RMSE &lt; 4 pp</w:t>
            </w:r>
          </w:p>
        </w:tc>
        <w:tc>
          <w:tcPr>
            <w:tcW w:type="dxa" w:w="3041"/>
          </w:tcPr>
          <w:p>
            <w:r>
              <w:rPr>
                <w:rFonts w:ascii="Times New Roman" w:hAnsi="Times New Roman"/>
                <w:color w:val="000000"/>
                <w:sz w:val="22"/>
              </w:rPr>
              <w:t>XGBoost: 2.87 pp</w:t>
            </w:r>
          </w:p>
        </w:tc>
        <w:tc>
          <w:tcPr>
            <w:tcW w:type="dxa" w:w="3041"/>
          </w:tcPr>
          <w:p>
            <w:r>
              <w:rPr>
                <w:rFonts w:ascii="Times New Roman" w:hAnsi="Times New Roman"/>
                <w:color w:val="000000"/>
                <w:sz w:val="22"/>
              </w:rPr>
              <w:t>Met</w:t>
            </w:r>
          </w:p>
        </w:tc>
      </w:tr>
      <w:tr>
        <w:tc>
          <w:tcPr>
            <w:tcW w:type="dxa" w:w="3041"/>
          </w:tcPr>
          <w:p>
            <w:r>
              <w:rPr>
                <w:rFonts w:ascii="Times New Roman" w:hAnsi="Times New Roman"/>
                <w:color w:val="000000"/>
                <w:sz w:val="22"/>
              </w:rPr>
              <w:t>Classification &gt;= 75%</w:t>
            </w:r>
          </w:p>
        </w:tc>
        <w:tc>
          <w:tcPr>
            <w:tcW w:type="dxa" w:w="3041"/>
          </w:tcPr>
          <w:p>
            <w:r>
              <w:rPr>
                <w:rFonts w:ascii="Times New Roman" w:hAnsi="Times New Roman"/>
                <w:color w:val="000000"/>
                <w:sz w:val="22"/>
              </w:rPr>
              <w:t>Random Forest: 80%</w:t>
            </w:r>
          </w:p>
        </w:tc>
        <w:tc>
          <w:tcPr>
            <w:tcW w:type="dxa" w:w="3041"/>
          </w:tcPr>
          <w:p>
            <w:r>
              <w:rPr>
                <w:rFonts w:ascii="Times New Roman" w:hAnsi="Times New Roman"/>
                <w:color w:val="000000"/>
                <w:sz w:val="22"/>
              </w:rPr>
              <w:t>Met</w:t>
            </w:r>
          </w:p>
        </w:tc>
      </w:tr>
      <w:tr>
        <w:tc>
          <w:tcPr>
            <w:tcW w:type="dxa" w:w="3041"/>
          </w:tcPr>
          <w:p>
            <w:r>
              <w:rPr>
                <w:rFonts w:ascii="Times New Roman" w:hAnsi="Times New Roman"/>
                <w:color w:val="000000"/>
                <w:sz w:val="22"/>
              </w:rPr>
              <w:t>Clustering silhouette &gt;= 0.40</w:t>
            </w:r>
          </w:p>
        </w:tc>
        <w:tc>
          <w:tcPr>
            <w:tcW w:type="dxa" w:w="3041"/>
          </w:tcPr>
          <w:p>
            <w:r>
              <w:rPr>
                <w:rFonts w:ascii="Times New Roman" w:hAnsi="Times New Roman"/>
                <w:color w:val="000000"/>
                <w:sz w:val="22"/>
              </w:rPr>
              <w:t>K-Means k=2: 0.52</w:t>
            </w:r>
          </w:p>
        </w:tc>
        <w:tc>
          <w:tcPr>
            <w:tcW w:type="dxa" w:w="3041"/>
          </w:tcPr>
          <w:p>
            <w:r>
              <w:rPr>
                <w:rFonts w:ascii="Times New Roman" w:hAnsi="Times New Roman"/>
                <w:color w:val="000000"/>
                <w:sz w:val="22"/>
              </w:rPr>
              <w:t>Met</w:t>
            </w:r>
          </w:p>
        </w:tc>
      </w:tr>
      <w:tr>
        <w:tc>
          <w:tcPr>
            <w:tcW w:type="dxa" w:w="3041"/>
          </w:tcPr>
          <w:p>
            <w:r>
              <w:rPr>
                <w:rFonts w:ascii="Times New Roman" w:hAnsi="Times New Roman"/>
                <w:color w:val="000000"/>
                <w:sz w:val="22"/>
              </w:rPr>
              <w:t>&gt;= 4 driver hypotheses sig.</w:t>
            </w:r>
          </w:p>
        </w:tc>
        <w:tc>
          <w:tcPr>
            <w:tcW w:type="dxa" w:w="3041"/>
          </w:tcPr>
          <w:p>
            <w:r>
              <w:rPr>
                <w:rFonts w:ascii="Times New Roman" w:hAnsi="Times New Roman"/>
                <w:color w:val="000000"/>
                <w:sz w:val="22"/>
              </w:rPr>
              <w:t>All 5 (H1-H5) rejected at p&lt;0.05</w:t>
            </w:r>
          </w:p>
        </w:tc>
        <w:tc>
          <w:tcPr>
            <w:tcW w:type="dxa" w:w="3041"/>
          </w:tcPr>
          <w:p>
            <w:r>
              <w:rPr>
                <w:rFonts w:ascii="Times New Roman" w:hAnsi="Times New Roman"/>
                <w:color w:val="000000"/>
                <w:sz w:val="22"/>
              </w:rPr>
              <w:t>Met</w:t>
            </w:r>
          </w:p>
        </w:tc>
      </w:tr>
      <w:tr>
        <w:tc>
          <w:tcPr>
            <w:tcW w:type="dxa" w:w="3041"/>
          </w:tcPr>
          <w:p>
            <w:r>
              <w:rPr>
                <w:rFonts w:ascii="Times New Roman" w:hAnsi="Times New Roman"/>
                <w:color w:val="000000"/>
                <w:sz w:val="22"/>
              </w:rPr>
              <w:t>Client-side predictor</w:t>
            </w:r>
          </w:p>
        </w:tc>
        <w:tc>
          <w:tcPr>
            <w:tcW w:type="dxa" w:w="3041"/>
          </w:tcPr>
          <w:p>
            <w:r>
              <w:rPr>
                <w:rFonts w:ascii="Times New Roman" w:hAnsi="Times New Roman"/>
                <w:color w:val="000000"/>
                <w:sz w:val="22"/>
              </w:rPr>
              <w:t>predict.ts + predictor.json live</w:t>
            </w:r>
          </w:p>
        </w:tc>
        <w:tc>
          <w:tcPr>
            <w:tcW w:type="dxa" w:w="3041"/>
          </w:tcPr>
          <w:p>
            <w:r>
              <w:rPr>
                <w:rFonts w:ascii="Times New Roman" w:hAnsi="Times New Roman"/>
                <w:color w:val="000000"/>
                <w:sz w:val="22"/>
              </w:rPr>
              <w:t>Met</w:t>
            </w:r>
          </w:p>
        </w:tc>
      </w:tr>
    </w:tbl>
    <w:p>
      <w:pPr>
        <w:spacing w:after="200"/>
        <w:jc w:val="center"/>
      </w:pPr>
      <w:r>
        <w:rPr>
          <w:rFonts w:ascii="Times New Roman" w:hAnsi="Times New Roman"/>
          <w:b w:val="0"/>
          <w:i/>
          <w:color w:val="000000"/>
          <w:sz w:val="20"/>
        </w:rPr>
        <w:t>Table 7: Model Performance vs Business Criteria</w:t>
      </w:r>
    </w:p>
    <w:p/>
    <w:p>
      <w:pPr>
        <w:jc w:val="center"/>
      </w:pPr>
      <w:r>
        <w:drawing>
          <wp:inline xmlns:a="http://schemas.openxmlformats.org/drawingml/2006/main" xmlns:pic="http://schemas.openxmlformats.org/drawingml/2006/picture">
            <wp:extent cx="4572000" cy="4566397"/>
            <wp:docPr id="11" name="Picture 11"/>
            <wp:cNvGraphicFramePr>
              <a:graphicFrameLocks noChangeAspect="1"/>
            </wp:cNvGraphicFramePr>
            <a:graphic>
              <a:graphicData uri="http://schemas.openxmlformats.org/drawingml/2006/picture">
                <pic:pic>
                  <pic:nvPicPr>
                    <pic:cNvPr id="0" name="09_predicted_vs_actual.png"/>
                    <pic:cNvPicPr/>
                  </pic:nvPicPr>
                  <pic:blipFill>
                    <a:blip r:embed="rId19"/>
                    <a:stretch>
                      <a:fillRect/>
                    </a:stretch>
                  </pic:blipFill>
                  <pic:spPr>
                    <a:xfrm>
                      <a:off x="0" y="0"/>
                      <a:ext cx="4572000" cy="4566397"/>
                    </a:xfrm>
                    <a:prstGeom prst="rect"/>
                  </pic:spPr>
                </pic:pic>
              </a:graphicData>
            </a:graphic>
          </wp:inline>
        </w:drawing>
      </w:r>
    </w:p>
    <w:p>
      <w:pPr>
        <w:spacing w:after="200"/>
        <w:jc w:val="center"/>
      </w:pPr>
      <w:r>
        <w:rPr>
          <w:rFonts w:ascii="Times New Roman" w:hAnsi="Times New Roman"/>
          <w:b w:val="0"/>
          <w:i/>
          <w:color w:val="000000"/>
          <w:sz w:val="20"/>
        </w:rPr>
        <w:t>Figure 11: Predicted vs Actual Stunting Rate - Hold-out Test Set (XGBoost)</w:t>
      </w:r>
    </w:p>
    <w:p>
      <w:r>
        <w:br w:type="page"/>
      </w:r>
    </w:p>
    <w:p>
      <w:pPr>
        <w:spacing w:before="240" w:after="80" w:lineRule="exact" w:line="240"/>
        <w:jc w:val="left"/>
      </w:pPr>
      <w:r>
        <w:rPr>
          <w:rFonts w:ascii="Times New Roman" w:hAnsi="Times New Roman"/>
          <w:b/>
          <w:i w:val="0"/>
          <w:color w:val="000000"/>
          <w:sz w:val="32"/>
        </w:rPr>
        <w:t>7.  Deployment</w:t>
      </w:r>
    </w:p>
    <w:p>
      <w:pPr>
        <w:spacing w:before="240" w:after="80" w:lineRule="exact" w:line="240"/>
        <w:jc w:val="left"/>
      </w:pPr>
      <w:r>
        <w:rPr>
          <w:rFonts w:ascii="Times New Roman" w:hAnsi="Times New Roman"/>
          <w:b/>
          <w:i w:val="0"/>
          <w:color w:val="000000"/>
          <w:sz w:val="28"/>
        </w:rPr>
        <w:t>7.1  Output Artefacts</w:t>
      </w:r>
    </w:p>
    <w:p>
      <w:pPr>
        <w:spacing w:after="120" w:lineRule="exact" w:line="360"/>
        <w:jc w:val="both"/>
      </w:pPr>
      <w:r>
        <w:rPr>
          <w:rFonts w:ascii="Times New Roman" w:hAnsi="Times New Roman"/>
          <w:b w:val="0"/>
          <w:i w:val="0"/>
          <w:color w:val="000000"/>
          <w:sz w:val="24"/>
        </w:rPr>
        <w:t>The pipeline saves the following artefacts to the outputs/ directory:</w:t>
      </w:r>
    </w:p>
    <w:p>
      <w:pPr>
        <w:pStyle w:val="ListBullet"/>
        <w:spacing w:after="60" w:lineRule="exact" w:line="360"/>
        <w:ind w:left="680"/>
      </w:pPr>
      <w:r>
        <w:rPr>
          <w:rFonts w:ascii="Times New Roman" w:hAnsi="Times New Roman"/>
          <w:b w:val="0"/>
          <w:i w:val="0"/>
          <w:color w:val="000000"/>
          <w:sz w:val="24"/>
        </w:rPr>
        <w:t>best_model.joblib - serialised XGBoost model for batch scoring.</w:t>
      </w:r>
    </w:p>
    <w:p>
      <w:pPr>
        <w:pStyle w:val="ListBullet"/>
        <w:spacing w:after="60" w:lineRule="exact" w:line="360"/>
        <w:ind w:left="680"/>
      </w:pPr>
      <w:r>
        <w:rPr>
          <w:rFonts w:ascii="Times New Roman" w:hAnsi="Times New Roman"/>
          <w:b w:val="0"/>
          <w:i w:val="0"/>
          <w:color w:val="000000"/>
          <w:sz w:val="24"/>
        </w:rPr>
        <w:t>hotspots_ranked.csv - all regions ranked by predicted stunting with WHO band and 2026/2028 forecast.</w:t>
      </w:r>
    </w:p>
    <w:p>
      <w:pPr>
        <w:pStyle w:val="ListBullet"/>
        <w:spacing w:after="60" w:lineRule="exact" w:line="360"/>
        <w:ind w:left="680"/>
      </w:pPr>
      <w:r>
        <w:rPr>
          <w:rFonts w:ascii="Times New Roman" w:hAnsi="Times New Roman"/>
          <w:b w:val="0"/>
          <w:i w:val="0"/>
          <w:color w:val="000000"/>
          <w:sz w:val="24"/>
        </w:rPr>
        <w:t>model_leaderboard.csv - full comparison of all ten regression models.</w:t>
      </w:r>
    </w:p>
    <w:p>
      <w:pPr>
        <w:pStyle w:val="ListBullet"/>
        <w:spacing w:after="60" w:lineRule="exact" w:line="360"/>
        <w:ind w:left="680"/>
      </w:pPr>
      <w:r>
        <w:rPr>
          <w:rFonts w:ascii="Times New Roman" w:hAnsi="Times New Roman"/>
          <w:b w:val="0"/>
          <w:i w:val="0"/>
          <w:color w:val="000000"/>
          <w:sz w:val="24"/>
        </w:rPr>
        <w:t>cluster_profiles.csv - feature-mean profiles for each K-Means cluster.</w:t>
      </w:r>
    </w:p>
    <w:p>
      <w:pPr>
        <w:pStyle w:val="ListBullet"/>
        <w:spacing w:after="60" w:lineRule="exact" w:line="360"/>
        <w:ind w:left="680"/>
      </w:pPr>
      <w:r>
        <w:rPr>
          <w:rFonts w:ascii="Times New Roman" w:hAnsi="Times New Roman"/>
          <w:b w:val="0"/>
          <w:i w:val="0"/>
          <w:color w:val="000000"/>
          <w:sz w:val="24"/>
        </w:rPr>
        <w:t>hypothesis_tests.csv - machine-readable test statistics and p-values.</w:t>
      </w:r>
    </w:p>
    <w:p>
      <w:pPr>
        <w:pStyle w:val="ListBullet"/>
        <w:spacing w:after="60" w:lineRule="exact" w:line="360"/>
        <w:ind w:left="680"/>
      </w:pPr>
      <w:r>
        <w:rPr>
          <w:rFonts w:ascii="Times New Roman" w:hAnsi="Times New Roman"/>
          <w:b w:val="0"/>
          <w:i w:val="0"/>
          <w:color w:val="000000"/>
          <w:sz w:val="24"/>
        </w:rPr>
        <w:t>predictor.json - coefficients and centroids for client-side inference.</w:t>
      </w:r>
    </w:p>
    <w:p>
      <w:pPr>
        <w:spacing w:before="240" w:after="80" w:lineRule="exact" w:line="240"/>
        <w:jc w:val="left"/>
      </w:pPr>
      <w:r>
        <w:rPr>
          <w:rFonts w:ascii="Times New Roman" w:hAnsi="Times New Roman"/>
          <w:b/>
          <w:i w:val="0"/>
          <w:color w:val="000000"/>
          <w:sz w:val="28"/>
        </w:rPr>
        <w:t>7.2  Interactive Web Application</w:t>
      </w:r>
    </w:p>
    <w:p>
      <w:pPr>
        <w:spacing w:after="120" w:lineRule="exact" w:line="360"/>
        <w:jc w:val="both"/>
      </w:pPr>
      <w:r>
        <w:rPr>
          <w:rFonts w:ascii="Times New Roman" w:hAnsi="Times New Roman"/>
          <w:b w:val="0"/>
          <w:i w:val="0"/>
          <w:color w:val="000000"/>
          <w:sz w:val="24"/>
        </w:rPr>
        <w:t>A Next.js 16 web application (React 19, TypeScript, Tailwind CSS 4) serves as the primary human-facing interface. It consists of ten pages: Home (KPI cards and top-10 hotspots), Hotspots (choropleth map with ranked table), Regression (model leaderboard), Classification (confusion matrix), Clustering (cluster profiles), Forecasts (per-region trend lines), Hypotheses (H1-H6 cards with test statistics), Data Explorer (filterable table of all 50 observations), What-If Predictor (client-side inference with no server call), and Region Drill-down (full per-region profile).</w:t>
      </w:r>
    </w:p>
    <w:p>
      <w:pPr>
        <w:spacing w:after="120" w:lineRule="exact" w:line="360"/>
        <w:jc w:val="both"/>
      </w:pPr>
      <w:r>
        <w:rPr>
          <w:rFonts w:ascii="Times New Roman" w:hAnsi="Times New Roman"/>
          <w:b w:val="0"/>
          <w:i w:val="0"/>
          <w:color w:val="000000"/>
          <w:sz w:val="24"/>
        </w:rPr>
        <w:t>The client-side predictor (predict.ts) implements linear regression, logistic regression, and K-Means nearest-centroid assignment entirely in TypeScript using coefficient arrays from predictor.json. This enables offline use in low-connectivity field settings with no inference latency.</w:t>
      </w:r>
    </w:p>
    <w:p>
      <w:pPr>
        <w:jc w:val="center"/>
      </w:pPr>
      <w:r>
        <w:drawing>
          <wp:inline xmlns:a="http://schemas.openxmlformats.org/drawingml/2006/main" xmlns:pic="http://schemas.openxmlformats.org/drawingml/2006/picture">
            <wp:extent cx="4572000" cy="2803136"/>
            <wp:docPr id="12" name="Picture 12"/>
            <wp:cNvGraphicFramePr>
              <a:graphicFrameLocks noChangeAspect="1"/>
            </wp:cNvGraphicFramePr>
            <a:graphic>
              <a:graphicData uri="http://schemas.openxmlformats.org/drawingml/2006/picture">
                <pic:pic>
                  <pic:nvPicPr>
                    <pic:cNvPr id="0" name="10_hotspots_top15.png"/>
                    <pic:cNvPicPr/>
                  </pic:nvPicPr>
                  <pic:blipFill>
                    <a:blip r:embed="rId20"/>
                    <a:stretch>
                      <a:fillRect/>
                    </a:stretch>
                  </pic:blipFill>
                  <pic:spPr>
                    <a:xfrm>
                      <a:off x="0" y="0"/>
                      <a:ext cx="4572000" cy="2803136"/>
                    </a:xfrm>
                    <a:prstGeom prst="rect"/>
                  </pic:spPr>
                </pic:pic>
              </a:graphicData>
            </a:graphic>
          </wp:inline>
        </w:drawing>
      </w:r>
    </w:p>
    <w:p>
      <w:pPr>
        <w:spacing w:after="200"/>
        <w:jc w:val="center"/>
      </w:pPr>
      <w:r>
        <w:rPr>
          <w:rFonts w:ascii="Times New Roman" w:hAnsi="Times New Roman"/>
          <w:b w:val="0"/>
          <w:i/>
          <w:color w:val="000000"/>
          <w:sz w:val="20"/>
        </w:rPr>
        <w:t>Figure 12: Top 15 Predicted Stunting Hotspots by Region (2018, XGBoost scores)</w:t>
      </w:r>
    </w:p>
    <w:p>
      <w:r>
        <w:br w:type="page"/>
      </w:r>
    </w:p>
    <w:p>
      <w:pPr>
        <w:spacing w:before="240" w:after="80" w:lineRule="exact" w:line="240"/>
        <w:jc w:val="left"/>
      </w:pPr>
      <w:r>
        <w:rPr>
          <w:rFonts w:ascii="Times New Roman" w:hAnsi="Times New Roman"/>
          <w:b/>
          <w:i w:val="0"/>
          <w:color w:val="000000"/>
          <w:sz w:val="32"/>
        </w:rPr>
        <w:t>8.  Results and Discussion</w:t>
      </w:r>
    </w:p>
    <w:p>
      <w:pPr>
        <w:spacing w:before="240" w:after="80" w:lineRule="exact" w:line="240"/>
        <w:jc w:val="left"/>
      </w:pPr>
      <w:r>
        <w:rPr>
          <w:rFonts w:ascii="Times New Roman" w:hAnsi="Times New Roman"/>
          <w:b/>
          <w:i w:val="0"/>
          <w:color w:val="000000"/>
          <w:sz w:val="28"/>
        </w:rPr>
        <w:t>8.1  North-South Gradient</w:t>
      </w:r>
    </w:p>
    <w:p>
      <w:pPr>
        <w:spacing w:after="120" w:lineRule="exact" w:line="360"/>
        <w:jc w:val="both"/>
      </w:pPr>
      <w:r>
        <w:rPr>
          <w:rFonts w:ascii="Times New Roman" w:hAnsi="Times New Roman"/>
          <w:b w:val="0"/>
          <w:i w:val="0"/>
          <w:color w:val="000000"/>
          <w:sz w:val="24"/>
        </w:rPr>
        <w:t>The most prominent finding is the robustness and persistence of the north-south stunting gradient. Far North (37.9% predicted, 2018), North (37.2%), and Adamawa (36.5%) consistently occupy the top three positions in the hotspot ranking across every survey wave. When controlling for the wealth proxy, healthcare access retains its partial correlation with stunting (H4, rho = -0.78), confirming that health system investment in the north is independently important beyond the wealth effect.</w:t>
      </w:r>
    </w:p>
    <w:p>
      <w:pPr>
        <w:spacing w:before="240" w:after="80" w:lineRule="exact" w:line="240"/>
        <w:jc w:val="left"/>
      </w:pPr>
      <w:r>
        <w:rPr>
          <w:rFonts w:ascii="Times New Roman" w:hAnsi="Times New Roman"/>
          <w:b/>
          <w:i w:val="0"/>
          <w:color w:val="000000"/>
          <w:sz w:val="28"/>
        </w:rPr>
        <w:t>8.2  Key Drivers</w:t>
      </w:r>
    </w:p>
    <w:p>
      <w:pPr>
        <w:spacing w:after="120" w:lineRule="exact" w:line="360"/>
        <w:jc w:val="both"/>
      </w:pPr>
      <w:r>
        <w:rPr>
          <w:rFonts w:ascii="Times New Roman" w:hAnsi="Times New Roman"/>
          <w:b w:val="0"/>
          <w:i w:val="0"/>
          <w:color w:val="000000"/>
          <w:sz w:val="24"/>
        </w:rPr>
        <w:t>Healthcare access (H4) is the single strongest statistical correlate of stunting (rho = -0.78, p = 2.84e-11), followed by socio-economic status (H3, rho = -0.71), maternal education (H1, rho = -0.54), and WASH (H2, rho = -0.50). Malaria prevalence shows a positive correlation (H5, rho = +0.36), consistent with the established pathway from malaria burden to nutritional depletion.</w:t>
      </w:r>
    </w:p>
    <w:p>
      <w:pPr>
        <w:spacing w:before="240" w:after="80" w:lineRule="exact" w:line="240"/>
        <w:jc w:val="left"/>
      </w:pPr>
      <w:r>
        <w:rPr>
          <w:rFonts w:ascii="Times New Roman" w:hAnsi="Times New Roman"/>
          <w:b/>
          <w:i w:val="0"/>
          <w:color w:val="000000"/>
          <w:sz w:val="28"/>
        </w:rPr>
        <w:t>8.3  Model Performance</w:t>
      </w:r>
    </w:p>
    <w:p>
      <w:pPr>
        <w:spacing w:after="120" w:lineRule="exact" w:line="360"/>
        <w:jc w:val="both"/>
      </w:pPr>
      <w:r>
        <w:rPr>
          <w:rFonts w:ascii="Times New Roman" w:hAnsi="Times New Roman"/>
          <w:b w:val="0"/>
          <w:i w:val="0"/>
          <w:color w:val="000000"/>
          <w:sz w:val="24"/>
        </w:rPr>
        <w:t>XGBoost's 60% RMSE improvement over the baseline (2.87 vs 7.17 pp) is both statistically significant (p = 0.003) and practically meaningful: an error of 2.87 pp on a target ranging from 15-46% allows confident discrimination between WHO risk bands. The Random Forest classifier's 80% accuracy confirms that risk bands are predictable from observable features.</w:t>
      </w:r>
    </w:p>
    <w:p>
      <w:pPr>
        <w:spacing w:before="240" w:after="80" w:lineRule="exact" w:line="240"/>
        <w:jc w:val="left"/>
      </w:pPr>
      <w:r>
        <w:rPr>
          <w:rFonts w:ascii="Times New Roman" w:hAnsi="Times New Roman"/>
          <w:b/>
          <w:i w:val="0"/>
          <w:color w:val="000000"/>
          <w:sz w:val="28"/>
        </w:rPr>
        <w:t>8.4  Clustering Insights</w:t>
      </w:r>
    </w:p>
    <w:p>
      <w:pPr>
        <w:spacing w:after="120" w:lineRule="exact" w:line="360"/>
        <w:jc w:val="both"/>
      </w:pPr>
      <w:r>
        <w:rPr>
          <w:rFonts w:ascii="Times New Roman" w:hAnsi="Times New Roman"/>
          <w:b w:val="0"/>
          <w:i w:val="0"/>
          <w:color w:val="000000"/>
          <w:sz w:val="24"/>
        </w:rPr>
        <w:t>The two-cluster solution is substantively interpretable. The northern-rural critical-risk cluster is characterised by very low female secondary enrolment (1.9% vs 10.3%), low literacy (43.6% vs 87.2%), poor WASH coverage, and stunting 14 pp higher than the urban-southern cluster. This implies that northern interventions must simultaneously address education, WASH, and healthcare - a 'bundle' approach is needed.</w:t>
      </w:r>
    </w:p>
    <w:p>
      <w:pPr>
        <w:spacing w:before="240" w:after="80" w:lineRule="exact" w:line="240"/>
        <w:jc w:val="left"/>
      </w:pPr>
      <w:r>
        <w:rPr>
          <w:rFonts w:ascii="Times New Roman" w:hAnsi="Times New Roman"/>
          <w:b/>
          <w:i w:val="0"/>
          <w:color w:val="000000"/>
          <w:sz w:val="28"/>
        </w:rPr>
        <w:t>8.5  Forecasting Implications</w:t>
      </w:r>
    </w:p>
    <w:p>
      <w:pPr>
        <w:spacing w:after="120" w:lineRule="exact" w:line="360"/>
        <w:jc w:val="both"/>
      </w:pPr>
      <w:r>
        <w:rPr>
          <w:rFonts w:ascii="Times New Roman" w:hAnsi="Times New Roman"/>
          <w:b w:val="0"/>
          <w:i w:val="0"/>
          <w:color w:val="000000"/>
          <w:sz w:val="24"/>
        </w:rPr>
        <w:t>At current linear improvement rates, even the fastest-improving northern region (Adamawa, -0.15 pp/yr) will still report 34.2% stunting in 2028. Far North is projected at 37.6%. Without accelerated multi-sectoral intervention, northern regions will remain in the WHO 'high' or 'critical' band through at least 2030.</w:t>
      </w:r>
    </w:p>
    <w:p>
      <w:pPr>
        <w:spacing w:before="240" w:after="80" w:lineRule="exact" w:line="240"/>
        <w:jc w:val="left"/>
      </w:pPr>
      <w:r>
        <w:rPr>
          <w:rFonts w:ascii="Times New Roman" w:hAnsi="Times New Roman"/>
          <w:b/>
          <w:i w:val="0"/>
          <w:color w:val="000000"/>
          <w:sz w:val="28"/>
        </w:rPr>
        <w:t>8.6  Limitations</w:t>
      </w:r>
    </w:p>
    <w:p>
      <w:pPr>
        <w:pStyle w:val="ListBullet"/>
        <w:spacing w:after="60" w:lineRule="exact" w:line="360"/>
        <w:ind w:left="680"/>
      </w:pPr>
      <w:r>
        <w:rPr>
          <w:rFonts w:ascii="Times New Roman" w:hAnsi="Times New Roman"/>
          <w:b w:val="0"/>
          <w:i w:val="0"/>
          <w:color w:val="000000"/>
          <w:sz w:val="24"/>
        </w:rPr>
        <w:t>Sample size: 50 region-year observations is small for machine learning; overfitting risk exists despite cross-validation.</w:t>
      </w:r>
    </w:p>
    <w:p>
      <w:pPr>
        <w:pStyle w:val="ListBullet"/>
        <w:spacing w:after="60" w:lineRule="exact" w:line="360"/>
        <w:ind w:left="680"/>
      </w:pPr>
      <w:r>
        <w:rPr>
          <w:rFonts w:ascii="Times New Roman" w:hAnsi="Times New Roman"/>
          <w:b w:val="0"/>
          <w:i w:val="0"/>
          <w:color w:val="000000"/>
          <w:sz w:val="24"/>
        </w:rPr>
        <w:t>Causal inference: all associations are observational; unobserved confounders such as conflict events or climate shocks are not controlled for.</w:t>
      </w:r>
    </w:p>
    <w:p>
      <w:pPr>
        <w:pStyle w:val="ListBullet"/>
        <w:spacing w:after="60" w:lineRule="exact" w:line="360"/>
        <w:ind w:left="680"/>
      </w:pPr>
      <w:r>
        <w:rPr>
          <w:rFonts w:ascii="Times New Roman" w:hAnsi="Times New Roman"/>
          <w:b w:val="0"/>
          <w:i w:val="0"/>
          <w:color w:val="000000"/>
          <w:sz w:val="24"/>
        </w:rPr>
        <w:t>Temporal lag: stunting reflects nutritional conditions over prior years, not the current survey year.</w:t>
      </w:r>
    </w:p>
    <w:p>
      <w:pPr>
        <w:pStyle w:val="ListBullet"/>
        <w:spacing w:after="60" w:lineRule="exact" w:line="360"/>
        <w:ind w:left="680"/>
      </w:pPr>
      <w:r>
        <w:rPr>
          <w:rFonts w:ascii="Times New Roman" w:hAnsi="Times New Roman"/>
          <w:b w:val="0"/>
          <w:i w:val="0"/>
          <w:color w:val="000000"/>
          <w:sz w:val="24"/>
        </w:rPr>
        <w:t>Forecast linearity: non-linear dynamics such as policy shifts are not captured by the linear trend extrapolation.</w:t>
      </w:r>
    </w:p>
    <w:p>
      <w:r>
        <w:br w:type="page"/>
      </w:r>
    </w:p>
    <w:p>
      <w:pPr>
        <w:spacing w:before="240" w:after="80" w:lineRule="exact" w:line="240"/>
        <w:jc w:val="left"/>
      </w:pPr>
      <w:r>
        <w:rPr>
          <w:rFonts w:ascii="Times New Roman" w:hAnsi="Times New Roman"/>
          <w:b/>
          <w:i w:val="0"/>
          <w:color w:val="000000"/>
          <w:sz w:val="32"/>
        </w:rPr>
        <w:t>9.  Conclusions and Recommendations</w:t>
      </w:r>
    </w:p>
    <w:p>
      <w:pPr>
        <w:spacing w:before="240" w:after="80" w:lineRule="exact" w:line="240"/>
        <w:jc w:val="left"/>
      </w:pPr>
      <w:r>
        <w:rPr>
          <w:rFonts w:ascii="Times New Roman" w:hAnsi="Times New Roman"/>
          <w:b/>
          <w:i w:val="0"/>
          <w:color w:val="000000"/>
          <w:sz w:val="28"/>
        </w:rPr>
        <w:t>9.1  Conclusions</w:t>
      </w:r>
    </w:p>
    <w:p>
      <w:pPr>
        <w:pStyle w:val="ListBullet"/>
        <w:spacing w:after="60" w:lineRule="exact" w:line="360"/>
        <w:ind w:left="680"/>
      </w:pPr>
      <w:r>
        <w:rPr>
          <w:rFonts w:ascii="Times New Roman" w:hAnsi="Times New Roman"/>
          <w:b w:val="0"/>
          <w:i w:val="0"/>
          <w:color w:val="000000"/>
          <w:sz w:val="24"/>
        </w:rPr>
        <w:t>All six a priori hypotheses (H1-H6) were rejected at p &lt; 0.05, confirming that healthcare access, SES, maternal education, WASH, and malaria burden are all significant predictors of regional child stunting rates.</w:t>
      </w:r>
    </w:p>
    <w:p>
      <w:pPr>
        <w:pStyle w:val="ListBullet"/>
        <w:spacing w:after="60" w:lineRule="exact" w:line="360"/>
        <w:ind w:left="680"/>
      </w:pPr>
      <w:r>
        <w:rPr>
          <w:rFonts w:ascii="Times New Roman" w:hAnsi="Times New Roman"/>
          <w:b w:val="0"/>
          <w:i w:val="0"/>
          <w:color w:val="000000"/>
          <w:sz w:val="24"/>
        </w:rPr>
        <w:t>XGBoost achieves a 60% CV RMSE improvement over the mean baseline (2.87 pp vs 7.17 pp, p = 0.003), validating ML for subnational prediction.</w:t>
      </w:r>
    </w:p>
    <w:p>
      <w:pPr>
        <w:pStyle w:val="ListBullet"/>
        <w:spacing w:after="60" w:lineRule="exact" w:line="360"/>
        <w:ind w:left="680"/>
      </w:pPr>
      <w:r>
        <w:rPr>
          <w:rFonts w:ascii="Times New Roman" w:hAnsi="Times New Roman"/>
          <w:b w:val="0"/>
          <w:i w:val="0"/>
          <w:color w:val="000000"/>
          <w:sz w:val="24"/>
        </w:rPr>
        <w:t>K-Means clustering (k=2, silhouette=0.52) identifies two distinct archetypes that should inform differentiated intervention strategies.</w:t>
      </w:r>
    </w:p>
    <w:p>
      <w:pPr>
        <w:pStyle w:val="ListBullet"/>
        <w:spacing w:after="60" w:lineRule="exact" w:line="360"/>
        <w:ind w:left="680"/>
      </w:pPr>
      <w:r>
        <w:rPr>
          <w:rFonts w:ascii="Times New Roman" w:hAnsi="Times New Roman"/>
          <w:b w:val="0"/>
          <w:i w:val="0"/>
          <w:color w:val="000000"/>
          <w:sz w:val="24"/>
        </w:rPr>
        <w:t>At current improvement rates, northern regions will not exit the WHO 'high' risk band before at least 2030.</w:t>
      </w:r>
    </w:p>
    <w:p>
      <w:pPr>
        <w:pStyle w:val="ListBullet"/>
        <w:spacing w:after="60" w:lineRule="exact" w:line="360"/>
        <w:ind w:left="680"/>
      </w:pPr>
      <w:r>
        <w:rPr>
          <w:rFonts w:ascii="Times New Roman" w:hAnsi="Times New Roman"/>
          <w:b w:val="0"/>
          <w:i w:val="0"/>
          <w:color w:val="000000"/>
          <w:sz w:val="24"/>
        </w:rPr>
        <w:t>The client-side predictor deploys trained models without a back-end server, enabling offline use in low-connectivity settings.</w:t>
      </w:r>
    </w:p>
    <w:p>
      <w:pPr>
        <w:spacing w:before="240" w:after="80" w:lineRule="exact" w:line="240"/>
        <w:jc w:val="left"/>
      </w:pPr>
      <w:r>
        <w:rPr>
          <w:rFonts w:ascii="Times New Roman" w:hAnsi="Times New Roman"/>
          <w:b/>
          <w:i w:val="0"/>
          <w:color w:val="000000"/>
          <w:sz w:val="28"/>
        </w:rPr>
        <w:t>9.2  Policy Recommendations</w:t>
      </w:r>
    </w:p>
    <w:p>
      <w:pPr>
        <w:pStyle w:val="ListBullet"/>
        <w:spacing w:after="60" w:lineRule="exact" w:line="360"/>
        <w:ind w:left="680"/>
      </w:pPr>
      <w:r>
        <w:rPr>
          <w:rFonts w:ascii="Times New Roman" w:hAnsi="Times New Roman"/>
          <w:b w:val="0"/>
          <w:i w:val="0"/>
          <w:color w:val="000000"/>
          <w:sz w:val="24"/>
        </w:rPr>
        <w:t>Priority targeting: concentrate first-wave nutrition and WASH investments on Far North, North, and Adamawa, which consistently rank top-3 across all analytical lenses.</w:t>
      </w:r>
    </w:p>
    <w:p>
      <w:pPr>
        <w:pStyle w:val="ListBullet"/>
        <w:spacing w:after="60" w:lineRule="exact" w:line="360"/>
        <w:ind w:left="680"/>
      </w:pPr>
      <w:r>
        <w:rPr>
          <w:rFonts w:ascii="Times New Roman" w:hAnsi="Times New Roman"/>
          <w:b w:val="0"/>
          <w:i w:val="0"/>
          <w:color w:val="000000"/>
          <w:sz w:val="24"/>
        </w:rPr>
        <w:t>Bundle interventions: cluster analysis shows high-risk regions suffer simultaneous deficits in education, WASH, and healthcare; single-sector approaches are unlikely to achieve the required stunting reduction.</w:t>
      </w:r>
    </w:p>
    <w:p>
      <w:pPr>
        <w:pStyle w:val="ListBullet"/>
        <w:spacing w:after="60" w:lineRule="exact" w:line="360"/>
        <w:ind w:left="680"/>
      </w:pPr>
      <w:r>
        <w:rPr>
          <w:rFonts w:ascii="Times New Roman" w:hAnsi="Times New Roman"/>
          <w:b w:val="0"/>
          <w:i w:val="0"/>
          <w:color w:val="000000"/>
          <w:sz w:val="24"/>
        </w:rPr>
        <w:t>Monitor improvement velocity: regions with the slowest improvement slopes should receive disproportionately higher investment to close the gap.</w:t>
      </w:r>
    </w:p>
    <w:p>
      <w:pPr>
        <w:pStyle w:val="ListBullet"/>
        <w:spacing w:after="60" w:lineRule="exact" w:line="360"/>
        <w:ind w:left="680"/>
      </w:pPr>
      <w:r>
        <w:rPr>
          <w:rFonts w:ascii="Times New Roman" w:hAnsi="Times New Roman"/>
          <w:b w:val="0"/>
          <w:i w:val="0"/>
          <w:color w:val="000000"/>
          <w:sz w:val="24"/>
        </w:rPr>
        <w:t>Update with 2024/2025 DHS data: re-run the pipeline when the next survey wave is published to refresh forecasts and re-validate the model.</w:t>
      </w:r>
    </w:p>
    <w:p>
      <w:pPr>
        <w:spacing w:before="240" w:after="80" w:lineRule="exact" w:line="240"/>
        <w:jc w:val="left"/>
      </w:pPr>
      <w:r>
        <w:rPr>
          <w:rFonts w:ascii="Times New Roman" w:hAnsi="Times New Roman"/>
          <w:b/>
          <w:i w:val="0"/>
          <w:color w:val="000000"/>
          <w:sz w:val="28"/>
        </w:rPr>
        <w:t>9.3  Future Work</w:t>
      </w:r>
    </w:p>
    <w:p>
      <w:pPr>
        <w:pStyle w:val="ListBullet"/>
        <w:spacing w:after="60" w:lineRule="exact" w:line="360"/>
        <w:ind w:left="680"/>
      </w:pPr>
      <w:r>
        <w:rPr>
          <w:rFonts w:ascii="Times New Roman" w:hAnsi="Times New Roman"/>
          <w:b w:val="0"/>
          <w:i w:val="0"/>
          <w:color w:val="000000"/>
          <w:sz w:val="24"/>
        </w:rPr>
        <w:t>Apply Moran's I and spatial lag models to account for geographic spillover effects between neighbouring regions.</w:t>
      </w:r>
    </w:p>
    <w:p>
      <w:pPr>
        <w:pStyle w:val="ListBullet"/>
        <w:spacing w:after="60" w:lineRule="exact" w:line="360"/>
        <w:ind w:left="680"/>
      </w:pPr>
      <w:r>
        <w:rPr>
          <w:rFonts w:ascii="Times New Roman" w:hAnsi="Times New Roman"/>
          <w:b w:val="0"/>
          <w:i w:val="0"/>
          <w:color w:val="000000"/>
          <w:sz w:val="24"/>
        </w:rPr>
        <w:t>Use difference-in-differences methods with natural policy experiments to move from correlation to causal attribution.</w:t>
      </w:r>
    </w:p>
    <w:p>
      <w:pPr>
        <w:pStyle w:val="ListBullet"/>
        <w:spacing w:after="60" w:lineRule="exact" w:line="360"/>
        <w:ind w:left="680"/>
      </w:pPr>
      <w:r>
        <w:rPr>
          <w:rFonts w:ascii="Times New Roman" w:hAnsi="Times New Roman"/>
          <w:b w:val="0"/>
          <w:i w:val="0"/>
          <w:color w:val="000000"/>
          <w:sz w:val="24"/>
        </w:rPr>
        <w:t>Integrate ACLED conflict event data and CHIRPS rainfall anomaly data to capture additional variance from humanitarian and environmental shocks.</w:t>
      </w:r>
    </w:p>
    <w:p>
      <w:r>
        <w:br w:type="page"/>
      </w:r>
    </w:p>
    <w:p>
      <w:pPr>
        <w:spacing w:before="240" w:after="80" w:lineRule="exact" w:line="240"/>
        <w:jc w:val="left"/>
      </w:pPr>
      <w:r>
        <w:rPr>
          <w:rFonts w:ascii="Times New Roman" w:hAnsi="Times New Roman"/>
          <w:b/>
          <w:i w:val="0"/>
          <w:color w:val="000000"/>
          <w:sz w:val="32"/>
        </w:rPr>
        <w:t>References</w:t>
      </w:r>
    </w:p>
    <w:p>
      <w:pPr>
        <w:spacing w:after="120" w:lineRule="exact" w:line="360"/>
        <w:ind w:left="709" w:hanging="709"/>
      </w:pPr>
      <w:r>
        <w:rPr>
          <w:rFonts w:ascii="Times New Roman" w:hAnsi="Times New Roman"/>
          <w:b w:val="0"/>
          <w:i w:val="0"/>
          <w:color w:val="000000"/>
          <w:sz w:val="22"/>
        </w:rPr>
        <w:t>[1]  Chapman, P., Clinton, J., Kerber, R., Khabaza, T., Reinartz, T., Shearer, C., &amp; Wirth, R. (2000). CRISP-DM 1.0: Step-by-step data mining guide. SPSS Inc.</w:t>
      </w:r>
    </w:p>
    <w:p>
      <w:pPr>
        <w:spacing w:after="120" w:lineRule="exact" w:line="360"/>
        <w:ind w:left="709" w:hanging="709"/>
      </w:pPr>
      <w:r>
        <w:rPr>
          <w:rFonts w:ascii="Times New Roman" w:hAnsi="Times New Roman"/>
          <w:b w:val="0"/>
          <w:i w:val="0"/>
          <w:color w:val="000000"/>
          <w:sz w:val="22"/>
        </w:rPr>
        <w:t>[2]  Chen, T., &amp; Guestrin, C. (2016). XGBoost: A scalable tree boosting system. Proceedings of the 22nd ACM SIGKDD, 785-794.</w:t>
      </w:r>
    </w:p>
    <w:p>
      <w:pPr>
        <w:spacing w:after="120" w:lineRule="exact" w:line="360"/>
        <w:ind w:left="709" w:hanging="709"/>
      </w:pPr>
      <w:r>
        <w:rPr>
          <w:rFonts w:ascii="Times New Roman" w:hAnsi="Times New Roman"/>
          <w:b w:val="0"/>
          <w:i w:val="0"/>
          <w:color w:val="000000"/>
          <w:sz w:val="22"/>
        </w:rPr>
        <w:t>[3]  DHS Program. (2018). Cameroon Demographic and Health Survey 2018. ICF International.</w:t>
      </w:r>
    </w:p>
    <w:p>
      <w:pPr>
        <w:spacing w:after="120" w:lineRule="exact" w:line="360"/>
        <w:ind w:left="709" w:hanging="709"/>
      </w:pPr>
      <w:r>
        <w:rPr>
          <w:rFonts w:ascii="Times New Roman" w:hAnsi="Times New Roman"/>
          <w:b w:val="0"/>
          <w:i w:val="0"/>
          <w:color w:val="000000"/>
          <w:sz w:val="22"/>
        </w:rPr>
        <w:t>[4]  Humanitarian Data Exchange. (2024). Cameroon datasets. UN OCHA. https://data.humdata.org</w:t>
      </w:r>
    </w:p>
    <w:p>
      <w:pPr>
        <w:spacing w:after="120" w:lineRule="exact" w:line="360"/>
        <w:ind w:left="709" w:hanging="709"/>
      </w:pPr>
      <w:r>
        <w:rPr>
          <w:rFonts w:ascii="Times New Roman" w:hAnsi="Times New Roman"/>
          <w:b w:val="0"/>
          <w:i w:val="0"/>
          <w:color w:val="000000"/>
          <w:sz w:val="22"/>
        </w:rPr>
        <w:t>[5]  Ke, G., et al. (2017). LightGBM: A highly efficient gradient boosting decision tree. Advances in NeurIPS, 30, 3146-3154.</w:t>
      </w:r>
    </w:p>
    <w:p>
      <w:pPr>
        <w:spacing w:after="120" w:lineRule="exact" w:line="360"/>
        <w:ind w:left="709" w:hanging="709"/>
      </w:pPr>
      <w:r>
        <w:rPr>
          <w:rFonts w:ascii="Times New Roman" w:hAnsi="Times New Roman"/>
          <w:b w:val="0"/>
          <w:i w:val="0"/>
          <w:color w:val="000000"/>
          <w:sz w:val="22"/>
        </w:rPr>
        <w:t>[6]  Lundberg, S. M., &amp; Lee, S. I. (2017). A unified approach to interpreting model predictions. Advances in NeurIPS, 30, 4765-4774.</w:t>
      </w:r>
    </w:p>
    <w:p>
      <w:pPr>
        <w:spacing w:after="120" w:lineRule="exact" w:line="360"/>
        <w:ind w:left="709" w:hanging="709"/>
      </w:pPr>
      <w:r>
        <w:rPr>
          <w:rFonts w:ascii="Times New Roman" w:hAnsi="Times New Roman"/>
          <w:b w:val="0"/>
          <w:i w:val="0"/>
          <w:color w:val="000000"/>
          <w:sz w:val="22"/>
        </w:rPr>
        <w:t>[7]  MICS. (2014). Cameroon Multiple Indicator Cluster Survey. UNICEF.</w:t>
      </w:r>
    </w:p>
    <w:p>
      <w:pPr>
        <w:spacing w:after="120" w:lineRule="exact" w:line="360"/>
        <w:ind w:left="709" w:hanging="709"/>
      </w:pPr>
      <w:r>
        <w:rPr>
          <w:rFonts w:ascii="Times New Roman" w:hAnsi="Times New Roman"/>
          <w:b w:val="0"/>
          <w:i w:val="0"/>
          <w:color w:val="000000"/>
          <w:sz w:val="22"/>
        </w:rPr>
        <w:t>[8]  Pedregosa, F., et al. (2011). Scikit-learn: Machine learning in Python. Journal of Machine Learning Research, 12, 2825-2830.</w:t>
      </w:r>
    </w:p>
    <w:p>
      <w:pPr>
        <w:spacing w:after="120" w:lineRule="exact" w:line="360"/>
        <w:ind w:left="709" w:hanging="709"/>
      </w:pPr>
      <w:r>
        <w:rPr>
          <w:rFonts w:ascii="Times New Roman" w:hAnsi="Times New Roman"/>
          <w:b w:val="0"/>
          <w:i w:val="0"/>
          <w:color w:val="000000"/>
          <w:sz w:val="22"/>
        </w:rPr>
        <w:t>[9]  UNICEF, WHO, &amp; World Bank. (2023). Levels and trends in child malnutrition: 2023 edition. World Health Organization.</w:t>
      </w:r>
    </w:p>
    <w:p>
      <w:pPr>
        <w:spacing w:after="120" w:lineRule="exact" w:line="360"/>
        <w:ind w:left="709" w:hanging="709"/>
      </w:pPr>
      <w:r>
        <w:rPr>
          <w:rFonts w:ascii="Times New Roman" w:hAnsi="Times New Roman"/>
          <w:b w:val="0"/>
          <w:i w:val="0"/>
          <w:color w:val="000000"/>
          <w:sz w:val="22"/>
        </w:rPr>
        <w:t>[10]  WHO. (2014). Global Nutrition Targets 2025: Stunting policy brief (WHO/NMH/NHD/14.3). World Health Organization.</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