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61"/>
        <w:gridCol w:w="4561"/>
      </w:tblGrid>
      <w:tr>
        <w:tc>
          <w:tcPr>
            <w:tcW w:type="dxa" w:w="4561"/>
          </w:tcPr>
          <w:p>
            <w:pPr>
              <w:jc w:val="center"/>
            </w:pPr>
            <w:r>
              <w:rPr>
                <w:rFonts w:ascii="Times New Roman" w:hAnsi="Times New Roman"/>
                <w:b/>
                <w:color w:val="000000"/>
                <w:sz w:val="22"/>
              </w:rPr>
              <w:t>REPUBLIC OF CAMEROON</w:t>
            </w:r>
          </w:p>
          <w:p>
            <w:pPr>
              <w:jc w:val="center"/>
            </w:pPr>
            <w:r>
              <w:rPr>
                <w:rFonts w:ascii="Times New Roman" w:hAnsi="Times New Roman"/>
                <w:b/>
                <w:color w:val="000000"/>
                <w:sz w:val="22"/>
              </w:rPr>
              <w:t>Peace - Work - Fatherland</w:t>
            </w:r>
          </w:p>
          <w:p>
            <w:pPr>
              <w:jc w:val="center"/>
            </w:pPr>
            <w:r>
              <w:rPr>
                <w:rFonts w:ascii="Times New Roman" w:hAnsi="Times New Roman"/>
                <w:b/>
                <w:color w:val="000000"/>
                <w:sz w:val="22"/>
              </w:rPr>
              <w:t>***</w:t>
            </w:r>
          </w:p>
          <w:p>
            <w:pPr>
              <w:jc w:val="center"/>
            </w:pPr>
            <w:r>
              <w:rPr>
                <w:rFonts w:ascii="Times New Roman" w:hAnsi="Times New Roman"/>
                <w:b/>
                <w:color w:val="000000"/>
                <w:sz w:val="22"/>
              </w:rPr>
              <w:t>UNIVERSITY OF BUEA</w:t>
            </w:r>
          </w:p>
          <w:p>
            <w:pPr>
              <w:jc w:val="center"/>
            </w:pPr>
            <w:r>
              <w:rPr>
                <w:rFonts w:ascii="Times New Roman" w:hAnsi="Times New Roman"/>
                <w:b/>
                <w:color w:val="000000"/>
                <w:sz w:val="22"/>
              </w:rPr>
              <w:t>COLLEGE OF TECHNOLOGY</w:t>
            </w:r>
          </w:p>
          <w:p>
            <w:pPr>
              <w:jc w:val="center"/>
            </w:pPr>
            <w:r>
              <w:rPr>
                <w:rFonts w:ascii="Times New Roman" w:hAnsi="Times New Roman"/>
                <w:b/>
                <w:color w:val="000000"/>
                <w:sz w:val="22"/>
              </w:rPr>
              <w:t>DEPARTMENT OF COMPUTER ENGINEERING</w:t>
            </w:r>
          </w:p>
        </w:tc>
        <w:tc>
          <w:tcPr>
            <w:tcW w:type="dxa" w:w="4561"/>
          </w:tcPr>
          <w:p>
            <w:pPr>
              <w:jc w:val="center"/>
            </w:pPr>
            <w:r>
              <w:rPr>
                <w:rFonts w:ascii="Times New Roman" w:hAnsi="Times New Roman"/>
                <w:b/>
                <w:color w:val="000000"/>
                <w:sz w:val="22"/>
              </w:rPr>
              <w:t>REPUBLIQUE DU CAMEROUN</w:t>
            </w:r>
          </w:p>
          <w:p>
            <w:pPr>
              <w:jc w:val="center"/>
            </w:pPr>
            <w:r>
              <w:rPr>
                <w:rFonts w:ascii="Times New Roman" w:hAnsi="Times New Roman"/>
                <w:b/>
                <w:color w:val="000000"/>
                <w:sz w:val="22"/>
              </w:rPr>
              <w:t>Paix - Travail - Patrie</w:t>
            </w:r>
          </w:p>
          <w:p>
            <w:pPr>
              <w:jc w:val="center"/>
            </w:pPr>
            <w:r>
              <w:rPr>
                <w:rFonts w:ascii="Times New Roman" w:hAnsi="Times New Roman"/>
                <w:b/>
                <w:color w:val="000000"/>
                <w:sz w:val="22"/>
              </w:rPr>
              <w:t>***</w:t>
            </w:r>
          </w:p>
          <w:p>
            <w:pPr>
              <w:jc w:val="center"/>
            </w:pPr>
            <w:r>
              <w:rPr>
                <w:rFonts w:ascii="Times New Roman" w:hAnsi="Times New Roman"/>
                <w:b/>
                <w:color w:val="000000"/>
                <w:sz w:val="22"/>
              </w:rPr>
              <w:t>UNIVERSITE DE BUEA</w:t>
            </w:r>
          </w:p>
          <w:p>
            <w:pPr>
              <w:jc w:val="center"/>
            </w:pPr>
            <w:r>
              <w:rPr>
                <w:rFonts w:ascii="Times New Roman" w:hAnsi="Times New Roman"/>
                <w:b/>
                <w:color w:val="000000"/>
                <w:sz w:val="22"/>
              </w:rPr>
              <w:t>COLLEGE DE TECHNOLOGIE</w:t>
            </w:r>
          </w:p>
          <w:p>
            <w:pPr>
              <w:jc w:val="center"/>
            </w:pPr>
            <w:r>
              <w:rPr>
                <w:rFonts w:ascii="Times New Roman" w:hAnsi="Times New Roman"/>
                <w:b/>
                <w:color w:val="000000"/>
                <w:sz w:val="22"/>
              </w:rPr>
              <w:t>DEPARTEMENT DE GENIE INFORMATIQUE</w:t>
            </w:r>
          </w:p>
        </w:tc>
      </w:tr>
    </w:tbl>
    <w:p/>
    <w:p>
      <w:pPr>
        <w:spacing w:before="0" w:after="0"/>
        <w:pBdr>
          <w:bottom w:val="single" w:sz="6" w:space="1" w:color="000000"/>
        </w:pBdr>
      </w:pPr>
    </w:p>
    <w:p/>
    <w:p>
      <w:pPr>
        <w:spacing w:before="120" w:after="120"/>
        <w:jc w:val="center"/>
      </w:pPr>
      <w:r>
        <w:rPr>
          <w:rFonts w:ascii="Times New Roman" w:hAnsi="Times New Roman"/>
          <w:b/>
          <w:color w:val="000000"/>
          <w:sz w:val="32"/>
        </w:rPr>
        <w:t>CAMEROON MALNUTRITION ATLAS:</w:t>
        <w:br/>
        <w:t>A DATA MINING APPROACH TO PREDICTING</w:t>
        <w:br/>
        <w:t>AND MAPPING CHILD STUNTING HOTSPOTS</w:t>
      </w:r>
    </w:p>
    <w:p/>
    <w:p>
      <w:pPr>
        <w:jc w:val="center"/>
      </w:pPr>
      <w:r>
        <w:rPr>
          <w:rFonts w:ascii="Times New Roman" w:hAnsi="Times New Roman"/>
          <w:color w:val="000000"/>
          <w:sz w:val="22"/>
        </w:rPr>
        <w:t>A Project Report Submitted to the Department of Computer Engineering of the College of Technology of the University of Buea in Partial Fulfilment of the Requirements for the Award of the Bachelor of Technology Degree in Computer Engineering (Software Engineering Option)</w:t>
      </w:r>
    </w:p>
    <w:p/>
    <w:p>
      <w:pPr>
        <w:spacing w:after="60"/>
        <w:jc w:val="center"/>
      </w:pPr>
      <w:r>
        <w:rPr>
          <w:rFonts w:ascii="Times New Roman" w:hAnsi="Times New Roman"/>
          <w:b/>
          <w:color w:val="000000"/>
          <w:sz w:val="24"/>
        </w:rPr>
        <w:t>PRESENTED BY:</w:t>
      </w:r>
    </w:p>
    <w:p>
      <w:pPr>
        <w:spacing w:after="60"/>
        <w:jc w:val="center"/>
      </w:pPr>
      <w:r>
        <w:rPr>
          <w:rFonts w:ascii="Times New Roman" w:hAnsi="Times New Roman"/>
          <w:b/>
          <w:color w:val="000000"/>
          <w:sz w:val="24"/>
        </w:rPr>
        <w:t>SEPO PERRY-BRADLEY DINGA  -  CT23A145</w:t>
      </w:r>
    </w:p>
    <w:p>
      <w:pPr>
        <w:spacing w:after="60"/>
        <w:jc w:val="center"/>
      </w:pPr>
    </w:p>
    <w:p>
      <w:pPr>
        <w:spacing w:after="60"/>
        <w:jc w:val="center"/>
      </w:pPr>
      <w:r>
        <w:rPr>
          <w:rFonts w:ascii="Times New Roman" w:hAnsi="Times New Roman"/>
          <w:b/>
          <w:color w:val="000000"/>
          <w:sz w:val="24"/>
        </w:rPr>
        <w:t>DEPARTMENT OF COMPUTER ENGINEERING</w:t>
      </w:r>
    </w:p>
    <w:p>
      <w:pPr>
        <w:spacing w:after="60"/>
        <w:jc w:val="center"/>
      </w:pPr>
      <w:r>
        <w:rPr>
          <w:rFonts w:ascii="Times New Roman" w:hAnsi="Times New Roman"/>
          <w:b/>
          <w:color w:val="000000"/>
          <w:sz w:val="24"/>
        </w:rPr>
        <w:t>COURSE CODE: CEC 420 - DATA MINING</w:t>
      </w:r>
    </w:p>
    <w:p>
      <w:pPr>
        <w:spacing w:after="60"/>
        <w:jc w:val="center"/>
      </w:pPr>
      <w:r>
        <w:rPr>
          <w:rFonts w:ascii="Times New Roman" w:hAnsi="Times New Roman"/>
          <w:b/>
          <w:color w:val="000000"/>
          <w:sz w:val="24"/>
        </w:rPr>
        <w:t>2025/2026 ACADEMIC YEAR</w:t>
      </w:r>
    </w:p>
    <w:p>
      <w:r>
        <w:br w:type="page"/>
      </w:r>
    </w:p>
    <w:p>
      <w:pPr>
        <w:spacing w:before="120" w:after="200"/>
        <w:jc w:val="center"/>
      </w:pPr>
      <w:r>
        <w:rPr>
          <w:rFonts w:ascii="Times New Roman" w:hAnsi="Times New Roman"/>
          <w:b/>
          <w:i w:val="0"/>
          <w:color w:val="000000"/>
          <w:sz w:val="30"/>
        </w:rPr>
        <w:t>Certification</w:t>
      </w:r>
    </w:p>
    <w:p>
      <w:pPr>
        <w:spacing w:after="120" w:lineRule="exact" w:line="360"/>
        <w:jc w:val="both"/>
      </w:pPr>
      <w:r>
        <w:rPr>
          <w:rFonts w:ascii="Times New Roman" w:hAnsi="Times New Roman"/>
          <w:b w:val="0"/>
          <w:i w:val="0"/>
          <w:color w:val="000000"/>
          <w:sz w:val="24"/>
        </w:rPr>
        <w:t>This is to certify that this project report entitled "Cameroon Malnutrition Atlas: A Data Mining Approach to Predicting and Mapping Child Stunting Hotspots" was carried out by SEPO PERRY-BRADLEY DINGA (CT23A145) and is hereby approved for submission in partial fulfilment of the requirements for the award of the Bachelor of Technology Degree in Computer Engineering, University of Buea.</w:t>
      </w:r>
    </w:p>
    <w:p/>
    <w:p>
      <w:pPr>
        <w:spacing w:after="120" w:lineRule="exact" w:line="360"/>
        <w:jc w:val="both"/>
      </w:pPr>
      <w:r>
        <w:rPr>
          <w:rFonts w:ascii="Times New Roman" w:hAnsi="Times New Roman"/>
          <w:b w:val="0"/>
          <w:i w:val="0"/>
          <w:color w:val="000000"/>
          <w:sz w:val="24"/>
        </w:rPr>
        <w:t>Supervisor's Name: ___________________________________    Date: _______________</w:t>
      </w:r>
    </w:p>
    <w:p>
      <w:pPr>
        <w:spacing w:after="120" w:lineRule="exact" w:line="360"/>
        <w:jc w:val="both"/>
      </w:pPr>
      <w:r>
        <w:rPr>
          <w:rFonts w:ascii="Times New Roman" w:hAnsi="Times New Roman"/>
          <w:b w:val="0"/>
          <w:i w:val="0"/>
          <w:color w:val="000000"/>
          <w:sz w:val="24"/>
        </w:rPr>
        <w:t>Supervisor's Signature: _______________________________</w:t>
      </w:r>
    </w:p>
    <w:p>
      <w:pPr>
        <w:spacing w:after="120" w:lineRule="exact" w:line="360"/>
        <w:jc w:val="both"/>
      </w:pPr>
      <w:r>
        <w:rPr>
          <w:rFonts w:ascii="Times New Roman" w:hAnsi="Times New Roman"/>
          <w:b w:val="0"/>
          <w:i w:val="0"/>
          <w:color w:val="000000"/>
          <w:sz w:val="24"/>
        </w:rPr>
        <w:t>Head of Department: __________________________________    Date: _______________</w:t>
      </w:r>
    </w:p>
    <w:p>
      <w:r>
        <w:br w:type="page"/>
      </w:r>
    </w:p>
    <w:p>
      <w:pPr>
        <w:spacing w:before="120" w:after="200"/>
        <w:jc w:val="center"/>
      </w:pPr>
      <w:r>
        <w:rPr>
          <w:rFonts w:ascii="Times New Roman" w:hAnsi="Times New Roman"/>
          <w:b/>
          <w:i w:val="0"/>
          <w:color w:val="000000"/>
          <w:sz w:val="30"/>
        </w:rPr>
        <w:t>Attestation</w:t>
      </w:r>
    </w:p>
    <w:p>
      <w:pPr>
        <w:spacing w:after="120" w:lineRule="exact" w:line="360"/>
        <w:jc w:val="both"/>
      </w:pPr>
      <w:r>
        <w:rPr>
          <w:rFonts w:ascii="Times New Roman" w:hAnsi="Times New Roman"/>
          <w:b w:val="0"/>
          <w:i w:val="0"/>
          <w:color w:val="000000"/>
          <w:sz w:val="24"/>
        </w:rPr>
        <w:t>I hereby declare that this project report is my own original work and has not been submitted for any degree or examination at this or any other institution. All sources consulted have been duly acknowledged.</w:t>
      </w:r>
    </w:p>
    <w:p/>
    <w:p>
      <w:pPr>
        <w:spacing w:after="120" w:lineRule="exact" w:line="360"/>
        <w:jc w:val="both"/>
      </w:pPr>
      <w:r>
        <w:rPr>
          <w:rFonts w:ascii="Times New Roman" w:hAnsi="Times New Roman"/>
          <w:b w:val="0"/>
          <w:i w:val="0"/>
          <w:color w:val="000000"/>
          <w:sz w:val="24"/>
        </w:rPr>
        <w:t>Name:       SEPO PERRY-BRADLEY DINGA</w:t>
      </w:r>
    </w:p>
    <w:p>
      <w:pPr>
        <w:spacing w:after="120" w:lineRule="exact" w:line="360"/>
        <w:jc w:val="both"/>
      </w:pPr>
      <w:r>
        <w:rPr>
          <w:rFonts w:ascii="Times New Roman" w:hAnsi="Times New Roman"/>
          <w:b w:val="0"/>
          <w:i w:val="0"/>
          <w:color w:val="000000"/>
          <w:sz w:val="24"/>
        </w:rPr>
        <w:t>Student ID: CT23A145</w:t>
      </w:r>
    </w:p>
    <w:p>
      <w:pPr>
        <w:spacing w:after="120" w:lineRule="exact" w:line="360"/>
        <w:jc w:val="both"/>
      </w:pPr>
      <w:r>
        <w:rPr>
          <w:rFonts w:ascii="Times New Roman" w:hAnsi="Times New Roman"/>
          <w:b w:val="0"/>
          <w:i w:val="0"/>
          <w:color w:val="000000"/>
          <w:sz w:val="24"/>
        </w:rPr>
        <w:t>Date:       June 2026</w:t>
      </w:r>
    </w:p>
    <w:p/>
    <w:p>
      <w:pPr>
        <w:spacing w:after="120" w:lineRule="exact" w:line="360"/>
        <w:jc w:val="both"/>
      </w:pPr>
      <w:r>
        <w:rPr>
          <w:rFonts w:ascii="Times New Roman" w:hAnsi="Times New Roman"/>
          <w:b w:val="0"/>
          <w:i w:val="0"/>
          <w:color w:val="000000"/>
          <w:sz w:val="24"/>
        </w:rPr>
        <w:t>Signature: _______________________________</w:t>
      </w:r>
    </w:p>
    <w:p>
      <w:r>
        <w:br w:type="page"/>
      </w:r>
    </w:p>
    <w:p>
      <w:pPr>
        <w:spacing w:before="120" w:after="200"/>
        <w:jc w:val="center"/>
      </w:pPr>
      <w:r>
        <w:rPr>
          <w:rFonts w:ascii="Times New Roman" w:hAnsi="Times New Roman"/>
          <w:b/>
          <w:i w:val="0"/>
          <w:color w:val="000000"/>
          <w:sz w:val="30"/>
        </w:rPr>
        <w:t>Abstract</w:t>
      </w:r>
    </w:p>
    <w:p>
      <w:pPr>
        <w:spacing w:after="120" w:lineRule="exact" w:line="360"/>
        <w:jc w:val="both"/>
      </w:pPr>
      <w:r>
        <w:rPr>
          <w:rFonts w:ascii="Times New Roman" w:hAnsi="Times New Roman"/>
          <w:b w:val="0"/>
          <w:i w:val="0"/>
          <w:color w:val="000000"/>
          <w:sz w:val="24"/>
        </w:rPr>
        <w:t>Child stunting affects approximately 29% of children under five in Cameroon, with the burden heavily concentrated in the northern regions. This project applies the CRISP-DM data mining framework to Demographic and Health Survey (DHS) sub-national data (1991–2018) to predict regional stunting rates, classify regions by WHO risk band, and identify which areas need urgent intervention.</w:t>
      </w:r>
    </w:p>
    <w:p>
      <w:pPr>
        <w:spacing w:after="120" w:lineRule="exact" w:line="360"/>
        <w:jc w:val="both"/>
      </w:pPr>
      <w:r>
        <w:rPr>
          <w:rFonts w:ascii="Times New Roman" w:hAnsi="Times New Roman"/>
          <w:b w:val="0"/>
          <w:i w:val="0"/>
          <w:color w:val="000000"/>
          <w:sz w:val="24"/>
        </w:rPr>
        <w:t>A Random Forest regression model achieved a cross-validated RMSE of 3.64 percentage points — a 71% improvement over the mean-prediction baseline. A Random Forest classifier assigned WHO risk bands (Low / Medium / High / Critical) with 80% accuracy. K-Means clustering grouped regions into two profiles: a high-risk northern cluster (37% stunting) and a low-risk southern cluster (24% stunting). Healthcare access and WASH infrastructure emerged as the strongest drivers of stunting. Results are published through an interactive web dashboard.</w:t>
      </w:r>
    </w:p>
    <w:p>
      <w:pPr>
        <w:spacing w:after="120" w:lineRule="exact" w:line="360"/>
        <w:jc w:val="both"/>
      </w:pPr>
      <w:r>
        <w:rPr>
          <w:rFonts w:ascii="Times New Roman" w:hAnsi="Times New Roman"/>
          <w:b w:val="0"/>
          <w:i/>
          <w:color w:val="000000"/>
          <w:sz w:val="24"/>
        </w:rPr>
        <w:t>Keywords: data mining, CRISP-DM, child stunting, Cameroon, regression, classification, clustering, hotspot mapping.</w:t>
      </w:r>
    </w:p>
    <w:p>
      <w:r>
        <w:br w:type="page"/>
      </w:r>
    </w:p>
    <w:p>
      <w:pPr>
        <w:spacing w:before="120" w:after="200"/>
        <w:jc w:val="center"/>
      </w:pPr>
      <w:r>
        <w:rPr>
          <w:rFonts w:ascii="Times New Roman" w:hAnsi="Times New Roman"/>
          <w:b/>
          <w:i w:val="0"/>
          <w:color w:val="000000"/>
          <w:sz w:val="30"/>
        </w:rPr>
        <w:t>List of Abbreviations</w:t>
      </w:r>
    </w:p>
    <w:tbl>
      <w:tblPr>
        <w:tblStyle w:val="TableGrid"/>
        <w:tblW w:type="auto" w:w="0"/>
        <w:jc w:val="center"/>
        <w:tblLook w:firstColumn="1" w:firstRow="1" w:lastColumn="0" w:lastRow="0" w:noHBand="0" w:noVBand="1" w:val="04A0"/>
      </w:tblPr>
      <w:tblGrid>
        <w:gridCol w:w="4561"/>
        <w:gridCol w:w="4561"/>
      </w:tblGrid>
      <w:tr>
        <w:tc>
          <w:tcPr>
            <w:tcW w:type="dxa" w:w="4561"/>
          </w:tcPr>
          <w:p>
            <w:r>
              <w:rPr>
                <w:rFonts w:ascii="Times New Roman" w:hAnsi="Times New Roman"/>
                <w:b/>
                <w:color w:val="000000"/>
                <w:sz w:val="22"/>
              </w:rPr>
              <w:t>Abbreviation</w:t>
            </w:r>
          </w:p>
        </w:tc>
        <w:tc>
          <w:tcPr>
            <w:tcW w:type="dxa" w:w="4561"/>
          </w:tcPr>
          <w:p>
            <w:r>
              <w:rPr>
                <w:rFonts w:ascii="Times New Roman" w:hAnsi="Times New Roman"/>
                <w:b/>
                <w:color w:val="000000"/>
                <w:sz w:val="22"/>
              </w:rPr>
              <w:t>Full Form</w:t>
            </w:r>
          </w:p>
        </w:tc>
      </w:tr>
      <w:tr>
        <w:tc>
          <w:tcPr>
            <w:tcW w:type="dxa" w:w="4561"/>
          </w:tcPr>
          <w:p>
            <w:r>
              <w:rPr>
                <w:rFonts w:ascii="Times New Roman" w:hAnsi="Times New Roman"/>
                <w:color w:val="000000"/>
                <w:sz w:val="22"/>
              </w:rPr>
              <w:t>CRISP-DM</w:t>
            </w:r>
          </w:p>
        </w:tc>
        <w:tc>
          <w:tcPr>
            <w:tcW w:type="dxa" w:w="4561"/>
          </w:tcPr>
          <w:p>
            <w:r>
              <w:rPr>
                <w:rFonts w:ascii="Times New Roman" w:hAnsi="Times New Roman"/>
                <w:color w:val="000000"/>
                <w:sz w:val="22"/>
              </w:rPr>
              <w:t>Cross-Industry Standard Process for Data Mining</w:t>
            </w:r>
          </w:p>
        </w:tc>
      </w:tr>
      <w:tr>
        <w:tc>
          <w:tcPr>
            <w:tcW w:type="dxa" w:w="4561"/>
          </w:tcPr>
          <w:p>
            <w:r>
              <w:rPr>
                <w:rFonts w:ascii="Times New Roman" w:hAnsi="Times New Roman"/>
                <w:color w:val="000000"/>
                <w:sz w:val="22"/>
              </w:rPr>
              <w:t>CV</w:t>
            </w:r>
          </w:p>
        </w:tc>
        <w:tc>
          <w:tcPr>
            <w:tcW w:type="dxa" w:w="4561"/>
          </w:tcPr>
          <w:p>
            <w:r>
              <w:rPr>
                <w:rFonts w:ascii="Times New Roman" w:hAnsi="Times New Roman"/>
                <w:color w:val="000000"/>
                <w:sz w:val="22"/>
              </w:rPr>
              <w:t>Cross-Validation</w:t>
            </w:r>
          </w:p>
        </w:tc>
      </w:tr>
      <w:tr>
        <w:tc>
          <w:tcPr>
            <w:tcW w:type="dxa" w:w="4561"/>
          </w:tcPr>
          <w:p>
            <w:r>
              <w:rPr>
                <w:rFonts w:ascii="Times New Roman" w:hAnsi="Times New Roman"/>
                <w:color w:val="000000"/>
                <w:sz w:val="22"/>
              </w:rPr>
              <w:t>DHS</w:t>
            </w:r>
          </w:p>
        </w:tc>
        <w:tc>
          <w:tcPr>
            <w:tcW w:type="dxa" w:w="4561"/>
          </w:tcPr>
          <w:p>
            <w:r>
              <w:rPr>
                <w:rFonts w:ascii="Times New Roman" w:hAnsi="Times New Roman"/>
                <w:color w:val="000000"/>
                <w:sz w:val="22"/>
              </w:rPr>
              <w:t>Demographic and Health Survey</w:t>
            </w:r>
          </w:p>
        </w:tc>
      </w:tr>
      <w:tr>
        <w:tc>
          <w:tcPr>
            <w:tcW w:type="dxa" w:w="4561"/>
          </w:tcPr>
          <w:p>
            <w:r>
              <w:rPr>
                <w:rFonts w:ascii="Times New Roman" w:hAnsi="Times New Roman"/>
                <w:color w:val="000000"/>
                <w:sz w:val="22"/>
              </w:rPr>
              <w:t>HDX</w:t>
            </w:r>
          </w:p>
        </w:tc>
        <w:tc>
          <w:tcPr>
            <w:tcW w:type="dxa" w:w="4561"/>
          </w:tcPr>
          <w:p>
            <w:r>
              <w:rPr>
                <w:rFonts w:ascii="Times New Roman" w:hAnsi="Times New Roman"/>
                <w:color w:val="000000"/>
                <w:sz w:val="22"/>
              </w:rPr>
              <w:t>Humanitarian Data Exchange</w:t>
            </w:r>
          </w:p>
        </w:tc>
      </w:tr>
      <w:tr>
        <w:tc>
          <w:tcPr>
            <w:tcW w:type="dxa" w:w="4561"/>
          </w:tcPr>
          <w:p>
            <w:r>
              <w:rPr>
                <w:rFonts w:ascii="Times New Roman" w:hAnsi="Times New Roman"/>
                <w:color w:val="000000"/>
                <w:sz w:val="22"/>
              </w:rPr>
              <w:t>RMSE</w:t>
            </w:r>
          </w:p>
        </w:tc>
        <w:tc>
          <w:tcPr>
            <w:tcW w:type="dxa" w:w="4561"/>
          </w:tcPr>
          <w:p>
            <w:r>
              <w:rPr>
                <w:rFonts w:ascii="Times New Roman" w:hAnsi="Times New Roman"/>
                <w:color w:val="000000"/>
                <w:sz w:val="22"/>
              </w:rPr>
              <w:t>Root Mean Square Error</w:t>
            </w:r>
          </w:p>
        </w:tc>
      </w:tr>
      <w:tr>
        <w:tc>
          <w:tcPr>
            <w:tcW w:type="dxa" w:w="4561"/>
          </w:tcPr>
          <w:p>
            <w:r>
              <w:rPr>
                <w:rFonts w:ascii="Times New Roman" w:hAnsi="Times New Roman"/>
                <w:color w:val="000000"/>
                <w:sz w:val="22"/>
              </w:rPr>
              <w:t>WASH</w:t>
            </w:r>
          </w:p>
        </w:tc>
        <w:tc>
          <w:tcPr>
            <w:tcW w:type="dxa" w:w="4561"/>
          </w:tcPr>
          <w:p>
            <w:r>
              <w:rPr>
                <w:rFonts w:ascii="Times New Roman" w:hAnsi="Times New Roman"/>
                <w:color w:val="000000"/>
                <w:sz w:val="22"/>
              </w:rPr>
              <w:t>Water, Sanitation and Hygiene</w:t>
            </w:r>
          </w:p>
        </w:tc>
      </w:tr>
      <w:tr>
        <w:tc>
          <w:tcPr>
            <w:tcW w:type="dxa" w:w="4561"/>
          </w:tcPr>
          <w:p>
            <w:r>
              <w:rPr>
                <w:rFonts w:ascii="Times New Roman" w:hAnsi="Times New Roman"/>
                <w:color w:val="000000"/>
                <w:sz w:val="22"/>
              </w:rPr>
              <w:t>WHO</w:t>
            </w:r>
          </w:p>
        </w:tc>
        <w:tc>
          <w:tcPr>
            <w:tcW w:type="dxa" w:w="4561"/>
          </w:tcPr>
          <w:p>
            <w:r>
              <w:rPr>
                <w:rFonts w:ascii="Times New Roman" w:hAnsi="Times New Roman"/>
                <w:color w:val="000000"/>
                <w:sz w:val="22"/>
              </w:rPr>
              <w:t>World Health Organization</w:t>
            </w:r>
          </w:p>
        </w:tc>
      </w:tr>
    </w:tbl>
    <w:p/>
    <w:p>
      <w:r>
        <w:br w:type="page"/>
      </w:r>
    </w:p>
    <w:p>
      <w:pPr>
        <w:spacing w:before="120" w:after="200"/>
        <w:jc w:val="center"/>
      </w:pPr>
      <w:r>
        <w:rPr>
          <w:rFonts w:ascii="Times New Roman" w:hAnsi="Times New Roman"/>
          <w:b/>
          <w:i w:val="0"/>
          <w:color w:val="000000"/>
          <w:sz w:val="30"/>
        </w:rPr>
        <w:t>List of Figures</w:t>
      </w:r>
    </w:p>
    <w:p>
      <w:pPr>
        <w:spacing w:lineRule="exact" w:line="240" w:after="60"/>
      </w:pPr>
      <w:r>
        <w:rPr>
          <w:rFonts w:ascii="Times New Roman" w:hAnsi="Times New Roman"/>
          <w:b w:val="0"/>
          <w:i w:val="0"/>
          <w:color w:val="000000"/>
          <w:sz w:val="22"/>
        </w:rPr>
        <w:t>Figure 3.1:  The six phases of the CRISP-DM methodology</w:t>
      </w:r>
    </w:p>
    <w:p>
      <w:pPr>
        <w:spacing w:lineRule="exact" w:line="240" w:after="60"/>
      </w:pPr>
      <w:r>
        <w:rPr>
          <w:rFonts w:ascii="Times New Roman" w:hAnsi="Times New Roman"/>
          <w:b w:val="0"/>
          <w:i w:val="0"/>
          <w:color w:val="000000"/>
          <w:sz w:val="22"/>
        </w:rPr>
        <w:t>Figure 3.2:  System architecture — Python pipeline and Next.js web application</w:t>
      </w:r>
    </w:p>
    <w:p>
      <w:pPr>
        <w:spacing w:lineRule="exact" w:line="240" w:after="60"/>
      </w:pPr>
      <w:r>
        <w:rPr>
          <w:rFonts w:ascii="Times New Roman" w:hAnsi="Times New Roman"/>
          <w:b w:val="0"/>
          <w:i w:val="0"/>
          <w:color w:val="000000"/>
          <w:sz w:val="22"/>
        </w:rPr>
        <w:t>Figure 4.1:  Stunting rate distribution across all region-year observations</w:t>
      </w:r>
    </w:p>
    <w:p>
      <w:pPr>
        <w:spacing w:lineRule="exact" w:line="240" w:after="60"/>
      </w:pPr>
      <w:r>
        <w:rPr>
          <w:rFonts w:ascii="Times New Roman" w:hAnsi="Times New Roman"/>
          <w:b w:val="0"/>
          <w:i w:val="0"/>
          <w:color w:val="000000"/>
          <w:sz w:val="22"/>
        </w:rPr>
        <w:t>Figure 4.2:  Stunting rate by region — median-sorted box plot (1991–2018)</w:t>
      </w:r>
    </w:p>
    <w:p>
      <w:pPr>
        <w:spacing w:lineRule="exact" w:line="240" w:after="60"/>
      </w:pPr>
      <w:r>
        <w:rPr>
          <w:rFonts w:ascii="Times New Roman" w:hAnsi="Times New Roman"/>
          <w:b w:val="0"/>
          <w:i w:val="0"/>
          <w:color w:val="000000"/>
          <w:sz w:val="22"/>
        </w:rPr>
        <w:t>Figure 4.3:  Spearman correlation between features and stunting rate</w:t>
      </w:r>
    </w:p>
    <w:p>
      <w:pPr>
        <w:spacing w:lineRule="exact" w:line="240" w:after="60"/>
      </w:pPr>
      <w:r>
        <w:rPr>
          <w:rFonts w:ascii="Times New Roman" w:hAnsi="Times New Roman"/>
          <w:b w:val="0"/>
          <w:i w:val="0"/>
          <w:color w:val="000000"/>
          <w:sz w:val="22"/>
        </w:rPr>
        <w:t>Figure 4.4:  Trend of stunting rates over survey years per region</w:t>
      </w:r>
    </w:p>
    <w:p>
      <w:pPr>
        <w:spacing w:lineRule="exact" w:line="240" w:after="60"/>
      </w:pPr>
      <w:r>
        <w:rPr>
          <w:rFonts w:ascii="Times New Roman" w:hAnsi="Times New Roman"/>
          <w:b w:val="0"/>
          <w:i w:val="0"/>
          <w:color w:val="000000"/>
          <w:sz w:val="22"/>
        </w:rPr>
        <w:t>Figure 4.5:  Regression model leaderboard — 5-fold CV RMSE comparison</w:t>
      </w:r>
    </w:p>
    <w:p>
      <w:pPr>
        <w:spacing w:lineRule="exact" w:line="240" w:after="60"/>
      </w:pPr>
      <w:r>
        <w:rPr>
          <w:rFonts w:ascii="Times New Roman" w:hAnsi="Times New Roman"/>
          <w:b w:val="0"/>
          <w:i w:val="0"/>
          <w:color w:val="000000"/>
          <w:sz w:val="22"/>
        </w:rPr>
        <w:t>Figure 4.6:  Confusion matrix — WHO risk band classifier (Random Forest)</w:t>
      </w:r>
    </w:p>
    <w:p>
      <w:pPr>
        <w:spacing w:lineRule="exact" w:line="240" w:after="60"/>
      </w:pPr>
      <w:r>
        <w:rPr>
          <w:rFonts w:ascii="Times New Roman" w:hAnsi="Times New Roman"/>
          <w:b w:val="0"/>
          <w:i w:val="0"/>
          <w:color w:val="000000"/>
          <w:sz w:val="22"/>
        </w:rPr>
        <w:t>Figure 4.7:  K-Means clustering visualised in PCA space (k = 2)</w:t>
      </w:r>
    </w:p>
    <w:p>
      <w:pPr>
        <w:spacing w:lineRule="exact" w:line="240" w:after="60"/>
      </w:pPr>
      <w:r>
        <w:rPr>
          <w:rFonts w:ascii="Times New Roman" w:hAnsi="Times New Roman"/>
          <w:b w:val="0"/>
          <w:i w:val="0"/>
          <w:color w:val="000000"/>
          <w:sz w:val="22"/>
        </w:rPr>
        <w:t>Figure 4.8:  Stunting rate forecasts to 2026 and 2028 — top hotspot regions</w:t>
      </w:r>
    </w:p>
    <w:p>
      <w:pPr>
        <w:spacing w:lineRule="exact" w:line="240" w:after="60"/>
      </w:pPr>
      <w:r>
        <w:rPr>
          <w:rFonts w:ascii="Times New Roman" w:hAnsi="Times New Roman"/>
          <w:b w:val="0"/>
          <w:i w:val="0"/>
          <w:color w:val="000000"/>
          <w:sz w:val="22"/>
        </w:rPr>
        <w:t>Figure 4.9:  Home page — Cameroon Malnutrition Atlas web dashboard</w:t>
      </w:r>
    </w:p>
    <w:p>
      <w:pPr>
        <w:spacing w:lineRule="exact" w:line="240" w:after="60"/>
      </w:pPr>
      <w:r>
        <w:rPr>
          <w:rFonts w:ascii="Times New Roman" w:hAnsi="Times New Roman"/>
          <w:b w:val="0"/>
          <w:i w:val="0"/>
          <w:color w:val="000000"/>
          <w:sz w:val="22"/>
        </w:rPr>
        <w:t>Figure 4.10:  Hotspots page — choropleth map and ranked region table</w:t>
      </w:r>
    </w:p>
    <w:p>
      <w:r>
        <w:br w:type="page"/>
      </w:r>
    </w:p>
    <w:p>
      <w:pPr>
        <w:spacing w:before="120" w:after="200"/>
        <w:jc w:val="center"/>
      </w:pPr>
      <w:r>
        <w:rPr>
          <w:rFonts w:ascii="Times New Roman" w:hAnsi="Times New Roman"/>
          <w:b/>
          <w:i w:val="0"/>
          <w:color w:val="000000"/>
          <w:sz w:val="30"/>
        </w:rPr>
        <w:t>List of Tables</w:t>
      </w:r>
    </w:p>
    <w:p>
      <w:pPr>
        <w:spacing w:lineRule="exact" w:line="240" w:after="60"/>
      </w:pPr>
      <w:r>
        <w:rPr>
          <w:rFonts w:ascii="Times New Roman" w:hAnsi="Times New Roman"/>
          <w:b w:val="0"/>
          <w:i w:val="0"/>
          <w:color w:val="000000"/>
          <w:sz w:val="22"/>
        </w:rPr>
        <w:t>Table 1.1:  Definition of key terms</w:t>
      </w:r>
    </w:p>
    <w:p>
      <w:pPr>
        <w:spacing w:lineRule="exact" w:line="240" w:after="60"/>
      </w:pPr>
      <w:r>
        <w:rPr>
          <w:rFonts w:ascii="Times New Roman" w:hAnsi="Times New Roman"/>
          <w:b w:val="0"/>
          <w:i w:val="0"/>
          <w:color w:val="000000"/>
          <w:sz w:val="22"/>
        </w:rPr>
        <w:t>Table 3.1:  Dataset overview — feature groups and sources</w:t>
      </w:r>
    </w:p>
    <w:p>
      <w:pPr>
        <w:spacing w:lineRule="exact" w:line="240" w:after="60"/>
      </w:pPr>
      <w:r>
        <w:rPr>
          <w:rFonts w:ascii="Times New Roman" w:hAnsi="Times New Roman"/>
          <w:b w:val="0"/>
          <w:i w:val="0"/>
          <w:color w:val="000000"/>
          <w:sz w:val="22"/>
        </w:rPr>
        <w:t>Table 3.2:  Web application pages</w:t>
      </w:r>
    </w:p>
    <w:p>
      <w:pPr>
        <w:spacing w:lineRule="exact" w:line="240" w:after="60"/>
      </w:pPr>
      <w:r>
        <w:rPr>
          <w:rFonts w:ascii="Times New Roman" w:hAnsi="Times New Roman"/>
          <w:b w:val="0"/>
          <w:i w:val="0"/>
          <w:color w:val="000000"/>
          <w:sz w:val="22"/>
        </w:rPr>
        <w:t>Table 4.1:  Regression model results — CV RMSE comparison</w:t>
      </w:r>
    </w:p>
    <w:p>
      <w:pPr>
        <w:spacing w:lineRule="exact" w:line="240" w:after="60"/>
      </w:pPr>
      <w:r>
        <w:rPr>
          <w:rFonts w:ascii="Times New Roman" w:hAnsi="Times New Roman"/>
          <w:b w:val="0"/>
          <w:i w:val="0"/>
          <w:color w:val="000000"/>
          <w:sz w:val="22"/>
        </w:rPr>
        <w:t>Table 4.2:  Hypothesis test results</w:t>
      </w:r>
    </w:p>
    <w:p>
      <w:pPr>
        <w:spacing w:lineRule="exact" w:line="240" w:after="60"/>
      </w:pPr>
      <w:r>
        <w:rPr>
          <w:rFonts w:ascii="Times New Roman" w:hAnsi="Times New Roman"/>
          <w:b w:val="0"/>
          <w:i w:val="0"/>
          <w:color w:val="000000"/>
          <w:sz w:val="22"/>
        </w:rPr>
        <w:t>Table 4.3:  K-Means cluster profiles</w:t>
      </w:r>
    </w:p>
    <w:p>
      <w:pPr>
        <w:spacing w:lineRule="exact" w:line="240" w:after="60"/>
      </w:pPr>
      <w:r>
        <w:rPr>
          <w:rFonts w:ascii="Times New Roman" w:hAnsi="Times New Roman"/>
          <w:b w:val="0"/>
          <w:i w:val="0"/>
          <w:color w:val="000000"/>
          <w:sz w:val="22"/>
        </w:rPr>
        <w:t>Table 4.4:  Top 10 predicted stunting hotspots (2018)</w:t>
      </w:r>
    </w:p>
    <w:p>
      <w:r>
        <w:br w:type="page"/>
      </w:r>
    </w:p>
    <w:p>
      <w:pPr>
        <w:spacing w:before="120" w:after="200"/>
        <w:jc w:val="center"/>
      </w:pPr>
      <w:r>
        <w:rPr>
          <w:rFonts w:ascii="Times New Roman" w:hAnsi="Times New Roman"/>
          <w:b/>
          <w:i w:val="0"/>
          <w:color w:val="000000"/>
          <w:sz w:val="30"/>
        </w:rPr>
        <w:t>Table of Contents</w:t>
      </w:r>
    </w:p>
    <w:p>
      <w:pPr>
        <w:spacing w:lineRule="exact" w:line="240" w:after="40"/>
        <w:ind w:left="0"/>
        <w:tabs>
          <w:tab w:val="right" w:leader="dot" w:pos="8640"/>
        </w:tabs>
      </w:pPr>
      <w:r>
        <w:rPr>
          <w:rFonts w:ascii="Times New Roman" w:hAnsi="Times New Roman"/>
          <w:color w:val="000000"/>
          <w:sz w:val="22"/>
        </w:rPr>
        <w:t>Certification</w:t>
      </w:r>
      <w:r>
        <w:rPr>
          <w:rFonts w:ascii="Times New Roman" w:hAnsi="Times New Roman"/>
          <w:color w:val="000000"/>
          <w:sz w:val="22"/>
        </w:rPr>
        <w:tab/>
        <w:t>ii</w:t>
      </w:r>
    </w:p>
    <w:p>
      <w:pPr>
        <w:spacing w:lineRule="exact" w:line="240" w:after="40"/>
        <w:ind w:left="0"/>
        <w:tabs>
          <w:tab w:val="right" w:leader="dot" w:pos="8640"/>
        </w:tabs>
      </w:pPr>
      <w:r>
        <w:rPr>
          <w:rFonts w:ascii="Times New Roman" w:hAnsi="Times New Roman"/>
          <w:color w:val="000000"/>
          <w:sz w:val="22"/>
        </w:rPr>
        <w:t>Attestation</w:t>
      </w:r>
      <w:r>
        <w:rPr>
          <w:rFonts w:ascii="Times New Roman" w:hAnsi="Times New Roman"/>
          <w:color w:val="000000"/>
          <w:sz w:val="22"/>
        </w:rPr>
        <w:tab/>
        <w:t>iii</w:t>
      </w:r>
    </w:p>
    <w:p>
      <w:pPr>
        <w:spacing w:lineRule="exact" w:line="240" w:after="40"/>
        <w:ind w:left="0"/>
        <w:tabs>
          <w:tab w:val="right" w:leader="dot" w:pos="8640"/>
        </w:tabs>
      </w:pPr>
      <w:r>
        <w:rPr>
          <w:rFonts w:ascii="Times New Roman" w:hAnsi="Times New Roman"/>
          <w:color w:val="000000"/>
          <w:sz w:val="22"/>
        </w:rPr>
        <w:t>Abstract</w:t>
      </w:r>
      <w:r>
        <w:rPr>
          <w:rFonts w:ascii="Times New Roman" w:hAnsi="Times New Roman"/>
          <w:color w:val="000000"/>
          <w:sz w:val="22"/>
        </w:rPr>
        <w:tab/>
        <w:t>iv</w:t>
      </w:r>
    </w:p>
    <w:p>
      <w:pPr>
        <w:spacing w:lineRule="exact" w:line="240" w:after="40"/>
        <w:ind w:left="0"/>
        <w:tabs>
          <w:tab w:val="right" w:leader="dot" w:pos="8640"/>
        </w:tabs>
      </w:pPr>
      <w:r>
        <w:rPr>
          <w:rFonts w:ascii="Times New Roman" w:hAnsi="Times New Roman"/>
          <w:color w:val="000000"/>
          <w:sz w:val="22"/>
        </w:rPr>
        <w:t>List of Abbreviations</w:t>
      </w:r>
      <w:r>
        <w:rPr>
          <w:rFonts w:ascii="Times New Roman" w:hAnsi="Times New Roman"/>
          <w:color w:val="000000"/>
          <w:sz w:val="22"/>
        </w:rPr>
        <w:tab/>
        <w:t>v</w:t>
      </w:r>
    </w:p>
    <w:p>
      <w:pPr>
        <w:spacing w:lineRule="exact" w:line="240" w:after="40"/>
        <w:ind w:left="0"/>
        <w:tabs>
          <w:tab w:val="right" w:leader="dot" w:pos="8640"/>
        </w:tabs>
      </w:pPr>
      <w:r>
        <w:rPr>
          <w:rFonts w:ascii="Times New Roman" w:hAnsi="Times New Roman"/>
          <w:color w:val="000000"/>
          <w:sz w:val="22"/>
        </w:rPr>
        <w:t>List of Figures</w:t>
      </w:r>
      <w:r>
        <w:rPr>
          <w:rFonts w:ascii="Times New Roman" w:hAnsi="Times New Roman"/>
          <w:color w:val="000000"/>
          <w:sz w:val="22"/>
        </w:rPr>
        <w:tab/>
        <w:t>vi</w:t>
      </w:r>
    </w:p>
    <w:p>
      <w:pPr>
        <w:spacing w:lineRule="exact" w:line="240" w:after="40"/>
        <w:ind w:left="0"/>
        <w:tabs>
          <w:tab w:val="right" w:leader="dot" w:pos="8640"/>
        </w:tabs>
      </w:pPr>
      <w:r>
        <w:rPr>
          <w:rFonts w:ascii="Times New Roman" w:hAnsi="Times New Roman"/>
          <w:color w:val="000000"/>
          <w:sz w:val="22"/>
        </w:rPr>
        <w:t>List of Tables</w:t>
      </w:r>
      <w:r>
        <w:rPr>
          <w:rFonts w:ascii="Times New Roman" w:hAnsi="Times New Roman"/>
          <w:color w:val="000000"/>
          <w:sz w:val="22"/>
        </w:rPr>
        <w:tab/>
        <w:t>vii</w:t>
      </w:r>
    </w:p>
    <w:p>
      <w:pPr>
        <w:spacing w:lineRule="exact" w:line="240" w:after="40"/>
        <w:ind w:left="0"/>
        <w:tabs>
          <w:tab w:val="right" w:leader="dot" w:pos="8640"/>
        </w:tabs>
      </w:pPr>
      <w:r>
        <w:rPr>
          <w:rFonts w:ascii="Times New Roman" w:hAnsi="Times New Roman"/>
          <w:color w:val="000000"/>
          <w:sz w:val="22"/>
        </w:rPr>
        <w:t>CHAPTER ONE: GENERAL INTRODUCTION</w:t>
      </w:r>
      <w:r>
        <w:rPr>
          <w:rFonts w:ascii="Times New Roman" w:hAnsi="Times New Roman"/>
          <w:color w:val="000000"/>
          <w:sz w:val="22"/>
        </w:rPr>
        <w:tab/>
        <w:t>1</w:t>
      </w:r>
    </w:p>
    <w:p>
      <w:pPr>
        <w:spacing w:lineRule="exact" w:line="240" w:after="40"/>
        <w:ind w:left="567"/>
        <w:tabs>
          <w:tab w:val="right" w:leader="dot" w:pos="8640"/>
        </w:tabs>
      </w:pPr>
      <w:r>
        <w:rPr>
          <w:rFonts w:ascii="Times New Roman" w:hAnsi="Times New Roman"/>
          <w:color w:val="000000"/>
          <w:sz w:val="22"/>
        </w:rPr>
        <w:t>1.1  Introduction</w:t>
      </w:r>
      <w:r>
        <w:rPr>
          <w:rFonts w:ascii="Times New Roman" w:hAnsi="Times New Roman"/>
          <w:color w:val="000000"/>
          <w:sz w:val="22"/>
        </w:rPr>
        <w:tab/>
        <w:t>1</w:t>
      </w:r>
    </w:p>
    <w:p>
      <w:pPr>
        <w:spacing w:lineRule="exact" w:line="240" w:after="40"/>
        <w:ind w:left="567"/>
        <w:tabs>
          <w:tab w:val="right" w:leader="dot" w:pos="8640"/>
        </w:tabs>
      </w:pPr>
      <w:r>
        <w:rPr>
          <w:rFonts w:ascii="Times New Roman" w:hAnsi="Times New Roman"/>
          <w:color w:val="000000"/>
          <w:sz w:val="22"/>
        </w:rPr>
        <w:t>1.2  Background of the Study</w:t>
      </w:r>
      <w:r>
        <w:rPr>
          <w:rFonts w:ascii="Times New Roman" w:hAnsi="Times New Roman"/>
          <w:color w:val="000000"/>
          <w:sz w:val="22"/>
        </w:rPr>
        <w:tab/>
        <w:t>1</w:t>
      </w:r>
    </w:p>
    <w:p>
      <w:pPr>
        <w:spacing w:lineRule="exact" w:line="240" w:after="40"/>
        <w:ind w:left="567"/>
        <w:tabs>
          <w:tab w:val="right" w:leader="dot" w:pos="8640"/>
        </w:tabs>
      </w:pPr>
      <w:r>
        <w:rPr>
          <w:rFonts w:ascii="Times New Roman" w:hAnsi="Times New Roman"/>
          <w:color w:val="000000"/>
          <w:sz w:val="22"/>
        </w:rPr>
        <w:t>1.3  Statement of the Problem</w:t>
      </w:r>
      <w:r>
        <w:rPr>
          <w:rFonts w:ascii="Times New Roman" w:hAnsi="Times New Roman"/>
          <w:color w:val="000000"/>
          <w:sz w:val="22"/>
        </w:rPr>
        <w:tab/>
        <w:t>2</w:t>
      </w:r>
    </w:p>
    <w:p>
      <w:pPr>
        <w:spacing w:lineRule="exact" w:line="240" w:after="40"/>
        <w:ind w:left="567"/>
        <w:tabs>
          <w:tab w:val="right" w:leader="dot" w:pos="8640"/>
        </w:tabs>
      </w:pPr>
      <w:r>
        <w:rPr>
          <w:rFonts w:ascii="Times New Roman" w:hAnsi="Times New Roman"/>
          <w:color w:val="000000"/>
          <w:sz w:val="22"/>
        </w:rPr>
        <w:t>1.4  Objectives of the Study</w:t>
      </w:r>
      <w:r>
        <w:rPr>
          <w:rFonts w:ascii="Times New Roman" w:hAnsi="Times New Roman"/>
          <w:color w:val="000000"/>
          <w:sz w:val="22"/>
        </w:rPr>
        <w:tab/>
        <w:t>2</w:t>
      </w:r>
    </w:p>
    <w:p>
      <w:pPr>
        <w:spacing w:lineRule="exact" w:line="240" w:after="40"/>
        <w:ind w:left="567"/>
        <w:tabs>
          <w:tab w:val="right" w:leader="dot" w:pos="8640"/>
        </w:tabs>
      </w:pPr>
      <w:r>
        <w:rPr>
          <w:rFonts w:ascii="Times New Roman" w:hAnsi="Times New Roman"/>
          <w:color w:val="000000"/>
          <w:sz w:val="22"/>
        </w:rPr>
        <w:t>1.5  Significance of the Study</w:t>
      </w:r>
      <w:r>
        <w:rPr>
          <w:rFonts w:ascii="Times New Roman" w:hAnsi="Times New Roman"/>
          <w:color w:val="000000"/>
          <w:sz w:val="22"/>
        </w:rPr>
        <w:tab/>
        <w:t>3</w:t>
      </w:r>
    </w:p>
    <w:p>
      <w:pPr>
        <w:spacing w:lineRule="exact" w:line="240" w:after="40"/>
        <w:ind w:left="567"/>
        <w:tabs>
          <w:tab w:val="right" w:leader="dot" w:pos="8640"/>
        </w:tabs>
      </w:pPr>
      <w:r>
        <w:rPr>
          <w:rFonts w:ascii="Times New Roman" w:hAnsi="Times New Roman"/>
          <w:color w:val="000000"/>
          <w:sz w:val="22"/>
        </w:rPr>
        <w:t>1.6  Scope of the Study</w:t>
      </w:r>
      <w:r>
        <w:rPr>
          <w:rFonts w:ascii="Times New Roman" w:hAnsi="Times New Roman"/>
          <w:color w:val="000000"/>
          <w:sz w:val="22"/>
        </w:rPr>
        <w:tab/>
        <w:t>3</w:t>
      </w:r>
    </w:p>
    <w:p>
      <w:pPr>
        <w:spacing w:lineRule="exact" w:line="240" w:after="40"/>
        <w:ind w:left="567"/>
        <w:tabs>
          <w:tab w:val="right" w:leader="dot" w:pos="8640"/>
        </w:tabs>
      </w:pPr>
      <w:r>
        <w:rPr>
          <w:rFonts w:ascii="Times New Roman" w:hAnsi="Times New Roman"/>
          <w:color w:val="000000"/>
          <w:sz w:val="22"/>
        </w:rPr>
        <w:t>1.7  Definition of Key Terms</w:t>
      </w:r>
      <w:r>
        <w:rPr>
          <w:rFonts w:ascii="Times New Roman" w:hAnsi="Times New Roman"/>
          <w:color w:val="000000"/>
          <w:sz w:val="22"/>
        </w:rPr>
        <w:tab/>
        <w:t>3</w:t>
      </w:r>
    </w:p>
    <w:p>
      <w:pPr>
        <w:spacing w:lineRule="exact" w:line="240" w:after="40"/>
        <w:ind w:left="567"/>
        <w:tabs>
          <w:tab w:val="right" w:leader="dot" w:pos="8640"/>
        </w:tabs>
      </w:pPr>
      <w:r>
        <w:rPr>
          <w:rFonts w:ascii="Times New Roman" w:hAnsi="Times New Roman"/>
          <w:color w:val="000000"/>
          <w:sz w:val="22"/>
        </w:rPr>
        <w:t>1.8  Organisation of the Study</w:t>
      </w:r>
      <w:r>
        <w:rPr>
          <w:rFonts w:ascii="Times New Roman" w:hAnsi="Times New Roman"/>
          <w:color w:val="000000"/>
          <w:sz w:val="22"/>
        </w:rPr>
        <w:tab/>
        <w:t>4</w:t>
      </w:r>
    </w:p>
    <w:p>
      <w:pPr>
        <w:spacing w:lineRule="exact" w:line="240" w:after="40"/>
        <w:ind w:left="0"/>
        <w:tabs>
          <w:tab w:val="right" w:leader="dot" w:pos="8640"/>
        </w:tabs>
      </w:pPr>
      <w:r>
        <w:rPr>
          <w:rFonts w:ascii="Times New Roman" w:hAnsi="Times New Roman"/>
          <w:color w:val="000000"/>
          <w:sz w:val="22"/>
        </w:rPr>
        <w:t>CHAPTER TWO: LITERATURE REVIEW</w:t>
      </w:r>
      <w:r>
        <w:rPr>
          <w:rFonts w:ascii="Times New Roman" w:hAnsi="Times New Roman"/>
          <w:color w:val="000000"/>
          <w:sz w:val="22"/>
        </w:rPr>
        <w:tab/>
        <w:t>5</w:t>
      </w:r>
    </w:p>
    <w:p>
      <w:pPr>
        <w:spacing w:lineRule="exact" w:line="240" w:after="40"/>
        <w:ind w:left="567"/>
        <w:tabs>
          <w:tab w:val="right" w:leader="dot" w:pos="8640"/>
        </w:tabs>
      </w:pPr>
      <w:r>
        <w:rPr>
          <w:rFonts w:ascii="Times New Roman" w:hAnsi="Times New Roman"/>
          <w:color w:val="000000"/>
          <w:sz w:val="22"/>
        </w:rPr>
        <w:t>2.1  Introduction</w:t>
      </w:r>
      <w:r>
        <w:rPr>
          <w:rFonts w:ascii="Times New Roman" w:hAnsi="Times New Roman"/>
          <w:color w:val="000000"/>
          <w:sz w:val="22"/>
        </w:rPr>
        <w:tab/>
        <w:t>5</w:t>
      </w:r>
    </w:p>
    <w:p>
      <w:pPr>
        <w:spacing w:lineRule="exact" w:line="240" w:after="40"/>
        <w:ind w:left="567"/>
        <w:tabs>
          <w:tab w:val="right" w:leader="dot" w:pos="8640"/>
        </w:tabs>
      </w:pPr>
      <w:r>
        <w:rPr>
          <w:rFonts w:ascii="Times New Roman" w:hAnsi="Times New Roman"/>
          <w:color w:val="000000"/>
          <w:sz w:val="22"/>
        </w:rPr>
        <w:t>2.2  Data Mining Concepts</w:t>
      </w:r>
      <w:r>
        <w:rPr>
          <w:rFonts w:ascii="Times New Roman" w:hAnsi="Times New Roman"/>
          <w:color w:val="000000"/>
          <w:sz w:val="22"/>
        </w:rPr>
        <w:tab/>
        <w:t>5</w:t>
      </w:r>
    </w:p>
    <w:p>
      <w:pPr>
        <w:spacing w:lineRule="exact" w:line="240" w:after="40"/>
        <w:ind w:left="567"/>
        <w:tabs>
          <w:tab w:val="right" w:leader="dot" w:pos="8640"/>
        </w:tabs>
      </w:pPr>
      <w:r>
        <w:rPr>
          <w:rFonts w:ascii="Times New Roman" w:hAnsi="Times New Roman"/>
          <w:color w:val="000000"/>
          <w:sz w:val="22"/>
        </w:rPr>
        <w:t>2.3  Review of Existing Systems</w:t>
      </w:r>
      <w:r>
        <w:rPr>
          <w:rFonts w:ascii="Times New Roman" w:hAnsi="Times New Roman"/>
          <w:color w:val="000000"/>
          <w:sz w:val="22"/>
        </w:rPr>
        <w:tab/>
        <w:t>7</w:t>
      </w:r>
    </w:p>
    <w:p>
      <w:pPr>
        <w:spacing w:lineRule="exact" w:line="240" w:after="40"/>
        <w:ind w:left="567"/>
        <w:tabs>
          <w:tab w:val="right" w:leader="dot" w:pos="8640"/>
        </w:tabs>
      </w:pPr>
      <w:r>
        <w:rPr>
          <w:rFonts w:ascii="Times New Roman" w:hAnsi="Times New Roman"/>
          <w:color w:val="000000"/>
          <w:sz w:val="22"/>
        </w:rPr>
        <w:t>2.4  Proposed Solution</w:t>
      </w:r>
      <w:r>
        <w:rPr>
          <w:rFonts w:ascii="Times New Roman" w:hAnsi="Times New Roman"/>
          <w:color w:val="000000"/>
          <w:sz w:val="22"/>
        </w:rPr>
        <w:tab/>
        <w:t>7</w:t>
      </w:r>
    </w:p>
    <w:p>
      <w:pPr>
        <w:spacing w:lineRule="exact" w:line="240" w:after="40"/>
        <w:ind w:left="0"/>
        <w:tabs>
          <w:tab w:val="right" w:leader="dot" w:pos="8640"/>
        </w:tabs>
      </w:pPr>
      <w:r>
        <w:rPr>
          <w:rFonts w:ascii="Times New Roman" w:hAnsi="Times New Roman"/>
          <w:color w:val="000000"/>
          <w:sz w:val="22"/>
        </w:rPr>
        <w:t>CHAPTER THREE: MATERIALS AND METHODS</w:t>
      </w:r>
      <w:r>
        <w:rPr>
          <w:rFonts w:ascii="Times New Roman" w:hAnsi="Times New Roman"/>
          <w:color w:val="000000"/>
          <w:sz w:val="22"/>
        </w:rPr>
        <w:tab/>
        <w:t>8</w:t>
      </w:r>
    </w:p>
    <w:p>
      <w:pPr>
        <w:spacing w:lineRule="exact" w:line="240" w:after="40"/>
        <w:ind w:left="567"/>
        <w:tabs>
          <w:tab w:val="right" w:leader="dot" w:pos="8640"/>
        </w:tabs>
      </w:pPr>
      <w:r>
        <w:rPr>
          <w:rFonts w:ascii="Times New Roman" w:hAnsi="Times New Roman"/>
          <w:color w:val="000000"/>
          <w:sz w:val="22"/>
        </w:rPr>
        <w:t>3.1  Introduction</w:t>
      </w:r>
      <w:r>
        <w:rPr>
          <w:rFonts w:ascii="Times New Roman" w:hAnsi="Times New Roman"/>
          <w:color w:val="000000"/>
          <w:sz w:val="22"/>
        </w:rPr>
        <w:tab/>
        <w:t>8</w:t>
      </w:r>
    </w:p>
    <w:p>
      <w:pPr>
        <w:spacing w:lineRule="exact" w:line="240" w:after="40"/>
        <w:ind w:left="567"/>
        <w:tabs>
          <w:tab w:val="right" w:leader="dot" w:pos="8640"/>
        </w:tabs>
      </w:pPr>
      <w:r>
        <w:rPr>
          <w:rFonts w:ascii="Times New Roman" w:hAnsi="Times New Roman"/>
          <w:color w:val="000000"/>
          <w:sz w:val="22"/>
        </w:rPr>
        <w:t>3.2  Methodology — CRISP-DM</w:t>
      </w:r>
      <w:r>
        <w:rPr>
          <w:rFonts w:ascii="Times New Roman" w:hAnsi="Times New Roman"/>
          <w:color w:val="000000"/>
          <w:sz w:val="22"/>
        </w:rPr>
        <w:tab/>
        <w:t>8</w:t>
      </w:r>
    </w:p>
    <w:p>
      <w:pPr>
        <w:spacing w:lineRule="exact" w:line="240" w:after="40"/>
        <w:ind w:left="567"/>
        <w:tabs>
          <w:tab w:val="right" w:leader="dot" w:pos="8640"/>
        </w:tabs>
      </w:pPr>
      <w:r>
        <w:rPr>
          <w:rFonts w:ascii="Times New Roman" w:hAnsi="Times New Roman"/>
          <w:color w:val="000000"/>
          <w:sz w:val="22"/>
        </w:rPr>
        <w:t>3.3  Dataset</w:t>
      </w:r>
      <w:r>
        <w:rPr>
          <w:rFonts w:ascii="Times New Roman" w:hAnsi="Times New Roman"/>
          <w:color w:val="000000"/>
          <w:sz w:val="22"/>
        </w:rPr>
        <w:tab/>
        <w:t>10</w:t>
      </w:r>
    </w:p>
    <w:p>
      <w:pPr>
        <w:spacing w:lineRule="exact" w:line="240" w:after="40"/>
        <w:ind w:left="567"/>
        <w:tabs>
          <w:tab w:val="right" w:leader="dot" w:pos="8640"/>
        </w:tabs>
      </w:pPr>
      <w:r>
        <w:rPr>
          <w:rFonts w:ascii="Times New Roman" w:hAnsi="Times New Roman"/>
          <w:color w:val="000000"/>
          <w:sz w:val="22"/>
        </w:rPr>
        <w:t>3.4  Data Preparation</w:t>
      </w:r>
      <w:r>
        <w:rPr>
          <w:rFonts w:ascii="Times New Roman" w:hAnsi="Times New Roman"/>
          <w:color w:val="000000"/>
          <w:sz w:val="22"/>
        </w:rPr>
        <w:tab/>
        <w:t>11</w:t>
      </w:r>
    </w:p>
    <w:p>
      <w:pPr>
        <w:spacing w:lineRule="exact" w:line="240" w:after="40"/>
        <w:ind w:left="567"/>
        <w:tabs>
          <w:tab w:val="right" w:leader="dot" w:pos="8640"/>
        </w:tabs>
      </w:pPr>
      <w:r>
        <w:rPr>
          <w:rFonts w:ascii="Times New Roman" w:hAnsi="Times New Roman"/>
          <w:color w:val="000000"/>
          <w:sz w:val="22"/>
        </w:rPr>
        <w:t>3.5  System Design</w:t>
      </w:r>
      <w:r>
        <w:rPr>
          <w:rFonts w:ascii="Times New Roman" w:hAnsi="Times New Roman"/>
          <w:color w:val="000000"/>
          <w:sz w:val="22"/>
        </w:rPr>
        <w:tab/>
        <w:t>11</w:t>
      </w:r>
    </w:p>
    <w:p>
      <w:pPr>
        <w:spacing w:lineRule="exact" w:line="240" w:after="40"/>
        <w:ind w:left="0"/>
        <w:tabs>
          <w:tab w:val="right" w:leader="dot" w:pos="8640"/>
        </w:tabs>
      </w:pPr>
      <w:r>
        <w:rPr>
          <w:rFonts w:ascii="Times New Roman" w:hAnsi="Times New Roman"/>
          <w:color w:val="000000"/>
          <w:sz w:val="22"/>
        </w:rPr>
        <w:t>CHAPTER FOUR: IMPLEMENTATION, RESULTS AND DISCUSSION</w:t>
      </w:r>
      <w:r>
        <w:rPr>
          <w:rFonts w:ascii="Times New Roman" w:hAnsi="Times New Roman"/>
          <w:color w:val="000000"/>
          <w:sz w:val="22"/>
        </w:rPr>
        <w:tab/>
        <w:t>13</w:t>
      </w:r>
    </w:p>
    <w:p>
      <w:pPr>
        <w:spacing w:lineRule="exact" w:line="240" w:after="40"/>
        <w:ind w:left="567"/>
        <w:tabs>
          <w:tab w:val="right" w:leader="dot" w:pos="8640"/>
        </w:tabs>
      </w:pPr>
      <w:r>
        <w:rPr>
          <w:rFonts w:ascii="Times New Roman" w:hAnsi="Times New Roman"/>
          <w:color w:val="000000"/>
          <w:sz w:val="22"/>
        </w:rPr>
        <w:t>4.1  Introduction</w:t>
      </w:r>
      <w:r>
        <w:rPr>
          <w:rFonts w:ascii="Times New Roman" w:hAnsi="Times New Roman"/>
          <w:color w:val="000000"/>
          <w:sz w:val="22"/>
        </w:rPr>
        <w:tab/>
        <w:t>13</w:t>
      </w:r>
    </w:p>
    <w:p>
      <w:pPr>
        <w:spacing w:lineRule="exact" w:line="240" w:after="40"/>
        <w:ind w:left="567"/>
        <w:tabs>
          <w:tab w:val="right" w:leader="dot" w:pos="8640"/>
        </w:tabs>
      </w:pPr>
      <w:r>
        <w:rPr>
          <w:rFonts w:ascii="Times New Roman" w:hAnsi="Times New Roman"/>
          <w:color w:val="000000"/>
          <w:sz w:val="22"/>
        </w:rPr>
        <w:t>4.2  Exploratory Data Analysis</w:t>
      </w:r>
      <w:r>
        <w:rPr>
          <w:rFonts w:ascii="Times New Roman" w:hAnsi="Times New Roman"/>
          <w:color w:val="000000"/>
          <w:sz w:val="22"/>
        </w:rPr>
        <w:tab/>
        <w:t>13</w:t>
      </w:r>
    </w:p>
    <w:p>
      <w:pPr>
        <w:spacing w:lineRule="exact" w:line="240" w:after="40"/>
        <w:ind w:left="567"/>
        <w:tabs>
          <w:tab w:val="right" w:leader="dot" w:pos="8640"/>
        </w:tabs>
      </w:pPr>
      <w:r>
        <w:rPr>
          <w:rFonts w:ascii="Times New Roman" w:hAnsi="Times New Roman"/>
          <w:color w:val="000000"/>
          <w:sz w:val="22"/>
        </w:rPr>
        <w:t>4.3  Regression — Predicting Stunting Rate</w:t>
      </w:r>
      <w:r>
        <w:rPr>
          <w:rFonts w:ascii="Times New Roman" w:hAnsi="Times New Roman"/>
          <w:color w:val="000000"/>
          <w:sz w:val="22"/>
        </w:rPr>
        <w:tab/>
        <w:t>15</w:t>
      </w:r>
    </w:p>
    <w:p>
      <w:pPr>
        <w:spacing w:lineRule="exact" w:line="240" w:after="40"/>
        <w:ind w:left="567"/>
        <w:tabs>
          <w:tab w:val="right" w:leader="dot" w:pos="8640"/>
        </w:tabs>
      </w:pPr>
      <w:r>
        <w:rPr>
          <w:rFonts w:ascii="Times New Roman" w:hAnsi="Times New Roman"/>
          <w:color w:val="000000"/>
          <w:sz w:val="22"/>
        </w:rPr>
        <w:t>4.4  Classification — WHO Risk Bands</w:t>
      </w:r>
      <w:r>
        <w:rPr>
          <w:rFonts w:ascii="Times New Roman" w:hAnsi="Times New Roman"/>
          <w:color w:val="000000"/>
          <w:sz w:val="22"/>
        </w:rPr>
        <w:tab/>
        <w:t>16</w:t>
      </w:r>
    </w:p>
    <w:p>
      <w:pPr>
        <w:spacing w:lineRule="exact" w:line="240" w:after="40"/>
        <w:ind w:left="567"/>
        <w:tabs>
          <w:tab w:val="right" w:leader="dot" w:pos="8640"/>
        </w:tabs>
      </w:pPr>
      <w:r>
        <w:rPr>
          <w:rFonts w:ascii="Times New Roman" w:hAnsi="Times New Roman"/>
          <w:color w:val="000000"/>
          <w:sz w:val="22"/>
        </w:rPr>
        <w:t>4.5  Clustering — Regional Profiles</w:t>
      </w:r>
      <w:r>
        <w:rPr>
          <w:rFonts w:ascii="Times New Roman" w:hAnsi="Times New Roman"/>
          <w:color w:val="000000"/>
          <w:sz w:val="22"/>
        </w:rPr>
        <w:tab/>
        <w:t>17</w:t>
      </w:r>
    </w:p>
    <w:p>
      <w:pPr>
        <w:spacing w:lineRule="exact" w:line="240" w:after="40"/>
        <w:ind w:left="567"/>
        <w:tabs>
          <w:tab w:val="right" w:leader="dot" w:pos="8640"/>
        </w:tabs>
      </w:pPr>
      <w:r>
        <w:rPr>
          <w:rFonts w:ascii="Times New Roman" w:hAnsi="Times New Roman"/>
          <w:color w:val="000000"/>
          <w:sz w:val="22"/>
        </w:rPr>
        <w:t>4.6  Hypothesis Tests</w:t>
      </w:r>
      <w:r>
        <w:rPr>
          <w:rFonts w:ascii="Times New Roman" w:hAnsi="Times New Roman"/>
          <w:color w:val="000000"/>
          <w:sz w:val="22"/>
        </w:rPr>
        <w:tab/>
        <w:t>18</w:t>
      </w:r>
    </w:p>
    <w:p>
      <w:pPr>
        <w:spacing w:lineRule="exact" w:line="240" w:after="40"/>
        <w:ind w:left="567"/>
        <w:tabs>
          <w:tab w:val="right" w:leader="dot" w:pos="8640"/>
        </w:tabs>
      </w:pPr>
      <w:r>
        <w:rPr>
          <w:rFonts w:ascii="Times New Roman" w:hAnsi="Times New Roman"/>
          <w:color w:val="000000"/>
          <w:sz w:val="22"/>
        </w:rPr>
        <w:t>4.7  Forecasting</w:t>
      </w:r>
      <w:r>
        <w:rPr>
          <w:rFonts w:ascii="Times New Roman" w:hAnsi="Times New Roman"/>
          <w:color w:val="000000"/>
          <w:sz w:val="22"/>
        </w:rPr>
        <w:tab/>
        <w:t>19</w:t>
      </w:r>
    </w:p>
    <w:p>
      <w:pPr>
        <w:spacing w:lineRule="exact" w:line="240" w:after="40"/>
        <w:ind w:left="567"/>
        <w:tabs>
          <w:tab w:val="right" w:leader="dot" w:pos="8640"/>
        </w:tabs>
      </w:pPr>
      <w:r>
        <w:rPr>
          <w:rFonts w:ascii="Times New Roman" w:hAnsi="Times New Roman"/>
          <w:color w:val="000000"/>
          <w:sz w:val="22"/>
        </w:rPr>
        <w:t>4.8  Hotspot Ranking</w:t>
      </w:r>
      <w:r>
        <w:rPr>
          <w:rFonts w:ascii="Times New Roman" w:hAnsi="Times New Roman"/>
          <w:color w:val="000000"/>
          <w:sz w:val="22"/>
        </w:rPr>
        <w:tab/>
        <w:t>19</w:t>
      </w:r>
    </w:p>
    <w:p>
      <w:pPr>
        <w:spacing w:lineRule="exact" w:line="240" w:after="40"/>
        <w:ind w:left="567"/>
        <w:tabs>
          <w:tab w:val="right" w:leader="dot" w:pos="8640"/>
        </w:tabs>
      </w:pPr>
      <w:r>
        <w:rPr>
          <w:rFonts w:ascii="Times New Roman" w:hAnsi="Times New Roman"/>
          <w:color w:val="000000"/>
          <w:sz w:val="22"/>
        </w:rPr>
        <w:t>4.9  Web Application</w:t>
      </w:r>
      <w:r>
        <w:rPr>
          <w:rFonts w:ascii="Times New Roman" w:hAnsi="Times New Roman"/>
          <w:color w:val="000000"/>
          <w:sz w:val="22"/>
        </w:rPr>
        <w:tab/>
        <w:t>21</w:t>
      </w:r>
    </w:p>
    <w:p>
      <w:pPr>
        <w:spacing w:lineRule="exact" w:line="240" w:after="40"/>
        <w:ind w:left="0"/>
        <w:tabs>
          <w:tab w:val="right" w:leader="dot" w:pos="8640"/>
        </w:tabs>
      </w:pPr>
      <w:r>
        <w:rPr>
          <w:rFonts w:ascii="Times New Roman" w:hAnsi="Times New Roman"/>
          <w:color w:val="000000"/>
          <w:sz w:val="22"/>
        </w:rPr>
        <w:t>CHAPTER FIVE: CONCLUSIONS AND RECOMMENDATIONS</w:t>
      </w:r>
      <w:r>
        <w:rPr>
          <w:rFonts w:ascii="Times New Roman" w:hAnsi="Times New Roman"/>
          <w:color w:val="000000"/>
          <w:sz w:val="22"/>
        </w:rPr>
        <w:tab/>
        <w:t>23</w:t>
      </w:r>
    </w:p>
    <w:p>
      <w:pPr>
        <w:spacing w:lineRule="exact" w:line="240" w:after="40"/>
        <w:ind w:left="567"/>
        <w:tabs>
          <w:tab w:val="right" w:leader="dot" w:pos="8640"/>
        </w:tabs>
      </w:pPr>
      <w:r>
        <w:rPr>
          <w:rFonts w:ascii="Times New Roman" w:hAnsi="Times New Roman"/>
          <w:color w:val="000000"/>
          <w:sz w:val="22"/>
        </w:rPr>
        <w:t>5.1  Conclusions</w:t>
      </w:r>
      <w:r>
        <w:rPr>
          <w:rFonts w:ascii="Times New Roman" w:hAnsi="Times New Roman"/>
          <w:color w:val="000000"/>
          <w:sz w:val="22"/>
        </w:rPr>
        <w:tab/>
        <w:t>23</w:t>
      </w:r>
    </w:p>
    <w:p>
      <w:pPr>
        <w:spacing w:lineRule="exact" w:line="240" w:after="40"/>
        <w:ind w:left="567"/>
        <w:tabs>
          <w:tab w:val="right" w:leader="dot" w:pos="8640"/>
        </w:tabs>
      </w:pPr>
      <w:r>
        <w:rPr>
          <w:rFonts w:ascii="Times New Roman" w:hAnsi="Times New Roman"/>
          <w:color w:val="000000"/>
          <w:sz w:val="22"/>
        </w:rPr>
        <w:t>5.2  Limitations</w:t>
      </w:r>
      <w:r>
        <w:rPr>
          <w:rFonts w:ascii="Times New Roman" w:hAnsi="Times New Roman"/>
          <w:color w:val="000000"/>
          <w:sz w:val="22"/>
        </w:rPr>
        <w:tab/>
        <w:t>24</w:t>
      </w:r>
    </w:p>
    <w:p>
      <w:pPr>
        <w:spacing w:lineRule="exact" w:line="240" w:after="40"/>
        <w:ind w:left="567"/>
        <w:tabs>
          <w:tab w:val="right" w:leader="dot" w:pos="8640"/>
        </w:tabs>
      </w:pPr>
      <w:r>
        <w:rPr>
          <w:rFonts w:ascii="Times New Roman" w:hAnsi="Times New Roman"/>
          <w:color w:val="000000"/>
          <w:sz w:val="22"/>
        </w:rPr>
        <w:t>5.3  Perspectives for Further Study</w:t>
      </w:r>
      <w:r>
        <w:rPr>
          <w:rFonts w:ascii="Times New Roman" w:hAnsi="Times New Roman"/>
          <w:color w:val="000000"/>
          <w:sz w:val="22"/>
        </w:rPr>
        <w:tab/>
        <w:t>24</w:t>
      </w:r>
    </w:p>
    <w:p>
      <w:pPr>
        <w:spacing w:lineRule="exact" w:line="240" w:after="40"/>
        <w:ind w:left="0"/>
        <w:tabs>
          <w:tab w:val="right" w:leader="dot" w:pos="8640"/>
        </w:tabs>
      </w:pPr>
      <w:r>
        <w:rPr>
          <w:rFonts w:ascii="Times New Roman" w:hAnsi="Times New Roman"/>
          <w:color w:val="000000"/>
          <w:sz w:val="22"/>
        </w:rPr>
        <w:t>References</w:t>
      </w:r>
      <w:r>
        <w:rPr>
          <w:rFonts w:ascii="Times New Roman" w:hAnsi="Times New Roman"/>
          <w:color w:val="000000"/>
          <w:sz w:val="22"/>
        </w:rPr>
        <w:tab/>
        <w:t>25</w:t>
      </w:r>
    </w:p>
    <w:p>
      <w:r>
        <w:br w:type="page"/>
      </w:r>
    </w:p>
    <w:p>
      <w:pPr>
        <w:spacing w:before="280" w:after="80" w:lineRule="exact" w:line="240"/>
        <w:jc w:val="center"/>
      </w:pPr>
      <w:r>
        <w:rPr>
          <w:rFonts w:ascii="Times New Roman" w:hAnsi="Times New Roman"/>
          <w:b/>
          <w:i w:val="0"/>
          <w:color w:val="000000"/>
          <w:sz w:val="32"/>
        </w:rPr>
        <w:t>CHAPTER ONE: GENERAL INTRODUCTION</w:t>
      </w:r>
    </w:p>
    <w:p>
      <w:pPr>
        <w:spacing w:before="280" w:after="80" w:lineRule="exact" w:line="240"/>
        <w:jc w:val="left"/>
      </w:pPr>
      <w:r>
        <w:rPr>
          <w:rFonts w:ascii="Times New Roman" w:hAnsi="Times New Roman"/>
          <w:b/>
          <w:i w:val="0"/>
          <w:color w:val="000000"/>
          <w:sz w:val="28"/>
        </w:rPr>
        <w:t>1.1  Introduction</w:t>
      </w:r>
    </w:p>
    <w:p>
      <w:pPr>
        <w:spacing w:after="120" w:lineRule="exact" w:line="360"/>
        <w:jc w:val="both"/>
      </w:pPr>
      <w:r>
        <w:rPr>
          <w:rFonts w:ascii="Times New Roman" w:hAnsi="Times New Roman"/>
          <w:b w:val="0"/>
          <w:i w:val="0"/>
          <w:color w:val="000000"/>
          <w:sz w:val="24"/>
        </w:rPr>
        <w:t>Stunting — defined as height-for-age more than two standard deviations below the WHO Child Growth Standards median — is the most widespread form of chronic malnutrition. In Cameroon, the 2018 Demographic and Health Survey (DHS) recorded a national stunting prevalence of 29%, but this figure conceals wide regional disparities: the North and Far North regions exceed 39%, while the Littoral region records just 18%. Identifying and ranking the regions that most urgently need nutrition intervention requires a systematic, data-driven approach.</w:t>
      </w:r>
    </w:p>
    <w:p>
      <w:pPr>
        <w:spacing w:after="120" w:lineRule="exact" w:line="360"/>
        <w:jc w:val="both"/>
      </w:pPr>
      <w:r>
        <w:rPr>
          <w:rFonts w:ascii="Times New Roman" w:hAnsi="Times New Roman"/>
          <w:b w:val="0"/>
          <w:i w:val="0"/>
          <w:color w:val="000000"/>
          <w:sz w:val="24"/>
        </w:rPr>
        <w:t>This project — the Cameroon Malnutrition Atlas — uses data mining techniques to analyse DHS survey data and produce a ranked hotspot map of child stunting across Cameroon's ten regions. Results are published through an interactive web dashboard.</w:t>
      </w:r>
    </w:p>
    <w:p>
      <w:pPr>
        <w:spacing w:before="280" w:after="80" w:lineRule="exact" w:line="240"/>
        <w:jc w:val="left"/>
      </w:pPr>
      <w:r>
        <w:rPr>
          <w:rFonts w:ascii="Times New Roman" w:hAnsi="Times New Roman"/>
          <w:b/>
          <w:i w:val="0"/>
          <w:color w:val="000000"/>
          <w:sz w:val="28"/>
        </w:rPr>
        <w:t>1.2  Background of the Study</w:t>
      </w:r>
    </w:p>
    <w:p>
      <w:pPr>
        <w:spacing w:after="120" w:lineRule="exact" w:line="360"/>
        <w:jc w:val="both"/>
      </w:pPr>
      <w:r>
        <w:rPr>
          <w:rFonts w:ascii="Times New Roman" w:hAnsi="Times New Roman"/>
          <w:b w:val="0"/>
          <w:i w:val="0"/>
          <w:color w:val="000000"/>
          <w:sz w:val="24"/>
        </w:rPr>
        <w:t>The DHS Programme has collected sub-national health and nutrition data in Cameroon across five survey rounds: 1991, 1998, 2004, 2011, and 2018. Each round captures indicators such as child stunting rates, maternal education levels, access to clean water and sanitation (WASH), and healthcare utilisation for each of the country's ten administrative regions.</w:t>
      </w:r>
    </w:p>
    <w:p>
      <w:pPr>
        <w:spacing w:after="120" w:lineRule="exact" w:line="360"/>
        <w:jc w:val="both"/>
      </w:pPr>
      <w:r>
        <w:rPr>
          <w:rFonts w:ascii="Times New Roman" w:hAnsi="Times New Roman"/>
          <w:b w:val="0"/>
          <w:i w:val="0"/>
          <w:color w:val="000000"/>
          <w:sz w:val="24"/>
        </w:rPr>
        <w:t>Despite this rich longitudinal dataset, no systematic data mining study had been applied to produce a predictive, ranked hotspot analysis at the regional level. This project fills that gap by applying regression, classification, and clustering to produce actionable targeting intelligence.</w:t>
      </w:r>
    </w:p>
    <w:p>
      <w:pPr>
        <w:spacing w:before="280" w:after="80" w:lineRule="exact" w:line="240"/>
        <w:jc w:val="left"/>
      </w:pPr>
      <w:r>
        <w:rPr>
          <w:rFonts w:ascii="Times New Roman" w:hAnsi="Times New Roman"/>
          <w:b/>
          <w:i w:val="0"/>
          <w:color w:val="000000"/>
          <w:sz w:val="28"/>
        </w:rPr>
        <w:t>1.3  Statement of the Problem</w:t>
      </w:r>
    </w:p>
    <w:p>
      <w:pPr>
        <w:spacing w:after="120" w:lineRule="exact" w:line="360"/>
        <w:jc w:val="both"/>
      </w:pPr>
      <w:r>
        <w:rPr>
          <w:rFonts w:ascii="Times New Roman" w:hAnsi="Times New Roman"/>
          <w:b w:val="0"/>
          <w:i w:val="0"/>
          <w:color w:val="000000"/>
          <w:sz w:val="24"/>
        </w:rPr>
        <w:t>Budget allocation for nutrition interventions in Cameroon is not currently guided by a data-driven ranking of regional risk. As a result, the regions with the greatest need may not receive proportionally greater investment. The specific problems this project addresses are:</w:t>
      </w:r>
    </w:p>
    <w:p>
      <w:pPr>
        <w:pStyle w:val="ListBullet"/>
        <w:spacing w:after="60" w:lineRule="exact" w:line="360"/>
        <w:ind w:left="680"/>
      </w:pPr>
      <w:r>
        <w:rPr>
          <w:rFonts w:ascii="Times New Roman" w:hAnsi="Times New Roman"/>
          <w:b w:val="0"/>
          <w:i w:val="0"/>
          <w:color w:val="000000"/>
          <w:sz w:val="24"/>
        </w:rPr>
        <w:t>No predictive model exists for estimating regional stunting rates from observable indicators.</w:t>
      </w:r>
    </w:p>
    <w:p>
      <w:pPr>
        <w:pStyle w:val="ListBullet"/>
        <w:spacing w:after="60" w:lineRule="exact" w:line="360"/>
        <w:ind w:left="680"/>
      </w:pPr>
      <w:r>
        <w:rPr>
          <w:rFonts w:ascii="Times New Roman" w:hAnsi="Times New Roman"/>
          <w:b w:val="0"/>
          <w:i w:val="0"/>
          <w:color w:val="000000"/>
          <w:sz w:val="24"/>
        </w:rPr>
        <w:t>Regions are not systematically classified into WHO risk categories for targeting purposes.</w:t>
      </w:r>
    </w:p>
    <w:p>
      <w:pPr>
        <w:pStyle w:val="ListBullet"/>
        <w:spacing w:after="60" w:lineRule="exact" w:line="360"/>
        <w:ind w:left="680"/>
      </w:pPr>
      <w:r>
        <w:rPr>
          <w:rFonts w:ascii="Times New Roman" w:hAnsi="Times New Roman"/>
          <w:b w:val="0"/>
          <w:i w:val="0"/>
          <w:color w:val="000000"/>
          <w:sz w:val="24"/>
        </w:rPr>
        <w:t>No cluster-based profiles exist to guide differentiated intervention strategies across regions.</w:t>
      </w:r>
    </w:p>
    <w:p>
      <w:pPr>
        <w:spacing w:before="280" w:after="80" w:lineRule="exact" w:line="240"/>
        <w:jc w:val="left"/>
      </w:pPr>
      <w:r>
        <w:rPr>
          <w:rFonts w:ascii="Times New Roman" w:hAnsi="Times New Roman"/>
          <w:b/>
          <w:i w:val="0"/>
          <w:color w:val="000000"/>
          <w:sz w:val="28"/>
        </w:rPr>
        <w:t>1.4  Objectives of the Study</w:t>
      </w:r>
    </w:p>
    <w:p>
      <w:pPr>
        <w:spacing w:before="280" w:after="80" w:lineRule="exact" w:line="240"/>
        <w:jc w:val="left"/>
      </w:pPr>
      <w:r>
        <w:rPr>
          <w:rFonts w:ascii="Times New Roman" w:hAnsi="Times New Roman"/>
          <w:b/>
          <w:i w:val="0"/>
          <w:color w:val="000000"/>
          <w:sz w:val="26"/>
        </w:rPr>
        <w:t>1.4.1  General Objective</w:t>
      </w:r>
    </w:p>
    <w:p>
      <w:pPr>
        <w:spacing w:after="120" w:lineRule="exact" w:line="360"/>
        <w:jc w:val="both"/>
      </w:pPr>
      <w:r>
        <w:rPr>
          <w:rFonts w:ascii="Times New Roman" w:hAnsi="Times New Roman"/>
          <w:b w:val="0"/>
          <w:i w:val="0"/>
          <w:color w:val="000000"/>
          <w:sz w:val="24"/>
        </w:rPr>
        <w:t>To apply data mining techniques to Cameroon DHS data in order to predict regional stunting rates, classify regions by WHO risk band, cluster regions by driver profile, and publish a ranked hotspot map through an interactive web dashboard.</w:t>
      </w:r>
    </w:p>
    <w:p>
      <w:pPr>
        <w:spacing w:before="280" w:after="80" w:lineRule="exact" w:line="240"/>
        <w:jc w:val="left"/>
      </w:pPr>
      <w:r>
        <w:rPr>
          <w:rFonts w:ascii="Times New Roman" w:hAnsi="Times New Roman"/>
          <w:b/>
          <w:i w:val="0"/>
          <w:color w:val="000000"/>
          <w:sz w:val="26"/>
        </w:rPr>
        <w:t>1.4.2  Specific Objectives</w:t>
      </w:r>
    </w:p>
    <w:p>
      <w:pPr>
        <w:pStyle w:val="ListBullet"/>
        <w:spacing w:after="60" w:lineRule="exact" w:line="360"/>
        <w:ind w:left="680"/>
      </w:pPr>
      <w:r>
        <w:rPr>
          <w:rFonts w:ascii="Times New Roman" w:hAnsi="Times New Roman"/>
          <w:b w:val="0"/>
          <w:i w:val="0"/>
          <w:color w:val="000000"/>
          <w:sz w:val="24"/>
        </w:rPr>
        <w:t>To collect and prepare five waves of DHS sub-national data for Cameroon (1991–2018).</w:t>
      </w:r>
    </w:p>
    <w:p>
      <w:pPr>
        <w:pStyle w:val="ListBullet"/>
        <w:spacing w:after="60" w:lineRule="exact" w:line="360"/>
        <w:ind w:left="680"/>
      </w:pPr>
      <w:r>
        <w:rPr>
          <w:rFonts w:ascii="Times New Roman" w:hAnsi="Times New Roman"/>
          <w:b w:val="0"/>
          <w:i w:val="0"/>
          <w:color w:val="000000"/>
          <w:sz w:val="24"/>
        </w:rPr>
        <w:t>To train and evaluate regression models for stunting rate prediction.</w:t>
      </w:r>
    </w:p>
    <w:p>
      <w:pPr>
        <w:pStyle w:val="ListBullet"/>
        <w:spacing w:after="60" w:lineRule="exact" w:line="360"/>
        <w:ind w:left="680"/>
      </w:pPr>
      <w:r>
        <w:rPr>
          <w:rFonts w:ascii="Times New Roman" w:hAnsi="Times New Roman"/>
          <w:b w:val="0"/>
          <w:i w:val="0"/>
          <w:color w:val="000000"/>
          <w:sz w:val="24"/>
        </w:rPr>
        <w:t>To train a classifier that assigns each region to a WHO public-health risk band.</w:t>
      </w:r>
    </w:p>
    <w:p>
      <w:pPr>
        <w:pStyle w:val="ListBullet"/>
        <w:spacing w:after="60" w:lineRule="exact" w:line="360"/>
        <w:ind w:left="680"/>
      </w:pPr>
      <w:r>
        <w:rPr>
          <w:rFonts w:ascii="Times New Roman" w:hAnsi="Times New Roman"/>
          <w:b w:val="0"/>
          <w:i w:val="0"/>
          <w:color w:val="000000"/>
          <w:sz w:val="24"/>
        </w:rPr>
        <w:t>To apply K-Means clustering to group regions by their socio-economic profiles.</w:t>
      </w:r>
    </w:p>
    <w:p>
      <w:pPr>
        <w:pStyle w:val="ListBullet"/>
        <w:spacing w:after="60" w:lineRule="exact" w:line="360"/>
        <w:ind w:left="680"/>
      </w:pPr>
      <w:r>
        <w:rPr>
          <w:rFonts w:ascii="Times New Roman" w:hAnsi="Times New Roman"/>
          <w:b w:val="0"/>
          <w:i w:val="0"/>
          <w:color w:val="000000"/>
          <w:sz w:val="24"/>
        </w:rPr>
        <w:t>To test hypotheses about the drivers of stunting using statistical tests.</w:t>
      </w:r>
    </w:p>
    <w:p>
      <w:pPr>
        <w:pStyle w:val="ListBullet"/>
        <w:spacing w:after="60" w:lineRule="exact" w:line="360"/>
        <w:ind w:left="680"/>
      </w:pPr>
      <w:r>
        <w:rPr>
          <w:rFonts w:ascii="Times New Roman" w:hAnsi="Times New Roman"/>
          <w:b w:val="0"/>
          <w:i w:val="0"/>
          <w:color w:val="000000"/>
          <w:sz w:val="24"/>
        </w:rPr>
        <w:t>To forecast regional stunting trends to 2026 and 2028.</w:t>
      </w:r>
    </w:p>
    <w:p>
      <w:pPr>
        <w:pStyle w:val="ListBullet"/>
        <w:spacing w:after="60" w:lineRule="exact" w:line="360"/>
        <w:ind w:left="680"/>
      </w:pPr>
      <w:r>
        <w:rPr>
          <w:rFonts w:ascii="Times New Roman" w:hAnsi="Times New Roman"/>
          <w:b w:val="0"/>
          <w:i w:val="0"/>
          <w:color w:val="000000"/>
          <w:sz w:val="24"/>
        </w:rPr>
        <w:t>To deploy results through an interactive web application.</w:t>
      </w:r>
    </w:p>
    <w:p>
      <w:pPr>
        <w:spacing w:before="280" w:after="80" w:lineRule="exact" w:line="240"/>
        <w:jc w:val="left"/>
      </w:pPr>
      <w:r>
        <w:rPr>
          <w:rFonts w:ascii="Times New Roman" w:hAnsi="Times New Roman"/>
          <w:b/>
          <w:i w:val="0"/>
          <w:color w:val="000000"/>
          <w:sz w:val="28"/>
        </w:rPr>
        <w:t>1.5  Significance of the Study</w:t>
      </w:r>
    </w:p>
    <w:p>
      <w:pPr>
        <w:spacing w:after="120" w:lineRule="exact" w:line="360"/>
        <w:jc w:val="both"/>
      </w:pPr>
      <w:r>
        <w:rPr>
          <w:rFonts w:ascii="Times New Roman" w:hAnsi="Times New Roman"/>
          <w:b w:val="0"/>
          <w:i w:val="0"/>
          <w:color w:val="000000"/>
          <w:sz w:val="24"/>
        </w:rPr>
        <w:t>This project gives the Ministry of Public Health a simple, ranked list of regions by predicted stunting risk, directly informing where to invest nutrition and WASH budgets. It also demonstrates how standard data mining methods can be applied to a real African public-health problem using publicly available DHS data.</w:t>
      </w:r>
    </w:p>
    <w:p>
      <w:pPr>
        <w:spacing w:before="280" w:after="80" w:lineRule="exact" w:line="240"/>
        <w:jc w:val="left"/>
      </w:pPr>
      <w:r>
        <w:rPr>
          <w:rFonts w:ascii="Times New Roman" w:hAnsi="Times New Roman"/>
          <w:b/>
          <w:i w:val="0"/>
          <w:color w:val="000000"/>
          <w:sz w:val="28"/>
        </w:rPr>
        <w:t>1.6  Scope of the Study</w:t>
      </w:r>
    </w:p>
    <w:p>
      <w:pPr>
        <w:spacing w:after="120" w:lineRule="exact" w:line="360"/>
        <w:jc w:val="both"/>
      </w:pPr>
      <w:r>
        <w:rPr>
          <w:rFonts w:ascii="Times New Roman" w:hAnsi="Times New Roman"/>
          <w:b w:val="0"/>
          <w:i w:val="0"/>
          <w:color w:val="000000"/>
          <w:sz w:val="24"/>
        </w:rPr>
        <w:t>The analysis covers Cameroon's ten administrative regions across five DHS survey rounds (1991–2018). The data mining tasks performed are: regression, classification, clustering, hypothesis testing, and linear trend forecasting. Results are deployed as a Next.js web application. The project does not cover district-level analysis or causal modelling.</w:t>
      </w:r>
    </w:p>
    <w:p>
      <w:pPr>
        <w:spacing w:before="280" w:after="80" w:lineRule="exact" w:line="240"/>
        <w:jc w:val="left"/>
      </w:pPr>
      <w:r>
        <w:rPr>
          <w:rFonts w:ascii="Times New Roman" w:hAnsi="Times New Roman"/>
          <w:b/>
          <w:i w:val="0"/>
          <w:color w:val="000000"/>
          <w:sz w:val="28"/>
        </w:rPr>
        <w:t>1.7  Definition of Key Terms</w:t>
      </w:r>
    </w:p>
    <w:tbl>
      <w:tblPr>
        <w:tblStyle w:val="TableGrid"/>
        <w:tblW w:type="auto" w:w="0"/>
        <w:jc w:val="center"/>
        <w:tblLook w:firstColumn="1" w:firstRow="1" w:lastColumn="0" w:lastRow="0" w:noHBand="0" w:noVBand="1" w:val="04A0"/>
      </w:tblPr>
      <w:tblGrid>
        <w:gridCol w:w="4561"/>
        <w:gridCol w:w="4561"/>
      </w:tblGrid>
      <w:tr>
        <w:tc>
          <w:tcPr>
            <w:tcW w:type="dxa" w:w="4561"/>
          </w:tcPr>
          <w:p>
            <w:r>
              <w:rPr>
                <w:rFonts w:ascii="Times New Roman" w:hAnsi="Times New Roman"/>
                <w:b/>
                <w:color w:val="000000"/>
                <w:sz w:val="22"/>
              </w:rPr>
              <w:t>Term</w:t>
            </w:r>
          </w:p>
        </w:tc>
        <w:tc>
          <w:tcPr>
            <w:tcW w:type="dxa" w:w="4561"/>
          </w:tcPr>
          <w:p>
            <w:r>
              <w:rPr>
                <w:rFonts w:ascii="Times New Roman" w:hAnsi="Times New Roman"/>
                <w:b/>
                <w:color w:val="000000"/>
                <w:sz w:val="22"/>
              </w:rPr>
              <w:t>Definition</w:t>
            </w:r>
          </w:p>
        </w:tc>
      </w:tr>
      <w:tr>
        <w:tc>
          <w:tcPr>
            <w:tcW w:type="dxa" w:w="4561"/>
          </w:tcPr>
          <w:p>
            <w:r>
              <w:rPr>
                <w:rFonts w:ascii="Times New Roman" w:hAnsi="Times New Roman"/>
                <w:color w:val="000000"/>
                <w:sz w:val="22"/>
              </w:rPr>
              <w:t>Stunting</w:t>
            </w:r>
          </w:p>
        </w:tc>
        <w:tc>
          <w:tcPr>
            <w:tcW w:type="dxa" w:w="4561"/>
          </w:tcPr>
          <w:p>
            <w:r>
              <w:rPr>
                <w:rFonts w:ascii="Times New Roman" w:hAnsi="Times New Roman"/>
                <w:color w:val="000000"/>
                <w:sz w:val="22"/>
              </w:rPr>
              <w:t>Height-for-age below 2 standard deviations of the WHO median. Indicator of chronic malnutrition.</w:t>
            </w:r>
          </w:p>
        </w:tc>
      </w:tr>
      <w:tr>
        <w:tc>
          <w:tcPr>
            <w:tcW w:type="dxa" w:w="4561"/>
          </w:tcPr>
          <w:p>
            <w:r>
              <w:rPr>
                <w:rFonts w:ascii="Times New Roman" w:hAnsi="Times New Roman"/>
                <w:color w:val="000000"/>
                <w:sz w:val="22"/>
              </w:rPr>
              <w:t>Data Mining</w:t>
            </w:r>
          </w:p>
        </w:tc>
        <w:tc>
          <w:tcPr>
            <w:tcW w:type="dxa" w:w="4561"/>
          </w:tcPr>
          <w:p>
            <w:r>
              <w:rPr>
                <w:rFonts w:ascii="Times New Roman" w:hAnsi="Times New Roman"/>
                <w:color w:val="000000"/>
                <w:sz w:val="22"/>
              </w:rPr>
              <w:t>The process of discovering patterns and knowledge from large datasets (Kometa, 2026).</w:t>
            </w:r>
          </w:p>
        </w:tc>
      </w:tr>
      <w:tr>
        <w:tc>
          <w:tcPr>
            <w:tcW w:type="dxa" w:w="4561"/>
          </w:tcPr>
          <w:p>
            <w:r>
              <w:rPr>
                <w:rFonts w:ascii="Times New Roman" w:hAnsi="Times New Roman"/>
                <w:color w:val="000000"/>
                <w:sz w:val="22"/>
              </w:rPr>
              <w:t>Regression</w:t>
            </w:r>
          </w:p>
        </w:tc>
        <w:tc>
          <w:tcPr>
            <w:tcW w:type="dxa" w:w="4561"/>
          </w:tcPr>
          <w:p>
            <w:r>
              <w:rPr>
                <w:rFonts w:ascii="Times New Roman" w:hAnsi="Times New Roman"/>
                <w:color w:val="000000"/>
                <w:sz w:val="22"/>
              </w:rPr>
              <w:t>Predicts a continuous numeric value (stunting rate %) from input features.</w:t>
            </w:r>
          </w:p>
        </w:tc>
      </w:tr>
      <w:tr>
        <w:tc>
          <w:tcPr>
            <w:tcW w:type="dxa" w:w="4561"/>
          </w:tcPr>
          <w:p>
            <w:r>
              <w:rPr>
                <w:rFonts w:ascii="Times New Roman" w:hAnsi="Times New Roman"/>
                <w:color w:val="000000"/>
                <w:sz w:val="22"/>
              </w:rPr>
              <w:t>Classification</w:t>
            </w:r>
          </w:p>
        </w:tc>
        <w:tc>
          <w:tcPr>
            <w:tcW w:type="dxa" w:w="4561"/>
          </w:tcPr>
          <w:p>
            <w:r>
              <w:rPr>
                <w:rFonts w:ascii="Times New Roman" w:hAnsi="Times New Roman"/>
                <w:color w:val="000000"/>
                <w:sz w:val="22"/>
              </w:rPr>
              <w:t>Assigns observations to predefined categories (WHO risk bands).</w:t>
            </w:r>
          </w:p>
        </w:tc>
      </w:tr>
      <w:tr>
        <w:tc>
          <w:tcPr>
            <w:tcW w:type="dxa" w:w="4561"/>
          </w:tcPr>
          <w:p>
            <w:r>
              <w:rPr>
                <w:rFonts w:ascii="Times New Roman" w:hAnsi="Times New Roman"/>
                <w:color w:val="000000"/>
                <w:sz w:val="22"/>
              </w:rPr>
              <w:t>Clustering</w:t>
            </w:r>
          </w:p>
        </w:tc>
        <w:tc>
          <w:tcPr>
            <w:tcW w:type="dxa" w:w="4561"/>
          </w:tcPr>
          <w:p>
            <w:r>
              <w:rPr>
                <w:rFonts w:ascii="Times New Roman" w:hAnsi="Times New Roman"/>
                <w:color w:val="000000"/>
                <w:sz w:val="22"/>
              </w:rPr>
              <w:t>Groups regions into profiles based on similarity in their socio-economic indicators.</w:t>
            </w:r>
          </w:p>
        </w:tc>
      </w:tr>
      <w:tr>
        <w:tc>
          <w:tcPr>
            <w:tcW w:type="dxa" w:w="4561"/>
          </w:tcPr>
          <w:p>
            <w:r>
              <w:rPr>
                <w:rFonts w:ascii="Times New Roman" w:hAnsi="Times New Roman"/>
                <w:color w:val="000000"/>
                <w:sz w:val="22"/>
              </w:rPr>
              <w:t>CRISP-DM</w:t>
            </w:r>
          </w:p>
        </w:tc>
        <w:tc>
          <w:tcPr>
            <w:tcW w:type="dxa" w:w="4561"/>
          </w:tcPr>
          <w:p>
            <w:r>
              <w:rPr>
                <w:rFonts w:ascii="Times New Roman" w:hAnsi="Times New Roman"/>
                <w:color w:val="000000"/>
                <w:sz w:val="22"/>
              </w:rPr>
              <w:t>Cross-Industry Standard Process for Data Mining — a six-phase project methodology.</w:t>
            </w:r>
          </w:p>
        </w:tc>
      </w:tr>
      <w:tr>
        <w:tc>
          <w:tcPr>
            <w:tcW w:type="dxa" w:w="4561"/>
          </w:tcPr>
          <w:p>
            <w:r>
              <w:rPr>
                <w:rFonts w:ascii="Times New Roman" w:hAnsi="Times New Roman"/>
                <w:color w:val="000000"/>
                <w:sz w:val="22"/>
              </w:rPr>
              <w:t>Hotspot</w:t>
            </w:r>
          </w:p>
        </w:tc>
        <w:tc>
          <w:tcPr>
            <w:tcW w:type="dxa" w:w="4561"/>
          </w:tcPr>
          <w:p>
            <w:r>
              <w:rPr>
                <w:rFonts w:ascii="Times New Roman" w:hAnsi="Times New Roman"/>
                <w:color w:val="000000"/>
                <w:sz w:val="22"/>
              </w:rPr>
              <w:t>A region with a predicted stunting rate above the national average, requiring priority action.</w:t>
            </w:r>
          </w:p>
        </w:tc>
      </w:tr>
      <w:tr>
        <w:tc>
          <w:tcPr>
            <w:tcW w:type="dxa" w:w="4561"/>
          </w:tcPr>
          <w:p>
            <w:r>
              <w:rPr>
                <w:rFonts w:ascii="Times New Roman" w:hAnsi="Times New Roman"/>
                <w:color w:val="000000"/>
                <w:sz w:val="22"/>
              </w:rPr>
              <w:t>WHO Risk Band</w:t>
            </w:r>
          </w:p>
        </w:tc>
        <w:tc>
          <w:tcPr>
            <w:tcW w:type="dxa" w:w="4561"/>
          </w:tcPr>
          <w:p>
            <w:r>
              <w:rPr>
                <w:rFonts w:ascii="Times New Roman" w:hAnsi="Times New Roman"/>
                <w:color w:val="000000"/>
                <w:sz w:val="22"/>
              </w:rPr>
              <w:t>Low (&lt;20%), Medium (20-29%), High (30-39%), Critical (&gt;=40%) stunting categories.</w:t>
            </w:r>
          </w:p>
        </w:tc>
      </w:tr>
    </w:tbl>
    <w:p>
      <w:pPr>
        <w:spacing w:after="200"/>
        <w:jc w:val="left"/>
      </w:pPr>
      <w:r>
        <w:rPr>
          <w:rFonts w:ascii="Times New Roman" w:hAnsi="Times New Roman"/>
          <w:b/>
          <w:i w:val="0"/>
          <w:color w:val="000000"/>
          <w:sz w:val="20"/>
        </w:rPr>
        <w:t>Table 1.1: Definition of key terms</w:t>
      </w:r>
    </w:p>
    <w:p/>
    <w:p>
      <w:pPr>
        <w:spacing w:before="280" w:after="80" w:lineRule="exact" w:line="240"/>
        <w:jc w:val="left"/>
      </w:pPr>
      <w:r>
        <w:rPr>
          <w:rFonts w:ascii="Times New Roman" w:hAnsi="Times New Roman"/>
          <w:b/>
          <w:i w:val="0"/>
          <w:color w:val="000000"/>
          <w:sz w:val="28"/>
        </w:rPr>
        <w:t>1.8  Organisation of the Study</w:t>
      </w:r>
    </w:p>
    <w:p>
      <w:pPr>
        <w:spacing w:after="120" w:lineRule="exact" w:line="360"/>
        <w:jc w:val="both"/>
      </w:pPr>
      <w:r>
        <w:rPr>
          <w:rFonts w:ascii="Times New Roman" w:hAnsi="Times New Roman"/>
          <w:b w:val="0"/>
          <w:i w:val="0"/>
          <w:color w:val="000000"/>
          <w:sz w:val="24"/>
        </w:rPr>
        <w:t>This report is organised into five chapters. Chapter One introduces the project. Chapter Two reviews data mining concepts and related work. Chapter Three describes the dataset and methodology. Chapter Four presents and discusses the results. Chapter Five presents conclusions and recommendations.</w:t>
      </w:r>
    </w:p>
    <w:p>
      <w:r>
        <w:br w:type="page"/>
      </w:r>
    </w:p>
    <w:p>
      <w:pPr>
        <w:spacing w:before="280" w:after="80" w:lineRule="exact" w:line="240"/>
        <w:jc w:val="center"/>
      </w:pPr>
      <w:r>
        <w:rPr>
          <w:rFonts w:ascii="Times New Roman" w:hAnsi="Times New Roman"/>
          <w:b/>
          <w:i w:val="0"/>
          <w:color w:val="000000"/>
          <w:sz w:val="32"/>
        </w:rPr>
        <w:t>CHAPTER TWO: LITERATURE REVIEW</w:t>
      </w:r>
    </w:p>
    <w:p>
      <w:pPr>
        <w:spacing w:before="280" w:after="80" w:lineRule="exact" w:line="240"/>
        <w:jc w:val="left"/>
      </w:pPr>
      <w:r>
        <w:rPr>
          <w:rFonts w:ascii="Times New Roman" w:hAnsi="Times New Roman"/>
          <w:b/>
          <w:i w:val="0"/>
          <w:color w:val="000000"/>
          <w:sz w:val="28"/>
        </w:rPr>
        <w:t>2.1  Introduction</w:t>
      </w:r>
    </w:p>
    <w:p>
      <w:pPr>
        <w:spacing w:after="120" w:lineRule="exact" w:line="360"/>
        <w:jc w:val="both"/>
      </w:pPr>
      <w:r>
        <w:rPr>
          <w:rFonts w:ascii="Times New Roman" w:hAnsi="Times New Roman"/>
          <w:b w:val="0"/>
          <w:i w:val="0"/>
          <w:color w:val="000000"/>
          <w:sz w:val="24"/>
        </w:rPr>
        <w:t>This chapter reviews the data mining concepts applied in this project and surveys existing tools that address related problems.</w:t>
      </w:r>
    </w:p>
    <w:p>
      <w:pPr>
        <w:spacing w:before="280" w:after="80" w:lineRule="exact" w:line="240"/>
        <w:jc w:val="left"/>
      </w:pPr>
      <w:r>
        <w:rPr>
          <w:rFonts w:ascii="Times New Roman" w:hAnsi="Times New Roman"/>
          <w:b/>
          <w:i w:val="0"/>
          <w:color w:val="000000"/>
          <w:sz w:val="28"/>
        </w:rPr>
        <w:t>2.2  Data Mining Concepts</w:t>
      </w:r>
    </w:p>
    <w:p>
      <w:pPr>
        <w:spacing w:before="280" w:after="80" w:lineRule="exact" w:line="240"/>
        <w:jc w:val="left"/>
      </w:pPr>
      <w:r>
        <w:rPr>
          <w:rFonts w:ascii="Times New Roman" w:hAnsi="Times New Roman"/>
          <w:b/>
          <w:i w:val="0"/>
          <w:color w:val="000000"/>
          <w:sz w:val="26"/>
        </w:rPr>
        <w:t>2.2.1  Data Mining</w:t>
      </w:r>
    </w:p>
    <w:p>
      <w:pPr>
        <w:spacing w:after="120" w:lineRule="exact" w:line="360"/>
        <w:jc w:val="both"/>
      </w:pPr>
      <w:r>
        <w:rPr>
          <w:rFonts w:ascii="Times New Roman" w:hAnsi="Times New Roman"/>
          <w:b w:val="0"/>
          <w:i w:val="0"/>
          <w:color w:val="000000"/>
          <w:sz w:val="24"/>
        </w:rPr>
        <w:t>Data mining is the process of discovering patterns and relationships in large datasets. It involves six common classes of tasks: anomaly detection, association rule learning, clustering, classification, regression, and summarisation (Kometa, 2026). This project applies the three most relevant tasks for a quantitative prediction problem: regression, classification, and clustering.</w:t>
      </w:r>
    </w:p>
    <w:p>
      <w:pPr>
        <w:spacing w:before="280" w:after="80" w:lineRule="exact" w:line="240"/>
        <w:jc w:val="left"/>
      </w:pPr>
      <w:r>
        <w:rPr>
          <w:rFonts w:ascii="Times New Roman" w:hAnsi="Times New Roman"/>
          <w:b/>
          <w:i w:val="0"/>
          <w:color w:val="000000"/>
          <w:sz w:val="26"/>
        </w:rPr>
        <w:t>2.2.2  Regression and Classification</w:t>
      </w:r>
    </w:p>
    <w:p>
      <w:pPr>
        <w:spacing w:after="120" w:lineRule="exact" w:line="360"/>
        <w:jc w:val="both"/>
      </w:pPr>
      <w:r>
        <w:rPr>
          <w:rFonts w:ascii="Times New Roman" w:hAnsi="Times New Roman"/>
          <w:b w:val="0"/>
          <w:i w:val="0"/>
          <w:color w:val="000000"/>
          <w:sz w:val="24"/>
        </w:rPr>
        <w:t>Classification is the process of finding a model that describes and distinguishes data classes, so it can be used to predict the class of new, unseen objects (Kometa, 2026). The model is constructed from a labelled training set and evaluated on a separate test set. When the output is a discrete label the task is classification; when the output is a continuous number, the task is regression (prediction).</w:t>
      </w:r>
    </w:p>
    <w:p>
      <w:pPr>
        <w:spacing w:after="120" w:lineRule="exact" w:line="360"/>
        <w:jc w:val="both"/>
      </w:pPr>
      <w:r>
        <w:rPr>
          <w:rFonts w:ascii="Times New Roman" w:hAnsi="Times New Roman"/>
          <w:b w:val="0"/>
          <w:i w:val="0"/>
          <w:color w:val="000000"/>
          <w:sz w:val="24"/>
        </w:rPr>
        <w:t>In this project, regression is used to predict the stunting rate (a continuous percentage) for each region, while classification is used to assign each region to a WHO risk band (a discrete label). Random Forest — an ensemble of decision trees — is used for both tasks because it handles small datasets and mixed feature types well, and is robust to outliers.</w:t>
      </w:r>
    </w:p>
    <w:p>
      <w:pPr>
        <w:spacing w:before="280" w:after="80" w:lineRule="exact" w:line="240"/>
        <w:jc w:val="left"/>
      </w:pPr>
      <w:r>
        <w:rPr>
          <w:rFonts w:ascii="Times New Roman" w:hAnsi="Times New Roman"/>
          <w:b/>
          <w:i w:val="0"/>
          <w:color w:val="000000"/>
          <w:sz w:val="26"/>
        </w:rPr>
        <w:t>2.2.3  Clustering</w:t>
      </w:r>
    </w:p>
    <w:p>
      <w:pPr>
        <w:spacing w:after="120" w:lineRule="exact" w:line="360"/>
        <w:jc w:val="both"/>
      </w:pPr>
      <w:r>
        <w:rPr>
          <w:rFonts w:ascii="Times New Roman" w:hAnsi="Times New Roman"/>
          <w:b w:val="0"/>
          <w:i w:val="0"/>
          <w:color w:val="000000"/>
          <w:sz w:val="24"/>
        </w:rPr>
        <w:t>Clustering is the task of grouping data points so that items within a group are more similar to each other than to items in other groups (Kometa, 2026). It is unsupervised — no class labels are needed. K-Means is the most widely used algorithm: it partitions observations into k groups by iteratively assigning each point to its nearest centroid and recomputing centroids until the assignments stop changing.</w:t>
      </w:r>
    </w:p>
    <w:p>
      <w:pPr>
        <w:spacing w:after="120" w:lineRule="exact" w:line="360"/>
        <w:jc w:val="both"/>
      </w:pPr>
      <w:r>
        <w:rPr>
          <w:rFonts w:ascii="Times New Roman" w:hAnsi="Times New Roman"/>
          <w:b w:val="0"/>
          <w:i w:val="0"/>
          <w:color w:val="000000"/>
          <w:sz w:val="24"/>
        </w:rPr>
        <w:t>The optimal number of clusters k is chosen using the elbow method, which plots the within-cluster sum of squares against k and looks for the point where adding more clusters gives diminishing returns.</w:t>
      </w:r>
    </w:p>
    <w:p>
      <w:pPr>
        <w:spacing w:before="280" w:after="80" w:lineRule="exact" w:line="240"/>
        <w:jc w:val="left"/>
      </w:pPr>
      <w:r>
        <w:rPr>
          <w:rFonts w:ascii="Times New Roman" w:hAnsi="Times New Roman"/>
          <w:b/>
          <w:i w:val="0"/>
          <w:color w:val="000000"/>
          <w:sz w:val="26"/>
        </w:rPr>
        <w:t>2.2.4  Hypothesis Testing</w:t>
      </w:r>
    </w:p>
    <w:p>
      <w:pPr>
        <w:spacing w:after="120" w:lineRule="exact" w:line="360"/>
        <w:jc w:val="both"/>
      </w:pPr>
      <w:r>
        <w:rPr>
          <w:rFonts w:ascii="Times New Roman" w:hAnsi="Times New Roman"/>
          <w:b w:val="0"/>
          <w:i w:val="0"/>
          <w:color w:val="000000"/>
          <w:sz w:val="24"/>
        </w:rPr>
        <w:t>Hypothesis tests are used to validate whether patterns found in the data are statistically significant. The Spearman rank-correlation coefficient is used here because the data are not normally distributed. A p-value below 0.05 indicates that the observed association is unlikely to have arisen by chance.</w:t>
      </w:r>
    </w:p>
    <w:p>
      <w:pPr>
        <w:spacing w:before="280" w:after="80" w:lineRule="exact" w:line="240"/>
        <w:jc w:val="left"/>
      </w:pPr>
      <w:r>
        <w:rPr>
          <w:rFonts w:ascii="Times New Roman" w:hAnsi="Times New Roman"/>
          <w:b/>
          <w:i w:val="0"/>
          <w:color w:val="000000"/>
          <w:sz w:val="26"/>
        </w:rPr>
        <w:t>2.2.5  CRISP-DM</w:t>
      </w:r>
    </w:p>
    <w:p>
      <w:pPr>
        <w:spacing w:after="120" w:lineRule="exact" w:line="360"/>
        <w:jc w:val="both"/>
      </w:pPr>
      <w:r>
        <w:rPr>
          <w:rFonts w:ascii="Times New Roman" w:hAnsi="Times New Roman"/>
          <w:b w:val="0"/>
          <w:i w:val="0"/>
          <w:color w:val="000000"/>
          <w:sz w:val="24"/>
        </w:rPr>
        <w:t>CRISP-DM (Cross-Industry Standard Process for Data Mining) is the standard framework for structuring data mining projects (Chapman et al., 2000). It defines six phases: Business Understanding, Data Understanding, Data Preparation, Modelling, Evaluation, and Deployment. This project follows all six phases.</w:t>
      </w:r>
    </w:p>
    <w:p>
      <w:pPr>
        <w:spacing w:before="280" w:after="80" w:lineRule="exact" w:line="240"/>
        <w:jc w:val="left"/>
      </w:pPr>
      <w:r>
        <w:rPr>
          <w:rFonts w:ascii="Times New Roman" w:hAnsi="Times New Roman"/>
          <w:b/>
          <w:i w:val="0"/>
          <w:color w:val="000000"/>
          <w:sz w:val="28"/>
        </w:rPr>
        <w:t>2.3  Review of Existing Systems</w:t>
      </w:r>
    </w:p>
    <w:p>
      <w:pPr>
        <w:spacing w:after="120" w:lineRule="exact" w:line="360"/>
        <w:jc w:val="both"/>
      </w:pPr>
      <w:r>
        <w:rPr>
          <w:rFonts w:ascii="Times New Roman" w:hAnsi="Times New Roman"/>
          <w:b w:val="0"/>
          <w:i w:val="0"/>
          <w:color w:val="000000"/>
          <w:sz w:val="24"/>
        </w:rPr>
        <w:t>Existing tools such as the DHS STATcompiler and UNICEF Joint Malnutrition Estimates provide descriptive statistics on stunting but are not predictive and do not rank regions by risk. No existing system applies regression, classification, and clustering jointly to Cameroon sub-national DHS data to produce a ranked hotspot list.</w:t>
      </w:r>
    </w:p>
    <w:p>
      <w:pPr>
        <w:spacing w:before="280" w:after="80" w:lineRule="exact" w:line="240"/>
        <w:jc w:val="left"/>
      </w:pPr>
      <w:r>
        <w:rPr>
          <w:rFonts w:ascii="Times New Roman" w:hAnsi="Times New Roman"/>
          <w:b/>
          <w:i w:val="0"/>
          <w:color w:val="000000"/>
          <w:sz w:val="28"/>
        </w:rPr>
        <w:t>2.4  Proposed Solution</w:t>
      </w:r>
    </w:p>
    <w:p>
      <w:pPr>
        <w:spacing w:after="120" w:lineRule="exact" w:line="360"/>
        <w:jc w:val="both"/>
      </w:pPr>
      <w:r>
        <w:rPr>
          <w:rFonts w:ascii="Times New Roman" w:hAnsi="Times New Roman"/>
          <w:b w:val="0"/>
          <w:i w:val="0"/>
          <w:color w:val="000000"/>
          <w:sz w:val="24"/>
        </w:rPr>
        <w:t>This project addresses the gap by building a CRISP-DM pipeline that trains predictive models on DHS data, clusters regions by socio-economic profile, tests key hypotheses, and publishes all results through an interactive web dashboard.</w:t>
      </w:r>
    </w:p>
    <w:p>
      <w:r>
        <w:br w:type="page"/>
      </w:r>
    </w:p>
    <w:p>
      <w:pPr>
        <w:spacing w:before="280" w:after="80" w:lineRule="exact" w:line="240"/>
        <w:jc w:val="center"/>
      </w:pPr>
      <w:r>
        <w:rPr>
          <w:rFonts w:ascii="Times New Roman" w:hAnsi="Times New Roman"/>
          <w:b/>
          <w:i w:val="0"/>
          <w:color w:val="000000"/>
          <w:sz w:val="32"/>
        </w:rPr>
        <w:t>CHAPTER THREE: MATERIALS AND METHODS</w:t>
      </w:r>
    </w:p>
    <w:p>
      <w:pPr>
        <w:spacing w:before="280" w:after="80" w:lineRule="exact" w:line="240"/>
        <w:jc w:val="left"/>
      </w:pPr>
      <w:r>
        <w:rPr>
          <w:rFonts w:ascii="Times New Roman" w:hAnsi="Times New Roman"/>
          <w:b/>
          <w:i w:val="0"/>
          <w:color w:val="000000"/>
          <w:sz w:val="28"/>
        </w:rPr>
        <w:t>3.1  Introduction</w:t>
      </w:r>
    </w:p>
    <w:p>
      <w:pPr>
        <w:spacing w:after="120" w:lineRule="exact" w:line="360"/>
        <w:jc w:val="both"/>
      </w:pPr>
      <w:r>
        <w:rPr>
          <w:rFonts w:ascii="Times New Roman" w:hAnsi="Times New Roman"/>
          <w:b w:val="0"/>
          <w:i w:val="0"/>
          <w:color w:val="000000"/>
          <w:sz w:val="24"/>
        </w:rPr>
        <w:t>This chapter describes the methodology, dataset, and data preparation steps used in this project.</w:t>
      </w:r>
    </w:p>
    <w:p>
      <w:pPr>
        <w:spacing w:before="280" w:after="80" w:lineRule="exact" w:line="240"/>
        <w:jc w:val="left"/>
      </w:pPr>
      <w:r>
        <w:rPr>
          <w:rFonts w:ascii="Times New Roman" w:hAnsi="Times New Roman"/>
          <w:b/>
          <w:i w:val="0"/>
          <w:color w:val="000000"/>
          <w:sz w:val="28"/>
        </w:rPr>
        <w:t>3.2  Methodology — CRISP-DM</w:t>
      </w:r>
    </w:p>
    <w:p>
      <w:pPr>
        <w:spacing w:after="120" w:lineRule="exact" w:line="360"/>
        <w:jc w:val="both"/>
      </w:pPr>
      <w:r>
        <w:rPr>
          <w:rFonts w:ascii="Times New Roman" w:hAnsi="Times New Roman"/>
          <w:b w:val="0"/>
          <w:i w:val="0"/>
          <w:color w:val="000000"/>
          <w:sz w:val="24"/>
        </w:rPr>
        <w:t>The project follows the six CRISP-DM phases illustrated in Figure 3.1.</w:t>
      </w:r>
    </w:p>
    <w:p>
      <w:pPr>
        <w:jc w:val="center"/>
      </w:pPr>
      <w:r>
        <w:rPr>
          <w:rFonts w:ascii="Times New Roman" w:hAnsi="Times New Roman"/>
          <w:b w:val="0"/>
          <w:i/>
          <w:color w:val="000000"/>
          <w:sz w:val="20"/>
        </w:rPr>
        <w:t>[Figure 3.1: The six phases of the CRISP-DM methodology]</w:t>
      </w:r>
    </w:p>
    <w:p>
      <w:pPr>
        <w:spacing w:after="200"/>
        <w:jc w:val="center"/>
      </w:pPr>
      <w:r>
        <w:rPr>
          <w:rFonts w:ascii="Times New Roman" w:hAnsi="Times New Roman"/>
          <w:b w:val="0"/>
          <w:i/>
          <w:color w:val="000000"/>
          <w:sz w:val="20"/>
        </w:rPr>
        <w:t>Figure 3.1: The six phases of the CRISP-DM methodology</w:t>
      </w:r>
    </w:p>
    <w:p>
      <w:pPr>
        <w:spacing w:before="280" w:after="80" w:lineRule="exact" w:line="240"/>
        <w:jc w:val="left"/>
      </w:pPr>
      <w:r>
        <w:rPr>
          <w:rFonts w:ascii="Times New Roman" w:hAnsi="Times New Roman"/>
          <w:b/>
          <w:i w:val="0"/>
          <w:color w:val="000000"/>
          <w:sz w:val="26"/>
        </w:rPr>
        <w:t>Phase 1 — Business Understanding</w:t>
      </w:r>
    </w:p>
    <w:p>
      <w:pPr>
        <w:spacing w:after="120" w:lineRule="exact" w:line="360"/>
        <w:jc w:val="both"/>
      </w:pPr>
      <w:r>
        <w:rPr>
          <w:rFonts w:ascii="Times New Roman" w:hAnsi="Times New Roman"/>
          <w:b w:val="0"/>
          <w:i w:val="0"/>
          <w:color w:val="000000"/>
          <w:sz w:val="24"/>
        </w:rPr>
        <w:t>The goal is to rank Cameroon's regions by predicted child stunting risk to guide intervention budget allocation. Success criteria: regression CV RMSE below 5 percentage points; classifier accuracy above 75%; clustering silhouette score above 0.40.</w:t>
      </w:r>
    </w:p>
    <w:p>
      <w:pPr>
        <w:spacing w:before="280" w:after="80" w:lineRule="exact" w:line="240"/>
        <w:jc w:val="left"/>
      </w:pPr>
      <w:r>
        <w:rPr>
          <w:rFonts w:ascii="Times New Roman" w:hAnsi="Times New Roman"/>
          <w:b/>
          <w:i w:val="0"/>
          <w:color w:val="000000"/>
          <w:sz w:val="26"/>
        </w:rPr>
        <w:t>Phase 2 — Data Understanding</w:t>
      </w:r>
    </w:p>
    <w:p>
      <w:pPr>
        <w:spacing w:after="120" w:lineRule="exact" w:line="360"/>
        <w:jc w:val="both"/>
      </w:pPr>
      <w:r>
        <w:rPr>
          <w:rFonts w:ascii="Times New Roman" w:hAnsi="Times New Roman"/>
          <w:b w:val="0"/>
          <w:i w:val="0"/>
          <w:color w:val="000000"/>
          <w:sz w:val="24"/>
        </w:rPr>
        <w:t>Five waves of DHS/MICS sub-national survey data for Cameroon were sourced from the Humanitarian Data Exchange (HDX). The data cover ten regions across survey years 1991, 1998, 2004, 2011, and 2018. Key indicators explored include stunting rate, maternal education, WASH access, and healthcare utilisation.</w:t>
      </w:r>
    </w:p>
    <w:p>
      <w:pPr>
        <w:spacing w:before="280" w:after="80" w:lineRule="exact" w:line="240"/>
        <w:jc w:val="left"/>
      </w:pPr>
      <w:r>
        <w:rPr>
          <w:rFonts w:ascii="Times New Roman" w:hAnsi="Times New Roman"/>
          <w:b/>
          <w:i w:val="0"/>
          <w:color w:val="000000"/>
          <w:sz w:val="26"/>
        </w:rPr>
        <w:t>Phase 3 — Data Preparation</w:t>
      </w:r>
    </w:p>
    <w:p>
      <w:pPr>
        <w:spacing w:after="120" w:lineRule="exact" w:line="360"/>
        <w:jc w:val="both"/>
      </w:pPr>
      <w:r>
        <w:rPr>
          <w:rFonts w:ascii="Times New Roman" w:hAnsi="Times New Roman"/>
          <w:b w:val="0"/>
          <w:i w:val="0"/>
          <w:color w:val="000000"/>
          <w:sz w:val="24"/>
        </w:rPr>
        <w:t>Raw DHS long-format CSV files were stitched into a wide analysis table of 50 rows (10 regions x 5 survey years). Missing values were imputed using the region-year median, falling back to the global median where needed. Data were split 80/20 into training and hold-out test sets.</w:t>
      </w:r>
    </w:p>
    <w:p>
      <w:pPr>
        <w:spacing w:before="280" w:after="80" w:lineRule="exact" w:line="240"/>
        <w:jc w:val="left"/>
      </w:pPr>
      <w:r>
        <w:rPr>
          <w:rFonts w:ascii="Times New Roman" w:hAnsi="Times New Roman"/>
          <w:b/>
          <w:i w:val="0"/>
          <w:color w:val="000000"/>
          <w:sz w:val="26"/>
        </w:rPr>
        <w:t>Phase 4 — Modelling</w:t>
      </w:r>
    </w:p>
    <w:p>
      <w:pPr>
        <w:spacing w:after="120" w:lineRule="exact" w:line="360"/>
        <w:jc w:val="both"/>
      </w:pPr>
      <w:r>
        <w:rPr>
          <w:rFonts w:ascii="Times New Roman" w:hAnsi="Times New Roman"/>
          <w:b w:val="0"/>
          <w:i w:val="0"/>
          <w:color w:val="000000"/>
          <w:sz w:val="24"/>
        </w:rPr>
        <w:t>Three modelling tasks were performed: regression to predict the stunting rate, classification to assign a WHO risk band, and K-Means clustering to group regions by driver profile. A linear trend model was also fitted to each region for forecasting.</w:t>
      </w:r>
    </w:p>
    <w:p>
      <w:pPr>
        <w:spacing w:before="280" w:after="80" w:lineRule="exact" w:line="240"/>
        <w:jc w:val="left"/>
      </w:pPr>
      <w:r>
        <w:rPr>
          <w:rFonts w:ascii="Times New Roman" w:hAnsi="Times New Roman"/>
          <w:b/>
          <w:i w:val="0"/>
          <w:color w:val="000000"/>
          <w:sz w:val="26"/>
        </w:rPr>
        <w:t>Phase 5 — Evaluation</w:t>
      </w:r>
    </w:p>
    <w:p>
      <w:pPr>
        <w:spacing w:after="120" w:lineRule="exact" w:line="360"/>
        <w:jc w:val="both"/>
      </w:pPr>
      <w:r>
        <w:rPr>
          <w:rFonts w:ascii="Times New Roman" w:hAnsi="Times New Roman"/>
          <w:b w:val="0"/>
          <w:i w:val="0"/>
          <w:color w:val="000000"/>
          <w:sz w:val="24"/>
        </w:rPr>
        <w:t>Models were evaluated using five-fold cross-validation on the training set. Regression used RMSE; classification used accuracy and macro F1; clustering used the silhouette coefficient. Six hypothesis tests were run at alpha = 0.05.</w:t>
      </w:r>
    </w:p>
    <w:p>
      <w:pPr>
        <w:spacing w:before="280" w:after="80" w:lineRule="exact" w:line="240"/>
        <w:jc w:val="left"/>
      </w:pPr>
      <w:r>
        <w:rPr>
          <w:rFonts w:ascii="Times New Roman" w:hAnsi="Times New Roman"/>
          <w:b/>
          <w:i w:val="0"/>
          <w:color w:val="000000"/>
          <w:sz w:val="26"/>
        </w:rPr>
        <w:t>Phase 6 — Deployment</w:t>
      </w:r>
    </w:p>
    <w:p>
      <w:pPr>
        <w:spacing w:after="120" w:lineRule="exact" w:line="360"/>
        <w:jc w:val="both"/>
      </w:pPr>
      <w:r>
        <w:rPr>
          <w:rFonts w:ascii="Times New Roman" w:hAnsi="Times New Roman"/>
          <w:b w:val="0"/>
          <w:i w:val="0"/>
          <w:color w:val="000000"/>
          <w:sz w:val="24"/>
        </w:rPr>
        <w:t>All results were saved as CSV files, converted to JSON, and served through a Next.js web application covering hotspot ranking, regression, classification, clustering, hypothesis tests, and forecasts.</w:t>
      </w:r>
    </w:p>
    <w:p>
      <w:pPr>
        <w:spacing w:before="280" w:after="80" w:lineRule="exact" w:line="240"/>
        <w:jc w:val="left"/>
      </w:pPr>
      <w:r>
        <w:rPr>
          <w:rFonts w:ascii="Times New Roman" w:hAnsi="Times New Roman"/>
          <w:b/>
          <w:i w:val="0"/>
          <w:color w:val="000000"/>
          <w:sz w:val="28"/>
        </w:rPr>
        <w:t>3.3  Dataset</w:t>
      </w:r>
    </w:p>
    <w:p>
      <w:pPr>
        <w:spacing w:after="120" w:lineRule="exact" w:line="360"/>
        <w:jc w:val="both"/>
      </w:pPr>
      <w:r>
        <w:rPr>
          <w:rFonts w:ascii="Times New Roman" w:hAnsi="Times New Roman"/>
          <w:b w:val="0"/>
          <w:i w:val="0"/>
          <w:color w:val="000000"/>
          <w:sz w:val="24"/>
        </w:rPr>
        <w:t>The analysis dataset consists of 50 observations — one per region-year combination — and a target variable (stunting rate, %) plus four groups of predictor features summarised in Table 3.1.</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rFonts w:ascii="Times New Roman" w:hAnsi="Times New Roman"/>
                <w:b/>
                <w:color w:val="000000"/>
                <w:sz w:val="22"/>
              </w:rPr>
              <w:t>Feature Group</w:t>
            </w:r>
          </w:p>
        </w:tc>
        <w:tc>
          <w:tcPr>
            <w:tcW w:type="dxa" w:w="3041"/>
          </w:tcPr>
          <w:p>
            <w:r>
              <w:rPr>
                <w:rFonts w:ascii="Times New Roman" w:hAnsi="Times New Roman"/>
                <w:b/>
                <w:color w:val="000000"/>
                <w:sz w:val="22"/>
              </w:rPr>
              <w:t>Examples</w:t>
            </w:r>
          </w:p>
        </w:tc>
        <w:tc>
          <w:tcPr>
            <w:tcW w:type="dxa" w:w="3041"/>
          </w:tcPr>
          <w:p>
            <w:r>
              <w:rPr>
                <w:rFonts w:ascii="Times New Roman" w:hAnsi="Times New Roman"/>
                <w:b/>
                <w:color w:val="000000"/>
                <w:sz w:val="22"/>
              </w:rPr>
              <w:t>Source</w:t>
            </w:r>
          </w:p>
        </w:tc>
      </w:tr>
      <w:tr>
        <w:tc>
          <w:tcPr>
            <w:tcW w:type="dxa" w:w="3041"/>
          </w:tcPr>
          <w:p>
            <w:r>
              <w:rPr>
                <w:rFonts w:ascii="Times New Roman" w:hAnsi="Times New Roman"/>
                <w:color w:val="000000"/>
                <w:sz w:val="22"/>
              </w:rPr>
              <w:t>Maternal Education</w:t>
            </w:r>
          </w:p>
        </w:tc>
        <w:tc>
          <w:tcPr>
            <w:tcW w:type="dxa" w:w="3041"/>
          </w:tcPr>
          <w:p>
            <w:r>
              <w:rPr>
                <w:rFonts w:ascii="Times New Roman" w:hAnsi="Times New Roman"/>
                <w:color w:val="000000"/>
                <w:sz w:val="22"/>
              </w:rPr>
              <w:t>% women with secondary schooling, literacy rate</w:t>
            </w:r>
          </w:p>
        </w:tc>
        <w:tc>
          <w:tcPr>
            <w:tcW w:type="dxa" w:w="3041"/>
          </w:tcPr>
          <w:p>
            <w:r>
              <w:rPr>
                <w:rFonts w:ascii="Times New Roman" w:hAnsi="Times New Roman"/>
                <w:color w:val="000000"/>
                <w:sz w:val="22"/>
              </w:rPr>
              <w:t>DHS</w:t>
            </w:r>
          </w:p>
        </w:tc>
      </w:tr>
      <w:tr>
        <w:tc>
          <w:tcPr>
            <w:tcW w:type="dxa" w:w="3041"/>
          </w:tcPr>
          <w:p>
            <w:r>
              <w:rPr>
                <w:rFonts w:ascii="Times New Roman" w:hAnsi="Times New Roman"/>
                <w:color w:val="000000"/>
                <w:sz w:val="22"/>
              </w:rPr>
              <w:t>WASH</w:t>
            </w:r>
          </w:p>
        </w:tc>
        <w:tc>
          <w:tcPr>
            <w:tcW w:type="dxa" w:w="3041"/>
          </w:tcPr>
          <w:p>
            <w:r>
              <w:rPr>
                <w:rFonts w:ascii="Times New Roman" w:hAnsi="Times New Roman"/>
                <w:color w:val="000000"/>
                <w:sz w:val="22"/>
              </w:rPr>
              <w:t>% households with improved water and sanitation</w:t>
            </w:r>
          </w:p>
        </w:tc>
        <w:tc>
          <w:tcPr>
            <w:tcW w:type="dxa" w:w="3041"/>
          </w:tcPr>
          <w:p>
            <w:r>
              <w:rPr>
                <w:rFonts w:ascii="Times New Roman" w:hAnsi="Times New Roman"/>
                <w:color w:val="000000"/>
                <w:sz w:val="22"/>
              </w:rPr>
              <w:t>DHS</w:t>
            </w:r>
          </w:p>
        </w:tc>
      </w:tr>
      <w:tr>
        <w:tc>
          <w:tcPr>
            <w:tcW w:type="dxa" w:w="3041"/>
          </w:tcPr>
          <w:p>
            <w:r>
              <w:rPr>
                <w:rFonts w:ascii="Times New Roman" w:hAnsi="Times New Roman"/>
                <w:color w:val="000000"/>
                <w:sz w:val="22"/>
              </w:rPr>
              <w:t>Healthcare Access</w:t>
            </w:r>
          </w:p>
        </w:tc>
        <w:tc>
          <w:tcPr>
            <w:tcW w:type="dxa" w:w="3041"/>
          </w:tcPr>
          <w:p>
            <w:r>
              <w:rPr>
                <w:rFonts w:ascii="Times New Roman" w:hAnsi="Times New Roman"/>
                <w:color w:val="000000"/>
                <w:sz w:val="22"/>
              </w:rPr>
              <w:t>% facility deliveries, skilled birth attendance</w:t>
            </w:r>
          </w:p>
        </w:tc>
        <w:tc>
          <w:tcPr>
            <w:tcW w:type="dxa" w:w="3041"/>
          </w:tcPr>
          <w:p>
            <w:r>
              <w:rPr>
                <w:rFonts w:ascii="Times New Roman" w:hAnsi="Times New Roman"/>
                <w:color w:val="000000"/>
                <w:sz w:val="22"/>
              </w:rPr>
              <w:t>DHS</w:t>
            </w:r>
          </w:p>
        </w:tc>
      </w:tr>
      <w:tr>
        <w:tc>
          <w:tcPr>
            <w:tcW w:type="dxa" w:w="3041"/>
          </w:tcPr>
          <w:p>
            <w:r>
              <w:rPr>
                <w:rFonts w:ascii="Times New Roman" w:hAnsi="Times New Roman"/>
                <w:color w:val="000000"/>
                <w:sz w:val="22"/>
              </w:rPr>
              <w:t>Disease Burden</w:t>
            </w:r>
          </w:p>
        </w:tc>
        <w:tc>
          <w:tcPr>
            <w:tcW w:type="dxa" w:w="3041"/>
          </w:tcPr>
          <w:p>
            <w:r>
              <w:rPr>
                <w:rFonts w:ascii="Times New Roman" w:hAnsi="Times New Roman"/>
                <w:color w:val="000000"/>
                <w:sz w:val="22"/>
              </w:rPr>
              <w:t>Child anaemia prevalence, malaria prevalence</w:t>
            </w:r>
          </w:p>
        </w:tc>
        <w:tc>
          <w:tcPr>
            <w:tcW w:type="dxa" w:w="3041"/>
          </w:tcPr>
          <w:p>
            <w:r>
              <w:rPr>
                <w:rFonts w:ascii="Times New Roman" w:hAnsi="Times New Roman"/>
                <w:color w:val="000000"/>
                <w:sz w:val="22"/>
              </w:rPr>
              <w:t>DHS / WHO</w:t>
            </w:r>
          </w:p>
        </w:tc>
      </w:tr>
    </w:tbl>
    <w:p>
      <w:pPr>
        <w:spacing w:after="200"/>
        <w:jc w:val="left"/>
      </w:pPr>
      <w:r>
        <w:rPr>
          <w:rFonts w:ascii="Times New Roman" w:hAnsi="Times New Roman"/>
          <w:b/>
          <w:i w:val="0"/>
          <w:color w:val="000000"/>
          <w:sz w:val="20"/>
        </w:rPr>
        <w:t>Table 3.1: Dataset overview — feature groups, examples, and source</w:t>
      </w:r>
    </w:p>
    <w:p/>
    <w:p>
      <w:pPr>
        <w:spacing w:before="280" w:after="80" w:lineRule="exact" w:line="240"/>
        <w:jc w:val="left"/>
      </w:pPr>
      <w:r>
        <w:rPr>
          <w:rFonts w:ascii="Times New Roman" w:hAnsi="Times New Roman"/>
          <w:b/>
          <w:i w:val="0"/>
          <w:color w:val="000000"/>
          <w:sz w:val="26"/>
        </w:rPr>
        <w:t>3.3.1  Tools and Technologies</w:t>
      </w:r>
    </w:p>
    <w:p>
      <w:pPr>
        <w:pStyle w:val="ListBullet"/>
        <w:spacing w:after="60" w:lineRule="exact" w:line="360"/>
        <w:ind w:left="680"/>
      </w:pPr>
      <w:r>
        <w:rPr>
          <w:rFonts w:ascii="Times New Roman" w:hAnsi="Times New Roman"/>
          <w:b w:val="0"/>
          <w:i w:val="0"/>
          <w:color w:val="000000"/>
          <w:sz w:val="24"/>
        </w:rPr>
        <w:t>Python 3.11 — pandas, numpy, scipy, scikit-learn, xgboost, lightgbm</w:t>
      </w:r>
    </w:p>
    <w:p>
      <w:pPr>
        <w:pStyle w:val="ListBullet"/>
        <w:spacing w:after="60" w:lineRule="exact" w:line="360"/>
        <w:ind w:left="680"/>
      </w:pPr>
      <w:r>
        <w:rPr>
          <w:rFonts w:ascii="Times New Roman" w:hAnsi="Times New Roman"/>
          <w:b w:val="0"/>
          <w:i w:val="0"/>
          <w:color w:val="000000"/>
          <w:sz w:val="24"/>
        </w:rPr>
        <w:t>Web application — Next.js 16, React 19, TypeScript, Tailwind CSS 4</w:t>
      </w:r>
    </w:p>
    <w:p>
      <w:pPr>
        <w:pStyle w:val="ListBullet"/>
        <w:spacing w:after="60" w:lineRule="exact" w:line="360"/>
        <w:ind w:left="680"/>
      </w:pPr>
      <w:r>
        <w:rPr>
          <w:rFonts w:ascii="Times New Roman" w:hAnsi="Times New Roman"/>
          <w:b w:val="0"/>
          <w:i w:val="0"/>
          <w:color w:val="000000"/>
          <w:sz w:val="24"/>
        </w:rPr>
        <w:t>Version control — Git / GitHub</w:t>
      </w:r>
    </w:p>
    <w:p>
      <w:pPr>
        <w:pStyle w:val="ListBullet"/>
        <w:spacing w:after="60" w:lineRule="exact" w:line="360"/>
        <w:ind w:left="680"/>
      </w:pPr>
      <w:r>
        <w:rPr>
          <w:rFonts w:ascii="Times New Roman" w:hAnsi="Times New Roman"/>
          <w:b w:val="0"/>
          <w:i w:val="0"/>
          <w:color w:val="000000"/>
          <w:sz w:val="24"/>
        </w:rPr>
        <w:t>Development environment — Visual Studio Code</w:t>
      </w:r>
    </w:p>
    <w:p>
      <w:pPr>
        <w:spacing w:before="280" w:after="80" w:lineRule="exact" w:line="240"/>
        <w:jc w:val="left"/>
      </w:pPr>
      <w:r>
        <w:rPr>
          <w:rFonts w:ascii="Times New Roman" w:hAnsi="Times New Roman"/>
          <w:b/>
          <w:i w:val="0"/>
          <w:color w:val="000000"/>
          <w:sz w:val="28"/>
        </w:rPr>
        <w:t>3.4  Data Preparation</w:t>
      </w:r>
    </w:p>
    <w:p>
      <w:pPr>
        <w:pStyle w:val="ListBullet"/>
        <w:spacing w:after="60" w:lineRule="exact" w:line="360"/>
        <w:ind w:left="680"/>
      </w:pPr>
      <w:r>
        <w:rPr>
          <w:rFonts w:ascii="Times New Roman" w:hAnsi="Times New Roman"/>
          <w:b w:val="0"/>
          <w:i w:val="0"/>
          <w:color w:val="000000"/>
          <w:sz w:val="24"/>
        </w:rPr>
        <w:t>Region name normalisation: DHS label variants mapped to ten canonical region names.</w:t>
      </w:r>
    </w:p>
    <w:p>
      <w:pPr>
        <w:pStyle w:val="ListBullet"/>
        <w:spacing w:after="60" w:lineRule="exact" w:line="360"/>
        <w:ind w:left="680"/>
      </w:pPr>
      <w:r>
        <w:rPr>
          <w:rFonts w:ascii="Times New Roman" w:hAnsi="Times New Roman"/>
          <w:b w:val="0"/>
          <w:i w:val="0"/>
          <w:color w:val="000000"/>
          <w:sz w:val="24"/>
        </w:rPr>
        <w:t>Missing value imputation: region-year median first, then global median as fallback.</w:t>
      </w:r>
    </w:p>
    <w:p>
      <w:pPr>
        <w:pStyle w:val="ListBullet"/>
        <w:spacing w:after="60" w:lineRule="exact" w:line="360"/>
        <w:ind w:left="680"/>
      </w:pPr>
      <w:r>
        <w:rPr>
          <w:rFonts w:ascii="Times New Roman" w:hAnsi="Times New Roman"/>
          <w:b w:val="0"/>
          <w:i w:val="0"/>
          <w:color w:val="000000"/>
          <w:sz w:val="24"/>
        </w:rPr>
        <w:t>Composite feature: a WASH score derived as the mean of water and sanitation access.</w:t>
      </w:r>
    </w:p>
    <w:p>
      <w:pPr>
        <w:pStyle w:val="ListBullet"/>
        <w:spacing w:after="60" w:lineRule="exact" w:line="360"/>
        <w:ind w:left="680"/>
      </w:pPr>
      <w:r>
        <w:rPr>
          <w:rFonts w:ascii="Times New Roman" w:hAnsi="Times New Roman"/>
          <w:b w:val="0"/>
          <w:i w:val="0"/>
          <w:color w:val="000000"/>
          <w:sz w:val="24"/>
        </w:rPr>
        <w:t>Train/test split: 80% training, 20% hold-out test set, stratified by WHO risk band.</w:t>
      </w:r>
    </w:p>
    <w:p>
      <w:pPr>
        <w:spacing w:before="280" w:after="80" w:lineRule="exact" w:line="240"/>
        <w:jc w:val="left"/>
      </w:pPr>
      <w:r>
        <w:rPr>
          <w:rFonts w:ascii="Times New Roman" w:hAnsi="Times New Roman"/>
          <w:b/>
          <w:i w:val="0"/>
          <w:color w:val="000000"/>
          <w:sz w:val="28"/>
        </w:rPr>
        <w:t>3.5  System Design</w:t>
      </w:r>
    </w:p>
    <w:p>
      <w:pPr>
        <w:spacing w:after="120" w:lineRule="exact" w:line="360"/>
        <w:jc w:val="both"/>
      </w:pPr>
      <w:r>
        <w:rPr>
          <w:rFonts w:ascii="Times New Roman" w:hAnsi="Times New Roman"/>
          <w:b w:val="0"/>
          <w:i w:val="0"/>
          <w:color w:val="000000"/>
          <w:sz w:val="24"/>
        </w:rPr>
        <w:t>The system has two layers: a Python analysis pipeline and a Next.js web application. The pipeline (under the src/ directory) loads and cleans the DHS data, trains models, runs hypothesis tests, and saves all results as CSV files. The web application reads these outputs and displays them across seven pages, as described in Table 3.2.</w:t>
      </w:r>
    </w:p>
    <w:p>
      <w:pPr>
        <w:jc w:val="center"/>
      </w:pPr>
      <w:r>
        <w:rPr>
          <w:rFonts w:ascii="Times New Roman" w:hAnsi="Times New Roman"/>
          <w:b w:val="0"/>
          <w:i/>
          <w:color w:val="000000"/>
          <w:sz w:val="20"/>
        </w:rPr>
        <w:t>[Figure 3.2: System architecture — Python pipeline and Next.js web application]</w:t>
      </w:r>
    </w:p>
    <w:p>
      <w:pPr>
        <w:spacing w:after="200"/>
        <w:jc w:val="center"/>
      </w:pPr>
      <w:r>
        <w:rPr>
          <w:rFonts w:ascii="Times New Roman" w:hAnsi="Times New Roman"/>
          <w:b w:val="0"/>
          <w:i/>
          <w:color w:val="000000"/>
          <w:sz w:val="20"/>
        </w:rPr>
        <w:t>Figure 3.2: System architecture — Python pipeline and Next.js web application</w:t>
      </w:r>
    </w:p>
    <w:tbl>
      <w:tblPr>
        <w:tblStyle w:val="TableGrid"/>
        <w:tblW w:type="auto" w:w="0"/>
        <w:jc w:val="center"/>
        <w:tblLook w:firstColumn="1" w:firstRow="1" w:lastColumn="0" w:lastRow="0" w:noHBand="0" w:noVBand="1" w:val="04A0"/>
      </w:tblPr>
      <w:tblGrid>
        <w:gridCol w:w="4561"/>
        <w:gridCol w:w="4561"/>
      </w:tblGrid>
      <w:tr>
        <w:tc>
          <w:tcPr>
            <w:tcW w:type="dxa" w:w="4561"/>
          </w:tcPr>
          <w:p>
            <w:r>
              <w:rPr>
                <w:rFonts w:ascii="Times New Roman" w:hAnsi="Times New Roman"/>
                <w:b/>
                <w:color w:val="000000"/>
                <w:sz w:val="22"/>
              </w:rPr>
              <w:t>Page</w:t>
            </w:r>
          </w:p>
        </w:tc>
        <w:tc>
          <w:tcPr>
            <w:tcW w:type="dxa" w:w="4561"/>
          </w:tcPr>
          <w:p>
            <w:r>
              <w:rPr>
                <w:rFonts w:ascii="Times New Roman" w:hAnsi="Times New Roman"/>
                <w:b/>
                <w:color w:val="000000"/>
                <w:sz w:val="22"/>
              </w:rPr>
              <w:t>Content</w:t>
            </w:r>
          </w:p>
        </w:tc>
      </w:tr>
      <w:tr>
        <w:tc>
          <w:tcPr>
            <w:tcW w:type="dxa" w:w="4561"/>
          </w:tcPr>
          <w:p>
            <w:r>
              <w:rPr>
                <w:rFonts w:ascii="Times New Roman" w:hAnsi="Times New Roman"/>
                <w:color w:val="000000"/>
                <w:sz w:val="22"/>
              </w:rPr>
              <w:t>Home</w:t>
            </w:r>
          </w:p>
        </w:tc>
        <w:tc>
          <w:tcPr>
            <w:tcW w:type="dxa" w:w="4561"/>
          </w:tcPr>
          <w:p>
            <w:r>
              <w:rPr>
                <w:rFonts w:ascii="Times New Roman" w:hAnsi="Times New Roman"/>
                <w:color w:val="000000"/>
                <w:sz w:val="22"/>
              </w:rPr>
              <w:t>Key statistics, Cameroon choropleth map, top-10 hotspot table.</w:t>
            </w:r>
          </w:p>
        </w:tc>
      </w:tr>
      <w:tr>
        <w:tc>
          <w:tcPr>
            <w:tcW w:type="dxa" w:w="4561"/>
          </w:tcPr>
          <w:p>
            <w:r>
              <w:rPr>
                <w:rFonts w:ascii="Times New Roman" w:hAnsi="Times New Roman"/>
                <w:color w:val="000000"/>
                <w:sz w:val="22"/>
              </w:rPr>
              <w:t>Hotspots</w:t>
            </w:r>
          </w:p>
        </w:tc>
        <w:tc>
          <w:tcPr>
            <w:tcW w:type="dxa" w:w="4561"/>
          </w:tcPr>
          <w:p>
            <w:r>
              <w:rPr>
                <w:rFonts w:ascii="Times New Roman" w:hAnsi="Times New Roman"/>
                <w:color w:val="000000"/>
                <w:sz w:val="22"/>
              </w:rPr>
              <w:t>Full ranked table with predicted stunting, WHO band, and 2028 forecast.</w:t>
            </w:r>
          </w:p>
        </w:tc>
      </w:tr>
      <w:tr>
        <w:tc>
          <w:tcPr>
            <w:tcW w:type="dxa" w:w="4561"/>
          </w:tcPr>
          <w:p>
            <w:r>
              <w:rPr>
                <w:rFonts w:ascii="Times New Roman" w:hAnsi="Times New Roman"/>
                <w:color w:val="000000"/>
                <w:sz w:val="22"/>
              </w:rPr>
              <w:t>Regression</w:t>
            </w:r>
          </w:p>
        </w:tc>
        <w:tc>
          <w:tcPr>
            <w:tcW w:type="dxa" w:w="4561"/>
          </w:tcPr>
          <w:p>
            <w:r>
              <w:rPr>
                <w:rFonts w:ascii="Times New Roman" w:hAnsi="Times New Roman"/>
                <w:color w:val="000000"/>
                <w:sz w:val="22"/>
              </w:rPr>
              <w:t>Model leaderboard showing CV RMSE for all models.</w:t>
            </w:r>
          </w:p>
        </w:tc>
      </w:tr>
      <w:tr>
        <w:tc>
          <w:tcPr>
            <w:tcW w:type="dxa" w:w="4561"/>
          </w:tcPr>
          <w:p>
            <w:r>
              <w:rPr>
                <w:rFonts w:ascii="Times New Roman" w:hAnsi="Times New Roman"/>
                <w:color w:val="000000"/>
                <w:sz w:val="22"/>
              </w:rPr>
              <w:t>Classification</w:t>
            </w:r>
          </w:p>
        </w:tc>
        <w:tc>
          <w:tcPr>
            <w:tcW w:type="dxa" w:w="4561"/>
          </w:tcPr>
          <w:p>
            <w:r>
              <w:rPr>
                <w:rFonts w:ascii="Times New Roman" w:hAnsi="Times New Roman"/>
                <w:color w:val="000000"/>
                <w:sz w:val="22"/>
              </w:rPr>
              <w:t>Confusion matrix and WHO risk band distribution.</w:t>
            </w:r>
          </w:p>
        </w:tc>
      </w:tr>
      <w:tr>
        <w:tc>
          <w:tcPr>
            <w:tcW w:type="dxa" w:w="4561"/>
          </w:tcPr>
          <w:p>
            <w:r>
              <w:rPr>
                <w:rFonts w:ascii="Times New Roman" w:hAnsi="Times New Roman"/>
                <w:color w:val="000000"/>
                <w:sz w:val="22"/>
              </w:rPr>
              <w:t>Clustering</w:t>
            </w:r>
          </w:p>
        </w:tc>
        <w:tc>
          <w:tcPr>
            <w:tcW w:type="dxa" w:w="4561"/>
          </w:tcPr>
          <w:p>
            <w:r>
              <w:rPr>
                <w:rFonts w:ascii="Times New Roman" w:hAnsi="Times New Roman"/>
                <w:color w:val="000000"/>
                <w:sz w:val="22"/>
              </w:rPr>
              <w:t>Cluster profiles and PCA visualisation.</w:t>
            </w:r>
          </w:p>
        </w:tc>
      </w:tr>
      <w:tr>
        <w:tc>
          <w:tcPr>
            <w:tcW w:type="dxa" w:w="4561"/>
          </w:tcPr>
          <w:p>
            <w:r>
              <w:rPr>
                <w:rFonts w:ascii="Times New Roman" w:hAnsi="Times New Roman"/>
                <w:color w:val="000000"/>
                <w:sz w:val="22"/>
              </w:rPr>
              <w:t>Forecasts</w:t>
            </w:r>
          </w:p>
        </w:tc>
        <w:tc>
          <w:tcPr>
            <w:tcW w:type="dxa" w:w="4561"/>
          </w:tcPr>
          <w:p>
            <w:r>
              <w:rPr>
                <w:rFonts w:ascii="Times New Roman" w:hAnsi="Times New Roman"/>
                <w:color w:val="000000"/>
                <w:sz w:val="22"/>
              </w:rPr>
              <w:t>Per-region trend lines with 2026 and 2028 projections.</w:t>
            </w:r>
          </w:p>
        </w:tc>
      </w:tr>
      <w:tr>
        <w:tc>
          <w:tcPr>
            <w:tcW w:type="dxa" w:w="4561"/>
          </w:tcPr>
          <w:p>
            <w:r>
              <w:rPr>
                <w:rFonts w:ascii="Times New Roman" w:hAnsi="Times New Roman"/>
                <w:color w:val="000000"/>
                <w:sz w:val="22"/>
              </w:rPr>
              <w:t>Hypotheses</w:t>
            </w:r>
          </w:p>
        </w:tc>
        <w:tc>
          <w:tcPr>
            <w:tcW w:type="dxa" w:w="4561"/>
          </w:tcPr>
          <w:p>
            <w:r>
              <w:rPr>
                <w:rFonts w:ascii="Times New Roman" w:hAnsi="Times New Roman"/>
                <w:color w:val="000000"/>
                <w:sz w:val="22"/>
              </w:rPr>
              <w:t>H1–H6 results with Spearman rho, p-value, and outcome.</w:t>
            </w:r>
          </w:p>
        </w:tc>
      </w:tr>
    </w:tbl>
    <w:p>
      <w:pPr>
        <w:spacing w:after="200"/>
        <w:jc w:val="left"/>
      </w:pPr>
      <w:r>
        <w:rPr>
          <w:rFonts w:ascii="Times New Roman" w:hAnsi="Times New Roman"/>
          <w:b/>
          <w:i w:val="0"/>
          <w:color w:val="000000"/>
          <w:sz w:val="20"/>
        </w:rPr>
        <w:t>Table 3.2: Web application pages</w:t>
      </w:r>
    </w:p>
    <w:p/>
    <w:p>
      <w:r>
        <w:br w:type="page"/>
      </w:r>
    </w:p>
    <w:p>
      <w:pPr>
        <w:spacing w:before="280" w:after="80" w:lineRule="exact" w:line="240"/>
        <w:jc w:val="center"/>
      </w:pPr>
      <w:r>
        <w:rPr>
          <w:rFonts w:ascii="Times New Roman" w:hAnsi="Times New Roman"/>
          <w:b/>
          <w:i w:val="0"/>
          <w:color w:val="000000"/>
          <w:sz w:val="32"/>
        </w:rPr>
        <w:t>CHAPTER FOUR: IMPLEMENTATION, RESULTS AND DISCUSSION</w:t>
      </w:r>
    </w:p>
    <w:p>
      <w:pPr>
        <w:spacing w:before="280" w:after="80" w:lineRule="exact" w:line="240"/>
        <w:jc w:val="left"/>
      </w:pPr>
      <w:r>
        <w:rPr>
          <w:rFonts w:ascii="Times New Roman" w:hAnsi="Times New Roman"/>
          <w:b/>
          <w:i w:val="0"/>
          <w:color w:val="000000"/>
          <w:sz w:val="28"/>
        </w:rPr>
        <w:t>4.1  Introduction</w:t>
      </w:r>
    </w:p>
    <w:p>
      <w:pPr>
        <w:spacing w:after="120" w:lineRule="exact" w:line="360"/>
        <w:jc w:val="both"/>
      </w:pPr>
      <w:r>
        <w:rPr>
          <w:rFonts w:ascii="Times New Roman" w:hAnsi="Times New Roman"/>
          <w:b w:val="0"/>
          <w:i w:val="0"/>
          <w:color w:val="000000"/>
          <w:sz w:val="24"/>
        </w:rPr>
        <w:t>This chapter presents the implementation of the data mining pipeline and the results of all analyses: exploratory data analysis, regression, classification, clustering, hypothesis testing, forecasting, the hotspot ranking, and the web application.</w:t>
      </w:r>
    </w:p>
    <w:p>
      <w:pPr>
        <w:spacing w:before="280" w:after="80" w:lineRule="exact" w:line="240"/>
        <w:jc w:val="left"/>
      </w:pPr>
      <w:r>
        <w:rPr>
          <w:rFonts w:ascii="Times New Roman" w:hAnsi="Times New Roman"/>
          <w:b/>
          <w:i w:val="0"/>
          <w:color w:val="000000"/>
          <w:sz w:val="28"/>
        </w:rPr>
        <w:t>4.2  Exploratory Data Analysis</w:t>
      </w:r>
    </w:p>
    <w:p>
      <w:pPr>
        <w:spacing w:after="120" w:lineRule="exact" w:line="360"/>
        <w:jc w:val="both"/>
      </w:pPr>
      <w:r>
        <w:rPr>
          <w:rFonts w:ascii="Times New Roman" w:hAnsi="Times New Roman"/>
          <w:b w:val="0"/>
          <w:i w:val="0"/>
          <w:color w:val="000000"/>
          <w:sz w:val="24"/>
        </w:rPr>
        <w:t>Before building any model, the dataset was explored to understand the distribution of the target variable, regional patterns, feature correlations, and trends over time. This EDA phase directly informed the choice of models and features.</w:t>
      </w:r>
    </w:p>
    <w:p>
      <w:pPr>
        <w:spacing w:before="280" w:after="80" w:lineRule="exact" w:line="240"/>
        <w:jc w:val="left"/>
      </w:pPr>
      <w:r>
        <w:rPr>
          <w:rFonts w:ascii="Times New Roman" w:hAnsi="Times New Roman"/>
          <w:b/>
          <w:i w:val="0"/>
          <w:color w:val="000000"/>
          <w:sz w:val="26"/>
        </w:rPr>
        <w:t>4.2.1  Target Distribution</w:t>
      </w:r>
    </w:p>
    <w:p>
      <w:pPr>
        <w:spacing w:after="120" w:lineRule="exact" w:line="360"/>
        <w:jc w:val="both"/>
      </w:pPr>
      <w:r>
        <w:rPr>
          <w:rFonts w:ascii="Times New Roman" w:hAnsi="Times New Roman"/>
          <w:b w:val="0"/>
          <w:i w:val="0"/>
          <w:color w:val="000000"/>
          <w:sz w:val="24"/>
        </w:rPr>
        <w:t>Stunting rates across the 50 region-year observations range from 18% (Littoral, 2018) to approximately 44% in the northern regions during earlier survey years. The mean is approximately 29% — at the WHO 'High' risk threshold. About 40% of observations fall above 30%, indicating that high stunting is the norm for the northern regions across all survey waves.</w:t>
      </w:r>
    </w:p>
    <w:p>
      <w:pPr>
        <w:jc w:val="center"/>
      </w:pPr>
      <w:r>
        <w:drawing>
          <wp:inline xmlns:a="http://schemas.openxmlformats.org/drawingml/2006/main" xmlns:pic="http://schemas.openxmlformats.org/drawingml/2006/picture">
            <wp:extent cx="4572000" cy="2868149"/>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4572000" cy="2868149"/>
                    </a:xfrm>
                    <a:prstGeom prst="rect"/>
                  </pic:spPr>
                </pic:pic>
              </a:graphicData>
            </a:graphic>
          </wp:inline>
        </w:drawing>
      </w:r>
    </w:p>
    <w:p>
      <w:pPr>
        <w:spacing w:after="200"/>
        <w:jc w:val="center"/>
      </w:pPr>
      <w:r>
        <w:rPr>
          <w:rFonts w:ascii="Times New Roman" w:hAnsi="Times New Roman"/>
          <w:b w:val="0"/>
          <w:i/>
          <w:color w:val="000000"/>
          <w:sz w:val="20"/>
        </w:rPr>
        <w:t>Figure 4.1: Stunting rate distribution across all region-year observations</w:t>
      </w:r>
    </w:p>
    <w:p>
      <w:pPr>
        <w:spacing w:before="280" w:after="80" w:lineRule="exact" w:line="240"/>
        <w:jc w:val="left"/>
      </w:pPr>
      <w:r>
        <w:rPr>
          <w:rFonts w:ascii="Times New Roman" w:hAnsi="Times New Roman"/>
          <w:b/>
          <w:i w:val="0"/>
          <w:color w:val="000000"/>
          <w:sz w:val="26"/>
        </w:rPr>
        <w:t>4.2.2  Regional Patterns</w:t>
      </w:r>
    </w:p>
    <w:p>
      <w:pPr>
        <w:spacing w:after="120" w:lineRule="exact" w:line="360"/>
        <w:jc w:val="both"/>
      </w:pPr>
      <w:r>
        <w:rPr>
          <w:rFonts w:ascii="Times New Roman" w:hAnsi="Times New Roman"/>
          <w:b w:val="0"/>
          <w:i w:val="0"/>
          <w:color w:val="000000"/>
          <w:sz w:val="24"/>
        </w:rPr>
        <w:t>The box plot in Figure 4.2 — sorted by regional median — confirms a clear and persistent north-south gradient. The Far North, North, and Adamawa consistently record the highest medians (above 36%), while Littoral, South, and Centre record the lowest (below 24%). This pattern is consistent across all five survey waves, indicating structural rather than temporary disparities.</w:t>
      </w:r>
    </w:p>
    <w:p>
      <w:pPr>
        <w:jc w:val="center"/>
      </w:pPr>
      <w:r>
        <w:drawing>
          <wp:inline xmlns:a="http://schemas.openxmlformats.org/drawingml/2006/main" xmlns:pic="http://schemas.openxmlformats.org/drawingml/2006/picture">
            <wp:extent cx="4572000" cy="2624166"/>
            <wp:docPr id="2" name="Picture 2"/>
            <wp:cNvGraphicFramePr>
              <a:graphicFrameLocks noChangeAspect="1"/>
            </wp:cNvGraphicFramePr>
            <a:graphic>
              <a:graphicData uri="http://schemas.openxmlformats.org/drawingml/2006/picture">
                <pic:pic>
                  <pic:nvPicPr>
                    <pic:cNvPr id="0" name="02_region_boxplot.png"/>
                    <pic:cNvPicPr/>
                  </pic:nvPicPr>
                  <pic:blipFill>
                    <a:blip r:embed="rId10"/>
                    <a:stretch>
                      <a:fillRect/>
                    </a:stretch>
                  </pic:blipFill>
                  <pic:spPr>
                    <a:xfrm>
                      <a:off x="0" y="0"/>
                      <a:ext cx="4572000" cy="2624166"/>
                    </a:xfrm>
                    <a:prstGeom prst="rect"/>
                  </pic:spPr>
                </pic:pic>
              </a:graphicData>
            </a:graphic>
          </wp:inline>
        </w:drawing>
      </w:r>
    </w:p>
    <w:p>
      <w:pPr>
        <w:spacing w:after="200"/>
        <w:jc w:val="center"/>
      </w:pPr>
      <w:r>
        <w:rPr>
          <w:rFonts w:ascii="Times New Roman" w:hAnsi="Times New Roman"/>
          <w:b w:val="0"/>
          <w:i/>
          <w:color w:val="000000"/>
          <w:sz w:val="20"/>
        </w:rPr>
        <w:t>Figure 4.2: Stunting rate by region — median-sorted box plot (1991-2018)</w:t>
      </w:r>
    </w:p>
    <w:p>
      <w:pPr>
        <w:spacing w:before="280" w:after="80" w:lineRule="exact" w:line="240"/>
        <w:jc w:val="left"/>
      </w:pPr>
      <w:r>
        <w:rPr>
          <w:rFonts w:ascii="Times New Roman" w:hAnsi="Times New Roman"/>
          <w:b/>
          <w:i w:val="0"/>
          <w:color w:val="000000"/>
          <w:sz w:val="26"/>
        </w:rPr>
        <w:t>4.2.3  Feature Correlations</w:t>
      </w:r>
    </w:p>
    <w:p>
      <w:pPr>
        <w:spacing w:after="120" w:lineRule="exact" w:line="360"/>
        <w:jc w:val="both"/>
      </w:pPr>
      <w:r>
        <w:rPr>
          <w:rFonts w:ascii="Times New Roman" w:hAnsi="Times New Roman"/>
          <w:b w:val="0"/>
          <w:i w:val="0"/>
          <w:color w:val="000000"/>
          <w:sz w:val="24"/>
        </w:rPr>
        <w:t>A Spearman rank-correlation analysis was computed between all features and the target variable. Healthcare access (facility delivery rate) showed the strongest negative correlation (rho = -0.77), meaning regions with higher rates of facility-based deliveries have significantly lower stunting. WASH access (rho = -0.50) and socio-economic status (rho = -0.39) followed. These findings directly guided hypothesis design.</w:t>
      </w:r>
    </w:p>
    <w:p>
      <w:pPr>
        <w:jc w:val="center"/>
      </w:pPr>
      <w:r>
        <w:drawing>
          <wp:inline xmlns:a="http://schemas.openxmlformats.org/drawingml/2006/main" xmlns:pic="http://schemas.openxmlformats.org/drawingml/2006/picture">
            <wp:extent cx="4572000" cy="4112074"/>
            <wp:docPr id="3" name="Picture 3"/>
            <wp:cNvGraphicFramePr>
              <a:graphicFrameLocks noChangeAspect="1"/>
            </wp:cNvGraphicFramePr>
            <a:graphic>
              <a:graphicData uri="http://schemas.openxmlformats.org/drawingml/2006/picture">
                <pic:pic>
                  <pic:nvPicPr>
                    <pic:cNvPr id="0" name="03_correlation_heatmap.png"/>
                    <pic:cNvPicPr/>
                  </pic:nvPicPr>
                  <pic:blipFill>
                    <a:blip r:embed="rId11"/>
                    <a:stretch>
                      <a:fillRect/>
                    </a:stretch>
                  </pic:blipFill>
                  <pic:spPr>
                    <a:xfrm>
                      <a:off x="0" y="0"/>
                      <a:ext cx="4572000" cy="4112074"/>
                    </a:xfrm>
                    <a:prstGeom prst="rect"/>
                  </pic:spPr>
                </pic:pic>
              </a:graphicData>
            </a:graphic>
          </wp:inline>
        </w:drawing>
      </w:r>
    </w:p>
    <w:p>
      <w:pPr>
        <w:spacing w:after="200"/>
        <w:jc w:val="center"/>
      </w:pPr>
      <w:r>
        <w:rPr>
          <w:rFonts w:ascii="Times New Roman" w:hAnsi="Times New Roman"/>
          <w:b w:val="0"/>
          <w:i/>
          <w:color w:val="000000"/>
          <w:sz w:val="20"/>
        </w:rPr>
        <w:t>Figure 4.3: Spearman correlation between features and stunting rate</w:t>
      </w:r>
    </w:p>
    <w:p>
      <w:pPr>
        <w:spacing w:before="280" w:after="80" w:lineRule="exact" w:line="240"/>
        <w:jc w:val="left"/>
      </w:pPr>
      <w:r>
        <w:rPr>
          <w:rFonts w:ascii="Times New Roman" w:hAnsi="Times New Roman"/>
          <w:b/>
          <w:i w:val="0"/>
          <w:color w:val="000000"/>
          <w:sz w:val="26"/>
        </w:rPr>
        <w:t>4.2.4  Trends Over Time</w:t>
      </w:r>
    </w:p>
    <w:p>
      <w:pPr>
        <w:spacing w:after="120" w:lineRule="exact" w:line="360"/>
        <w:jc w:val="both"/>
      </w:pPr>
      <w:r>
        <w:rPr>
          <w:rFonts w:ascii="Times New Roman" w:hAnsi="Times New Roman"/>
          <w:b w:val="0"/>
          <w:i w:val="0"/>
          <w:color w:val="000000"/>
          <w:sz w:val="24"/>
        </w:rPr>
        <w:t>Plotting stunting rates over the five survey years shows a general downward trend for all regions, but the pace of improvement varies widely. Littoral and Centre improve by roughly 0.3 percentage points per year, while Far North and North improve by only 0.1 pp per year. This slow improvement in the north motivates the forecasting analysis in Section 4.7.</w:t>
      </w:r>
    </w:p>
    <w:p>
      <w:pPr>
        <w:jc w:val="center"/>
      </w:pPr>
      <w:r>
        <w:drawing>
          <wp:inline xmlns:a="http://schemas.openxmlformats.org/drawingml/2006/main" xmlns:pic="http://schemas.openxmlformats.org/drawingml/2006/picture">
            <wp:extent cx="4572000" cy="2498866"/>
            <wp:docPr id="4" name="Picture 4"/>
            <wp:cNvGraphicFramePr>
              <a:graphicFrameLocks noChangeAspect="1"/>
            </wp:cNvGraphicFramePr>
            <a:graphic>
              <a:graphicData uri="http://schemas.openxmlformats.org/drawingml/2006/picture">
                <pic:pic>
                  <pic:nvPicPr>
                    <pic:cNvPr id="0" name="04_trend_over_time.png"/>
                    <pic:cNvPicPr/>
                  </pic:nvPicPr>
                  <pic:blipFill>
                    <a:blip r:embed="rId12"/>
                    <a:stretch>
                      <a:fillRect/>
                    </a:stretch>
                  </pic:blipFill>
                  <pic:spPr>
                    <a:xfrm>
                      <a:off x="0" y="0"/>
                      <a:ext cx="4572000" cy="2498866"/>
                    </a:xfrm>
                    <a:prstGeom prst="rect"/>
                  </pic:spPr>
                </pic:pic>
              </a:graphicData>
            </a:graphic>
          </wp:inline>
        </w:drawing>
      </w:r>
    </w:p>
    <w:p>
      <w:pPr>
        <w:spacing w:after="200"/>
        <w:jc w:val="center"/>
      </w:pPr>
      <w:r>
        <w:rPr>
          <w:rFonts w:ascii="Times New Roman" w:hAnsi="Times New Roman"/>
          <w:b w:val="0"/>
          <w:i/>
          <w:color w:val="000000"/>
          <w:sz w:val="20"/>
        </w:rPr>
        <w:t>Figure 4.4: Trend of stunting rates over survey years per region</w:t>
      </w:r>
    </w:p>
    <w:p>
      <w:pPr>
        <w:spacing w:before="280" w:after="80" w:lineRule="exact" w:line="240"/>
        <w:jc w:val="left"/>
      </w:pPr>
      <w:r>
        <w:rPr>
          <w:rFonts w:ascii="Times New Roman" w:hAnsi="Times New Roman"/>
          <w:b/>
          <w:i w:val="0"/>
          <w:color w:val="000000"/>
          <w:sz w:val="28"/>
        </w:rPr>
        <w:t>4.3  Regression — Predicting Stunting Rate</w:t>
      </w:r>
    </w:p>
    <w:p>
      <w:pPr>
        <w:spacing w:after="120" w:lineRule="exact" w:line="360"/>
        <w:jc w:val="both"/>
      </w:pPr>
      <w:r>
        <w:rPr>
          <w:rFonts w:ascii="Times New Roman" w:hAnsi="Times New Roman"/>
          <w:b w:val="0"/>
          <w:i w:val="0"/>
          <w:color w:val="000000"/>
          <w:sz w:val="24"/>
        </w:rPr>
        <w:t>Several regression models were trained and compared using five-fold cross-validation. Table 4.1 shows the key results. Random Forest achieved the best cross-validated RMSE of 3.64 percentage points — a 71% improvement over the simple mean-prediction baseline of 12.72 pp. This improvement is statistically significant (p &lt; 0.001).</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rFonts w:ascii="Times New Roman" w:hAnsi="Times New Roman"/>
                <w:b/>
                <w:color w:val="000000"/>
                <w:sz w:val="22"/>
              </w:rPr>
              <w:t>Model</w:t>
            </w:r>
          </w:p>
        </w:tc>
        <w:tc>
          <w:tcPr>
            <w:tcW w:type="dxa" w:w="3041"/>
          </w:tcPr>
          <w:p>
            <w:r>
              <w:rPr>
                <w:rFonts w:ascii="Times New Roman" w:hAnsi="Times New Roman"/>
                <w:b/>
                <w:color w:val="000000"/>
                <w:sz w:val="22"/>
              </w:rPr>
              <w:t>CV RMSE (pp)</w:t>
            </w:r>
          </w:p>
        </w:tc>
        <w:tc>
          <w:tcPr>
            <w:tcW w:type="dxa" w:w="3041"/>
          </w:tcPr>
          <w:p>
            <w:r>
              <w:rPr>
                <w:rFonts w:ascii="Times New Roman" w:hAnsi="Times New Roman"/>
                <w:b/>
                <w:color w:val="000000"/>
                <w:sz w:val="22"/>
              </w:rPr>
              <w:t>Hold-out RMSE (pp)</w:t>
            </w:r>
          </w:p>
        </w:tc>
      </w:tr>
      <w:tr>
        <w:tc>
          <w:tcPr>
            <w:tcW w:type="dxa" w:w="3041"/>
          </w:tcPr>
          <w:p>
            <w:r>
              <w:rPr>
                <w:rFonts w:ascii="Times New Roman" w:hAnsi="Times New Roman"/>
                <w:color w:val="000000"/>
                <w:sz w:val="22"/>
              </w:rPr>
              <w:t>Random Forest</w:t>
            </w:r>
          </w:p>
        </w:tc>
        <w:tc>
          <w:tcPr>
            <w:tcW w:type="dxa" w:w="3041"/>
          </w:tcPr>
          <w:p>
            <w:r>
              <w:rPr>
                <w:rFonts w:ascii="Times New Roman" w:hAnsi="Times New Roman"/>
                <w:color w:val="000000"/>
                <w:sz w:val="22"/>
              </w:rPr>
              <w:t>3.64</w:t>
            </w:r>
          </w:p>
        </w:tc>
        <w:tc>
          <w:tcPr>
            <w:tcW w:type="dxa" w:w="3041"/>
          </w:tcPr>
          <w:p>
            <w:r>
              <w:rPr>
                <w:rFonts w:ascii="Times New Roman" w:hAnsi="Times New Roman"/>
                <w:color w:val="000000"/>
                <w:sz w:val="22"/>
              </w:rPr>
              <w:t>3.51</w:t>
            </w:r>
          </w:p>
        </w:tc>
      </w:tr>
      <w:tr>
        <w:tc>
          <w:tcPr>
            <w:tcW w:type="dxa" w:w="3041"/>
          </w:tcPr>
          <w:p>
            <w:r>
              <w:rPr>
                <w:rFonts w:ascii="Times New Roman" w:hAnsi="Times New Roman"/>
                <w:color w:val="000000"/>
                <w:sz w:val="22"/>
              </w:rPr>
              <w:t>XGBoost</w:t>
            </w:r>
          </w:p>
        </w:tc>
        <w:tc>
          <w:tcPr>
            <w:tcW w:type="dxa" w:w="3041"/>
          </w:tcPr>
          <w:p>
            <w:r>
              <w:rPr>
                <w:rFonts w:ascii="Times New Roman" w:hAnsi="Times New Roman"/>
                <w:color w:val="000000"/>
                <w:sz w:val="22"/>
              </w:rPr>
              <w:t>3.67</w:t>
            </w:r>
          </w:p>
        </w:tc>
        <w:tc>
          <w:tcPr>
            <w:tcW w:type="dxa" w:w="3041"/>
          </w:tcPr>
          <w:p>
            <w:r>
              <w:rPr>
                <w:rFonts w:ascii="Times New Roman" w:hAnsi="Times New Roman"/>
                <w:color w:val="000000"/>
                <w:sz w:val="22"/>
              </w:rPr>
              <w:t>3.42</w:t>
            </w:r>
          </w:p>
        </w:tc>
      </w:tr>
      <w:tr>
        <w:tc>
          <w:tcPr>
            <w:tcW w:type="dxa" w:w="3041"/>
          </w:tcPr>
          <w:p>
            <w:r>
              <w:rPr>
                <w:rFonts w:ascii="Times New Roman" w:hAnsi="Times New Roman"/>
                <w:color w:val="000000"/>
                <w:sz w:val="22"/>
              </w:rPr>
              <w:t>Gradient Boosting</w:t>
            </w:r>
          </w:p>
        </w:tc>
        <w:tc>
          <w:tcPr>
            <w:tcW w:type="dxa" w:w="3041"/>
          </w:tcPr>
          <w:p>
            <w:r>
              <w:rPr>
                <w:rFonts w:ascii="Times New Roman" w:hAnsi="Times New Roman"/>
                <w:color w:val="000000"/>
                <w:sz w:val="22"/>
              </w:rPr>
              <w:t>3.71</w:t>
            </w:r>
          </w:p>
        </w:tc>
        <w:tc>
          <w:tcPr>
            <w:tcW w:type="dxa" w:w="3041"/>
          </w:tcPr>
          <w:p>
            <w:r>
              <w:rPr>
                <w:rFonts w:ascii="Times New Roman" w:hAnsi="Times New Roman"/>
                <w:color w:val="000000"/>
                <w:sz w:val="22"/>
              </w:rPr>
              <w:t>3.56</w:t>
            </w:r>
          </w:p>
        </w:tc>
      </w:tr>
      <w:tr>
        <w:tc>
          <w:tcPr>
            <w:tcW w:type="dxa" w:w="3041"/>
          </w:tcPr>
          <w:p>
            <w:r>
              <w:rPr>
                <w:rFonts w:ascii="Times New Roman" w:hAnsi="Times New Roman"/>
                <w:color w:val="000000"/>
                <w:sz w:val="22"/>
              </w:rPr>
              <w:t>Linear Regression</w:t>
            </w:r>
          </w:p>
        </w:tc>
        <w:tc>
          <w:tcPr>
            <w:tcW w:type="dxa" w:w="3041"/>
          </w:tcPr>
          <w:p>
            <w:r>
              <w:rPr>
                <w:rFonts w:ascii="Times New Roman" w:hAnsi="Times New Roman"/>
                <w:color w:val="000000"/>
                <w:sz w:val="22"/>
              </w:rPr>
              <w:t>3.92</w:t>
            </w:r>
          </w:p>
        </w:tc>
        <w:tc>
          <w:tcPr>
            <w:tcW w:type="dxa" w:w="3041"/>
          </w:tcPr>
          <w:p>
            <w:r>
              <w:rPr>
                <w:rFonts w:ascii="Times New Roman" w:hAnsi="Times New Roman"/>
                <w:color w:val="000000"/>
                <w:sz w:val="22"/>
              </w:rPr>
              <w:t>3.94</w:t>
            </w:r>
          </w:p>
        </w:tc>
      </w:tr>
      <w:tr>
        <w:tc>
          <w:tcPr>
            <w:tcW w:type="dxa" w:w="3041"/>
          </w:tcPr>
          <w:p>
            <w:r>
              <w:rPr>
                <w:rFonts w:ascii="Times New Roman" w:hAnsi="Times New Roman"/>
                <w:color w:val="000000"/>
                <w:sz w:val="22"/>
              </w:rPr>
              <w:t>Baseline (mean)</w:t>
            </w:r>
          </w:p>
        </w:tc>
        <w:tc>
          <w:tcPr>
            <w:tcW w:type="dxa" w:w="3041"/>
          </w:tcPr>
          <w:p>
            <w:r>
              <w:rPr>
                <w:rFonts w:ascii="Times New Roman" w:hAnsi="Times New Roman"/>
                <w:color w:val="000000"/>
                <w:sz w:val="22"/>
              </w:rPr>
              <w:t>12.72</w:t>
            </w:r>
          </w:p>
        </w:tc>
        <w:tc>
          <w:tcPr>
            <w:tcW w:type="dxa" w:w="3041"/>
          </w:tcPr>
          <w:p>
            <w:r>
              <w:rPr>
                <w:rFonts w:ascii="Times New Roman" w:hAnsi="Times New Roman"/>
                <w:color w:val="000000"/>
                <w:sz w:val="22"/>
              </w:rPr>
              <w:t>11.89</w:t>
            </w:r>
          </w:p>
        </w:tc>
      </w:tr>
    </w:tbl>
    <w:p>
      <w:pPr>
        <w:spacing w:after="200"/>
        <w:jc w:val="left"/>
      </w:pPr>
      <w:r>
        <w:rPr>
          <w:rFonts w:ascii="Times New Roman" w:hAnsi="Times New Roman"/>
          <w:b/>
          <w:i w:val="0"/>
          <w:color w:val="000000"/>
          <w:sz w:val="20"/>
        </w:rPr>
        <w:t>Table 4.1: Regression model results — CV RMSE comparison (lower is better)</w:t>
      </w:r>
    </w:p>
    <w:p/>
    <w:p>
      <w:pPr>
        <w:spacing w:after="120" w:lineRule="exact" w:line="360"/>
        <w:jc w:val="both"/>
      </w:pPr>
      <w:r>
        <w:rPr>
          <w:rFonts w:ascii="Times New Roman" w:hAnsi="Times New Roman"/>
          <w:b w:val="0"/>
          <w:i w:val="0"/>
          <w:color w:val="000000"/>
          <w:sz w:val="24"/>
        </w:rPr>
        <w:t>All trained models substantially outperform the baseline, confirming that stunting rates can be predicted from observable socio-economic and health indicators. Ensemble models (Random Forest, XGBoost, Gradient Boosting) perform best, which is consistent with their known strength on small, structured datasets.</w:t>
      </w:r>
    </w:p>
    <w:p>
      <w:pPr>
        <w:jc w:val="center"/>
      </w:pPr>
      <w:r>
        <w:drawing>
          <wp:inline xmlns:a="http://schemas.openxmlformats.org/drawingml/2006/main" xmlns:pic="http://schemas.openxmlformats.org/drawingml/2006/picture">
            <wp:extent cx="4572000" cy="2245245"/>
            <wp:docPr id="5" name="Picture 5"/>
            <wp:cNvGraphicFramePr>
              <a:graphicFrameLocks noChangeAspect="1"/>
            </wp:cNvGraphicFramePr>
            <a:graphic>
              <a:graphicData uri="http://schemas.openxmlformats.org/drawingml/2006/picture">
                <pic:pic>
                  <pic:nvPicPr>
                    <pic:cNvPr id="0" name="06_model_leaderboard.png"/>
                    <pic:cNvPicPr/>
                  </pic:nvPicPr>
                  <pic:blipFill>
                    <a:blip r:embed="rId13"/>
                    <a:stretch>
                      <a:fillRect/>
                    </a:stretch>
                  </pic:blipFill>
                  <pic:spPr>
                    <a:xfrm>
                      <a:off x="0" y="0"/>
                      <a:ext cx="4572000" cy="2245245"/>
                    </a:xfrm>
                    <a:prstGeom prst="rect"/>
                  </pic:spPr>
                </pic:pic>
              </a:graphicData>
            </a:graphic>
          </wp:inline>
        </w:drawing>
      </w:r>
    </w:p>
    <w:p>
      <w:pPr>
        <w:spacing w:after="200"/>
        <w:jc w:val="center"/>
      </w:pPr>
      <w:r>
        <w:rPr>
          <w:rFonts w:ascii="Times New Roman" w:hAnsi="Times New Roman"/>
          <w:b w:val="0"/>
          <w:i/>
          <w:color w:val="000000"/>
          <w:sz w:val="20"/>
        </w:rPr>
        <w:t>Figure 4.5: Regression model leaderboard — 5-fold CV RMSE comparison</w:t>
      </w:r>
    </w:p>
    <w:p>
      <w:pPr>
        <w:spacing w:before="280" w:after="80" w:lineRule="exact" w:line="240"/>
        <w:jc w:val="left"/>
      </w:pPr>
      <w:r>
        <w:rPr>
          <w:rFonts w:ascii="Times New Roman" w:hAnsi="Times New Roman"/>
          <w:b/>
          <w:i w:val="0"/>
          <w:color w:val="000000"/>
          <w:sz w:val="28"/>
        </w:rPr>
        <w:t>4.4  Classification — WHO Risk Bands</w:t>
      </w:r>
    </w:p>
    <w:p>
      <w:pPr>
        <w:spacing w:after="120" w:lineRule="exact" w:line="360"/>
        <w:jc w:val="both"/>
      </w:pPr>
      <w:r>
        <w:rPr>
          <w:rFonts w:ascii="Times New Roman" w:hAnsi="Times New Roman"/>
          <w:b w:val="0"/>
          <w:i w:val="0"/>
          <w:color w:val="000000"/>
          <w:sz w:val="24"/>
        </w:rPr>
        <w:t>Each region-year observation was assigned to one of four WHO public-health risk bands based on its stunting rate: Low (&lt; 20%), Medium (20-29%), High (30-39%), and Critical (&gt;= 40%). A Random Forest classifier was trained on the same features used for regression and achieved 80% accuracy on the hold-out test set, with a macro F1 score of 0.80 — indicating balanced performance across all four bands.</w:t>
      </w:r>
    </w:p>
    <w:p>
      <w:pPr>
        <w:spacing w:after="120" w:lineRule="exact" w:line="360"/>
        <w:jc w:val="both"/>
      </w:pPr>
      <w:r>
        <w:rPr>
          <w:rFonts w:ascii="Times New Roman" w:hAnsi="Times New Roman"/>
          <w:b w:val="0"/>
          <w:i w:val="0"/>
          <w:color w:val="000000"/>
          <w:sz w:val="24"/>
        </w:rPr>
        <w:t>The confusion matrix in Figure 4.4 shows that errors are confined to adjacent risk bands only. No observation is misclassified across more than one band, which is expected given that the underlying stunting rate is continuous.</w:t>
      </w:r>
    </w:p>
    <w:p>
      <w:pPr>
        <w:jc w:val="center"/>
      </w:pPr>
      <w:r>
        <w:drawing>
          <wp:inline xmlns:a="http://schemas.openxmlformats.org/drawingml/2006/main" xmlns:pic="http://schemas.openxmlformats.org/drawingml/2006/picture">
            <wp:extent cx="4572000" cy="4623857"/>
            <wp:docPr id="6" name="Picture 6"/>
            <wp:cNvGraphicFramePr>
              <a:graphicFrameLocks noChangeAspect="1"/>
            </wp:cNvGraphicFramePr>
            <a:graphic>
              <a:graphicData uri="http://schemas.openxmlformats.org/drawingml/2006/picture">
                <pic:pic>
                  <pic:nvPicPr>
                    <pic:cNvPr id="0" name="11_confusion_matrix.png"/>
                    <pic:cNvPicPr/>
                  </pic:nvPicPr>
                  <pic:blipFill>
                    <a:blip r:embed="rId14"/>
                    <a:stretch>
                      <a:fillRect/>
                    </a:stretch>
                  </pic:blipFill>
                  <pic:spPr>
                    <a:xfrm>
                      <a:off x="0" y="0"/>
                      <a:ext cx="4572000" cy="4623857"/>
                    </a:xfrm>
                    <a:prstGeom prst="rect"/>
                  </pic:spPr>
                </pic:pic>
              </a:graphicData>
            </a:graphic>
          </wp:inline>
        </w:drawing>
      </w:r>
    </w:p>
    <w:p>
      <w:pPr>
        <w:spacing w:after="200"/>
        <w:jc w:val="center"/>
      </w:pPr>
      <w:r>
        <w:rPr>
          <w:rFonts w:ascii="Times New Roman" w:hAnsi="Times New Roman"/>
          <w:b w:val="0"/>
          <w:i/>
          <w:color w:val="000000"/>
          <w:sz w:val="20"/>
        </w:rPr>
        <w:t>Figure 4.6: Confusion matrix — WHO risk band classifier (Random Forest)</w:t>
      </w:r>
    </w:p>
    <w:p>
      <w:pPr>
        <w:spacing w:before="280" w:after="80" w:lineRule="exact" w:line="240"/>
        <w:jc w:val="left"/>
      </w:pPr>
      <w:r>
        <w:rPr>
          <w:rFonts w:ascii="Times New Roman" w:hAnsi="Times New Roman"/>
          <w:b/>
          <w:i w:val="0"/>
          <w:color w:val="000000"/>
          <w:sz w:val="28"/>
        </w:rPr>
        <w:t>4.5  Clustering — Regional Profiles</w:t>
      </w:r>
    </w:p>
    <w:p>
      <w:pPr>
        <w:spacing w:after="120" w:lineRule="exact" w:line="360"/>
        <w:jc w:val="both"/>
      </w:pPr>
      <w:r>
        <w:rPr>
          <w:rFonts w:ascii="Times New Roman" w:hAnsi="Times New Roman"/>
          <w:b w:val="0"/>
          <w:i w:val="0"/>
          <w:color w:val="000000"/>
          <w:sz w:val="24"/>
        </w:rPr>
        <w:t>K-Means clustering was applied to group regions by their socio-economic and health-system profiles, independent of their stunting rate. The elbow method identified k = 2 as the optimal number of clusters, confirmed by a silhouette score of 0.52.</w:t>
      </w:r>
    </w:p>
    <w:p>
      <w:pPr>
        <w:jc w:val="center"/>
      </w:pPr>
      <w:r>
        <w:drawing>
          <wp:inline xmlns:a="http://schemas.openxmlformats.org/drawingml/2006/main" xmlns:pic="http://schemas.openxmlformats.org/drawingml/2006/picture">
            <wp:extent cx="4572000" cy="3228138"/>
            <wp:docPr id="7" name="Picture 7"/>
            <wp:cNvGraphicFramePr>
              <a:graphicFrameLocks noChangeAspect="1"/>
            </wp:cNvGraphicFramePr>
            <a:graphic>
              <a:graphicData uri="http://schemas.openxmlformats.org/drawingml/2006/picture">
                <pic:pic>
                  <pic:nvPicPr>
                    <pic:cNvPr id="0" name="13_clusters_pca.png"/>
                    <pic:cNvPicPr/>
                  </pic:nvPicPr>
                  <pic:blipFill>
                    <a:blip r:embed="rId15"/>
                    <a:stretch>
                      <a:fillRect/>
                    </a:stretch>
                  </pic:blipFill>
                  <pic:spPr>
                    <a:xfrm>
                      <a:off x="0" y="0"/>
                      <a:ext cx="4572000" cy="3228138"/>
                    </a:xfrm>
                    <a:prstGeom prst="rect"/>
                  </pic:spPr>
                </pic:pic>
              </a:graphicData>
            </a:graphic>
          </wp:inline>
        </w:drawing>
      </w:r>
    </w:p>
    <w:p>
      <w:pPr>
        <w:spacing w:after="200"/>
        <w:jc w:val="center"/>
      </w:pPr>
      <w:r>
        <w:rPr>
          <w:rFonts w:ascii="Times New Roman" w:hAnsi="Times New Roman"/>
          <w:b w:val="0"/>
          <w:i/>
          <w:color w:val="000000"/>
          <w:sz w:val="20"/>
        </w:rPr>
        <w:t>Figure 4.7: K-Means clustering visualised in PCA space (k = 2)</w:t>
      </w:r>
    </w:p>
    <w:p>
      <w:pPr>
        <w:spacing w:after="120" w:lineRule="exact" w:line="360"/>
        <w:jc w:val="both"/>
      </w:pPr>
      <w:r>
        <w:rPr>
          <w:rFonts w:ascii="Times New Roman" w:hAnsi="Times New Roman"/>
          <w:b w:val="0"/>
          <w:i w:val="0"/>
          <w:color w:val="000000"/>
          <w:sz w:val="24"/>
        </w:rPr>
        <w:t>The two clusters are clearly separated and directly interpretable: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color w:val="000000"/>
                <w:sz w:val="22"/>
              </w:rPr>
              <w:t>Cluster</w:t>
            </w:r>
          </w:p>
        </w:tc>
        <w:tc>
          <w:tcPr>
            <w:tcW w:type="dxa" w:w="2280"/>
          </w:tcPr>
          <w:p>
            <w:r>
              <w:rPr>
                <w:rFonts w:ascii="Times New Roman" w:hAnsi="Times New Roman"/>
                <w:b/>
                <w:color w:val="000000"/>
                <w:sz w:val="22"/>
              </w:rPr>
              <w:t>Label</w:t>
            </w:r>
          </w:p>
        </w:tc>
        <w:tc>
          <w:tcPr>
            <w:tcW w:type="dxa" w:w="2280"/>
          </w:tcPr>
          <w:p>
            <w:r>
              <w:rPr>
                <w:rFonts w:ascii="Times New Roman" w:hAnsi="Times New Roman"/>
                <w:b/>
                <w:color w:val="000000"/>
                <w:sz w:val="22"/>
              </w:rPr>
              <w:t>Regions</w:t>
            </w:r>
          </w:p>
        </w:tc>
        <w:tc>
          <w:tcPr>
            <w:tcW w:type="dxa" w:w="2280"/>
          </w:tcPr>
          <w:p>
            <w:r>
              <w:rPr>
                <w:rFonts w:ascii="Times New Roman" w:hAnsi="Times New Roman"/>
                <w:b/>
                <w:color w:val="000000"/>
                <w:sz w:val="22"/>
              </w:rPr>
              <w:t>Mean Stunting</w:t>
            </w:r>
          </w:p>
        </w:tc>
      </w:tr>
      <w:tr>
        <w:tc>
          <w:tcPr>
            <w:tcW w:type="dxa" w:w="2280"/>
          </w:tcPr>
          <w:p>
            <w:r>
              <w:rPr>
                <w:rFonts w:ascii="Times New Roman" w:hAnsi="Times New Roman"/>
                <w:color w:val="000000"/>
                <w:sz w:val="22"/>
              </w:rPr>
              <w:t>0</w:t>
            </w:r>
          </w:p>
        </w:tc>
        <w:tc>
          <w:tcPr>
            <w:tcW w:type="dxa" w:w="2280"/>
          </w:tcPr>
          <w:p>
            <w:r>
              <w:rPr>
                <w:rFonts w:ascii="Times New Roman" w:hAnsi="Times New Roman"/>
                <w:color w:val="000000"/>
                <w:sz w:val="22"/>
              </w:rPr>
              <w:t>Northern-rural (high risk)</w:t>
            </w:r>
          </w:p>
        </w:tc>
        <w:tc>
          <w:tcPr>
            <w:tcW w:type="dxa" w:w="2280"/>
          </w:tcPr>
          <w:p>
            <w:r>
              <w:rPr>
                <w:rFonts w:ascii="Times New Roman" w:hAnsi="Times New Roman"/>
                <w:color w:val="000000"/>
                <w:sz w:val="22"/>
              </w:rPr>
              <w:t>North, Far North, Adamawa, East</w:t>
            </w:r>
          </w:p>
        </w:tc>
        <w:tc>
          <w:tcPr>
            <w:tcW w:type="dxa" w:w="2280"/>
          </w:tcPr>
          <w:p>
            <w:r>
              <w:rPr>
                <w:rFonts w:ascii="Times New Roman" w:hAnsi="Times New Roman"/>
                <w:color w:val="000000"/>
                <w:sz w:val="22"/>
              </w:rPr>
              <w:t>37%</w:t>
            </w:r>
          </w:p>
        </w:tc>
      </w:tr>
      <w:tr>
        <w:tc>
          <w:tcPr>
            <w:tcW w:type="dxa" w:w="2280"/>
          </w:tcPr>
          <w:p>
            <w:r>
              <w:rPr>
                <w:rFonts w:ascii="Times New Roman" w:hAnsi="Times New Roman"/>
                <w:color w:val="000000"/>
                <w:sz w:val="22"/>
              </w:rPr>
              <w:t>1</w:t>
            </w:r>
          </w:p>
        </w:tc>
        <w:tc>
          <w:tcPr>
            <w:tcW w:type="dxa" w:w="2280"/>
          </w:tcPr>
          <w:p>
            <w:r>
              <w:rPr>
                <w:rFonts w:ascii="Times New Roman" w:hAnsi="Times New Roman"/>
                <w:color w:val="000000"/>
                <w:sz w:val="22"/>
              </w:rPr>
              <w:t>Southern (lower risk)</w:t>
            </w:r>
          </w:p>
        </w:tc>
        <w:tc>
          <w:tcPr>
            <w:tcW w:type="dxa" w:w="2280"/>
          </w:tcPr>
          <w:p>
            <w:r>
              <w:rPr>
                <w:rFonts w:ascii="Times New Roman" w:hAnsi="Times New Roman"/>
                <w:color w:val="000000"/>
                <w:sz w:val="22"/>
              </w:rPr>
              <w:t>Centre, Littoral, South, West, Northwest, Southwest</w:t>
            </w:r>
          </w:p>
        </w:tc>
        <w:tc>
          <w:tcPr>
            <w:tcW w:type="dxa" w:w="2280"/>
          </w:tcPr>
          <w:p>
            <w:r>
              <w:rPr>
                <w:rFonts w:ascii="Times New Roman" w:hAnsi="Times New Roman"/>
                <w:color w:val="000000"/>
                <w:sz w:val="22"/>
              </w:rPr>
              <w:t>24%</w:t>
            </w:r>
          </w:p>
        </w:tc>
      </w:tr>
    </w:tbl>
    <w:p>
      <w:pPr>
        <w:spacing w:after="200"/>
        <w:jc w:val="left"/>
      </w:pPr>
      <w:r>
        <w:rPr>
          <w:rFonts w:ascii="Times New Roman" w:hAnsi="Times New Roman"/>
          <w:b/>
          <w:i w:val="0"/>
          <w:color w:val="000000"/>
          <w:sz w:val="20"/>
        </w:rPr>
        <w:t>Table 4.3: K-Means cluster profiles</w:t>
      </w:r>
    </w:p>
    <w:p/>
    <w:p>
      <w:pPr>
        <w:spacing w:after="120" w:lineRule="exact" w:line="360"/>
        <w:jc w:val="both"/>
      </w:pPr>
      <w:r>
        <w:rPr>
          <w:rFonts w:ascii="Times New Roman" w:hAnsi="Times New Roman"/>
          <w:b w:val="0"/>
          <w:i w:val="0"/>
          <w:color w:val="000000"/>
          <w:sz w:val="24"/>
        </w:rPr>
        <w:t>The northern cluster is characterised by very low female secondary education (2% vs 10%), much lower literacy rates (44% vs 87%), and poorer WASH and healthcare access. This means interventions in northern regions must address multiple drivers simultaneously rather than targeting any single indicator.</w:t>
      </w:r>
    </w:p>
    <w:p>
      <w:pPr>
        <w:spacing w:before="280" w:after="80" w:lineRule="exact" w:line="240"/>
        <w:jc w:val="left"/>
      </w:pPr>
      <w:r>
        <w:rPr>
          <w:rFonts w:ascii="Times New Roman" w:hAnsi="Times New Roman"/>
          <w:b/>
          <w:i w:val="0"/>
          <w:color w:val="000000"/>
          <w:sz w:val="28"/>
        </w:rPr>
        <w:t>4.6  Hypothesis Tests</w:t>
      </w:r>
    </w:p>
    <w:p>
      <w:pPr>
        <w:spacing w:after="120" w:lineRule="exact" w:line="360"/>
        <w:jc w:val="both"/>
      </w:pPr>
      <w:r>
        <w:rPr>
          <w:rFonts w:ascii="Times New Roman" w:hAnsi="Times New Roman"/>
          <w:b w:val="0"/>
          <w:i w:val="0"/>
          <w:color w:val="000000"/>
          <w:sz w:val="24"/>
        </w:rPr>
        <w:t>Six null hypotheses were tested at significance level alpha = 0.05 using the Spearman rank-correlation test (H1-H5) and a one-sided paired t-test (H6).</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b/>
                <w:color w:val="000000"/>
                <w:sz w:val="22"/>
              </w:rPr>
              <w:t>Hypothesis</w:t>
            </w:r>
          </w:p>
        </w:tc>
        <w:tc>
          <w:tcPr>
            <w:tcW w:type="dxa" w:w="1824"/>
          </w:tcPr>
          <w:p>
            <w:r>
              <w:rPr>
                <w:rFonts w:ascii="Times New Roman" w:hAnsi="Times New Roman"/>
                <w:b/>
                <w:color w:val="000000"/>
                <w:sz w:val="22"/>
              </w:rPr>
              <w:t>Driver</w:t>
            </w:r>
          </w:p>
        </w:tc>
        <w:tc>
          <w:tcPr>
            <w:tcW w:type="dxa" w:w="1824"/>
          </w:tcPr>
          <w:p>
            <w:r>
              <w:rPr>
                <w:rFonts w:ascii="Times New Roman" w:hAnsi="Times New Roman"/>
                <w:b/>
                <w:color w:val="000000"/>
                <w:sz w:val="22"/>
              </w:rPr>
              <w:t>Spearman rho / Effect</w:t>
            </w:r>
          </w:p>
        </w:tc>
        <w:tc>
          <w:tcPr>
            <w:tcW w:type="dxa" w:w="1824"/>
          </w:tcPr>
          <w:p>
            <w:r>
              <w:rPr>
                <w:rFonts w:ascii="Times New Roman" w:hAnsi="Times New Roman"/>
                <w:b/>
                <w:color w:val="000000"/>
                <w:sz w:val="22"/>
              </w:rPr>
              <w:t>p-value</w:t>
            </w:r>
          </w:p>
        </w:tc>
        <w:tc>
          <w:tcPr>
            <w:tcW w:type="dxa" w:w="1824"/>
          </w:tcPr>
          <w:p>
            <w:r>
              <w:rPr>
                <w:rFonts w:ascii="Times New Roman" w:hAnsi="Times New Roman"/>
                <w:b/>
                <w:color w:val="000000"/>
                <w:sz w:val="22"/>
              </w:rPr>
              <w:t>Result</w:t>
            </w:r>
          </w:p>
        </w:tc>
      </w:tr>
      <w:tr>
        <w:tc>
          <w:tcPr>
            <w:tcW w:type="dxa" w:w="1824"/>
          </w:tcPr>
          <w:p>
            <w:r>
              <w:rPr>
                <w:rFonts w:ascii="Times New Roman" w:hAnsi="Times New Roman"/>
                <w:color w:val="000000"/>
                <w:sz w:val="22"/>
              </w:rPr>
              <w:t>H1</w:t>
            </w:r>
          </w:p>
        </w:tc>
        <w:tc>
          <w:tcPr>
            <w:tcW w:type="dxa" w:w="1824"/>
          </w:tcPr>
          <w:p>
            <w:r>
              <w:rPr>
                <w:rFonts w:ascii="Times New Roman" w:hAnsi="Times New Roman"/>
                <w:color w:val="000000"/>
                <w:sz w:val="22"/>
              </w:rPr>
              <w:t>Maternal education</w:t>
            </w:r>
          </w:p>
        </w:tc>
        <w:tc>
          <w:tcPr>
            <w:tcW w:type="dxa" w:w="1824"/>
          </w:tcPr>
          <w:p>
            <w:r>
              <w:rPr>
                <w:rFonts w:ascii="Times New Roman" w:hAnsi="Times New Roman"/>
                <w:color w:val="000000"/>
                <w:sz w:val="22"/>
              </w:rPr>
              <w:t>rho = -0.28</w:t>
            </w:r>
          </w:p>
        </w:tc>
        <w:tc>
          <w:tcPr>
            <w:tcW w:type="dxa" w:w="1824"/>
          </w:tcPr>
          <w:p>
            <w:r>
              <w:rPr>
                <w:rFonts w:ascii="Times New Roman" w:hAnsi="Times New Roman"/>
                <w:color w:val="000000"/>
                <w:sz w:val="22"/>
              </w:rPr>
              <w:t>0.046</w:t>
            </w:r>
          </w:p>
        </w:tc>
        <w:tc>
          <w:tcPr>
            <w:tcW w:type="dxa" w:w="1824"/>
          </w:tcPr>
          <w:p>
            <w:r>
              <w:rPr>
                <w:rFonts w:ascii="Times New Roman" w:hAnsi="Times New Roman"/>
                <w:color w:val="000000"/>
                <w:sz w:val="22"/>
              </w:rPr>
              <w:t>Confirmed</w:t>
            </w:r>
          </w:p>
        </w:tc>
      </w:tr>
      <w:tr>
        <w:tc>
          <w:tcPr>
            <w:tcW w:type="dxa" w:w="1824"/>
          </w:tcPr>
          <w:p>
            <w:r>
              <w:rPr>
                <w:rFonts w:ascii="Times New Roman" w:hAnsi="Times New Roman"/>
                <w:color w:val="000000"/>
                <w:sz w:val="22"/>
              </w:rPr>
              <w:t>H2</w:t>
            </w:r>
          </w:p>
        </w:tc>
        <w:tc>
          <w:tcPr>
            <w:tcW w:type="dxa" w:w="1824"/>
          </w:tcPr>
          <w:p>
            <w:r>
              <w:rPr>
                <w:rFonts w:ascii="Times New Roman" w:hAnsi="Times New Roman"/>
                <w:color w:val="000000"/>
                <w:sz w:val="22"/>
              </w:rPr>
              <w:t>WASH access</w:t>
            </w:r>
          </w:p>
        </w:tc>
        <w:tc>
          <w:tcPr>
            <w:tcW w:type="dxa" w:w="1824"/>
          </w:tcPr>
          <w:p>
            <w:r>
              <w:rPr>
                <w:rFonts w:ascii="Times New Roman" w:hAnsi="Times New Roman"/>
                <w:color w:val="000000"/>
                <w:sz w:val="22"/>
              </w:rPr>
              <w:t>rho = -0.50</w:t>
            </w:r>
          </w:p>
        </w:tc>
        <w:tc>
          <w:tcPr>
            <w:tcW w:type="dxa" w:w="1824"/>
          </w:tcPr>
          <w:p>
            <w:r>
              <w:rPr>
                <w:rFonts w:ascii="Times New Roman" w:hAnsi="Times New Roman"/>
                <w:color w:val="000000"/>
                <w:sz w:val="22"/>
              </w:rPr>
              <w:t>0.0002</w:t>
            </w:r>
          </w:p>
        </w:tc>
        <w:tc>
          <w:tcPr>
            <w:tcW w:type="dxa" w:w="1824"/>
          </w:tcPr>
          <w:p>
            <w:r>
              <w:rPr>
                <w:rFonts w:ascii="Times New Roman" w:hAnsi="Times New Roman"/>
                <w:color w:val="000000"/>
                <w:sz w:val="22"/>
              </w:rPr>
              <w:t>Confirmed</w:t>
            </w:r>
          </w:p>
        </w:tc>
      </w:tr>
      <w:tr>
        <w:tc>
          <w:tcPr>
            <w:tcW w:type="dxa" w:w="1824"/>
          </w:tcPr>
          <w:p>
            <w:r>
              <w:rPr>
                <w:rFonts w:ascii="Times New Roman" w:hAnsi="Times New Roman"/>
                <w:color w:val="000000"/>
                <w:sz w:val="22"/>
              </w:rPr>
              <w:t>H3</w:t>
            </w:r>
          </w:p>
        </w:tc>
        <w:tc>
          <w:tcPr>
            <w:tcW w:type="dxa" w:w="1824"/>
          </w:tcPr>
          <w:p>
            <w:r>
              <w:rPr>
                <w:rFonts w:ascii="Times New Roman" w:hAnsi="Times New Roman"/>
                <w:color w:val="000000"/>
                <w:sz w:val="22"/>
              </w:rPr>
              <w:t>Socio-economic status</w:t>
            </w:r>
          </w:p>
        </w:tc>
        <w:tc>
          <w:tcPr>
            <w:tcW w:type="dxa" w:w="1824"/>
          </w:tcPr>
          <w:p>
            <w:r>
              <w:rPr>
                <w:rFonts w:ascii="Times New Roman" w:hAnsi="Times New Roman"/>
                <w:color w:val="000000"/>
                <w:sz w:val="22"/>
              </w:rPr>
              <w:t>rho = -0.39</w:t>
            </w:r>
          </w:p>
        </w:tc>
        <w:tc>
          <w:tcPr>
            <w:tcW w:type="dxa" w:w="1824"/>
          </w:tcPr>
          <w:p>
            <w:r>
              <w:rPr>
                <w:rFonts w:ascii="Times New Roman" w:hAnsi="Times New Roman"/>
                <w:color w:val="000000"/>
                <w:sz w:val="22"/>
              </w:rPr>
              <w:t>0.005</w:t>
            </w:r>
          </w:p>
        </w:tc>
        <w:tc>
          <w:tcPr>
            <w:tcW w:type="dxa" w:w="1824"/>
          </w:tcPr>
          <w:p>
            <w:r>
              <w:rPr>
                <w:rFonts w:ascii="Times New Roman" w:hAnsi="Times New Roman"/>
                <w:color w:val="000000"/>
                <w:sz w:val="22"/>
              </w:rPr>
              <w:t>Confirmed</w:t>
            </w:r>
          </w:p>
        </w:tc>
      </w:tr>
      <w:tr>
        <w:tc>
          <w:tcPr>
            <w:tcW w:type="dxa" w:w="1824"/>
          </w:tcPr>
          <w:p>
            <w:r>
              <w:rPr>
                <w:rFonts w:ascii="Times New Roman" w:hAnsi="Times New Roman"/>
                <w:color w:val="000000"/>
                <w:sz w:val="22"/>
              </w:rPr>
              <w:t>H4</w:t>
            </w:r>
          </w:p>
        </w:tc>
        <w:tc>
          <w:tcPr>
            <w:tcW w:type="dxa" w:w="1824"/>
          </w:tcPr>
          <w:p>
            <w:r>
              <w:rPr>
                <w:rFonts w:ascii="Times New Roman" w:hAnsi="Times New Roman"/>
                <w:color w:val="000000"/>
                <w:sz w:val="22"/>
              </w:rPr>
              <w:t>Healthcare access</w:t>
            </w:r>
          </w:p>
        </w:tc>
        <w:tc>
          <w:tcPr>
            <w:tcW w:type="dxa" w:w="1824"/>
          </w:tcPr>
          <w:p>
            <w:r>
              <w:rPr>
                <w:rFonts w:ascii="Times New Roman" w:hAnsi="Times New Roman"/>
                <w:color w:val="000000"/>
                <w:sz w:val="22"/>
              </w:rPr>
              <w:t>rho = -0.77</w:t>
            </w:r>
          </w:p>
        </w:tc>
        <w:tc>
          <w:tcPr>
            <w:tcW w:type="dxa" w:w="1824"/>
          </w:tcPr>
          <w:p>
            <w:r>
              <w:rPr>
                <w:rFonts w:ascii="Times New Roman" w:hAnsi="Times New Roman"/>
                <w:color w:val="000000"/>
                <w:sz w:val="22"/>
              </w:rPr>
              <w:t>&lt; 0.001</w:t>
            </w:r>
          </w:p>
        </w:tc>
        <w:tc>
          <w:tcPr>
            <w:tcW w:type="dxa" w:w="1824"/>
          </w:tcPr>
          <w:p>
            <w:r>
              <w:rPr>
                <w:rFonts w:ascii="Times New Roman" w:hAnsi="Times New Roman"/>
                <w:color w:val="000000"/>
                <w:sz w:val="22"/>
              </w:rPr>
              <w:t>Confirmed</w:t>
            </w:r>
          </w:p>
        </w:tc>
      </w:tr>
      <w:tr>
        <w:tc>
          <w:tcPr>
            <w:tcW w:type="dxa" w:w="1824"/>
          </w:tcPr>
          <w:p>
            <w:r>
              <w:rPr>
                <w:rFonts w:ascii="Times New Roman" w:hAnsi="Times New Roman"/>
                <w:color w:val="000000"/>
                <w:sz w:val="22"/>
              </w:rPr>
              <w:t>H5</w:t>
            </w:r>
          </w:p>
        </w:tc>
        <w:tc>
          <w:tcPr>
            <w:tcW w:type="dxa" w:w="1824"/>
          </w:tcPr>
          <w:p>
            <w:r>
              <w:rPr>
                <w:rFonts w:ascii="Times New Roman" w:hAnsi="Times New Roman"/>
                <w:color w:val="000000"/>
                <w:sz w:val="22"/>
              </w:rPr>
              <w:t>Malaria prevalence</w:t>
            </w:r>
          </w:p>
        </w:tc>
        <w:tc>
          <w:tcPr>
            <w:tcW w:type="dxa" w:w="1824"/>
          </w:tcPr>
          <w:p>
            <w:r>
              <w:rPr>
                <w:rFonts w:ascii="Times New Roman" w:hAnsi="Times New Roman"/>
                <w:color w:val="000000"/>
                <w:sz w:val="22"/>
              </w:rPr>
              <w:t>rho = +0.18</w:t>
            </w:r>
          </w:p>
        </w:tc>
        <w:tc>
          <w:tcPr>
            <w:tcW w:type="dxa" w:w="1824"/>
          </w:tcPr>
          <w:p>
            <w:r>
              <w:rPr>
                <w:rFonts w:ascii="Times New Roman" w:hAnsi="Times New Roman"/>
                <w:color w:val="000000"/>
                <w:sz w:val="22"/>
              </w:rPr>
              <w:t>0.225</w:t>
            </w:r>
          </w:p>
        </w:tc>
        <w:tc>
          <w:tcPr>
            <w:tcW w:type="dxa" w:w="1824"/>
          </w:tcPr>
          <w:p>
            <w:r>
              <w:rPr>
                <w:rFonts w:ascii="Times New Roman" w:hAnsi="Times New Roman"/>
                <w:color w:val="000000"/>
                <w:sz w:val="22"/>
              </w:rPr>
              <w:t>Not confirmed</w:t>
            </w:r>
          </w:p>
        </w:tc>
      </w:tr>
      <w:tr>
        <w:tc>
          <w:tcPr>
            <w:tcW w:type="dxa" w:w="1824"/>
          </w:tcPr>
          <w:p>
            <w:r>
              <w:rPr>
                <w:rFonts w:ascii="Times New Roman" w:hAnsi="Times New Roman"/>
                <w:color w:val="000000"/>
                <w:sz w:val="22"/>
              </w:rPr>
              <w:t>H6</w:t>
            </w:r>
          </w:p>
        </w:tc>
        <w:tc>
          <w:tcPr>
            <w:tcW w:type="dxa" w:w="1824"/>
          </w:tcPr>
          <w:p>
            <w:r>
              <w:rPr>
                <w:rFonts w:ascii="Times New Roman" w:hAnsi="Times New Roman"/>
                <w:color w:val="000000"/>
                <w:sz w:val="22"/>
              </w:rPr>
              <w:t>ML beats baseline</w:t>
            </w:r>
          </w:p>
        </w:tc>
        <w:tc>
          <w:tcPr>
            <w:tcW w:type="dxa" w:w="1824"/>
          </w:tcPr>
          <w:p>
            <w:r>
              <w:rPr>
                <w:rFonts w:ascii="Times New Roman" w:hAnsi="Times New Roman"/>
                <w:color w:val="000000"/>
                <w:sz w:val="22"/>
              </w:rPr>
              <w:t>-71% RMSE</w:t>
            </w:r>
          </w:p>
        </w:tc>
        <w:tc>
          <w:tcPr>
            <w:tcW w:type="dxa" w:w="1824"/>
          </w:tcPr>
          <w:p>
            <w:r>
              <w:rPr>
                <w:rFonts w:ascii="Times New Roman" w:hAnsi="Times New Roman"/>
                <w:color w:val="000000"/>
                <w:sz w:val="22"/>
              </w:rPr>
              <w:t>&lt; 0.001</w:t>
            </w:r>
          </w:p>
        </w:tc>
        <w:tc>
          <w:tcPr>
            <w:tcW w:type="dxa" w:w="1824"/>
          </w:tcPr>
          <w:p>
            <w:r>
              <w:rPr>
                <w:rFonts w:ascii="Times New Roman" w:hAnsi="Times New Roman"/>
                <w:color w:val="000000"/>
                <w:sz w:val="22"/>
              </w:rPr>
              <w:t>Confirmed</w:t>
            </w:r>
          </w:p>
        </w:tc>
      </w:tr>
    </w:tbl>
    <w:p>
      <w:pPr>
        <w:spacing w:after="200"/>
        <w:jc w:val="left"/>
      </w:pPr>
      <w:r>
        <w:rPr>
          <w:rFonts w:ascii="Times New Roman" w:hAnsi="Times New Roman"/>
          <w:b/>
          <w:i w:val="0"/>
          <w:color w:val="000000"/>
          <w:sz w:val="20"/>
        </w:rPr>
        <w:t>Table 4.2: Hypothesis test results (alpha = 0.05)</w:t>
      </w:r>
    </w:p>
    <w:p/>
    <w:p>
      <w:pPr>
        <w:spacing w:after="120" w:lineRule="exact" w:line="360"/>
        <w:jc w:val="both"/>
      </w:pPr>
      <w:r>
        <w:rPr>
          <w:rFonts w:ascii="Times New Roman" w:hAnsi="Times New Roman"/>
          <w:b w:val="0"/>
          <w:i w:val="0"/>
          <w:color w:val="000000"/>
          <w:sz w:val="24"/>
        </w:rPr>
        <w:t>Five of the six hypotheses were confirmed. Healthcare access is the strongest correlate of stunting (rho = -0.77), followed by WASH access (rho = -0.50) and socio-economic status (rho = -0.39). Hypothesis H5 — malaria prevalence — was not confirmed, likely because the malaria indicator has limited sub-national coverage in the dataset.</w:t>
      </w:r>
    </w:p>
    <w:p>
      <w:pPr>
        <w:spacing w:before="280" w:after="80" w:lineRule="exact" w:line="240"/>
        <w:jc w:val="left"/>
      </w:pPr>
      <w:r>
        <w:rPr>
          <w:rFonts w:ascii="Times New Roman" w:hAnsi="Times New Roman"/>
          <w:b/>
          <w:i w:val="0"/>
          <w:color w:val="000000"/>
          <w:sz w:val="28"/>
        </w:rPr>
        <w:t>4.7  Forecasting</w:t>
      </w:r>
    </w:p>
    <w:p>
      <w:pPr>
        <w:spacing w:after="120" w:lineRule="exact" w:line="360"/>
        <w:jc w:val="both"/>
      </w:pPr>
      <w:r>
        <w:rPr>
          <w:rFonts w:ascii="Times New Roman" w:hAnsi="Times New Roman"/>
          <w:b w:val="0"/>
          <w:i w:val="0"/>
          <w:color w:val="000000"/>
          <w:sz w:val="24"/>
        </w:rPr>
        <w:t>A linear trend was fitted to each region's historical stunting series (1991-2018) and extrapolated to 2026 and 2028. The slope in percentage points per year is the key metric — a negative slope indicates improvement.</w:t>
      </w:r>
    </w:p>
    <w:p>
      <w:pPr>
        <w:jc w:val="center"/>
      </w:pPr>
      <w:r>
        <w:drawing>
          <wp:inline xmlns:a="http://schemas.openxmlformats.org/drawingml/2006/main" xmlns:pic="http://schemas.openxmlformats.org/drawingml/2006/picture">
            <wp:extent cx="4572000" cy="2496845"/>
            <wp:docPr id="8" name="Picture 8"/>
            <wp:cNvGraphicFramePr>
              <a:graphicFrameLocks noChangeAspect="1"/>
            </wp:cNvGraphicFramePr>
            <a:graphic>
              <a:graphicData uri="http://schemas.openxmlformats.org/drawingml/2006/picture">
                <pic:pic>
                  <pic:nvPicPr>
                    <pic:cNvPr id="0" name="14_forecasts_top5.png"/>
                    <pic:cNvPicPr/>
                  </pic:nvPicPr>
                  <pic:blipFill>
                    <a:blip r:embed="rId16"/>
                    <a:stretch>
                      <a:fillRect/>
                    </a:stretch>
                  </pic:blipFill>
                  <pic:spPr>
                    <a:xfrm>
                      <a:off x="0" y="0"/>
                      <a:ext cx="4572000" cy="2496845"/>
                    </a:xfrm>
                    <a:prstGeom prst="rect"/>
                  </pic:spPr>
                </pic:pic>
              </a:graphicData>
            </a:graphic>
          </wp:inline>
        </w:drawing>
      </w:r>
    </w:p>
    <w:p>
      <w:pPr>
        <w:spacing w:after="200"/>
        <w:jc w:val="center"/>
      </w:pPr>
      <w:r>
        <w:rPr>
          <w:rFonts w:ascii="Times New Roman" w:hAnsi="Times New Roman"/>
          <w:b w:val="0"/>
          <w:i/>
          <w:color w:val="000000"/>
          <w:sz w:val="20"/>
        </w:rPr>
        <w:t>Figure 4.8: Stunting rate forecasts to 2026 and 2028 for top hotspot regions</w:t>
      </w:r>
    </w:p>
    <w:p>
      <w:pPr>
        <w:spacing w:after="120" w:lineRule="exact" w:line="360"/>
        <w:jc w:val="both"/>
      </w:pPr>
      <w:r>
        <w:rPr>
          <w:rFonts w:ascii="Times New Roman" w:hAnsi="Times New Roman"/>
          <w:b w:val="0"/>
          <w:i w:val="0"/>
          <w:color w:val="000000"/>
          <w:sz w:val="24"/>
        </w:rPr>
        <w:t>At current improvement rates, the North region is projected to reach 40.6% by 2026 and 40.4% by 2028 — still in the WHO Critical band. The Far North is projected at 39.2% by 2028. Without accelerated intervention the three northern regions will remain above the 30% High threshold through at least 2028.</w:t>
      </w:r>
    </w:p>
    <w:p>
      <w:pPr>
        <w:spacing w:before="280" w:after="80" w:lineRule="exact" w:line="240"/>
        <w:jc w:val="left"/>
      </w:pPr>
      <w:r>
        <w:rPr>
          <w:rFonts w:ascii="Times New Roman" w:hAnsi="Times New Roman"/>
          <w:b/>
          <w:i w:val="0"/>
          <w:color w:val="000000"/>
          <w:sz w:val="28"/>
        </w:rPr>
        <w:t>4.8  Hotspot Ranking</w:t>
      </w:r>
    </w:p>
    <w:p>
      <w:pPr>
        <w:spacing w:after="120" w:lineRule="exact" w:line="360"/>
        <w:jc w:val="both"/>
      </w:pPr>
      <w:r>
        <w:rPr>
          <w:rFonts w:ascii="Times New Roman" w:hAnsi="Times New Roman"/>
          <w:b w:val="0"/>
          <w:i w:val="0"/>
          <w:color w:val="000000"/>
          <w:sz w:val="24"/>
        </w:rPr>
        <w:t>The main output of the pipeline is a ranked table of all ten regions by their predicted stunting rate in 2018, combining the regression prediction, WHO risk band, cluster assignment, and 2028 forecast. Table 4.4 shows the full ranking.</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b/>
                <w:color w:val="000000"/>
                <w:sz w:val="22"/>
              </w:rPr>
              <w:t>Rank</w:t>
            </w:r>
          </w:p>
        </w:tc>
        <w:tc>
          <w:tcPr>
            <w:tcW w:type="dxa" w:w="1520"/>
          </w:tcPr>
          <w:p>
            <w:r>
              <w:rPr>
                <w:rFonts w:ascii="Times New Roman" w:hAnsi="Times New Roman"/>
                <w:b/>
                <w:color w:val="000000"/>
                <w:sz w:val="22"/>
              </w:rPr>
              <w:t>Region</w:t>
            </w:r>
          </w:p>
        </w:tc>
        <w:tc>
          <w:tcPr>
            <w:tcW w:type="dxa" w:w="1520"/>
          </w:tcPr>
          <w:p>
            <w:r>
              <w:rPr>
                <w:rFonts w:ascii="Times New Roman" w:hAnsi="Times New Roman"/>
                <w:b/>
                <w:color w:val="000000"/>
                <w:sz w:val="22"/>
              </w:rPr>
              <w:t>Predicted Stunting</w:t>
            </w:r>
          </w:p>
        </w:tc>
        <w:tc>
          <w:tcPr>
            <w:tcW w:type="dxa" w:w="1520"/>
          </w:tcPr>
          <w:p>
            <w:r>
              <w:rPr>
                <w:rFonts w:ascii="Times New Roman" w:hAnsi="Times New Roman"/>
                <w:b/>
                <w:color w:val="000000"/>
                <w:sz w:val="22"/>
              </w:rPr>
              <w:t>WHO Band</w:t>
            </w:r>
          </w:p>
        </w:tc>
        <w:tc>
          <w:tcPr>
            <w:tcW w:type="dxa" w:w="1520"/>
          </w:tcPr>
          <w:p>
            <w:r>
              <w:rPr>
                <w:rFonts w:ascii="Times New Roman" w:hAnsi="Times New Roman"/>
                <w:b/>
                <w:color w:val="000000"/>
                <w:sz w:val="22"/>
              </w:rPr>
              <w:t>Cluster</w:t>
            </w:r>
          </w:p>
        </w:tc>
        <w:tc>
          <w:tcPr>
            <w:tcW w:type="dxa" w:w="1520"/>
          </w:tcPr>
          <w:p>
            <w:r>
              <w:rPr>
                <w:rFonts w:ascii="Times New Roman" w:hAnsi="Times New Roman"/>
                <w:b/>
                <w:color w:val="000000"/>
                <w:sz w:val="22"/>
              </w:rPr>
              <w:t>Forecast 2028</w:t>
            </w:r>
          </w:p>
        </w:tc>
      </w:tr>
      <w:tr>
        <w:tc>
          <w:tcPr>
            <w:tcW w:type="dxa" w:w="1520"/>
          </w:tcPr>
          <w:p>
            <w:r>
              <w:rPr>
                <w:rFonts w:ascii="Times New Roman" w:hAnsi="Times New Roman"/>
                <w:color w:val="000000"/>
                <w:sz w:val="22"/>
              </w:rPr>
              <w:t>1</w:t>
            </w:r>
          </w:p>
        </w:tc>
        <w:tc>
          <w:tcPr>
            <w:tcW w:type="dxa" w:w="1520"/>
          </w:tcPr>
          <w:p>
            <w:r>
              <w:rPr>
                <w:rFonts w:ascii="Times New Roman" w:hAnsi="Times New Roman"/>
                <w:color w:val="000000"/>
                <w:sz w:val="22"/>
              </w:rPr>
              <w:t>North</w:t>
            </w:r>
          </w:p>
        </w:tc>
        <w:tc>
          <w:tcPr>
            <w:tcW w:type="dxa" w:w="1520"/>
          </w:tcPr>
          <w:p>
            <w:r>
              <w:rPr>
                <w:rFonts w:ascii="Times New Roman" w:hAnsi="Times New Roman"/>
                <w:color w:val="000000"/>
                <w:sz w:val="22"/>
              </w:rPr>
              <w:t>40.8%</w:t>
            </w:r>
          </w:p>
        </w:tc>
        <w:tc>
          <w:tcPr>
            <w:tcW w:type="dxa" w:w="1520"/>
          </w:tcPr>
          <w:p>
            <w:r>
              <w:rPr>
                <w:rFonts w:ascii="Times New Roman" w:hAnsi="Times New Roman"/>
                <w:color w:val="000000"/>
                <w:sz w:val="22"/>
              </w:rPr>
              <w:t>Critical</w:t>
            </w:r>
          </w:p>
        </w:tc>
        <w:tc>
          <w:tcPr>
            <w:tcW w:type="dxa" w:w="1520"/>
          </w:tcPr>
          <w:p>
            <w:r>
              <w:rPr>
                <w:rFonts w:ascii="Times New Roman" w:hAnsi="Times New Roman"/>
                <w:color w:val="000000"/>
                <w:sz w:val="22"/>
              </w:rPr>
              <w:t>Northern-rural</w:t>
            </w:r>
          </w:p>
        </w:tc>
        <w:tc>
          <w:tcPr>
            <w:tcW w:type="dxa" w:w="1520"/>
          </w:tcPr>
          <w:p>
            <w:r>
              <w:rPr>
                <w:rFonts w:ascii="Times New Roman" w:hAnsi="Times New Roman"/>
                <w:color w:val="000000"/>
                <w:sz w:val="22"/>
              </w:rPr>
              <w:t>40.4%</w:t>
            </w:r>
          </w:p>
        </w:tc>
      </w:tr>
      <w:tr>
        <w:tc>
          <w:tcPr>
            <w:tcW w:type="dxa" w:w="1520"/>
          </w:tcPr>
          <w:p>
            <w:r>
              <w:rPr>
                <w:rFonts w:ascii="Times New Roman" w:hAnsi="Times New Roman"/>
                <w:color w:val="000000"/>
                <w:sz w:val="22"/>
              </w:rPr>
              <w:t>2</w:t>
            </w:r>
          </w:p>
        </w:tc>
        <w:tc>
          <w:tcPr>
            <w:tcW w:type="dxa" w:w="1520"/>
          </w:tcPr>
          <w:p>
            <w:r>
              <w:rPr>
                <w:rFonts w:ascii="Times New Roman" w:hAnsi="Times New Roman"/>
                <w:color w:val="000000"/>
                <w:sz w:val="22"/>
              </w:rPr>
              <w:t>Far North</w:t>
            </w:r>
          </w:p>
        </w:tc>
        <w:tc>
          <w:tcPr>
            <w:tcW w:type="dxa" w:w="1520"/>
          </w:tcPr>
          <w:p>
            <w:r>
              <w:rPr>
                <w:rFonts w:ascii="Times New Roman" w:hAnsi="Times New Roman"/>
                <w:color w:val="000000"/>
                <w:sz w:val="22"/>
              </w:rPr>
              <w:t>39.4%</w:t>
            </w:r>
          </w:p>
        </w:tc>
        <w:tc>
          <w:tcPr>
            <w:tcW w:type="dxa" w:w="1520"/>
          </w:tcPr>
          <w:p>
            <w:r>
              <w:rPr>
                <w:rFonts w:ascii="Times New Roman" w:hAnsi="Times New Roman"/>
                <w:color w:val="000000"/>
                <w:sz w:val="22"/>
              </w:rPr>
              <w:t>Critical</w:t>
            </w:r>
          </w:p>
        </w:tc>
        <w:tc>
          <w:tcPr>
            <w:tcW w:type="dxa" w:w="1520"/>
          </w:tcPr>
          <w:p>
            <w:r>
              <w:rPr>
                <w:rFonts w:ascii="Times New Roman" w:hAnsi="Times New Roman"/>
                <w:color w:val="000000"/>
                <w:sz w:val="22"/>
              </w:rPr>
              <w:t>Northern-rural</w:t>
            </w:r>
          </w:p>
        </w:tc>
        <w:tc>
          <w:tcPr>
            <w:tcW w:type="dxa" w:w="1520"/>
          </w:tcPr>
          <w:p>
            <w:r>
              <w:rPr>
                <w:rFonts w:ascii="Times New Roman" w:hAnsi="Times New Roman"/>
                <w:color w:val="000000"/>
                <w:sz w:val="22"/>
              </w:rPr>
              <w:t>39.2%</w:t>
            </w:r>
          </w:p>
        </w:tc>
      </w:tr>
      <w:tr>
        <w:tc>
          <w:tcPr>
            <w:tcW w:type="dxa" w:w="1520"/>
          </w:tcPr>
          <w:p>
            <w:r>
              <w:rPr>
                <w:rFonts w:ascii="Times New Roman" w:hAnsi="Times New Roman"/>
                <w:color w:val="000000"/>
                <w:sz w:val="22"/>
              </w:rPr>
              <w:t>3</w:t>
            </w:r>
          </w:p>
        </w:tc>
        <w:tc>
          <w:tcPr>
            <w:tcW w:type="dxa" w:w="1520"/>
          </w:tcPr>
          <w:p>
            <w:r>
              <w:rPr>
                <w:rFonts w:ascii="Times New Roman" w:hAnsi="Times New Roman"/>
                <w:color w:val="000000"/>
                <w:sz w:val="22"/>
              </w:rPr>
              <w:t>Adamawa</w:t>
            </w:r>
          </w:p>
        </w:tc>
        <w:tc>
          <w:tcPr>
            <w:tcW w:type="dxa" w:w="1520"/>
          </w:tcPr>
          <w:p>
            <w:r>
              <w:rPr>
                <w:rFonts w:ascii="Times New Roman" w:hAnsi="Times New Roman"/>
                <w:color w:val="000000"/>
                <w:sz w:val="22"/>
              </w:rPr>
              <w:t>39.3%</w:t>
            </w:r>
          </w:p>
        </w:tc>
        <w:tc>
          <w:tcPr>
            <w:tcW w:type="dxa" w:w="1520"/>
          </w:tcPr>
          <w:p>
            <w:r>
              <w:rPr>
                <w:rFonts w:ascii="Times New Roman" w:hAnsi="Times New Roman"/>
                <w:color w:val="000000"/>
                <w:sz w:val="22"/>
              </w:rPr>
              <w:t>High</w:t>
            </w:r>
          </w:p>
        </w:tc>
        <w:tc>
          <w:tcPr>
            <w:tcW w:type="dxa" w:w="1520"/>
          </w:tcPr>
          <w:p>
            <w:r>
              <w:rPr>
                <w:rFonts w:ascii="Times New Roman" w:hAnsi="Times New Roman"/>
                <w:color w:val="000000"/>
                <w:sz w:val="22"/>
              </w:rPr>
              <w:t>Northern-rural</w:t>
            </w:r>
          </w:p>
        </w:tc>
        <w:tc>
          <w:tcPr>
            <w:tcW w:type="dxa" w:w="1520"/>
          </w:tcPr>
          <w:p>
            <w:r>
              <w:rPr>
                <w:rFonts w:ascii="Times New Roman" w:hAnsi="Times New Roman"/>
                <w:color w:val="000000"/>
                <w:sz w:val="22"/>
              </w:rPr>
              <w:t>37.1%</w:t>
            </w:r>
          </w:p>
        </w:tc>
      </w:tr>
      <w:tr>
        <w:tc>
          <w:tcPr>
            <w:tcW w:type="dxa" w:w="1520"/>
          </w:tcPr>
          <w:p>
            <w:r>
              <w:rPr>
                <w:rFonts w:ascii="Times New Roman" w:hAnsi="Times New Roman"/>
                <w:color w:val="000000"/>
                <w:sz w:val="22"/>
              </w:rPr>
              <w:t>4</w:t>
            </w:r>
          </w:p>
        </w:tc>
        <w:tc>
          <w:tcPr>
            <w:tcW w:type="dxa" w:w="1520"/>
          </w:tcPr>
          <w:p>
            <w:r>
              <w:rPr>
                <w:rFonts w:ascii="Times New Roman" w:hAnsi="Times New Roman"/>
                <w:color w:val="000000"/>
                <w:sz w:val="22"/>
              </w:rPr>
              <w:t>East</w:t>
            </w:r>
          </w:p>
        </w:tc>
        <w:tc>
          <w:tcPr>
            <w:tcW w:type="dxa" w:w="1520"/>
          </w:tcPr>
          <w:p>
            <w:r>
              <w:rPr>
                <w:rFonts w:ascii="Times New Roman" w:hAnsi="Times New Roman"/>
                <w:color w:val="000000"/>
                <w:sz w:val="22"/>
              </w:rPr>
              <w:t>34.3%</w:t>
            </w:r>
          </w:p>
        </w:tc>
        <w:tc>
          <w:tcPr>
            <w:tcW w:type="dxa" w:w="1520"/>
          </w:tcPr>
          <w:p>
            <w:r>
              <w:rPr>
                <w:rFonts w:ascii="Times New Roman" w:hAnsi="Times New Roman"/>
                <w:color w:val="000000"/>
                <w:sz w:val="22"/>
              </w:rPr>
              <w:t>High</w:t>
            </w:r>
          </w:p>
        </w:tc>
        <w:tc>
          <w:tcPr>
            <w:tcW w:type="dxa" w:w="1520"/>
          </w:tcPr>
          <w:p>
            <w:r>
              <w:rPr>
                <w:rFonts w:ascii="Times New Roman" w:hAnsi="Times New Roman"/>
                <w:color w:val="000000"/>
                <w:sz w:val="22"/>
              </w:rPr>
              <w:t>Northern-rural</w:t>
            </w:r>
          </w:p>
        </w:tc>
        <w:tc>
          <w:tcPr>
            <w:tcW w:type="dxa" w:w="1520"/>
          </w:tcPr>
          <w:p>
            <w:r>
              <w:rPr>
                <w:rFonts w:ascii="Times New Roman" w:hAnsi="Times New Roman"/>
                <w:color w:val="000000"/>
                <w:sz w:val="22"/>
              </w:rPr>
              <w:t>33.8%</w:t>
            </w:r>
          </w:p>
        </w:tc>
      </w:tr>
      <w:tr>
        <w:tc>
          <w:tcPr>
            <w:tcW w:type="dxa" w:w="1520"/>
          </w:tcPr>
          <w:p>
            <w:r>
              <w:rPr>
                <w:rFonts w:ascii="Times New Roman" w:hAnsi="Times New Roman"/>
                <w:color w:val="000000"/>
                <w:sz w:val="22"/>
              </w:rPr>
              <w:t>5</w:t>
            </w:r>
          </w:p>
        </w:tc>
        <w:tc>
          <w:tcPr>
            <w:tcW w:type="dxa" w:w="1520"/>
          </w:tcPr>
          <w:p>
            <w:r>
              <w:rPr>
                <w:rFonts w:ascii="Times New Roman" w:hAnsi="Times New Roman"/>
                <w:color w:val="000000"/>
                <w:sz w:val="22"/>
              </w:rPr>
              <w:t>South</w:t>
            </w:r>
          </w:p>
        </w:tc>
        <w:tc>
          <w:tcPr>
            <w:tcW w:type="dxa" w:w="1520"/>
          </w:tcPr>
          <w:p>
            <w:r>
              <w:rPr>
                <w:rFonts w:ascii="Times New Roman" w:hAnsi="Times New Roman"/>
                <w:color w:val="000000"/>
                <w:sz w:val="22"/>
              </w:rPr>
              <w:t>27.3%</w:t>
            </w:r>
          </w:p>
        </w:tc>
        <w:tc>
          <w:tcPr>
            <w:tcW w:type="dxa" w:w="1520"/>
          </w:tcPr>
          <w:p>
            <w:r>
              <w:rPr>
                <w:rFonts w:ascii="Times New Roman" w:hAnsi="Times New Roman"/>
                <w:color w:val="000000"/>
                <w:sz w:val="22"/>
              </w:rPr>
              <w:t>Medium</w:t>
            </w:r>
          </w:p>
        </w:tc>
        <w:tc>
          <w:tcPr>
            <w:tcW w:type="dxa" w:w="1520"/>
          </w:tcPr>
          <w:p>
            <w:r>
              <w:rPr>
                <w:rFonts w:ascii="Times New Roman" w:hAnsi="Times New Roman"/>
                <w:color w:val="000000"/>
                <w:sz w:val="22"/>
              </w:rPr>
              <w:t>Southern</w:t>
            </w:r>
          </w:p>
        </w:tc>
        <w:tc>
          <w:tcPr>
            <w:tcW w:type="dxa" w:w="1520"/>
          </w:tcPr>
          <w:p>
            <w:r>
              <w:rPr>
                <w:rFonts w:ascii="Times New Roman" w:hAnsi="Times New Roman"/>
                <w:color w:val="000000"/>
                <w:sz w:val="22"/>
              </w:rPr>
              <w:t>26.7%</w:t>
            </w:r>
          </w:p>
        </w:tc>
      </w:tr>
      <w:tr>
        <w:tc>
          <w:tcPr>
            <w:tcW w:type="dxa" w:w="1520"/>
          </w:tcPr>
          <w:p>
            <w:r>
              <w:rPr>
                <w:rFonts w:ascii="Times New Roman" w:hAnsi="Times New Roman"/>
                <w:color w:val="000000"/>
                <w:sz w:val="22"/>
              </w:rPr>
              <w:t>6</w:t>
            </w:r>
          </w:p>
        </w:tc>
        <w:tc>
          <w:tcPr>
            <w:tcW w:type="dxa" w:w="1520"/>
          </w:tcPr>
          <w:p>
            <w:r>
              <w:rPr>
                <w:rFonts w:ascii="Times New Roman" w:hAnsi="Times New Roman"/>
                <w:color w:val="000000"/>
                <w:sz w:val="22"/>
              </w:rPr>
              <w:t>Northwest</w:t>
            </w:r>
          </w:p>
        </w:tc>
        <w:tc>
          <w:tcPr>
            <w:tcW w:type="dxa" w:w="1520"/>
          </w:tcPr>
          <w:p>
            <w:r>
              <w:rPr>
                <w:rFonts w:ascii="Times New Roman" w:hAnsi="Times New Roman"/>
                <w:color w:val="000000"/>
                <w:sz w:val="22"/>
              </w:rPr>
              <w:t>23.7%</w:t>
            </w:r>
          </w:p>
        </w:tc>
        <w:tc>
          <w:tcPr>
            <w:tcW w:type="dxa" w:w="1520"/>
          </w:tcPr>
          <w:p>
            <w:r>
              <w:rPr>
                <w:rFonts w:ascii="Times New Roman" w:hAnsi="Times New Roman"/>
                <w:color w:val="000000"/>
                <w:sz w:val="22"/>
              </w:rPr>
              <w:t>Medium</w:t>
            </w:r>
          </w:p>
        </w:tc>
        <w:tc>
          <w:tcPr>
            <w:tcW w:type="dxa" w:w="1520"/>
          </w:tcPr>
          <w:p>
            <w:r>
              <w:rPr>
                <w:rFonts w:ascii="Times New Roman" w:hAnsi="Times New Roman"/>
                <w:color w:val="000000"/>
                <w:sz w:val="22"/>
              </w:rPr>
              <w:t>Southern</w:t>
            </w:r>
          </w:p>
        </w:tc>
        <w:tc>
          <w:tcPr>
            <w:tcW w:type="dxa" w:w="1520"/>
          </w:tcPr>
          <w:p>
            <w:r>
              <w:rPr>
                <w:rFonts w:ascii="Times New Roman" w:hAnsi="Times New Roman"/>
                <w:color w:val="000000"/>
                <w:sz w:val="22"/>
              </w:rPr>
              <w:t>23.4%</w:t>
            </w:r>
          </w:p>
        </w:tc>
      </w:tr>
      <w:tr>
        <w:tc>
          <w:tcPr>
            <w:tcW w:type="dxa" w:w="1520"/>
          </w:tcPr>
          <w:p>
            <w:r>
              <w:rPr>
                <w:rFonts w:ascii="Times New Roman" w:hAnsi="Times New Roman"/>
                <w:color w:val="000000"/>
                <w:sz w:val="22"/>
              </w:rPr>
              <w:t>7</w:t>
            </w:r>
          </w:p>
        </w:tc>
        <w:tc>
          <w:tcPr>
            <w:tcW w:type="dxa" w:w="1520"/>
          </w:tcPr>
          <w:p>
            <w:r>
              <w:rPr>
                <w:rFonts w:ascii="Times New Roman" w:hAnsi="Times New Roman"/>
                <w:color w:val="000000"/>
                <w:sz w:val="22"/>
              </w:rPr>
              <w:t>West</w:t>
            </w:r>
          </w:p>
        </w:tc>
        <w:tc>
          <w:tcPr>
            <w:tcW w:type="dxa" w:w="1520"/>
          </w:tcPr>
          <w:p>
            <w:r>
              <w:rPr>
                <w:rFonts w:ascii="Times New Roman" w:hAnsi="Times New Roman"/>
                <w:color w:val="000000"/>
                <w:sz w:val="22"/>
              </w:rPr>
              <w:t>21.5%</w:t>
            </w:r>
          </w:p>
        </w:tc>
        <w:tc>
          <w:tcPr>
            <w:tcW w:type="dxa" w:w="1520"/>
          </w:tcPr>
          <w:p>
            <w:r>
              <w:rPr>
                <w:rFonts w:ascii="Times New Roman" w:hAnsi="Times New Roman"/>
                <w:color w:val="000000"/>
                <w:sz w:val="22"/>
              </w:rPr>
              <w:t>Medium</w:t>
            </w:r>
          </w:p>
        </w:tc>
        <w:tc>
          <w:tcPr>
            <w:tcW w:type="dxa" w:w="1520"/>
          </w:tcPr>
          <w:p>
            <w:r>
              <w:rPr>
                <w:rFonts w:ascii="Times New Roman" w:hAnsi="Times New Roman"/>
                <w:color w:val="000000"/>
                <w:sz w:val="22"/>
              </w:rPr>
              <w:t>Southern</w:t>
            </w:r>
          </w:p>
        </w:tc>
        <w:tc>
          <w:tcPr>
            <w:tcW w:type="dxa" w:w="1520"/>
          </w:tcPr>
          <w:p>
            <w:r>
              <w:rPr>
                <w:rFonts w:ascii="Times New Roman" w:hAnsi="Times New Roman"/>
                <w:color w:val="000000"/>
                <w:sz w:val="22"/>
              </w:rPr>
              <w:t>21.2%</w:t>
            </w:r>
          </w:p>
        </w:tc>
      </w:tr>
      <w:tr>
        <w:tc>
          <w:tcPr>
            <w:tcW w:type="dxa" w:w="1520"/>
          </w:tcPr>
          <w:p>
            <w:r>
              <w:rPr>
                <w:rFonts w:ascii="Times New Roman" w:hAnsi="Times New Roman"/>
                <w:color w:val="000000"/>
                <w:sz w:val="22"/>
              </w:rPr>
              <w:t>8</w:t>
            </w:r>
          </w:p>
        </w:tc>
        <w:tc>
          <w:tcPr>
            <w:tcW w:type="dxa" w:w="1520"/>
          </w:tcPr>
          <w:p>
            <w:r>
              <w:rPr>
                <w:rFonts w:ascii="Times New Roman" w:hAnsi="Times New Roman"/>
                <w:color w:val="000000"/>
                <w:sz w:val="22"/>
              </w:rPr>
              <w:t>Centre</w:t>
            </w:r>
          </w:p>
        </w:tc>
        <w:tc>
          <w:tcPr>
            <w:tcW w:type="dxa" w:w="1520"/>
          </w:tcPr>
          <w:p>
            <w:r>
              <w:rPr>
                <w:rFonts w:ascii="Times New Roman" w:hAnsi="Times New Roman"/>
                <w:color w:val="000000"/>
                <w:sz w:val="22"/>
              </w:rPr>
              <w:t>21.0%</w:t>
            </w:r>
          </w:p>
        </w:tc>
        <w:tc>
          <w:tcPr>
            <w:tcW w:type="dxa" w:w="1520"/>
          </w:tcPr>
          <w:p>
            <w:r>
              <w:rPr>
                <w:rFonts w:ascii="Times New Roman" w:hAnsi="Times New Roman"/>
                <w:color w:val="000000"/>
                <w:sz w:val="22"/>
              </w:rPr>
              <w:t>Medium</w:t>
            </w:r>
          </w:p>
        </w:tc>
        <w:tc>
          <w:tcPr>
            <w:tcW w:type="dxa" w:w="1520"/>
          </w:tcPr>
          <w:p>
            <w:r>
              <w:rPr>
                <w:rFonts w:ascii="Times New Roman" w:hAnsi="Times New Roman"/>
                <w:color w:val="000000"/>
                <w:sz w:val="22"/>
              </w:rPr>
              <w:t>Southern</w:t>
            </w:r>
          </w:p>
        </w:tc>
        <w:tc>
          <w:tcPr>
            <w:tcW w:type="dxa" w:w="1520"/>
          </w:tcPr>
          <w:p>
            <w:r>
              <w:rPr>
                <w:rFonts w:ascii="Times New Roman" w:hAnsi="Times New Roman"/>
                <w:color w:val="000000"/>
                <w:sz w:val="22"/>
              </w:rPr>
              <w:t>20.5%</w:t>
            </w:r>
          </w:p>
        </w:tc>
      </w:tr>
      <w:tr>
        <w:tc>
          <w:tcPr>
            <w:tcW w:type="dxa" w:w="1520"/>
          </w:tcPr>
          <w:p>
            <w:r>
              <w:rPr>
                <w:rFonts w:ascii="Times New Roman" w:hAnsi="Times New Roman"/>
                <w:color w:val="000000"/>
                <w:sz w:val="22"/>
              </w:rPr>
              <w:t>9</w:t>
            </w:r>
          </w:p>
        </w:tc>
        <w:tc>
          <w:tcPr>
            <w:tcW w:type="dxa" w:w="1520"/>
          </w:tcPr>
          <w:p>
            <w:r>
              <w:rPr>
                <w:rFonts w:ascii="Times New Roman" w:hAnsi="Times New Roman"/>
                <w:color w:val="000000"/>
                <w:sz w:val="22"/>
              </w:rPr>
              <w:t>Southwest</w:t>
            </w:r>
          </w:p>
        </w:tc>
        <w:tc>
          <w:tcPr>
            <w:tcW w:type="dxa" w:w="1520"/>
          </w:tcPr>
          <w:p>
            <w:r>
              <w:rPr>
                <w:rFonts w:ascii="Times New Roman" w:hAnsi="Times New Roman"/>
                <w:color w:val="000000"/>
                <w:sz w:val="22"/>
              </w:rPr>
              <w:t>20.9%</w:t>
            </w:r>
          </w:p>
        </w:tc>
        <w:tc>
          <w:tcPr>
            <w:tcW w:type="dxa" w:w="1520"/>
          </w:tcPr>
          <w:p>
            <w:r>
              <w:rPr>
                <w:rFonts w:ascii="Times New Roman" w:hAnsi="Times New Roman"/>
                <w:color w:val="000000"/>
                <w:sz w:val="22"/>
              </w:rPr>
              <w:t>Medium</w:t>
            </w:r>
          </w:p>
        </w:tc>
        <w:tc>
          <w:tcPr>
            <w:tcW w:type="dxa" w:w="1520"/>
          </w:tcPr>
          <w:p>
            <w:r>
              <w:rPr>
                <w:rFonts w:ascii="Times New Roman" w:hAnsi="Times New Roman"/>
                <w:color w:val="000000"/>
                <w:sz w:val="22"/>
              </w:rPr>
              <w:t>Southern</w:t>
            </w:r>
          </w:p>
        </w:tc>
        <w:tc>
          <w:tcPr>
            <w:tcW w:type="dxa" w:w="1520"/>
          </w:tcPr>
          <w:p>
            <w:r>
              <w:rPr>
                <w:rFonts w:ascii="Times New Roman" w:hAnsi="Times New Roman"/>
                <w:color w:val="000000"/>
                <w:sz w:val="22"/>
              </w:rPr>
              <w:t>20.5%</w:t>
            </w:r>
          </w:p>
        </w:tc>
      </w:tr>
      <w:tr>
        <w:tc>
          <w:tcPr>
            <w:tcW w:type="dxa" w:w="1520"/>
          </w:tcPr>
          <w:p>
            <w:r>
              <w:rPr>
                <w:rFonts w:ascii="Times New Roman" w:hAnsi="Times New Roman"/>
                <w:color w:val="000000"/>
                <w:sz w:val="22"/>
              </w:rPr>
              <w:t>10</w:t>
            </w:r>
          </w:p>
        </w:tc>
        <w:tc>
          <w:tcPr>
            <w:tcW w:type="dxa" w:w="1520"/>
          </w:tcPr>
          <w:p>
            <w:r>
              <w:rPr>
                <w:rFonts w:ascii="Times New Roman" w:hAnsi="Times New Roman"/>
                <w:color w:val="000000"/>
                <w:sz w:val="22"/>
              </w:rPr>
              <w:t>Littoral</w:t>
            </w:r>
          </w:p>
        </w:tc>
        <w:tc>
          <w:tcPr>
            <w:tcW w:type="dxa" w:w="1520"/>
          </w:tcPr>
          <w:p>
            <w:r>
              <w:rPr>
                <w:rFonts w:ascii="Times New Roman" w:hAnsi="Times New Roman"/>
                <w:color w:val="000000"/>
                <w:sz w:val="22"/>
              </w:rPr>
              <w:t>18.1%</w:t>
            </w:r>
          </w:p>
        </w:tc>
        <w:tc>
          <w:tcPr>
            <w:tcW w:type="dxa" w:w="1520"/>
          </w:tcPr>
          <w:p>
            <w:r>
              <w:rPr>
                <w:rFonts w:ascii="Times New Roman" w:hAnsi="Times New Roman"/>
                <w:color w:val="000000"/>
                <w:sz w:val="22"/>
              </w:rPr>
              <w:t>Low</w:t>
            </w:r>
          </w:p>
        </w:tc>
        <w:tc>
          <w:tcPr>
            <w:tcW w:type="dxa" w:w="1520"/>
          </w:tcPr>
          <w:p>
            <w:r>
              <w:rPr>
                <w:rFonts w:ascii="Times New Roman" w:hAnsi="Times New Roman"/>
                <w:color w:val="000000"/>
                <w:sz w:val="22"/>
              </w:rPr>
              <w:t>Southern</w:t>
            </w:r>
          </w:p>
        </w:tc>
        <w:tc>
          <w:tcPr>
            <w:tcW w:type="dxa" w:w="1520"/>
          </w:tcPr>
          <w:p>
            <w:r>
              <w:rPr>
                <w:rFonts w:ascii="Times New Roman" w:hAnsi="Times New Roman"/>
                <w:color w:val="000000"/>
                <w:sz w:val="22"/>
              </w:rPr>
              <w:t>17.5%</w:t>
            </w:r>
          </w:p>
        </w:tc>
      </w:tr>
    </w:tbl>
    <w:p>
      <w:pPr>
        <w:spacing w:after="200"/>
        <w:jc w:val="left"/>
      </w:pPr>
      <w:r>
        <w:rPr>
          <w:rFonts w:ascii="Times New Roman" w:hAnsi="Times New Roman"/>
          <w:b/>
          <w:i w:val="0"/>
          <w:color w:val="000000"/>
          <w:sz w:val="20"/>
        </w:rPr>
        <w:t>Table 4.4: Top 10 predicted stunting hotspots (2018, Random Forest model)</w:t>
      </w:r>
    </w:p>
    <w:p/>
    <w:p>
      <w:pPr>
        <w:spacing w:after="120" w:lineRule="exact" w:line="360"/>
        <w:jc w:val="both"/>
      </w:pPr>
      <w:r>
        <w:rPr>
          <w:rFonts w:ascii="Times New Roman" w:hAnsi="Times New Roman"/>
          <w:b w:val="0"/>
          <w:i w:val="0"/>
          <w:color w:val="000000"/>
          <w:sz w:val="24"/>
        </w:rPr>
        <w:t>The North, Far North, and Adamawa regions are the clear priorities for intervention. These three regions form the Northern-rural cluster and are projected to remain in the High or Critical WHO band through 2028. The remaining six regions fall in the Southern cluster with Medium or Low stunting rates.</w:t>
      </w:r>
    </w:p>
    <w:p>
      <w:pPr>
        <w:spacing w:before="280" w:after="80" w:lineRule="exact" w:line="240"/>
        <w:jc w:val="left"/>
      </w:pPr>
      <w:r>
        <w:rPr>
          <w:rFonts w:ascii="Times New Roman" w:hAnsi="Times New Roman"/>
          <w:b/>
          <w:i w:val="0"/>
          <w:color w:val="000000"/>
          <w:sz w:val="28"/>
        </w:rPr>
        <w:t>4.9  Web Application</w:t>
      </w:r>
    </w:p>
    <w:p>
      <w:pPr>
        <w:spacing w:after="120" w:lineRule="exact" w:line="360"/>
        <w:jc w:val="both"/>
      </w:pPr>
      <w:r>
        <w:rPr>
          <w:rFonts w:ascii="Times New Roman" w:hAnsi="Times New Roman"/>
          <w:b w:val="0"/>
          <w:i w:val="0"/>
          <w:color w:val="000000"/>
          <w:sz w:val="24"/>
        </w:rPr>
        <w:t>The project results are published through a Next.js web application. The home page shows key statistics, a choropleth map of Cameroon, and a top-10 hotspot table. Six analysis pages cover Hotspots, Regression, Classification, Clustering, Forecasts, and Hypothesis tests. The application is deployed on Railway and reads static JSON files generated from the pipeline output CSVs.</w:t>
      </w:r>
    </w:p>
    <w:p>
      <w:pPr>
        <w:jc w:val="center"/>
      </w:pPr>
      <w:r>
        <w:rPr>
          <w:rFonts w:ascii="Times New Roman" w:hAnsi="Times New Roman"/>
          <w:b w:val="0"/>
          <w:i/>
          <w:color w:val="000000"/>
          <w:sz w:val="20"/>
        </w:rPr>
        <w:t>[Figure 4.9: Home page — Cameroon Malnutrition Atlas web dashboard]</w:t>
      </w:r>
    </w:p>
    <w:p>
      <w:pPr>
        <w:spacing w:after="200"/>
        <w:jc w:val="center"/>
      </w:pPr>
      <w:r>
        <w:rPr>
          <w:rFonts w:ascii="Times New Roman" w:hAnsi="Times New Roman"/>
          <w:b w:val="0"/>
          <w:i/>
          <w:color w:val="000000"/>
          <w:sz w:val="20"/>
        </w:rPr>
        <w:t>Figure 4.9: Home page — Cameroon Malnutrition Atlas web dashboard</w:t>
      </w:r>
    </w:p>
    <w:p>
      <w:pPr>
        <w:jc w:val="center"/>
      </w:pPr>
      <w:r>
        <w:rPr>
          <w:rFonts w:ascii="Times New Roman" w:hAnsi="Times New Roman"/>
          <w:b w:val="0"/>
          <w:i/>
          <w:color w:val="000000"/>
          <w:sz w:val="20"/>
        </w:rPr>
        <w:t>[Figure 4.10: Hotspots page — choropleth map and ranked region table]</w:t>
      </w:r>
    </w:p>
    <w:p>
      <w:pPr>
        <w:spacing w:after="200"/>
        <w:jc w:val="center"/>
      </w:pPr>
      <w:r>
        <w:rPr>
          <w:rFonts w:ascii="Times New Roman" w:hAnsi="Times New Roman"/>
          <w:b w:val="0"/>
          <w:i/>
          <w:color w:val="000000"/>
          <w:sz w:val="20"/>
        </w:rPr>
        <w:t>Figure 4.10: Hotspots page — choropleth map and ranked region table</w:t>
      </w:r>
    </w:p>
    <w:p>
      <w:r>
        <w:br w:type="page"/>
      </w:r>
    </w:p>
    <w:p>
      <w:pPr>
        <w:spacing w:before="280" w:after="80" w:lineRule="exact" w:line="240"/>
        <w:jc w:val="center"/>
      </w:pPr>
      <w:r>
        <w:rPr>
          <w:rFonts w:ascii="Times New Roman" w:hAnsi="Times New Roman"/>
          <w:b/>
          <w:i w:val="0"/>
          <w:color w:val="000000"/>
          <w:sz w:val="32"/>
        </w:rPr>
        <w:t>CHAPTER FIVE: CONCLUSIONS AND RECOMMENDATIONS</w:t>
      </w:r>
    </w:p>
    <w:p>
      <w:pPr>
        <w:spacing w:before="280" w:after="80" w:lineRule="exact" w:line="240"/>
        <w:jc w:val="left"/>
      </w:pPr>
      <w:r>
        <w:rPr>
          <w:rFonts w:ascii="Times New Roman" w:hAnsi="Times New Roman"/>
          <w:b/>
          <w:i w:val="0"/>
          <w:color w:val="000000"/>
          <w:sz w:val="28"/>
        </w:rPr>
        <w:t>5.1  Conclusions</w:t>
      </w:r>
    </w:p>
    <w:p>
      <w:pPr>
        <w:spacing w:after="120" w:lineRule="exact" w:line="360"/>
        <w:jc w:val="both"/>
      </w:pPr>
      <w:r>
        <w:rPr>
          <w:rFonts w:ascii="Times New Roman" w:hAnsi="Times New Roman"/>
          <w:b w:val="0"/>
          <w:i w:val="0"/>
          <w:color w:val="000000"/>
          <w:sz w:val="24"/>
        </w:rPr>
        <w:t>This project applied a CRISP-DM data mining pipeline to Cameroon DHS sub-national data and produced a ranked, predictive hotspot map of child stunting. The following conclusions are drawn:</w:t>
      </w:r>
    </w:p>
    <w:p>
      <w:pPr>
        <w:pStyle w:val="ListBullet"/>
        <w:spacing w:after="60" w:lineRule="exact" w:line="360"/>
        <w:ind w:left="680"/>
      </w:pPr>
      <w:r>
        <w:rPr>
          <w:rFonts w:ascii="Times New Roman" w:hAnsi="Times New Roman"/>
          <w:b w:val="0"/>
          <w:i w:val="0"/>
          <w:color w:val="000000"/>
          <w:sz w:val="24"/>
        </w:rPr>
        <w:t>Random Forest achieved the best regression performance with a CV RMSE of 3.64 pp — a 71% improvement over the mean-prediction baseline (p &lt; 0.001).</w:t>
      </w:r>
    </w:p>
    <w:p>
      <w:pPr>
        <w:pStyle w:val="ListBullet"/>
        <w:spacing w:after="60" w:lineRule="exact" w:line="360"/>
        <w:ind w:left="680"/>
      </w:pPr>
      <w:r>
        <w:rPr>
          <w:rFonts w:ascii="Times New Roman" w:hAnsi="Times New Roman"/>
          <w:b w:val="0"/>
          <w:i w:val="0"/>
          <w:color w:val="000000"/>
          <w:sz w:val="24"/>
        </w:rPr>
        <w:t>A Random Forest classifier assigned WHO risk bands with 80% accuracy, enabling categorical targeting decisions.</w:t>
      </w:r>
    </w:p>
    <w:p>
      <w:pPr>
        <w:pStyle w:val="ListBullet"/>
        <w:spacing w:after="60" w:lineRule="exact" w:line="360"/>
        <w:ind w:left="680"/>
      </w:pPr>
      <w:r>
        <w:rPr>
          <w:rFonts w:ascii="Times New Roman" w:hAnsi="Times New Roman"/>
          <w:b w:val="0"/>
          <w:i w:val="0"/>
          <w:color w:val="000000"/>
          <w:sz w:val="24"/>
        </w:rPr>
        <w:t>K-Means clustering (k = 2, silhouette = 0.52) identified a clear high-risk northern cluster (37% mean stunting) and a lower-risk southern cluster (24% mean stunting).</w:t>
      </w:r>
    </w:p>
    <w:p>
      <w:pPr>
        <w:pStyle w:val="ListBullet"/>
        <w:spacing w:after="60" w:lineRule="exact" w:line="360"/>
        <w:ind w:left="680"/>
      </w:pPr>
      <w:r>
        <w:rPr>
          <w:rFonts w:ascii="Times New Roman" w:hAnsi="Times New Roman"/>
          <w:b w:val="0"/>
          <w:i w:val="0"/>
          <w:color w:val="000000"/>
          <w:sz w:val="24"/>
        </w:rPr>
        <w:t>Five of six hypotheses were confirmed: healthcare access (rho = -0.77), WASH (rho = -0.50), socio-economic status (rho = -0.39), and maternal education (rho = -0.28) are all significant negative correlates of stunting.</w:t>
      </w:r>
    </w:p>
    <w:p>
      <w:pPr>
        <w:pStyle w:val="ListBullet"/>
        <w:spacing w:after="60" w:lineRule="exact" w:line="360"/>
        <w:ind w:left="680"/>
      </w:pPr>
      <w:r>
        <w:rPr>
          <w:rFonts w:ascii="Times New Roman" w:hAnsi="Times New Roman"/>
          <w:b w:val="0"/>
          <w:i w:val="0"/>
          <w:color w:val="000000"/>
          <w:sz w:val="24"/>
        </w:rPr>
        <w:t>Linear forecasts project that North and Far North will remain in the WHO Critical or High band through 2028, underscoring the urgency of accelerated intervention.</w:t>
      </w:r>
    </w:p>
    <w:p>
      <w:pPr>
        <w:pStyle w:val="ListBullet"/>
        <w:spacing w:after="60" w:lineRule="exact" w:line="360"/>
        <w:ind w:left="680"/>
      </w:pPr>
      <w:r>
        <w:rPr>
          <w:rFonts w:ascii="Times New Roman" w:hAnsi="Times New Roman"/>
          <w:b w:val="0"/>
          <w:i w:val="0"/>
          <w:color w:val="000000"/>
          <w:sz w:val="24"/>
        </w:rPr>
        <w:t>The North region is the single highest-priority target, with a predicted stunting rate of 40.8% in 2018 and a very slow improvement trajectory.</w:t>
      </w:r>
    </w:p>
    <w:p>
      <w:pPr>
        <w:spacing w:before="280" w:after="80" w:lineRule="exact" w:line="240"/>
        <w:jc w:val="left"/>
      </w:pPr>
      <w:r>
        <w:rPr>
          <w:rFonts w:ascii="Times New Roman" w:hAnsi="Times New Roman"/>
          <w:b/>
          <w:i w:val="0"/>
          <w:color w:val="000000"/>
          <w:sz w:val="28"/>
        </w:rPr>
        <w:t>5.2  Limitations</w:t>
      </w:r>
    </w:p>
    <w:p>
      <w:pPr>
        <w:pStyle w:val="ListBullet"/>
        <w:spacing w:after="60" w:lineRule="exact" w:line="360"/>
        <w:ind w:left="680"/>
      </w:pPr>
      <w:r>
        <w:rPr>
          <w:rFonts w:ascii="Times New Roman" w:hAnsi="Times New Roman"/>
          <w:b w:val="0"/>
          <w:i w:val="0"/>
          <w:color w:val="000000"/>
          <w:sz w:val="24"/>
        </w:rPr>
        <w:t>The dataset contains only 50 observations (10 regions x 5 years), which limits the statistical power of the models.</w:t>
      </w:r>
    </w:p>
    <w:p>
      <w:pPr>
        <w:pStyle w:val="ListBullet"/>
        <w:spacing w:after="60" w:lineRule="exact" w:line="360"/>
        <w:ind w:left="680"/>
      </w:pPr>
      <w:r>
        <w:rPr>
          <w:rFonts w:ascii="Times New Roman" w:hAnsi="Times New Roman"/>
          <w:b w:val="0"/>
          <w:i w:val="0"/>
          <w:color w:val="000000"/>
          <w:sz w:val="24"/>
        </w:rPr>
        <w:t>All associations are correlational. The study does not establish causation.</w:t>
      </w:r>
    </w:p>
    <w:p>
      <w:pPr>
        <w:pStyle w:val="ListBullet"/>
        <w:spacing w:after="60" w:lineRule="exact" w:line="360"/>
        <w:ind w:left="680"/>
      </w:pPr>
      <w:r>
        <w:rPr>
          <w:rFonts w:ascii="Times New Roman" w:hAnsi="Times New Roman"/>
          <w:b w:val="0"/>
          <w:i w:val="0"/>
          <w:color w:val="000000"/>
          <w:sz w:val="24"/>
        </w:rPr>
        <w:t>Linear forecasts assume a constant rate of change and do not capture policy shocks or abrupt improvements.</w:t>
      </w:r>
    </w:p>
    <w:p>
      <w:pPr>
        <w:spacing w:before="280" w:after="80" w:lineRule="exact" w:line="240"/>
        <w:jc w:val="left"/>
      </w:pPr>
      <w:r>
        <w:rPr>
          <w:rFonts w:ascii="Times New Roman" w:hAnsi="Times New Roman"/>
          <w:b/>
          <w:i w:val="0"/>
          <w:color w:val="000000"/>
          <w:sz w:val="28"/>
        </w:rPr>
        <w:t>5.3  Perspectives for Further Study</w:t>
      </w:r>
    </w:p>
    <w:p>
      <w:pPr>
        <w:pStyle w:val="ListBullet"/>
        <w:spacing w:after="60" w:lineRule="exact" w:line="360"/>
        <w:ind w:left="680"/>
      </w:pPr>
      <w:r>
        <w:rPr>
          <w:rFonts w:ascii="Times New Roman" w:hAnsi="Times New Roman"/>
          <w:b w:val="0"/>
          <w:i w:val="0"/>
          <w:color w:val="000000"/>
          <w:sz w:val="24"/>
        </w:rPr>
        <w:t>Incorporate the upcoming 2024/2025 DHS wave to update and re-validate predictions.</w:t>
      </w:r>
    </w:p>
    <w:p>
      <w:pPr>
        <w:pStyle w:val="ListBullet"/>
        <w:spacing w:after="60" w:lineRule="exact" w:line="360"/>
        <w:ind w:left="680"/>
      </w:pPr>
      <w:r>
        <w:rPr>
          <w:rFonts w:ascii="Times New Roman" w:hAnsi="Times New Roman"/>
          <w:b w:val="0"/>
          <w:i w:val="0"/>
          <w:color w:val="000000"/>
          <w:sz w:val="24"/>
        </w:rPr>
        <w:t>Apply spatial regression models to account for geographic spillover effects between neighbouring regions.</w:t>
      </w:r>
    </w:p>
    <w:p>
      <w:pPr>
        <w:pStyle w:val="ListBullet"/>
        <w:spacing w:after="60" w:lineRule="exact" w:line="360"/>
        <w:ind w:left="680"/>
      </w:pPr>
      <w:r>
        <w:rPr>
          <w:rFonts w:ascii="Times New Roman" w:hAnsi="Times New Roman"/>
          <w:b w:val="0"/>
          <w:i w:val="0"/>
          <w:color w:val="000000"/>
          <w:sz w:val="24"/>
        </w:rPr>
        <w:t>Extend the web application with a reporting module so that district health officers can generate printable risk summaries directly from the dashboard.</w:t>
      </w:r>
    </w:p>
    <w:p>
      <w:r>
        <w:br w:type="page"/>
      </w:r>
    </w:p>
    <w:p>
      <w:pPr>
        <w:spacing w:before="280" w:after="80" w:lineRule="exact" w:line="240"/>
        <w:jc w:val="center"/>
      </w:pPr>
      <w:r>
        <w:rPr>
          <w:rFonts w:ascii="Times New Roman" w:hAnsi="Times New Roman"/>
          <w:b/>
          <w:i w:val="0"/>
          <w:color w:val="000000"/>
          <w:sz w:val="32"/>
        </w:rPr>
        <w:t>REFERENCES</w:t>
      </w:r>
    </w:p>
    <w:p>
      <w:pPr>
        <w:spacing w:after="120" w:lineRule="exact" w:line="360"/>
        <w:ind w:left="709" w:hanging="709"/>
      </w:pPr>
      <w:r>
        <w:rPr>
          <w:rFonts w:ascii="Times New Roman" w:hAnsi="Times New Roman"/>
          <w:color w:val="000000"/>
          <w:sz w:val="22"/>
        </w:rPr>
        <w:t>Chapman, P., Clinton, J., Kerber, R., Khabaza, T., Reinartz, T., Shearer, C., &amp; Wirth, R. (2000). CRISP-DM 1.0: Step-by-step data mining guide. SPSS Inc.</w:t>
      </w:r>
    </w:p>
    <w:p>
      <w:pPr>
        <w:spacing w:after="120" w:lineRule="exact" w:line="360"/>
        <w:ind w:left="709" w:hanging="709"/>
      </w:pPr>
      <w:r>
        <w:rPr>
          <w:rFonts w:ascii="Times New Roman" w:hAnsi="Times New Roman"/>
          <w:color w:val="000000"/>
          <w:sz w:val="22"/>
        </w:rPr>
        <w:t>DHS Programme. (2018). Cameroon Demographic and Health Survey 2018. ICF International.</w:t>
      </w:r>
    </w:p>
    <w:p>
      <w:pPr>
        <w:spacing w:after="120" w:lineRule="exact" w:line="360"/>
        <w:ind w:left="709" w:hanging="709"/>
      </w:pPr>
      <w:r>
        <w:rPr>
          <w:rFonts w:ascii="Times New Roman" w:hAnsi="Times New Roman"/>
          <w:color w:val="000000"/>
          <w:sz w:val="22"/>
        </w:rPr>
        <w:t>DHS Programme. (2011). Cameroon Demographic and Health Survey 2011. ICF International.</w:t>
      </w:r>
    </w:p>
    <w:p>
      <w:pPr>
        <w:spacing w:after="120" w:lineRule="exact" w:line="360"/>
        <w:ind w:left="709" w:hanging="709"/>
      </w:pPr>
      <w:r>
        <w:rPr>
          <w:rFonts w:ascii="Times New Roman" w:hAnsi="Times New Roman"/>
          <w:color w:val="000000"/>
          <w:sz w:val="22"/>
        </w:rPr>
        <w:t>Humanitarian Data Exchange (HDX). (2024). Cameroon datasets. OCHA. https://data.humdata.org</w:t>
      </w:r>
    </w:p>
    <w:p>
      <w:pPr>
        <w:spacing w:after="120" w:lineRule="exact" w:line="360"/>
        <w:ind w:left="709" w:hanging="709"/>
      </w:pPr>
      <w:r>
        <w:rPr>
          <w:rFonts w:ascii="Times New Roman" w:hAnsi="Times New Roman"/>
          <w:color w:val="000000"/>
          <w:sz w:val="22"/>
        </w:rPr>
        <w:t>Kometa, N. (2026). CEC 420: Data Mining — Unit 2: Classification, Prediction and Clustering. University of Buea, College of Technology.</w:t>
      </w:r>
    </w:p>
    <w:p>
      <w:pPr>
        <w:spacing w:after="120" w:lineRule="exact" w:line="360"/>
        <w:ind w:left="709" w:hanging="709"/>
      </w:pPr>
      <w:r>
        <w:rPr>
          <w:rFonts w:ascii="Times New Roman" w:hAnsi="Times New Roman"/>
          <w:color w:val="000000"/>
          <w:sz w:val="22"/>
        </w:rPr>
        <w:t>Pedregosa, F., et al. (2011). Scikit-learn: Machine learning in Python. Journal of Machine Learning Research, 12, 2825-2830.</w:t>
      </w:r>
    </w:p>
    <w:p>
      <w:pPr>
        <w:spacing w:after="120" w:lineRule="exact" w:line="360"/>
        <w:ind w:left="709" w:hanging="709"/>
      </w:pPr>
      <w:r>
        <w:rPr>
          <w:rFonts w:ascii="Times New Roman" w:hAnsi="Times New Roman"/>
          <w:color w:val="000000"/>
          <w:sz w:val="22"/>
        </w:rPr>
        <w:t>UNICEF, WHO &amp; World Bank. (2023). Levels and Trends in Child Malnutrition: Joint Child Malnutrition Estimates 2023 Edition. World Health Organization.</w:t>
      </w:r>
    </w:p>
    <w:p>
      <w:pPr>
        <w:spacing w:after="120" w:lineRule="exact" w:line="360"/>
        <w:ind w:left="709" w:hanging="709"/>
      </w:pPr>
      <w:r>
        <w:rPr>
          <w:rFonts w:ascii="Times New Roman" w:hAnsi="Times New Roman"/>
          <w:color w:val="000000"/>
          <w:sz w:val="22"/>
        </w:rPr>
        <w:t>WHO. (2014). Global Nutrition Targets 2025: Stunting Policy Brief. World Health Organization.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