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t xml:space="preserve">第五章 评标办法</w:t>
      </w:r>
    </w:p>
    <w:p>
      <w:r>
        <w:t xml:space="preserve">本项目采用综合评分法。价格分 30 分，技术部分 31 分，商务部分 39 分，合计 100 分。</w:t>
      </w:r>
    </w:p>
    <w:tbl>
      <w:tblPr/>
      <w:tblGrid>
        <w:gridCol/>
        <w:gridCol/>
        <w:gridCol/>
      </w:tblGrid>
      <w:tr>
        <w:trPr>
          <w:tblHeader/>
        </w:trPr>
        <w:tc>
          <w:tcPr/>
          <w:p>
            <w:r>
              <w:t xml:space="preserve">评审因素</w:t>
            </w:r>
          </w:p>
        </w:tc>
        <w:tc>
          <w:tcPr/>
          <w:p>
            <w:r>
              <w:t xml:space="preserve">分值</w:t>
            </w:r>
          </w:p>
        </w:tc>
        <w:tc>
          <w:tcPr/>
          <w:p>
            <w:r>
              <w:t xml:space="preserve">评分标准</w:t>
            </w:r>
          </w:p>
        </w:tc>
      </w:tr>
      <w:tr>
        <w:trPr/>
        <w:tc>
          <w:tcPr/>
          <w:p>
            <w:r>
              <w:t xml:space="preserve">投标报价</w:t>
            </w:r>
          </w:p>
        </w:tc>
        <w:tc>
          <w:tcPr/>
          <w:p>
            <w:r>
              <w:t xml:space="preserve">30</w:t>
            </w:r>
          </w:p>
        </w:tc>
        <w:tc>
          <w:tcPr/>
          <w:p>
            <w:r>
              <w:t xml:space="preserve">满足招标文件要求且投标价格最低的投标报价为评标基准价，其价格分为满分 30 分。其他投标人的价格分按（评标基准价/投标报价）×30 计算，计算结果保留两位小数。</w:t>
            </w:r>
          </w:p>
        </w:tc>
      </w:tr>
      <w:tr>
        <w:trPr/>
        <w:tc>
          <w:tcPr>
            <w:gridSpan w:val="3"/>
          </w:tcPr>
          <w:p>
            <w:r>
              <w:t xml:space="preserve">服务部分</w:t>
            </w:r>
          </w:p>
        </w:tc>
      </w:tr>
      <w:tr>
        <w:trPr/>
        <w:tc>
          <w:tcPr/>
          <w:p>
            <w:r>
              <w:t xml:space="preserve">进度计划及保证措施</w:t>
            </w:r>
          </w:p>
        </w:tc>
        <w:tc>
          <w:tcPr/>
          <w:p>
            <w:r>
              <w:t xml:space="preserve">15</w:t>
            </w:r>
          </w:p>
        </w:tc>
        <w:tc>
          <w:tcPr/>
          <w:p>
            <w:r>
              <w:t xml:space="preserve">具体计8-12分；工作计划及进度基本完善，进度安排有一定的合理性、保障措施较为详细计4-8分；工作计划及进度简单笼统，无针对性计0-4分。</w:t>
            </w:r>
            <w:r>
              <w:br/>
            </w:r>
          </w:p>
        </w:tc>
      </w:tr>
    </w:tbl>
    <w:tbl>
      <w:tblPr/>
      <w:tblGrid>
        <w:gridCol/>
        <w:gridCol/>
        <w:gridCol/>
      </w:tblGrid>
      <w:tr>
        <w:trPr>
          <w:tblHeader/>
        </w:trPr>
        <w:tc>
          <w:tcPr/>
          <w:p>
            <w:r>
              <w:t xml:space="preserve">评审因素</w:t>
            </w:r>
          </w:p>
        </w:tc>
        <w:tc>
          <w:tcPr/>
          <w:p>
            <w:r>
              <w:t xml:space="preserve">分值</w:t>
            </w:r>
          </w:p>
        </w:tc>
        <w:tc>
          <w:tcPr/>
          <w:p>
            <w:r>
              <w:t xml:space="preserve">评分标准</w:t>
            </w:r>
          </w:p>
        </w:tc>
      </w:tr>
      <w:tr>
        <w:trPr/>
        <w:tc>
          <w:tcPr/>
          <w:p>
            <w:r>
              <w:t xml:space="preserve">人员配置</w:t>
            </w:r>
          </w:p>
        </w:tc>
        <w:tc>
          <w:tcPr/>
          <w:p>
            <w:r>
              <w:t xml:space="preserve">16</w:t>
            </w:r>
          </w:p>
        </w:tc>
        <w:tc>
          <w:tcPr/>
          <w:p>
            <w:r>
              <w:t xml:space="preserve">基准分 16 分。项目负责人具有高级职称的得 4 分；每缺一名持证人员扣 1 分，该项分值扣完为止。</w:t>
            </w:r>
          </w:p>
        </w:tc>
      </w:tr>
      <w:tr>
        <w:trPr/>
        <w:tc>
          <w:tcPr/>
          <w:p>
            <w:r>
              <w:t xml:space="preserve">类似业绩</w:t>
            </w:r>
          </w:p>
        </w:tc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每提供一项类似业绩得 2 分，最高 10 分。</w:t>
            </w:r>
          </w:p>
        </w:tc>
      </w:tr>
    </w:tbl>
    <w:sdt>
      <w:sdtPr/>
      <w:sdtContent>
        <w:tbl>
          <w:tblPr/>
          <w:tblGrid>
            <w:gridCol/>
            <w:gridCol/>
            <w:gridCol/>
          </w:tblGrid>
          <w:tr>
            <w:trPr>
              <w:tblHeader/>
            </w:trPr>
            <w:tc>
              <w:tcPr/>
              <w:p>
                <w:r>
                  <w:t xml:space="preserve">评审因素</w:t>
                </w:r>
              </w:p>
            </w:tc>
            <w:tc>
              <w:tcPr/>
              <w:p>
                <w:r>
                  <w:t xml:space="preserve">分值</w:t>
                </w:r>
              </w:p>
            </w:tc>
            <w:tc>
              <w:tcPr/>
              <w:p>
                <w:r>
                  <w:t xml:space="preserve">评分标准</w:t>
                </w:r>
              </w:p>
            </w:tc>
          </w:tr>
          <w:tr>
            <w:trPr/>
            <w:tc>
              <w:tcPr/>
              <w:p>
                <w:r>
                  <w:t xml:space="preserve">企业信誉</w:t>
                </w:r>
              </w:p>
            </w:tc>
            <w:tc>
              <w:tcPr/>
              <w:p>
                <w:r>
                  <w:t xml:space="preserve">8</w:t>
                </w:r>
              </w:p>
            </w:tc>
            <w:tc>
              <w:tcPr/>
              <w:p>
                <w:r>
                  <w:t xml:space="preserve">获得省级以上荣誉的每项得 2 分，最高 8 分。</w:t>
                </w:r>
              </w:p>
            </w:tc>
          </w:tr>
        </w:tbl>
      </w:sdtContent>
    </w:sdt>
    <w:p>
      <w:r>
        <w:object>
          <mc:AlternateContent>
            <mc:Choice Requires="wps">
              <w:drawing>
                <wps:txbx>
                  <w:txbxContent>
                    <w:p>
                      <w:r>
                        <w:t xml:space="preserve">注：以上分值以招标文件评标办法为准，未尽事项由评标委员会集体认定。</w:t>
                      </w:r>
                    </w:p>
                  </w:txbxContent>
                </wps:txbx>
              </w:drawing>
            </mc:Choice>
            <mc:Fallback>
              <w:pict>
                <v:textbox>
                  <w:txbxContent>
                    <w:p>
                      <w:r>
                        <w:t xml:space="preserve">注：以上分值以招标文件评标办法为准，未尽事项由评标委员会集体认定。</w:t>
                      </w:r>
                    </w:p>
                  </w:txbxContent>
                </v:textbox>
              </w:pict>
            </mc:Fallback>
          </mc:AlternateContent>
        </w:object>
      </w:r>
    </w:p>
    <w:p>
      <w:r>
        <w:t xml:space="preserve">第六章 合同条款</w:t>
      </w:r>
    </w:p>
    <w:sectPr/>
  </w:body>
</w:document>
</file>