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17B8C" w14:textId="71A11498" w:rsidR="008C56D9" w:rsidRPr="008C56D9" w:rsidRDefault="008C56D9" w:rsidP="008C56D9">
      <w:pPr>
        <w:jc w:val="center"/>
        <w:rPr>
          <w:rFonts w:ascii="黑体" w:eastAsia="黑体" w:hAnsi="黑体" w:hint="eastAsia"/>
          <w:b/>
          <w:bCs/>
          <w:sz w:val="28"/>
          <w:szCs w:val="28"/>
        </w:rPr>
      </w:pPr>
      <w:r>
        <w:rPr>
          <w:rFonts w:ascii="黑体" w:eastAsia="黑体" w:hAnsi="黑体" w:hint="eastAsia"/>
          <w:b/>
          <w:bCs/>
          <w:sz w:val="28"/>
          <w:szCs w:val="28"/>
        </w:rPr>
        <w:t>《</w:t>
      </w:r>
      <w:r w:rsidRPr="008C56D9">
        <w:rPr>
          <w:rFonts w:ascii="黑体" w:eastAsia="黑体" w:hAnsi="黑体" w:hint="eastAsia"/>
          <w:b/>
          <w:bCs/>
          <w:sz w:val="28"/>
          <w:szCs w:val="28"/>
        </w:rPr>
        <w:t>细胞工厂</w:t>
      </w:r>
      <w:r>
        <w:rPr>
          <w:rFonts w:ascii="黑体" w:eastAsia="黑体" w:hAnsi="黑体" w:hint="eastAsia"/>
          <w:b/>
          <w:bCs/>
          <w:sz w:val="28"/>
          <w:szCs w:val="28"/>
        </w:rPr>
        <w:t>》说明文档</w:t>
      </w:r>
    </w:p>
    <w:p w14:paraId="6F6D94A1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双击 index.html 或用 VS Code Live Server 打开。</w:t>
      </w:r>
    </w:p>
    <w:p w14:paraId="59EBDE78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首次进入：微缩工厂运转 → 建筑原位变形 → 细胞器显现 → 接入主页。</w:t>
      </w:r>
    </w:p>
    <w:p w14:paraId="48C296B5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开场约 12 秒，三句居中大字幕；控制中心、能源站、生产管网、分拣中心依次转换。</w:t>
      </w:r>
    </w:p>
    <w:p w14:paraId="6C1C73EB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首页标题：一个细胞，一座生命工厂。</w:t>
      </w:r>
    </w:p>
    <w:p w14:paraId="1A97FA3B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右上角可以跳过，Esc 同样可跳过；主页“重播开场”可再次播放。</w:t>
      </w:r>
    </w:p>
    <w:p w14:paraId="536766A6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同一标签页返回主页不重复播放；index.html?intro=1 可强制播放。</w:t>
      </w:r>
    </w:p>
    <w:p w14:paraId="40D9D781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系统设置减少动态效果时直接进入主页。</w:t>
      </w:r>
    </w:p>
    <w:p w14:paraId="002D4A9B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拖动旋转；滚轮或双指缩放；悬停发光并浮起；点击模型进入介绍页。</w:t>
      </w:r>
    </w:p>
    <w:p w14:paraId="6493CE82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Esc 取消转场；重置视角恢复默认；支持减少动态效果偏好。</w:t>
      </w:r>
    </w:p>
    <w:p w14:paraId="0F941CF0" w14:textId="558CC3DC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介绍页有结构图例，六个模型均按结构关系细化。</w:t>
      </w:r>
    </w:p>
    <w:p w14:paraId="4026E640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所有依赖均保存在本地；浏览器需支持 WebGL。</w:t>
      </w:r>
    </w:p>
    <w:p w14:paraId="74DAA39B" w14:textId="4BA0092C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当前网站不使用拟真图片。模型是教学剖面示意，不是等比例显微或原子结构重建。</w:t>
      </w:r>
    </w:p>
    <w:p w14:paraId="02C3671A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源码已统一分行和缩进，建模函数有中文注释。</w:t>
      </w:r>
    </w:p>
    <w:p w14:paraId="2B97E4EE" w14:textId="77777777" w:rsidR="008C56D9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几何：organelle-models.js；交互：spatial.js；样式：spatial.css。</w:t>
      </w:r>
    </w:p>
    <w:p w14:paraId="35FD3EFA" w14:textId="7D3655F9" w:rsidR="00F32F50" w:rsidRPr="008C56D9" w:rsidRDefault="008C56D9" w:rsidP="008C56D9">
      <w:pPr>
        <w:rPr>
          <w:rFonts w:ascii="宋体" w:eastAsia="宋体" w:hAnsi="宋体" w:hint="eastAsia"/>
          <w:sz w:val="24"/>
        </w:rPr>
      </w:pPr>
      <w:r w:rsidRPr="008C56D9">
        <w:rPr>
          <w:rFonts w:ascii="宋体" w:eastAsia="宋体" w:hAnsi="宋体" w:hint="eastAsia"/>
          <w:sz w:val="24"/>
        </w:rPr>
        <w:t>第三方 vendor/three.min.js 保留官方压缩形式；许可见 vendor/THREE-LICENSE.txt。</w:t>
      </w:r>
    </w:p>
    <w:sectPr w:rsidR="00F32F50" w:rsidRPr="008C56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F33"/>
    <w:rsid w:val="00543F20"/>
    <w:rsid w:val="00650F33"/>
    <w:rsid w:val="008C56D9"/>
    <w:rsid w:val="00B71080"/>
    <w:rsid w:val="00F32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8D37A8"/>
  <w15:chartTrackingRefBased/>
  <w15:docId w15:val="{745E35E5-58CB-465C-91BE-67B19A514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50F3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0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0F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0F3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0F3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0F3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0F3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0F3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0F3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50F3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50F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50F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50F3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50F3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50F3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50F3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50F3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50F3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50F3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50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0F3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50F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0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50F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0F3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0F3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0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50F3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0F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Perry Zhang</dc:creator>
  <cp:keywords/>
  <dc:description/>
  <cp:lastModifiedBy>Perry Zhang</cp:lastModifiedBy>
  <cp:revision>2</cp:revision>
  <dcterms:created xsi:type="dcterms:W3CDTF">2026-10-27T05:26:00Z</dcterms:created>
  <dcterms:modified xsi:type="dcterms:W3CDTF">2026-10-27T05:28:00Z</dcterms:modified>
</cp:coreProperties>
</file>