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E9165">
      <w:pPr>
        <w:keepNext/>
        <w:spacing w:before="0" w:after="400" w:line="276" w:lineRule="auto"/>
        <w:jc w:val="center"/>
      </w:pPr>
      <w:r>
        <w:rPr>
          <w:rFonts w:ascii="Calibri" w:hAnsi="Calibri" w:eastAsia="微软雅黑"/>
          <w:b/>
          <w:color w:val="0B2545"/>
          <w:sz w:val="44"/>
        </w:rPr>
        <w:t>面向机器人辅助肩关节置换的骨表面实时可视化研究</w:t>
      </w:r>
    </w:p>
    <w:p w14:paraId="647C4965">
      <w:pPr>
        <w:pStyle w:val="3"/>
      </w:pPr>
      <w:r>
        <w:t>课题背景</w:t>
      </w:r>
    </w:p>
    <w:p w14:paraId="55DEF2FC">
      <w:pPr>
        <w:keepLines w:val="0"/>
        <w:jc w:val="both"/>
      </w:pPr>
      <w:r>
        <w:rPr>
          <w:rFonts w:ascii="Calibri" w:hAnsi="Calibri" w:eastAsia="宋体"/>
          <w:color w:val="000000"/>
          <w:sz w:val="22"/>
        </w:rPr>
        <w:t>随着医学影像、手术导航和机器人技术的发展，骨科手术正在由主要依赖术者经验的操作方式，逐步转向</w:t>
      </w:r>
      <w:r>
        <w:rPr>
          <w:rFonts w:ascii="Calibri" w:hAnsi="Calibri" w:eastAsia="宋体"/>
          <w:color w:val="000000"/>
          <w:sz w:val="22"/>
          <w:highlight w:val="yellow"/>
        </w:rPr>
        <w:t>基于患者影像、术前规划和术中导航的精准手术方式</w:t>
      </w:r>
      <w:r>
        <w:rPr>
          <w:rFonts w:ascii="Calibri" w:hAnsi="Calibri" w:eastAsia="宋体"/>
          <w:color w:val="000000"/>
          <w:sz w:val="22"/>
        </w:rPr>
        <w:t>。此类系统通常</w:t>
      </w:r>
      <w:r>
        <w:rPr>
          <w:rFonts w:ascii="Calibri" w:hAnsi="Calibri" w:eastAsia="宋体"/>
          <w:color w:val="000000"/>
          <w:sz w:val="22"/>
          <w:highlight w:val="yellow"/>
        </w:rPr>
        <w:t>根据患者 CT 影像重建骨骼三维模型，并在模型上规划植入物位置、骨切削范围和手术工具的安全边界</w:t>
      </w:r>
      <w:r>
        <w:rPr>
          <w:rFonts w:ascii="Calibri" w:hAnsi="Calibri" w:eastAsia="宋体"/>
          <w:color w:val="000000"/>
          <w:sz w:val="22"/>
        </w:rPr>
        <w:t>。手术过程中，系统还需要将术前规划与患者实际骨骼进行配准，持续跟踪手术工具，并向术者显示计划的执行情况。</w:t>
      </w:r>
    </w:p>
    <w:p w14:paraId="6FA25BF3">
      <w:pPr>
        <w:keepLines w:val="0"/>
        <w:jc w:val="both"/>
      </w:pPr>
      <w:r>
        <w:rPr>
          <w:rFonts w:ascii="Calibri" w:hAnsi="Calibri" w:eastAsia="宋体"/>
          <w:color w:val="000000"/>
          <w:sz w:val="22"/>
        </w:rPr>
        <w:t>近年来出现的 Mako Shoulder 等机器人辅助肩关节置换系统，为这一研究方向提供了较典型的应用场景。在反式肩关节置换中，机械臂可在触觉边界约束下辅助完成肩胛盂基板骨床的准备，包括肩胛盂表面磨削和中央固定区域的加工。公开手术视频显示，</w:t>
      </w:r>
      <w:r>
        <w:rPr>
          <w:rFonts w:ascii="Calibri" w:hAnsi="Calibri" w:eastAsia="宋体"/>
          <w:color w:val="000000"/>
          <w:sz w:val="22"/>
          <w:highlight w:val="yellow"/>
        </w:rPr>
        <w:t>磨钻过程中系统会在三维肩胛骨表面显示计划去除区域，并根据实际操作逐步更新显示结果，使术者能够判断当前磨削位置、剩余处理区域和计划完成程度</w:t>
      </w:r>
      <w:r>
        <w:rPr>
          <w:rFonts w:ascii="Calibri" w:hAnsi="Calibri" w:eastAsia="宋体"/>
          <w:color w:val="000000"/>
          <w:sz w:val="22"/>
        </w:rPr>
        <w:t>。</w:t>
      </w:r>
    </w:p>
    <w:p w14:paraId="7020A382">
      <w:pPr>
        <w:keepLines w:val="0"/>
        <w:jc w:val="both"/>
      </w:pPr>
      <w:r>
        <w:rPr>
          <w:rFonts w:ascii="Calibri" w:hAnsi="Calibri" w:eastAsia="宋体"/>
          <w:color w:val="000000"/>
          <w:sz w:val="22"/>
        </w:rPr>
        <w:t>因此，这一场景中的三维可视化并不是静态显示术前 CT 模型，而是需要</w:t>
      </w:r>
      <w:r>
        <w:rPr>
          <w:rFonts w:ascii="Calibri" w:hAnsi="Calibri" w:eastAsia="宋体"/>
          <w:color w:val="000000"/>
          <w:sz w:val="22"/>
          <w:highlight w:val="yellow"/>
        </w:rPr>
        <w:t>根据磨钻工具的连续运动，实时反映骨表面的几何变化，并将当前表面、目标表面、工具位置、剩余磨削量和潜在风险统一表达出来</w:t>
      </w:r>
      <w:r>
        <w:rPr>
          <w:rFonts w:ascii="Calibri" w:hAnsi="Calibri" w:eastAsia="宋体"/>
          <w:color w:val="000000"/>
          <w:sz w:val="22"/>
        </w:rPr>
        <w:t>。这一问题涉及医学影像三维重建、曲面表示、动态几何处理、实时计算、手术导航和医学可视化等多个研究领域。</w:t>
      </w:r>
    </w:p>
    <w:p w14:paraId="063A7F8A">
      <w:pPr>
        <w:keepLines w:val="0"/>
        <w:jc w:val="both"/>
        <w:rPr>
          <w:highlight w:val="yellow"/>
        </w:rPr>
      </w:pPr>
      <w:r>
        <w:rPr>
          <w:rFonts w:ascii="Calibri" w:hAnsi="Calibri" w:eastAsia="宋体"/>
          <w:color w:val="000000"/>
          <w:sz w:val="22"/>
        </w:rPr>
        <w:t>CT 三维重建、手术规划、植入物模型、导航显示和术后评估通常都以 surface/mesh 为主要数据形式。表面模型能够直接描述骨骼边界及其局部几何特征，也便于与植入物 CAD 模型、手术计划和常用三维渲染流程衔接。因此，本课题将</w:t>
      </w:r>
      <w:r>
        <w:rPr>
          <w:rFonts w:ascii="Calibri" w:hAnsi="Calibri" w:eastAsia="宋体"/>
          <w:color w:val="000000"/>
          <w:sz w:val="22"/>
          <w:highlight w:val="yellow"/>
        </w:rPr>
        <w:t>以 surface 作为基本几何表示</w:t>
      </w:r>
      <w:r>
        <w:rPr>
          <w:rFonts w:ascii="Calibri" w:hAnsi="Calibri" w:eastAsia="宋体"/>
          <w:color w:val="000000"/>
          <w:sz w:val="22"/>
        </w:rPr>
        <w:t>，重点研究</w:t>
      </w:r>
      <w:r>
        <w:rPr>
          <w:rFonts w:ascii="Calibri" w:hAnsi="Calibri" w:eastAsia="宋体"/>
          <w:color w:val="000000"/>
          <w:sz w:val="22"/>
          <w:highlight w:val="yellow"/>
        </w:rPr>
        <w:t>骨磨削过程中的表面更新、误差计算和实时可视化。</w:t>
      </w:r>
    </w:p>
    <w:p w14:paraId="7239E543">
      <w:pPr>
        <w:pStyle w:val="3"/>
      </w:pPr>
      <w:r>
        <w:t>课题拟研究的主要内容</w:t>
      </w:r>
    </w:p>
    <w:p w14:paraId="02F7635B">
      <w:pPr>
        <w:keepLines w:val="0"/>
        <w:jc w:val="both"/>
      </w:pPr>
      <w:r>
        <w:rPr>
          <w:rFonts w:ascii="Calibri" w:hAnsi="Calibri" w:eastAsia="宋体"/>
          <w:color w:val="000000"/>
          <w:sz w:val="22"/>
        </w:rPr>
        <w:t>本课题拟以机器人辅助肩关节置换中的肩胛盂磨削为主要应用背景，以 CT 重建得到的三角表面模型为输入，研究手术磨钻作用下骨表面的动态表达和可视化问题。主要内容包括：</w:t>
      </w:r>
    </w:p>
    <w:p w14:paraId="120E2875">
      <w:pPr>
        <w:keepLines w:val="0"/>
        <w:numPr>
          <w:ilvl w:val="0"/>
          <w:numId w:val="7"/>
        </w:numPr>
        <w:spacing w:before="0" w:after="80" w:line="290" w:lineRule="auto"/>
        <w:jc w:val="both"/>
      </w:pPr>
      <w:r>
        <w:rPr>
          <w:rFonts w:ascii="Calibri" w:hAnsi="Calibri" w:eastAsia="宋体"/>
          <w:b/>
          <w:color w:val="0B2545"/>
          <w:sz w:val="22"/>
        </w:rPr>
        <w:t>手术场景与可视化需求分析。</w:t>
      </w:r>
      <w:r>
        <w:rPr>
          <w:rFonts w:ascii="Calibri" w:hAnsi="Calibri" w:eastAsia="宋体"/>
          <w:color w:val="000000"/>
          <w:sz w:val="22"/>
        </w:rPr>
        <w:t xml:space="preserve"> 调研肩关节置换中的术前规划、患者—影像配准、工具跟踪、机械臂约束和术中显示流程，明确磨钻过程中需要表达的几何信息和状态信息。</w:t>
      </w:r>
    </w:p>
    <w:p w14:paraId="36AEBB59">
      <w:pPr>
        <w:keepLines w:val="0"/>
        <w:numPr>
          <w:ilvl w:val="0"/>
          <w:numId w:val="7"/>
        </w:numPr>
        <w:spacing w:before="0" w:after="80" w:line="290" w:lineRule="auto"/>
        <w:jc w:val="both"/>
      </w:pPr>
      <w:r>
        <w:rPr>
          <w:rFonts w:ascii="Calibri" w:hAnsi="Calibri" w:eastAsia="宋体"/>
          <w:b/>
          <w:color w:val="0B2545"/>
          <w:sz w:val="22"/>
        </w:rPr>
        <w:t>动态骨表面表示与更新。</w:t>
      </w:r>
      <w:r>
        <w:rPr>
          <w:rFonts w:ascii="Calibri" w:hAnsi="Calibri" w:eastAsia="宋体"/>
          <w:color w:val="000000"/>
          <w:sz w:val="22"/>
        </w:rPr>
        <w:t xml:space="preserve"> 研究适合骨磨削过程的 surface 表示方法，以及如何根据磨钻工具的位置、姿态和运动轨迹，对局部骨表面进行连续更新，并保持表面连续性、几何精度和网格质量。</w:t>
      </w:r>
    </w:p>
    <w:p w14:paraId="75EAF353">
      <w:pPr>
        <w:keepLines w:val="0"/>
        <w:numPr>
          <w:ilvl w:val="0"/>
          <w:numId w:val="7"/>
        </w:numPr>
        <w:spacing w:before="0" w:after="80" w:line="290" w:lineRule="auto"/>
        <w:jc w:val="both"/>
      </w:pPr>
      <w:r>
        <w:rPr>
          <w:rFonts w:ascii="Calibri" w:hAnsi="Calibri" w:eastAsia="宋体"/>
          <w:b/>
          <w:color w:val="0B2545"/>
          <w:sz w:val="22"/>
        </w:rPr>
        <w:t>实时计算与显示。</w:t>
      </w:r>
      <w:r>
        <w:rPr>
          <w:rFonts w:ascii="Calibri" w:hAnsi="Calibri" w:eastAsia="宋体"/>
          <w:color w:val="000000"/>
          <w:sz w:val="22"/>
        </w:rPr>
        <w:t xml:space="preserve"> 研究局部表面相交检测、受影响区域筛选、曲面更新、法向计算和显示的高效实现，提高从工具运动到可视化反馈的实时性；可将 CUDA、GPU 并行计算或计算着色器作为其中的加速手段。</w:t>
      </w:r>
    </w:p>
    <w:p w14:paraId="3B28F04D">
      <w:pPr>
        <w:keepLines w:val="0"/>
        <w:numPr>
          <w:ilvl w:val="0"/>
          <w:numId w:val="7"/>
        </w:numPr>
        <w:spacing w:before="0" w:after="80" w:line="290" w:lineRule="auto"/>
        <w:jc w:val="both"/>
      </w:pPr>
      <w:r>
        <w:rPr>
          <w:rFonts w:ascii="Calibri" w:hAnsi="Calibri" w:eastAsia="宋体"/>
          <w:b/>
          <w:color w:val="0B2545"/>
          <w:sz w:val="22"/>
        </w:rPr>
        <w:t>计划执行状态与风险表达。</w:t>
      </w:r>
      <w:r>
        <w:rPr>
          <w:rFonts w:ascii="Calibri" w:hAnsi="Calibri" w:eastAsia="宋体"/>
          <w:color w:val="000000"/>
          <w:sz w:val="22"/>
        </w:rPr>
        <w:t xml:space="preserve"> 研究如何比较当前骨面和计划骨面，并在三维表面上显示尚需去除的区域、剩余磨削深度、计划完成程度、可能的过度磨削以及工具与安全边界的关系。</w:t>
      </w:r>
    </w:p>
    <w:p w14:paraId="313BCA84">
      <w:pPr>
        <w:keepLines w:val="0"/>
        <w:numPr>
          <w:ilvl w:val="0"/>
          <w:numId w:val="7"/>
        </w:numPr>
        <w:spacing w:before="0" w:after="80" w:line="290" w:lineRule="auto"/>
        <w:jc w:val="both"/>
      </w:pPr>
      <w:r>
        <w:rPr>
          <w:rFonts w:ascii="Calibri" w:hAnsi="Calibri" w:eastAsia="宋体"/>
          <w:b/>
          <w:color w:val="0B2545"/>
          <w:sz w:val="22"/>
        </w:rPr>
        <w:t>方法评价。</w:t>
      </w:r>
      <w:r>
        <w:rPr>
          <w:rFonts w:ascii="Calibri" w:hAnsi="Calibri" w:eastAsia="宋体"/>
          <w:color w:val="000000"/>
          <w:sz w:val="22"/>
        </w:rPr>
        <w:t xml:space="preserve"> 从几何误差、计算效率、网格质量、连续运行稳定性和可视化效果等方面，对所研究方法进行实验验证，</w:t>
      </w:r>
      <w:r>
        <w:rPr>
          <w:rFonts w:ascii="Calibri" w:hAnsi="Calibri" w:eastAsia="宋体"/>
          <w:color w:val="000000"/>
          <w:sz w:val="22"/>
          <w:highlight w:val="yellow"/>
        </w:rPr>
        <w:t>并与离线高精度结果或已有 surface 处理方法进行比较</w:t>
      </w:r>
      <w:r>
        <w:rPr>
          <w:rFonts w:ascii="Calibri" w:hAnsi="Calibri" w:eastAsia="宋体"/>
          <w:color w:val="000000"/>
          <w:sz w:val="22"/>
        </w:rPr>
        <w:t>。</w:t>
      </w:r>
    </w:p>
    <w:p w14:paraId="74E0BB1A">
      <w:pPr>
        <w:pStyle w:val="3"/>
      </w:pPr>
      <w:r>
        <w:t>可重点探索的研究方向</w:t>
      </w:r>
    </w:p>
    <w:p w14:paraId="4C42482B">
      <w:pPr>
        <w:keepLines w:val="0"/>
        <w:jc w:val="both"/>
      </w:pPr>
      <w:r>
        <w:rPr>
          <w:rFonts w:ascii="Calibri" w:hAnsi="Calibri" w:eastAsia="宋体"/>
          <w:color w:val="000000"/>
          <w:sz w:val="22"/>
        </w:rPr>
        <w:t>课题不预先限定唯一的技术路线。学生可在完成文献调研和初步实验后，从以下方向中选择一个作为主要研究重点：</w:t>
      </w:r>
    </w:p>
    <w:p w14:paraId="03A45041">
      <w:pPr>
        <w:keepLines w:val="0"/>
        <w:numPr>
          <w:ilvl w:val="0"/>
          <w:numId w:val="8"/>
        </w:numPr>
        <w:spacing w:before="0" w:after="80" w:line="290" w:lineRule="auto"/>
        <w:jc w:val="both"/>
      </w:pPr>
      <w:r>
        <w:rPr>
          <w:rFonts w:ascii="Calibri" w:hAnsi="Calibri" w:eastAsia="宋体"/>
          <w:b/>
          <w:color w:val="0B2545"/>
          <w:sz w:val="22"/>
        </w:rPr>
        <w:t>骨表面的增量更新与实时实现：</w:t>
      </w:r>
      <w:r>
        <w:rPr>
          <w:rFonts w:ascii="Calibri" w:hAnsi="Calibri" w:eastAsia="宋体"/>
          <w:color w:val="000000"/>
          <w:sz w:val="22"/>
        </w:rPr>
        <w:t xml:space="preserve"> 研究工具连续运动条件下</w:t>
      </w:r>
      <w:r>
        <w:rPr>
          <w:rFonts w:ascii="Calibri" w:hAnsi="Calibri" w:eastAsia="宋体"/>
          <w:color w:val="000000"/>
          <w:sz w:val="22"/>
          <w:highlight w:val="yellow"/>
        </w:rPr>
        <w:t>局部骨表面的快速更新、数据组织与实时显示</w:t>
      </w:r>
      <w:r>
        <w:rPr>
          <w:rFonts w:ascii="Calibri" w:hAnsi="Calibri" w:eastAsia="宋体"/>
          <w:color w:val="000000"/>
          <w:sz w:val="22"/>
        </w:rPr>
        <w:t>，并可结合 GPU 加速关键计算环节。</w:t>
      </w:r>
    </w:p>
    <w:p w14:paraId="5000E828">
      <w:pPr>
        <w:keepLines w:val="0"/>
        <w:numPr>
          <w:ilvl w:val="0"/>
          <w:numId w:val="8"/>
        </w:numPr>
        <w:spacing w:before="0" w:after="80" w:line="290" w:lineRule="auto"/>
        <w:jc w:val="both"/>
      </w:pPr>
      <w:r>
        <w:rPr>
          <w:rFonts w:ascii="Calibri" w:hAnsi="Calibri" w:eastAsia="宋体"/>
          <w:b/>
          <w:color w:val="0B2545"/>
          <w:sz w:val="22"/>
        </w:rPr>
        <w:t>动态表面的局部重建与质量保持：</w:t>
      </w:r>
      <w:r>
        <w:rPr>
          <w:rFonts w:ascii="Calibri" w:hAnsi="Calibri" w:eastAsia="宋体"/>
          <w:color w:val="000000"/>
          <w:sz w:val="22"/>
        </w:rPr>
        <w:t xml:space="preserve"> 研究重复磨削后产生的退化三角形、裂缝、法向不连续和拓扑变化问题。</w:t>
      </w:r>
    </w:p>
    <w:p w14:paraId="5DC45380">
      <w:pPr>
        <w:keepLines w:val="0"/>
        <w:numPr>
          <w:ilvl w:val="0"/>
          <w:numId w:val="8"/>
        </w:numPr>
        <w:spacing w:before="0" w:after="80" w:line="290" w:lineRule="auto"/>
        <w:jc w:val="both"/>
      </w:pPr>
      <w:r>
        <w:rPr>
          <w:rFonts w:ascii="Calibri" w:hAnsi="Calibri" w:eastAsia="宋体"/>
          <w:b/>
          <w:color w:val="0B2545"/>
          <w:sz w:val="22"/>
        </w:rPr>
        <w:t>计划误差和不确定性可视化：</w:t>
      </w:r>
      <w:r>
        <w:rPr>
          <w:rFonts w:ascii="Calibri" w:hAnsi="Calibri" w:eastAsia="宋体"/>
          <w:color w:val="000000"/>
          <w:sz w:val="22"/>
        </w:rPr>
        <w:t xml:space="preserve"> 研究当前表面与计划表面的差异，以及配准、跟踪、工具标定和系统延迟误差的视觉表达。</w:t>
      </w:r>
    </w:p>
    <w:p w14:paraId="4506BEDF">
      <w:pPr>
        <w:keepLines w:val="0"/>
        <w:numPr>
          <w:ilvl w:val="0"/>
          <w:numId w:val="8"/>
        </w:numPr>
        <w:spacing w:before="0" w:after="80" w:line="290" w:lineRule="auto"/>
        <w:jc w:val="both"/>
      </w:pPr>
      <w:r>
        <w:rPr>
          <w:rFonts w:ascii="Calibri" w:hAnsi="Calibri" w:eastAsia="宋体"/>
          <w:b/>
          <w:color w:val="0B2545"/>
          <w:sz w:val="22"/>
        </w:rPr>
        <w:t>多分辨率和自适应 surface 表达：</w:t>
      </w:r>
      <w:r>
        <w:rPr>
          <w:rFonts w:ascii="Calibri" w:hAnsi="Calibri" w:eastAsia="宋体"/>
          <w:color w:val="000000"/>
          <w:sz w:val="22"/>
        </w:rPr>
        <w:t xml:space="preserve"> </w:t>
      </w:r>
      <w:r>
        <w:rPr>
          <w:rFonts w:ascii="Calibri" w:hAnsi="Calibri" w:eastAsia="宋体"/>
          <w:color w:val="000000"/>
          <w:sz w:val="22"/>
          <w:highlight w:val="yellow"/>
        </w:rPr>
        <w:t>根据骨面曲率、计划边界和工具作用范围调整局部表面分辨率，在几何精度、网格规模和实时性之间取得平衡</w:t>
      </w:r>
      <w:r>
        <w:rPr>
          <w:rFonts w:ascii="Calibri" w:hAnsi="Calibri" w:eastAsia="宋体"/>
          <w:color w:val="000000"/>
          <w:sz w:val="22"/>
        </w:rPr>
        <w:t>。</w:t>
      </w:r>
    </w:p>
    <w:p w14:paraId="573D0F22">
      <w:pPr>
        <w:keepLines w:val="0"/>
        <w:jc w:val="both"/>
      </w:pPr>
      <w:r>
        <w:rPr>
          <w:rFonts w:ascii="Calibri" w:hAnsi="Calibri" w:eastAsia="宋体"/>
          <w:color w:val="000000"/>
          <w:sz w:val="22"/>
        </w:rPr>
        <w:t>最终的具体研究问题和创新点，应由学生在前期调研基础上进一步凝练。</w:t>
      </w:r>
    </w:p>
    <w:p w14:paraId="7EABE955">
      <w:pPr>
        <w:pStyle w:val="3"/>
      </w:pPr>
      <w:r>
        <w:t>课题范围</w:t>
      </w:r>
    </w:p>
    <w:p w14:paraId="334BE018">
      <w:pPr>
        <w:keepLines w:val="0"/>
        <w:jc w:val="both"/>
      </w:pPr>
      <w:r>
        <w:rPr>
          <w:rFonts w:ascii="Calibri" w:hAnsi="Calibri" w:eastAsia="宋体"/>
          <w:color w:val="000000"/>
          <w:sz w:val="22"/>
        </w:rPr>
        <w:t>硕士阶段建议</w:t>
      </w:r>
      <w:r>
        <w:rPr>
          <w:rFonts w:ascii="Calibri" w:hAnsi="Calibri" w:eastAsia="宋体"/>
          <w:color w:val="000000"/>
          <w:sz w:val="22"/>
          <w:highlight w:val="yellow"/>
        </w:rPr>
        <w:t>首先以肩胛盂局部区域、刚性骨表面和球形磨钻为主要研究对</w:t>
      </w:r>
      <w:r>
        <w:rPr>
          <w:rFonts w:ascii="Calibri" w:hAnsi="Calibri" w:eastAsia="宋体"/>
          <w:color w:val="000000"/>
          <w:sz w:val="22"/>
        </w:rPr>
        <w:t>象，重点解决几何更新和术中可视化问题，不同时承担机器人控制、软组织形变、完整手术仿真和临床系统认证。任意复杂网格和任意工具的通用布尔处理可以作为后续扩展，而不作为完成课题的必要条件。</w:t>
      </w:r>
    </w:p>
    <w:p w14:paraId="2D6EC966">
      <w:pPr>
        <w:keepLines w:val="0"/>
        <w:jc w:val="both"/>
      </w:pPr>
      <w:r>
        <w:rPr>
          <w:rFonts w:ascii="Calibri" w:hAnsi="Calibri" w:eastAsia="宋体"/>
          <w:color w:val="000000"/>
          <w:sz w:val="22"/>
        </w:rPr>
        <w:t>在肩胛盂场景得到验证后，相关方法还可进一步向髋臼、膝关节、脊柱和其他骨磨削手术推广。</w:t>
      </w:r>
    </w:p>
    <w:p w14:paraId="6FE3ACB6">
      <w:pPr>
        <w:pStyle w:val="3"/>
      </w:pPr>
      <w:r>
        <w:t>预期成果</w:t>
      </w:r>
    </w:p>
    <w:p w14:paraId="7F8B5138">
      <w:pPr>
        <w:keepLines w:val="0"/>
        <w:numPr>
          <w:ilvl w:val="0"/>
          <w:numId w:val="8"/>
        </w:numPr>
        <w:spacing w:before="0" w:after="80" w:line="290" w:lineRule="auto"/>
        <w:jc w:val="both"/>
      </w:pPr>
      <w:r>
        <w:rPr>
          <w:rFonts w:ascii="Calibri" w:hAnsi="Calibri" w:eastAsia="宋体"/>
          <w:color w:val="000000"/>
          <w:sz w:val="22"/>
        </w:rPr>
        <w:t>机器人骨磨削实时表面可视化的文献和需求调研；</w:t>
      </w:r>
    </w:p>
    <w:p w14:paraId="62744E48">
      <w:pPr>
        <w:keepLines w:val="0"/>
        <w:numPr>
          <w:ilvl w:val="0"/>
          <w:numId w:val="8"/>
        </w:numPr>
        <w:spacing w:before="0" w:after="80" w:line="290" w:lineRule="auto"/>
        <w:jc w:val="both"/>
      </w:pPr>
      <w:r>
        <w:rPr>
          <w:rFonts w:ascii="Calibri" w:hAnsi="Calibri" w:eastAsia="宋体"/>
          <w:color w:val="000000"/>
          <w:sz w:val="22"/>
        </w:rPr>
        <w:t>一种面向该场景的动态 surface 表示或更新方法；</w:t>
      </w:r>
    </w:p>
    <w:p w14:paraId="205F54F0">
      <w:pPr>
        <w:keepLines w:val="0"/>
        <w:numPr>
          <w:ilvl w:val="0"/>
          <w:numId w:val="8"/>
        </w:numPr>
        <w:spacing w:before="0" w:after="80" w:line="290" w:lineRule="auto"/>
        <w:jc w:val="both"/>
      </w:pPr>
      <w:r>
        <w:rPr>
          <w:rFonts w:ascii="Calibri" w:hAnsi="Calibri" w:eastAsia="宋体"/>
          <w:color w:val="000000"/>
          <w:sz w:val="22"/>
        </w:rPr>
        <w:t>一个能够读取骨表面、手术计划和工具轨迹的可视化原型；</w:t>
      </w:r>
    </w:p>
    <w:p w14:paraId="65EC0678">
      <w:pPr>
        <w:keepLines w:val="0"/>
        <w:numPr>
          <w:ilvl w:val="0"/>
          <w:numId w:val="8"/>
        </w:numPr>
        <w:spacing w:before="0" w:after="80" w:line="290" w:lineRule="auto"/>
        <w:jc w:val="both"/>
      </w:pPr>
      <w:r>
        <w:rPr>
          <w:rFonts w:ascii="Calibri" w:hAnsi="Calibri" w:eastAsia="宋体"/>
          <w:color w:val="000000"/>
          <w:sz w:val="22"/>
        </w:rPr>
        <w:t>实时计算与显示方面的实现及性能分析，其中可包含 GPU 加速</w:t>
      </w:r>
      <w:bookmarkStart w:id="0" w:name="_GoBack"/>
      <w:bookmarkEnd w:id="0"/>
      <w:r>
        <w:rPr>
          <w:rFonts w:ascii="Calibri" w:hAnsi="Calibri" w:eastAsia="宋体"/>
          <w:color w:val="000000"/>
          <w:sz w:val="22"/>
        </w:rPr>
        <w:t>模块；</w:t>
      </w:r>
    </w:p>
    <w:p w14:paraId="329EDDC2">
      <w:pPr>
        <w:keepLines w:val="0"/>
        <w:numPr>
          <w:ilvl w:val="0"/>
          <w:numId w:val="8"/>
        </w:numPr>
        <w:spacing w:before="0" w:after="80" w:line="290" w:lineRule="auto"/>
        <w:jc w:val="both"/>
      </w:pPr>
      <w:r>
        <w:rPr>
          <w:rFonts w:ascii="Calibri" w:hAnsi="Calibri" w:eastAsia="宋体"/>
          <w:color w:val="000000"/>
          <w:sz w:val="22"/>
        </w:rPr>
        <w:t>与离线高精度结果或已有 surface 处理方法的对比实验；</w:t>
      </w:r>
    </w:p>
    <w:p w14:paraId="0FB86831">
      <w:pPr>
        <w:keepLines w:val="0"/>
        <w:numPr>
          <w:ilvl w:val="0"/>
          <w:numId w:val="8"/>
        </w:numPr>
        <w:spacing w:before="0" w:after="80" w:line="290" w:lineRule="auto"/>
        <w:jc w:val="both"/>
      </w:pPr>
      <w:r>
        <w:rPr>
          <w:rFonts w:ascii="Calibri" w:hAnsi="Calibri" w:eastAsia="宋体"/>
          <w:color w:val="000000"/>
          <w:sz w:val="22"/>
        </w:rPr>
        <w:t>面向肩胛盂磨削任务的精度、效率和稳定性评价；</w:t>
      </w:r>
    </w:p>
    <w:p w14:paraId="2D55933E">
      <w:pPr>
        <w:keepLines w:val="0"/>
        <w:numPr>
          <w:ilvl w:val="0"/>
          <w:numId w:val="8"/>
        </w:numPr>
        <w:spacing w:before="0" w:after="80" w:line="290" w:lineRule="auto"/>
        <w:jc w:val="both"/>
      </w:pPr>
      <w:r>
        <w:rPr>
          <w:rFonts w:ascii="Calibri" w:hAnsi="Calibri" w:eastAsia="宋体"/>
          <w:color w:val="000000"/>
          <w:sz w:val="22"/>
        </w:rPr>
        <w:t>相关学术论文和硕士学位论文。</w:t>
      </w:r>
    </w:p>
    <w:p w14:paraId="238487A1">
      <w:pPr>
        <w:pStyle w:val="3"/>
        <w:pageBreakBefore/>
      </w:pPr>
      <w:r>
        <w:t>参考文献</w:t>
      </w:r>
    </w:p>
    <w:p w14:paraId="7203987A">
      <w:pPr>
        <w:keepLines w:val="0"/>
        <w:numPr>
          <w:ilvl w:val="0"/>
          <w:numId w:val="9"/>
        </w:numPr>
        <w:spacing w:before="0" w:after="80" w:line="290" w:lineRule="auto"/>
        <w:jc w:val="left"/>
      </w:pPr>
      <w:r>
        <w:rPr>
          <w:rFonts w:ascii="Calibri" w:hAnsi="Calibri" w:eastAsia="宋体"/>
          <w:color w:val="000000"/>
          <w:sz w:val="21"/>
        </w:rPr>
        <w:t xml:space="preserve">Sanchez-Sotelo J, Marigi EM. Robotic-assisted baseplate preparation in primary reverse total shoulder arthroplasty: surgical technique and contemporary review. </w:t>
      </w:r>
      <w:r>
        <w:rPr>
          <w:rFonts w:ascii="Calibri" w:hAnsi="Calibri" w:eastAsia="宋体"/>
          <w:i/>
          <w:color w:val="000000"/>
          <w:sz w:val="21"/>
        </w:rPr>
        <w:t>JSES Reviews, Reports, and Techniques</w:t>
      </w:r>
      <w:r>
        <w:rPr>
          <w:rFonts w:ascii="Calibri" w:hAnsi="Calibri" w:eastAsia="宋体"/>
          <w:color w:val="000000"/>
          <w:sz w:val="21"/>
        </w:rPr>
        <w:t xml:space="preserve">. 2025. </w:t>
      </w:r>
      <w:r>
        <w:fldChar w:fldCharType="begin"/>
      </w:r>
      <w:r>
        <w:instrText xml:space="preserve"> HYPERLINK "https://doi.org/10.1016/j.xrrt.2025.08.013" </w:instrText>
      </w:r>
      <w:r>
        <w:fldChar w:fldCharType="separate"/>
      </w:r>
      <w:r>
        <w:rPr>
          <w:rFonts w:ascii="Calibri" w:hAnsi="Calibri" w:eastAsia="宋体"/>
          <w:color w:val="0563C1"/>
          <w:sz w:val="18"/>
          <w:szCs w:val="18"/>
          <w:u w:val="single"/>
        </w:rPr>
        <w:t>https://doi.org/10.1016/j.xrrt.2025.08.013</w:t>
      </w:r>
      <w:r>
        <w:rPr>
          <w:rFonts w:ascii="Calibri" w:hAnsi="Calibri" w:eastAsia="宋体"/>
          <w:color w:val="0563C1"/>
          <w:sz w:val="18"/>
          <w:szCs w:val="18"/>
          <w:u w:val="single"/>
        </w:rPr>
        <w:fldChar w:fldCharType="end"/>
      </w:r>
    </w:p>
    <w:p w14:paraId="412DD9DB">
      <w:pPr>
        <w:keepLines w:val="0"/>
        <w:numPr>
          <w:ilvl w:val="0"/>
          <w:numId w:val="9"/>
        </w:numPr>
        <w:spacing w:before="0" w:after="80" w:line="290" w:lineRule="auto"/>
        <w:jc w:val="left"/>
      </w:pPr>
      <w:r>
        <w:rPr>
          <w:rFonts w:ascii="Calibri" w:hAnsi="Calibri" w:eastAsia="宋体"/>
          <w:color w:val="000000"/>
          <w:sz w:val="21"/>
        </w:rPr>
        <w:t xml:space="preserve">Athwal GS, Nelson A, Antuna S, et al. Glenoid preparation in reverse shoulder arthroplasty: robotic arm-assisted preparation compared to manual preparation and patient-specific guides. </w:t>
      </w:r>
      <w:r>
        <w:rPr>
          <w:rFonts w:ascii="Calibri" w:hAnsi="Calibri" w:eastAsia="宋体"/>
          <w:i/>
          <w:color w:val="000000"/>
          <w:sz w:val="21"/>
        </w:rPr>
        <w:t>Journal of Shoulder and Elbow Surgery</w:t>
      </w:r>
      <w:r>
        <w:rPr>
          <w:rFonts w:ascii="Calibri" w:hAnsi="Calibri" w:eastAsia="宋体"/>
          <w:color w:val="000000"/>
          <w:sz w:val="21"/>
        </w:rPr>
        <w:t xml:space="preserve">. 2025;34:2022–2030. </w:t>
      </w:r>
      <w:r>
        <w:fldChar w:fldCharType="begin"/>
      </w:r>
      <w:r>
        <w:instrText xml:space="preserve"> HYPERLINK "https://doi.org/10.1016/j.jse.2024.12.007" </w:instrText>
      </w:r>
      <w:r>
        <w:fldChar w:fldCharType="separate"/>
      </w:r>
      <w:r>
        <w:rPr>
          <w:rFonts w:ascii="Calibri" w:hAnsi="Calibri" w:eastAsia="宋体"/>
          <w:color w:val="0563C1"/>
          <w:sz w:val="18"/>
          <w:szCs w:val="18"/>
          <w:u w:val="single"/>
        </w:rPr>
        <w:t>https://doi.org/10.1016/j.jse.2024.12.007</w:t>
      </w:r>
      <w:r>
        <w:rPr>
          <w:rFonts w:ascii="Calibri" w:hAnsi="Calibri" w:eastAsia="宋体"/>
          <w:color w:val="0563C1"/>
          <w:sz w:val="18"/>
          <w:szCs w:val="18"/>
          <w:u w:val="single"/>
        </w:rPr>
        <w:fldChar w:fldCharType="end"/>
      </w:r>
    </w:p>
    <w:p w14:paraId="4FDF406F">
      <w:pPr>
        <w:keepLines w:val="0"/>
        <w:numPr>
          <w:ilvl w:val="0"/>
          <w:numId w:val="9"/>
        </w:numPr>
        <w:spacing w:before="0" w:after="80" w:line="290" w:lineRule="auto"/>
        <w:jc w:val="left"/>
      </w:pPr>
      <w:r>
        <w:rPr>
          <w:rFonts w:ascii="Calibri" w:hAnsi="Calibri" w:eastAsia="宋体"/>
          <w:color w:val="000000"/>
          <w:sz w:val="21"/>
        </w:rPr>
        <w:t xml:space="preserve">Crowther LJ, Nadzadi ME. Accuracy of robotic-arm assisted reverse shoulder arthroplasty. ORS 2026 Annual Meeting Paper No. 2155. </w:t>
      </w:r>
      <w:r>
        <w:fldChar w:fldCharType="begin"/>
      </w:r>
      <w:r>
        <w:instrText xml:space="preserve"> HYPERLINK "https://www.ors.org/wp-content/uploads/AM26/2155.pdf" </w:instrText>
      </w:r>
      <w:r>
        <w:fldChar w:fldCharType="separate"/>
      </w:r>
      <w:r>
        <w:rPr>
          <w:rFonts w:ascii="Calibri" w:hAnsi="Calibri" w:eastAsia="宋体"/>
          <w:color w:val="0563C1"/>
          <w:sz w:val="18"/>
          <w:szCs w:val="18"/>
          <w:u w:val="single"/>
        </w:rPr>
        <w:t>https://www.ors.org/wp-content/uploads/AM26/2155.pdf</w:t>
      </w:r>
      <w:r>
        <w:rPr>
          <w:rFonts w:ascii="Calibri" w:hAnsi="Calibri" w:eastAsia="宋体"/>
          <w:color w:val="0563C1"/>
          <w:sz w:val="18"/>
          <w:szCs w:val="18"/>
          <w:u w:val="single"/>
        </w:rPr>
        <w:fldChar w:fldCharType="end"/>
      </w:r>
    </w:p>
    <w:p w14:paraId="152BC8C3">
      <w:pPr>
        <w:keepLines w:val="0"/>
        <w:numPr>
          <w:ilvl w:val="0"/>
          <w:numId w:val="9"/>
        </w:numPr>
        <w:spacing w:before="0" w:after="80" w:line="290" w:lineRule="auto"/>
        <w:jc w:val="left"/>
      </w:pPr>
      <w:r>
        <w:rPr>
          <w:rFonts w:ascii="Calibri" w:hAnsi="Calibri" w:eastAsia="宋体"/>
          <w:color w:val="000000"/>
          <w:sz w:val="21"/>
        </w:rPr>
        <w:t xml:space="preserve">Menendez ME, et al. Early adopter surgeon experience with Mako robotic-assisted reverse shoulder arthroplasty: perceived utility, workload, and workflow reliability. </w:t>
      </w:r>
      <w:r>
        <w:rPr>
          <w:rFonts w:ascii="Calibri" w:hAnsi="Calibri" w:eastAsia="宋体"/>
          <w:i/>
          <w:color w:val="000000"/>
          <w:sz w:val="21"/>
        </w:rPr>
        <w:t>Journal of Shoulder and Elbow Surgery</w:t>
      </w:r>
      <w:r>
        <w:rPr>
          <w:rFonts w:ascii="Calibri" w:hAnsi="Calibri" w:eastAsia="宋体"/>
          <w:color w:val="000000"/>
          <w:sz w:val="21"/>
        </w:rPr>
        <w:t xml:space="preserve">. 2026. </w:t>
      </w:r>
      <w:r>
        <w:fldChar w:fldCharType="begin"/>
      </w:r>
      <w:r>
        <w:instrText xml:space="preserve"> HYPERLINK "https://doi.org/10.1016/j.jse.2026.05.016" </w:instrText>
      </w:r>
      <w:r>
        <w:fldChar w:fldCharType="separate"/>
      </w:r>
      <w:r>
        <w:rPr>
          <w:rFonts w:ascii="Calibri" w:hAnsi="Calibri" w:eastAsia="宋体"/>
          <w:color w:val="0563C1"/>
          <w:sz w:val="18"/>
          <w:szCs w:val="18"/>
          <w:u w:val="single"/>
        </w:rPr>
        <w:t>https://doi.org/10.1016/j.jse.2026.05.016</w:t>
      </w:r>
      <w:r>
        <w:rPr>
          <w:rFonts w:ascii="Calibri" w:hAnsi="Calibri" w:eastAsia="宋体"/>
          <w:color w:val="0563C1"/>
          <w:sz w:val="18"/>
          <w:szCs w:val="18"/>
          <w:u w:val="single"/>
        </w:rPr>
        <w:fldChar w:fldCharType="end"/>
      </w:r>
    </w:p>
    <w:p w14:paraId="7E7FA8C5">
      <w:pPr>
        <w:keepLines w:val="0"/>
        <w:numPr>
          <w:ilvl w:val="0"/>
          <w:numId w:val="9"/>
        </w:numPr>
        <w:spacing w:before="0" w:after="80" w:line="290" w:lineRule="auto"/>
        <w:jc w:val="left"/>
      </w:pPr>
      <w:r>
        <w:rPr>
          <w:rFonts w:ascii="Calibri" w:hAnsi="Calibri" w:eastAsia="宋体"/>
          <w:color w:val="000000"/>
          <w:sz w:val="21"/>
        </w:rPr>
        <w:t xml:space="preserve">Mahmoud AH, Porumbescu SD, Owens JD. Dynamic Mesh Processing on the GPU. </w:t>
      </w:r>
      <w:r>
        <w:rPr>
          <w:rFonts w:ascii="Calibri" w:hAnsi="Calibri" w:eastAsia="宋体"/>
          <w:i/>
          <w:color w:val="000000"/>
          <w:sz w:val="21"/>
        </w:rPr>
        <w:t>ACM Transactions on Graphics</w:t>
      </w:r>
      <w:r>
        <w:rPr>
          <w:rFonts w:ascii="Calibri" w:hAnsi="Calibri" w:eastAsia="宋体"/>
          <w:color w:val="000000"/>
          <w:sz w:val="21"/>
        </w:rPr>
        <w:t xml:space="preserve">. 2025. </w:t>
      </w:r>
      <w:r>
        <w:fldChar w:fldCharType="begin"/>
      </w:r>
      <w:r>
        <w:instrText xml:space="preserve"> HYPERLINK "https://doi.org/10.1145/3731162" </w:instrText>
      </w:r>
      <w:r>
        <w:fldChar w:fldCharType="separate"/>
      </w:r>
      <w:r>
        <w:rPr>
          <w:rFonts w:ascii="Calibri" w:hAnsi="Calibri" w:eastAsia="宋体"/>
          <w:color w:val="0563C1"/>
          <w:sz w:val="18"/>
          <w:szCs w:val="18"/>
          <w:u w:val="single"/>
        </w:rPr>
        <w:t>https://doi.org/10.1145/3731162</w:t>
      </w:r>
      <w:r>
        <w:rPr>
          <w:rFonts w:ascii="Calibri" w:hAnsi="Calibri" w:eastAsia="宋体"/>
          <w:color w:val="0563C1"/>
          <w:sz w:val="18"/>
          <w:szCs w:val="18"/>
          <w:u w:val="single"/>
        </w:rPr>
        <w:fldChar w:fldCharType="end"/>
      </w:r>
    </w:p>
    <w:p w14:paraId="40F4E5B8">
      <w:pPr>
        <w:keepLines w:val="0"/>
        <w:numPr>
          <w:ilvl w:val="0"/>
          <w:numId w:val="9"/>
        </w:numPr>
        <w:spacing w:before="0" w:after="80" w:line="290" w:lineRule="auto"/>
        <w:jc w:val="left"/>
      </w:pPr>
      <w:r>
        <w:rPr>
          <w:rFonts w:ascii="Calibri" w:hAnsi="Calibri" w:eastAsia="宋体"/>
          <w:color w:val="000000"/>
          <w:sz w:val="21"/>
        </w:rPr>
        <w:t xml:space="preserve">Schmidt R, Brochu T. Adaptive Mesh Booleans. 2016. </w:t>
      </w:r>
      <w:r>
        <w:fldChar w:fldCharType="begin"/>
      </w:r>
      <w:r>
        <w:instrText xml:space="preserve"> HYPERLINK "https://arxiv.org/abs/1605.01760" </w:instrText>
      </w:r>
      <w:r>
        <w:fldChar w:fldCharType="separate"/>
      </w:r>
      <w:r>
        <w:rPr>
          <w:rFonts w:ascii="Calibri" w:hAnsi="Calibri" w:eastAsia="宋体"/>
          <w:color w:val="0563C1"/>
          <w:sz w:val="18"/>
          <w:szCs w:val="18"/>
          <w:u w:val="single"/>
        </w:rPr>
        <w:t>https://arxiv.org/abs/1605.01760</w:t>
      </w:r>
      <w:r>
        <w:rPr>
          <w:rFonts w:ascii="Calibri" w:hAnsi="Calibri" w:eastAsia="宋体"/>
          <w:color w:val="0563C1"/>
          <w:sz w:val="18"/>
          <w:szCs w:val="18"/>
          <w:u w:val="single"/>
        </w:rPr>
        <w:fldChar w:fldCharType="end"/>
      </w:r>
    </w:p>
    <w:p w14:paraId="0FB59605">
      <w:pPr>
        <w:keepLines w:val="0"/>
        <w:numPr>
          <w:ilvl w:val="0"/>
          <w:numId w:val="9"/>
        </w:numPr>
        <w:spacing w:before="0" w:after="80" w:line="290" w:lineRule="auto"/>
        <w:jc w:val="left"/>
      </w:pPr>
      <w:r>
        <w:rPr>
          <w:rFonts w:ascii="Calibri" w:hAnsi="Calibri" w:eastAsia="宋体"/>
          <w:color w:val="000000"/>
          <w:sz w:val="21"/>
        </w:rPr>
        <w:t xml:space="preserve">Nehring-Wirxel J, Trettner P, Kobbelt L. Fast Exact Booleans for Iterated CSG using Octree-Embedded BSPs. </w:t>
      </w:r>
      <w:r>
        <w:rPr>
          <w:rFonts w:ascii="Calibri" w:hAnsi="Calibri" w:eastAsia="宋体"/>
          <w:i/>
          <w:color w:val="000000"/>
          <w:sz w:val="21"/>
        </w:rPr>
        <w:t>Computer-Aided Design</w:t>
      </w:r>
      <w:r>
        <w:rPr>
          <w:rFonts w:ascii="Calibri" w:hAnsi="Calibri" w:eastAsia="宋体"/>
          <w:color w:val="000000"/>
          <w:sz w:val="21"/>
        </w:rPr>
        <w:t xml:space="preserve">. 2021. </w:t>
      </w:r>
      <w:r>
        <w:fldChar w:fldCharType="begin"/>
      </w:r>
      <w:r>
        <w:instrText xml:space="preserve"> HYPERLINK "https://arxiv.org/abs/2103.02486" </w:instrText>
      </w:r>
      <w:r>
        <w:fldChar w:fldCharType="separate"/>
      </w:r>
      <w:r>
        <w:rPr>
          <w:rFonts w:ascii="Calibri" w:hAnsi="Calibri" w:eastAsia="宋体"/>
          <w:color w:val="0563C1"/>
          <w:sz w:val="18"/>
          <w:szCs w:val="18"/>
          <w:u w:val="single"/>
        </w:rPr>
        <w:t>https://arxiv.org/abs/2103.02486</w:t>
      </w:r>
      <w:r>
        <w:rPr>
          <w:rFonts w:ascii="Calibri" w:hAnsi="Calibri" w:eastAsia="宋体"/>
          <w:color w:val="0563C1"/>
          <w:sz w:val="18"/>
          <w:szCs w:val="18"/>
          <w:u w:val="single"/>
        </w:rPr>
        <w:fldChar w:fldCharType="end"/>
      </w:r>
    </w:p>
    <w:p w14:paraId="0A03611A">
      <w:pPr>
        <w:keepLines w:val="0"/>
        <w:numPr>
          <w:ilvl w:val="0"/>
          <w:numId w:val="9"/>
        </w:numPr>
        <w:spacing w:before="0" w:after="80" w:line="290" w:lineRule="auto"/>
        <w:jc w:val="left"/>
      </w:pPr>
      <w:r>
        <w:rPr>
          <w:rFonts w:ascii="Calibri" w:hAnsi="Calibri" w:eastAsia="宋体"/>
          <w:color w:val="000000"/>
          <w:sz w:val="21"/>
        </w:rPr>
        <w:t xml:space="preserve">Gong X, Feng H-Y. Cutter-workpiece engagement determination for general milling using triangle mesh modeling. </w:t>
      </w:r>
      <w:r>
        <w:rPr>
          <w:rFonts w:ascii="Calibri" w:hAnsi="Calibri" w:eastAsia="宋体"/>
          <w:i/>
          <w:color w:val="000000"/>
          <w:sz w:val="21"/>
        </w:rPr>
        <w:t>Journal of Computational Design and Engineering</w:t>
      </w:r>
      <w:r>
        <w:rPr>
          <w:rFonts w:ascii="Calibri" w:hAnsi="Calibri" w:eastAsia="宋体"/>
          <w:color w:val="000000"/>
          <w:sz w:val="21"/>
        </w:rPr>
        <w:t xml:space="preserve">. 2016;3(2):151–160. </w:t>
      </w:r>
      <w:r>
        <w:fldChar w:fldCharType="begin"/>
      </w:r>
      <w:r>
        <w:instrText xml:space="preserve"> HYPERLINK "https://doi.org/10.1016/j.jcde.2015.12.001" </w:instrText>
      </w:r>
      <w:r>
        <w:fldChar w:fldCharType="separate"/>
      </w:r>
      <w:r>
        <w:rPr>
          <w:rFonts w:ascii="Calibri" w:hAnsi="Calibri" w:eastAsia="宋体"/>
          <w:color w:val="0563C1"/>
          <w:sz w:val="18"/>
          <w:szCs w:val="18"/>
          <w:u w:val="single"/>
        </w:rPr>
        <w:t>https://doi.org/10.1016/j.jcde.2015.12.001</w:t>
      </w:r>
      <w:r>
        <w:rPr>
          <w:rFonts w:ascii="Calibri" w:hAnsi="Calibri" w:eastAsia="宋体"/>
          <w:color w:val="0563C1"/>
          <w:sz w:val="18"/>
          <w:szCs w:val="18"/>
          <w:u w:val="single"/>
        </w:rPr>
        <w:fldChar w:fldCharType="end"/>
      </w:r>
    </w:p>
    <w:p w14:paraId="1732D64E">
      <w:pPr>
        <w:keepLines w:val="0"/>
        <w:numPr>
          <w:ilvl w:val="0"/>
          <w:numId w:val="9"/>
        </w:numPr>
        <w:spacing w:before="0" w:after="80" w:line="290" w:lineRule="auto"/>
        <w:jc w:val="left"/>
      </w:pPr>
      <w:r>
        <w:rPr>
          <w:rFonts w:ascii="Calibri" w:hAnsi="Calibri" w:eastAsia="宋体"/>
          <w:color w:val="000000"/>
          <w:sz w:val="21"/>
        </w:rPr>
        <w:t xml:space="preserve">Karras T. Maximizing Parallelism in the Construction of BVHs, Octrees, and k-d Trees. </w:t>
      </w:r>
      <w:r>
        <w:rPr>
          <w:rFonts w:ascii="Calibri" w:hAnsi="Calibri" w:eastAsia="宋体"/>
          <w:i/>
          <w:color w:val="000000"/>
          <w:sz w:val="21"/>
        </w:rPr>
        <w:t>High Performance Graphics</w:t>
      </w:r>
      <w:r>
        <w:rPr>
          <w:rFonts w:ascii="Calibri" w:hAnsi="Calibri" w:eastAsia="宋体"/>
          <w:color w:val="000000"/>
          <w:sz w:val="21"/>
        </w:rPr>
        <w:t xml:space="preserve">. 2012. </w:t>
      </w:r>
      <w:r>
        <w:fldChar w:fldCharType="begin"/>
      </w:r>
      <w:r>
        <w:instrText xml:space="preserve"> HYPERLINK "https://research.nvidia.com/publication/2012-06_maximizing-parallelism-construction-bvhs-octrees-and-k-d-trees" </w:instrText>
      </w:r>
      <w:r>
        <w:fldChar w:fldCharType="separate"/>
      </w:r>
      <w:r>
        <w:rPr>
          <w:rFonts w:ascii="Calibri" w:hAnsi="Calibri" w:eastAsia="宋体"/>
          <w:color w:val="0563C1"/>
          <w:sz w:val="18"/>
          <w:szCs w:val="18"/>
          <w:u w:val="single"/>
        </w:rPr>
        <w:t>https://research.nvidia.com/publication/2012-06_maximizing-parallelism-construction-bvhs-octrees-and-k-d-trees</w:t>
      </w:r>
      <w:r>
        <w:rPr>
          <w:rFonts w:ascii="Calibri" w:hAnsi="Calibri" w:eastAsia="宋体"/>
          <w:color w:val="0563C1"/>
          <w:sz w:val="18"/>
          <w:szCs w:val="18"/>
          <w:u w:val="single"/>
        </w:rPr>
        <w:fldChar w:fldCharType="end"/>
      </w:r>
    </w:p>
    <w:p w14:paraId="4408D636">
      <w:pPr>
        <w:keepLines w:val="0"/>
        <w:numPr>
          <w:ilvl w:val="0"/>
          <w:numId w:val="9"/>
        </w:numPr>
        <w:spacing w:before="0" w:after="80" w:line="290" w:lineRule="auto"/>
        <w:jc w:val="left"/>
      </w:pPr>
      <w:r>
        <w:rPr>
          <w:rFonts w:ascii="Calibri" w:hAnsi="Calibri" w:eastAsia="宋体"/>
          <w:color w:val="000000"/>
          <w:sz w:val="21"/>
        </w:rPr>
        <w:t xml:space="preserve">Stryker. Mako Shoulder product and workflow information. </w:t>
      </w:r>
      <w:r>
        <w:fldChar w:fldCharType="begin"/>
      </w:r>
      <w:r>
        <w:instrText xml:space="preserve"> HYPERLINK "https://www.stryker.com/us/en/joint-replacement/systems/mako-shoulder.html" </w:instrText>
      </w:r>
      <w:r>
        <w:fldChar w:fldCharType="separate"/>
      </w:r>
      <w:r>
        <w:rPr>
          <w:rFonts w:ascii="Calibri" w:hAnsi="Calibri" w:eastAsia="宋体"/>
          <w:color w:val="0563C1"/>
          <w:sz w:val="18"/>
          <w:szCs w:val="18"/>
          <w:u w:val="single"/>
        </w:rPr>
        <w:t>https://www.stryker.com/us/en/joint-replacement/systems/mako-shoulder.html</w:t>
      </w:r>
      <w:r>
        <w:rPr>
          <w:rFonts w:ascii="Calibri" w:hAnsi="Calibri" w:eastAsia="宋体"/>
          <w:color w:val="0563C1"/>
          <w:sz w:val="18"/>
          <w:szCs w:val="18"/>
          <w:u w:val="single"/>
        </w:rPr>
        <w:fldChar w:fldCharType="end"/>
      </w:r>
    </w:p>
    <w:p w14:paraId="3071EA89">
      <w:pPr>
        <w:pStyle w:val="3"/>
      </w:pPr>
      <w:r>
        <w:t>相关视频</w:t>
      </w:r>
    </w:p>
    <w:p w14:paraId="62B521B7">
      <w:pPr>
        <w:keepLines w:val="0"/>
        <w:numPr>
          <w:ilvl w:val="0"/>
          <w:numId w:val="8"/>
        </w:numPr>
        <w:spacing w:before="0" w:after="80" w:line="290" w:lineRule="auto"/>
        <w:jc w:val="both"/>
      </w:pPr>
      <w:r>
        <w:rPr>
          <w:rFonts w:ascii="Calibri" w:hAnsi="Calibri" w:eastAsia="宋体"/>
          <w:color w:val="000000"/>
          <w:sz w:val="22"/>
        </w:rPr>
        <w:t>VuMedi：Mako Shoulder Robotic-Arm Assisted Surgical Video。</w:t>
      </w:r>
      <w:r>
        <w:fldChar w:fldCharType="begin"/>
      </w:r>
      <w:r>
        <w:instrText xml:space="preserve"> HYPERLINK "https://www.vumedi.com/channel/stryker/tab/mako-shoulder/video/mako-shoulder-robotic-arm-assisted-surgical-video/" </w:instrText>
      </w:r>
      <w:r>
        <w:fldChar w:fldCharType="separate"/>
      </w:r>
      <w:r>
        <w:rPr>
          <w:rFonts w:ascii="Calibri" w:hAnsi="Calibri" w:eastAsia="宋体"/>
          <w:color w:val="0563C1"/>
          <w:sz w:val="19"/>
          <w:szCs w:val="19"/>
          <w:u w:val="single"/>
        </w:rPr>
        <w:t>https://www.vumedi.com/channel/stryker/tab/mako-shoulder/video/mako-shoulder-robotic-arm-assisted-surgical-video/</w:t>
      </w:r>
      <w:r>
        <w:rPr>
          <w:rFonts w:ascii="Calibri" w:hAnsi="Calibri" w:eastAsia="宋体"/>
          <w:color w:val="0563C1"/>
          <w:sz w:val="19"/>
          <w:szCs w:val="19"/>
          <w:u w:val="single"/>
        </w:rPr>
        <w:fldChar w:fldCharType="end"/>
      </w:r>
    </w:p>
    <w:p w14:paraId="2E09875C">
      <w:pPr>
        <w:keepLines w:val="0"/>
        <w:numPr>
          <w:ilvl w:val="0"/>
          <w:numId w:val="8"/>
        </w:numPr>
        <w:spacing w:before="0" w:after="80" w:line="290" w:lineRule="auto"/>
        <w:jc w:val="both"/>
      </w:pPr>
      <w:r>
        <w:rPr>
          <w:rFonts w:ascii="Calibri" w:hAnsi="Calibri" w:eastAsia="宋体"/>
          <w:color w:val="000000"/>
          <w:sz w:val="22"/>
        </w:rPr>
        <w:t>Mako 肩胛盂准备流程与视频入口：</w:t>
      </w:r>
      <w:r>
        <w:fldChar w:fldCharType="begin"/>
      </w:r>
      <w:r>
        <w:instrText xml:space="preserve"> HYPERLINK "https://shoulderelbow.org/2025/03/28/stryker-mako-robot-assisted-reverse-shoulder-replacement/" </w:instrText>
      </w:r>
      <w:r>
        <w:fldChar w:fldCharType="separate"/>
      </w:r>
      <w:r>
        <w:rPr>
          <w:rFonts w:ascii="Calibri" w:hAnsi="Calibri" w:eastAsia="宋体"/>
          <w:color w:val="0563C1"/>
          <w:sz w:val="19"/>
          <w:szCs w:val="19"/>
          <w:u w:val="single"/>
        </w:rPr>
        <w:t>https://shoulderelbow.org/2025/03/28/stryker-mako-robot-assisted-reverse-shoulder-replacement/</w:t>
      </w:r>
      <w:r>
        <w:rPr>
          <w:rFonts w:ascii="Calibri" w:hAnsi="Calibri" w:eastAsia="宋体"/>
          <w:color w:val="0563C1"/>
          <w:sz w:val="19"/>
          <w:szCs w:val="19"/>
          <w:u w:val="single"/>
        </w:rPr>
        <w:fldChar w:fldCharType="end"/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27B87E">
    <w:pPr>
      <w:pStyle w:val="24"/>
      <w:spacing w:before="0" w:after="0"/>
      <w:jc w:val="right"/>
    </w:pPr>
    <w:r>
      <w:rPr>
        <w:rFonts w:ascii="Calibri" w:hAnsi="Calibri" w:eastAsia="宋体"/>
        <w:color w:val="667085"/>
        <w:sz w:val="18"/>
      </w:rPr>
      <w:t xml:space="preserve">第 </w:t>
    </w:r>
    <w:r>
      <w:rPr>
        <w:rFonts w:ascii="Calibri" w:hAnsi="Calibri" w:eastAsia="宋体"/>
        <w:color w:val="667085"/>
        <w:sz w:val="18"/>
      </w:rPr>
      <w:fldChar w:fldCharType="begin"/>
    </w:r>
    <w:r>
      <w:rPr>
        <w:rFonts w:ascii="Calibri" w:hAnsi="Calibri" w:eastAsia="宋体"/>
        <w:color w:val="667085"/>
        <w:sz w:val="18"/>
      </w:rPr>
      <w:instrText xml:space="preserve"> PAGE </w:instrText>
    </w:r>
    <w:r>
      <w:rPr>
        <w:rFonts w:ascii="Calibri" w:hAnsi="Calibri" w:eastAsia="宋体"/>
        <w:color w:val="667085"/>
        <w:sz w:val="18"/>
      </w:rPr>
      <w:fldChar w:fldCharType="separate"/>
    </w:r>
    <w:r>
      <w:rPr>
        <w:rFonts w:ascii="Calibri" w:hAnsi="Calibri" w:eastAsia="宋体"/>
        <w:color w:val="667085"/>
        <w:sz w:val="18"/>
      </w:rPr>
      <w:t>1</w:t>
    </w:r>
    <w:r>
      <w:rPr>
        <w:rFonts w:ascii="Calibri" w:hAnsi="Calibri" w:eastAsia="宋体"/>
        <w:color w:val="667085"/>
        <w:sz w:val="18"/>
      </w:rPr>
      <w:fldChar w:fldCharType="end"/>
    </w:r>
    <w:r>
      <w:rPr>
        <w:rFonts w:ascii="Calibri" w:hAnsi="Calibri" w:eastAsia="宋体"/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F7352">
    <w:pPr>
      <w:pStyle w:val="25"/>
      <w:spacing w:before="0" w:after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80"/>
      </w:pPr>
      <w:rPr>
        <w:rFonts w:ascii="Calibri" w:hAnsi="Calibri" w:eastAsia="宋体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80"/>
      </w:pPr>
      <w:rPr>
        <w:rFonts w:ascii="Calibri" w:hAnsi="Calibri" w:eastAsia="宋体"/>
      </w:rPr>
    </w:lvl>
  </w:abstractNum>
  <w:abstractNum w:abstractNumId="8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80"/>
      </w:pPr>
      <w:rPr>
        <w:rFonts w:ascii="Calibri" w:hAnsi="Calibri" w:eastAsia="宋体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11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20" w:lineRule="auto"/>
      <w:jc w:val="both"/>
    </w:pPr>
    <w:rPr>
      <w:rFonts w:ascii="Calibri" w:hAnsi="Calibri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ver Kicker"/>
    <w:uiPriority w:val="0"/>
    <w:pPr>
      <w:spacing w:before="0" w:after="320" w:line="276" w:lineRule="auto"/>
      <w:jc w:val="center"/>
    </w:pPr>
    <w:rPr>
      <w:rFonts w:ascii="Calibri" w:hAnsi="Calibri" w:eastAsia="微软雅黑" w:cstheme="minorBidi"/>
      <w:b/>
      <w:color w:val="2E74B5"/>
      <w:sz w:val="23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1804</Words>
  <Characters>2074</Characters>
  <Lines>0</Lines>
  <Paragraphs>0</Paragraphs>
  <TotalTime>270</TotalTime>
  <ScaleCrop>false</ScaleCrop>
  <LinksUpToDate>false</LinksUpToDate>
  <CharactersWithSpaces>2139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。</dc:creator>
  <dc:description>generated by python-docx</dc:description>
  <cp:lastModifiedBy>。</cp:lastModifiedBy>
  <dcterms:modified xsi:type="dcterms:W3CDTF">2026-09-02T10:32:43Z</dcterms:modified>
  <dc:subject>硕士课题方向介绍</dc:subject>
  <dc:title>面向机器人辅助肩关节置换的骨表面实时可视化研究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eyJoZGlkIjoiN2VlYmYzMjkxZTI0OTljM2E0MTBiOGEzMzY4ODI0N2IiLCJ1c2VySWQiOiIxMjgyNzcyMjE1In0=</vt:lpwstr>
  </property>
  <property fmtid="{D5CDD505-2E9C-101B-9397-08002B2CF9AE}" pid="3" name="KSOProductBuildVer">
    <vt:lpwstr>2052-12.1.0.28043</vt:lpwstr>
  </property>
  <property fmtid="{D5CDD505-2E9C-101B-9397-08002B2CF9AE}" pid="4" name="ICV">
    <vt:lpwstr>C374483D81D54CF4AA0E10016AC5556D_12</vt:lpwstr>
  </property>
</Properties>
</file>