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105.xml" ContentType="application/vnd.openxmlformats-officedocument.drawingml.chart+xml"/>
  <Override PartName="/word/charts/chart104.xml" ContentType="application/vnd.openxmlformats-officedocument.drawingml.chart+xml"/>
  <Override PartName="/word/charts/chart102.xml" ContentType="application/vnd.openxmlformats-officedocument.drawingml.chart+xml"/>
  <Override PartName="/word/charts/chart103.xml" ContentType="application/vnd.openxmlformats-officedocument.drawingml.chart+xml"/>
  <Override PartName="/word/charts/chart101.xml" ContentType="application/vnd.openxmlformats-officedocument.drawingml.chart+xml"/>
  <Override PartName="/word/charts/chart100.xml" ContentType="application/vnd.openxmlformats-officedocument.drawingml.chart+xml"/>
  <Override PartName="/word/media/image116.emf" ContentType="image/x-emf"/>
  <Override PartName="/word/media/image115.emf" ContentType="image/x-emf"/>
  <Override PartName="/word/media/image117.emf" ContentType="image/x-emf"/>
  <Override PartName="/word/media/image114.emf" ContentType="image/x-emf"/>
  <Override PartName="/word/media/image113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Московский Государственный Университет им. М.В. Ломоносова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Факультет Вычислительной Математики и Кибернетики</w:t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Кафедра Суперкомпьютеров и Квантовой Информатики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/>
      </w:pPr>
      <w:r>
        <w:rPr/>
        <w:drawing>
          <wp:inline distT="0" distB="0" distL="0" distR="0">
            <wp:extent cx="4411980" cy="262953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62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Практикум</w:t>
      </w:r>
    </w:p>
    <w:p>
      <w:pPr>
        <w:pStyle w:val="TextBody"/>
        <w:spacing w:lineRule="auto" w:line="360" w:before="0" w:after="0"/>
        <w:contextualSpacing/>
        <w:jc w:val="center"/>
        <w:rPr>
          <w:lang w:val="ru-RU"/>
        </w:rPr>
      </w:pPr>
      <w:r>
        <w:rPr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Отчёт</w:t>
        <w:tab/>
      </w:r>
    </w:p>
    <w:p>
      <w:pPr>
        <w:pStyle w:val="Normal"/>
        <w:spacing w:lineRule="auto" w:line="360" w:before="0" w:after="0"/>
        <w:contextualSpacing/>
        <w:jc w:val="center"/>
        <w:rPr>
          <w:b/>
          <w:sz w:val="30"/>
          <w:szCs w:val="28"/>
          <w:lang w:val="ru-RU"/>
        </w:rPr>
      </w:pPr>
      <w:r>
        <w:rPr>
          <w:b/>
          <w:sz w:val="30"/>
          <w:szCs w:val="28"/>
          <w:lang w:val="ru-RU"/>
        </w:rPr>
        <w:t>Решение СЛАУ методом отражений с параллельной реализацией</w:t>
      </w:r>
    </w:p>
    <w:p>
      <w:pPr>
        <w:pStyle w:val="TextBody"/>
        <w:spacing w:lineRule="auto" w:line="360" w:before="0" w:after="0"/>
        <w:contextualSpacing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Работу выполнил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Косарев И.М.</w:t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right"/>
        <w:rPr>
          <w:b/>
          <w:bCs/>
          <w:sz w:val="27"/>
          <w:szCs w:val="27"/>
          <w:lang w:val="ru-RU"/>
        </w:rPr>
      </w:pPr>
      <w:r>
        <w:rPr>
          <w:b/>
          <w:bCs/>
          <w:sz w:val="27"/>
          <w:szCs w:val="27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TextBody"/>
        <w:spacing w:lineRule="auto" w:line="360" w:before="0" w:after="0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Москва 2018</w:t>
      </w:r>
    </w:p>
    <w:p>
      <w:pPr>
        <w:pStyle w:val="Normal"/>
        <w:jc w:val="center"/>
        <w:rPr>
          <w:b/>
          <w:sz w:val="30"/>
          <w:szCs w:val="32"/>
          <w:lang w:val="ru-RU"/>
        </w:rPr>
      </w:pPr>
      <w:r>
        <w:rPr>
          <w:b/>
          <w:sz w:val="30"/>
          <w:szCs w:val="32"/>
          <w:lang w:val="ru-RU"/>
        </w:rPr>
        <w:t>Постановка задачи и формат данных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Задача:</w:t>
      </w:r>
      <w:r>
        <w:rPr>
          <w:sz w:val="25"/>
          <w:szCs w:val="27"/>
          <w:lang w:val="ru-RU"/>
        </w:rPr>
        <w:t xml:space="preserve"> Реализовать параллельное решение СЛАУ методом отражений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b/>
          <w:bCs/>
          <w:sz w:val="25"/>
          <w:szCs w:val="27"/>
          <w:lang w:val="ru-RU"/>
        </w:rPr>
      </w:pPr>
      <w:r>
        <w:rPr>
          <w:b/>
          <w:bCs/>
          <w:sz w:val="25"/>
          <w:szCs w:val="27"/>
          <w:lang w:val="ru-RU"/>
        </w:rPr>
        <w:t>Компиляция и запуск:</w:t>
      </w:r>
    </w:p>
    <w:p>
      <w:pPr>
        <w:pStyle w:val="TextBody"/>
        <w:spacing w:lineRule="auto" w:line="360" w:before="0" w:after="0"/>
        <w:contextualSpacing/>
        <w:rPr/>
      </w:pPr>
      <w:r>
        <w:rPr/>
        <w:t>mpicxx main.cpp -o householder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&lt;file&gt;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mpirun -np &lt;n&gt; householder &lt;matrix size&gt;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Доступна генерация и считывание из файла.</w:t>
      </w:r>
    </w:p>
    <w:p>
      <w:pPr>
        <w:pStyle w:val="TextBody"/>
        <w:spacing w:lineRule="auto" w:line="360" w:before="0" w:after="0"/>
        <w:contextualSpacing/>
        <w:rPr/>
      </w:pPr>
      <w:r>
        <w:rPr/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b/>
          <w:sz w:val="25"/>
          <w:szCs w:val="27"/>
          <w:lang w:val="ru-RU"/>
        </w:rPr>
        <w:t>Формат файла-матрицы</w:t>
      </w:r>
      <w:r>
        <w:rPr>
          <w:sz w:val="25"/>
          <w:szCs w:val="27"/>
          <w:lang w:val="ru-RU"/>
        </w:rPr>
        <w:t xml:space="preserve">: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Количество строк, столбцов и элементы матрицы построчно.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Столбцов строго столько же, сколько строк. 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>Система должна иметь единственное решение.</w:t>
      </w:r>
    </w:p>
    <w:p>
      <w:pPr>
        <w:pStyle w:val="Normal"/>
        <w:jc w:val="center"/>
        <w:rPr>
          <w:b/>
          <w:sz w:val="30"/>
          <w:lang w:val="ru-RU"/>
        </w:rPr>
      </w:pPr>
      <w:r>
        <w:rPr>
          <w:b/>
          <w:sz w:val="30"/>
          <w:lang w:val="ru-RU"/>
        </w:rPr>
        <w:t>Описание алгоритма</w:t>
      </w:r>
    </w:p>
    <w:p>
      <w:pPr>
        <w:pStyle w:val="TextBody"/>
        <w:spacing w:lineRule="auto" w:line="360" w:before="0" w:after="0"/>
        <w:contextualSpacing/>
        <w:rPr>
          <w:sz w:val="25"/>
          <w:szCs w:val="27"/>
          <w:lang w:val="ru-RU"/>
        </w:rPr>
      </w:pPr>
      <w:r>
        <w:rPr>
          <w:sz w:val="25"/>
          <w:szCs w:val="27"/>
          <w:lang w:val="ru-RU"/>
        </w:rPr>
        <w:t xml:space="preserve">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Идея метода заключается в разложении матрицы коэффициентов на произведение самосопряженной матрицы и верхнетреугольной. 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В процессе преобразования матрица последовательно умножается на (n - 1) матриц, постепенно преобразующих её к верхнетреугольной засчёт становления столбцов коллинеарными к столбцам единичной матрицы. Это возможно, так как для любых двух векторов vecA и vecB  существует vecW, такой что матрица U = E - 2 * vecW * vecW при умножении на vecA даст vecA', коллинеарный вектору vecB.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Мы последовательно строим матрицы преобразования для iго столбца нашей матрицы и iго столбца единичной матрицы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 xml:space="preserve">U = E — (vecA_i — vecE_i) * (vecA_i — </w:t>
      </w:r>
      <w:bookmarkStart w:id="0" w:name="__DdeLink__1993_1176721055"/>
      <w:r>
        <w:rPr>
          <w:b w:val="false"/>
          <w:bCs w:val="false"/>
          <w:sz w:val="25"/>
          <w:szCs w:val="25"/>
          <w:lang w:val="ru-RU"/>
        </w:rPr>
        <w:t>vecE</w:t>
      </w:r>
      <w:bookmarkEnd w:id="0"/>
      <w:r>
        <w:rPr>
          <w:b w:val="false"/>
          <w:bCs w:val="false"/>
          <w:sz w:val="25"/>
          <w:szCs w:val="25"/>
          <w:lang w:val="ru-RU"/>
        </w:rPr>
        <w:t>_i) / (1 + ( vecA_i,  vecE_i));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Получив верхнетреугольную матрицу, можем применять стандартный обратный ход.</w:t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</w:r>
    </w:p>
    <w:p>
      <w:pPr>
        <w:pStyle w:val="Normal"/>
        <w:rPr>
          <w:b w:val="false"/>
          <w:bCs w:val="false"/>
          <w:sz w:val="25"/>
          <w:szCs w:val="25"/>
          <w:lang w:val="ru-RU"/>
        </w:rPr>
      </w:pPr>
      <w:r>
        <w:rPr>
          <w:b w:val="false"/>
          <w:bCs w:val="false"/>
          <w:sz w:val="25"/>
          <w:szCs w:val="25"/>
          <w:lang w:val="ru-RU"/>
        </w:rPr>
        <w:t>Для распараллеливания удобно делить матрицу по столбцам, чтобы после распространения преобразования одновременно обновлять столбцы в рамках своего процесса.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При прямом ходе в процессе итерации по столбцам тот процесс, на котором хранится текущий столбец, рассчитывает vecW и рассылает его, после чего параллельно производится изменение всех столбцов.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 xml:space="preserve">При обратном ходе итерация по столбцом происходит, соответственно, в обратном направлении. Предварительно всем процессам рассылается вектор значений правого столбца. 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Вначале вычисляется последний элемент вектора решения, в дальнейшем для вычисления соответствующего элемента решения процесс, содержащий соответствующий столбец, получает сумму произведений всех более правых элементов данной строки, умноженных на соответствующие элементы вектора решения, вычитает её из правого столбца и делит на соответствующий вычисляемому элементу решения элемент столбца.</w:t>
      </w:r>
    </w:p>
    <w:p>
      <w:pPr>
        <w:pStyle w:val="Normal"/>
        <w:rPr>
          <w:lang w:val="ru-RU" w:eastAsia="zh-CN" w:bidi="hi-IN"/>
        </w:rPr>
      </w:pPr>
      <w:r>
        <w:rPr>
          <w:lang w:val="ru-RU" w:eastAsia="zh-CN" w:bidi="hi-IN"/>
        </w:rPr>
        <w:t>Таким образом, в итоге мы получаем все элементы вектора решений.</w:t>
      </w:r>
    </w:p>
    <w:p>
      <w:pPr>
        <w:pStyle w:val="Normal"/>
        <w:pageBreakBefore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Результаты выполнения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1000: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-10160</wp:posOffset>
            </wp:positionH>
            <wp:positionV relativeFrom="paragraph">
              <wp:posOffset>102870</wp:posOffset>
            </wp:positionV>
            <wp:extent cx="3644900" cy="19507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3634105</wp:posOffset>
            </wp:positionH>
            <wp:positionV relativeFrom="paragraph">
              <wp:posOffset>102870</wp:posOffset>
            </wp:positionV>
            <wp:extent cx="1822450" cy="195072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17260" cy="3820795"/>
            <wp:effectExtent l="0" t="0" r="0" b="0"/>
            <wp:docPr id="1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874385" cy="3866515"/>
            <wp:effectExtent l="0" t="0" r="0" b="0"/>
            <wp:docPr id="2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76315" cy="3073400"/>
            <wp:effectExtent l="0" t="0" r="0" b="0"/>
            <wp:docPr id="3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090285" cy="3060700"/>
            <wp:effectExtent l="0" t="0" r="0" b="0"/>
            <wp:docPr id="4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>
          <w:lang w:val="zxx" w:eastAsia="zxx" w:bidi="zxx"/>
        </w:rPr>
      </w:pPr>
      <w:bookmarkStart w:id="1" w:name="__DdeLink__59_1156497438"/>
      <w:bookmarkEnd w:id="1"/>
      <w:r>
        <w:rPr>
          <w:lang w:val="zxx" w:eastAsia="zxx" w:bidi="zxx"/>
        </w:rPr>
        <w:t>Размер матрицы 2000: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drawing>
          <wp:inline distT="0" distB="0" distL="0" distR="0">
            <wp:extent cx="6477635" cy="4092575"/>
            <wp:effectExtent l="0" t="0" r="0" b="0"/>
            <wp:docPr id="5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27940</wp:posOffset>
            </wp:positionH>
            <wp:positionV relativeFrom="paragraph">
              <wp:posOffset>140970</wp:posOffset>
            </wp:positionV>
            <wp:extent cx="3644900" cy="195072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3672205</wp:posOffset>
            </wp:positionH>
            <wp:positionV relativeFrom="paragraph">
              <wp:posOffset>140970</wp:posOffset>
            </wp:positionV>
            <wp:extent cx="1822450" cy="1950720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9205" cy="3241675"/>
            <wp:effectExtent l="0" t="0" r="0" b="0"/>
            <wp:docPr id="6" name="Object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  <w:t>Размер матрицы 4000:</w:t>
      </w:r>
    </w:p>
    <w:p>
      <w:pPr>
        <w:pStyle w:val="Normal"/>
        <w:rPr>
          <w:lang w:val="zxx" w:eastAsia="zxx" w:bidi="zxx"/>
        </w:rPr>
      </w:pPr>
      <w:r>
        <w:rPr>
          <w:lang w:val="zxx" w:eastAsia="zxx" w:bidi="zxx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qFormat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qFormat/>
    <w:basedOn w:val="Heading"/>
    <w:p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qFormat/>
    <w:semiHidden/>
    <w:unhideWhenUsed/>
    <w:rPr/>
  </w:style>
  <w:style w:type="character" w:styleId="PlaceholderText">
    <w:name w:val="Placeholder Text"/>
    <w:uiPriority w:val="99"/>
    <w:qFormat/>
    <w:semiHidden/>
    <w:rsid w:val="00fb54a0"/>
    <w:basedOn w:val="DefaultParagraphFont"/>
    <w:rPr>
      <w:color w:val="808080"/>
    </w:rPr>
  </w:style>
  <w:style w:type="paragraph" w:styleId="Heading" w:customStyle="1">
    <w:name w:val="Heading"/>
    <w:qFormat/>
    <w:basedOn w:val="Normal"/>
    <w:next w:val="TextBody"/>
    <w:pPr>
      <w:keepNext/>
      <w:widowControl w:val="false"/>
      <w:bidi w:val="0"/>
      <w:spacing w:before="240" w:after="120"/>
      <w:jc w:val="left"/>
    </w:pPr>
    <w:rPr>
      <w:rFonts w:ascii="Liberation Sans" w:hAnsi="Liberation Sans" w:eastAsia="Noto Sans CJK SC Regular" w:cs="FreeSans"/>
      <w:color w:val="00000A"/>
      <w:sz w:val="28"/>
      <w:szCs w:val="28"/>
      <w:lang w:val="en-US" w:eastAsia="zh-CN" w:bidi="hi-IN"/>
    </w:rPr>
  </w:style>
  <w:style w:type="paragraph" w:styleId="TextBody" w:customStyle="1">
    <w:name w:val="Text Body"/>
    <w:qFormat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widowControl w:val="false"/>
      <w:suppressLineNumbers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i/>
      <w:iCs/>
    </w:rPr>
  </w:style>
  <w:style w:type="paragraph" w:styleId="Title">
    <w:name w:val="Title"/>
    <w:qFormat/>
    <w:basedOn w:val="Heading"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qFormat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3.wmf"/><Relationship Id="rId3" Type="http://schemas.openxmlformats.org/officeDocument/2006/relationships/image" Target="media/image114.emf"/><Relationship Id="rId4" Type="http://schemas.openxmlformats.org/officeDocument/2006/relationships/image" Target="media/image115.emf"/><Relationship Id="rId5" Type="http://schemas.openxmlformats.org/officeDocument/2006/relationships/chart" Target="charts/chart100.xml"/><Relationship Id="rId6" Type="http://schemas.openxmlformats.org/officeDocument/2006/relationships/chart" Target="charts/chart101.xml"/><Relationship Id="rId7" Type="http://schemas.openxmlformats.org/officeDocument/2006/relationships/chart" Target="charts/chart102.xml"/><Relationship Id="rId8" Type="http://schemas.openxmlformats.org/officeDocument/2006/relationships/chart" Target="charts/chart103.xml"/><Relationship Id="rId9" Type="http://schemas.openxmlformats.org/officeDocument/2006/relationships/image" Target="media/image116.emf"/><Relationship Id="rId10" Type="http://schemas.openxmlformats.org/officeDocument/2006/relationships/image" Target="media/image117.emf"/><Relationship Id="rId11" Type="http://schemas.openxmlformats.org/officeDocument/2006/relationships/chart" Target="charts/chart104.xml"/><Relationship Id="rId12" Type="http://schemas.openxmlformats.org/officeDocument/2006/relationships/chart" Target="charts/chart105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charts/chart10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Forward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/>
                </c:pt>
                <c:pt idx="1">
                  <c:v/>
                </c:pt>
                <c:pt idx="2">
                  <c:v/>
                </c:pt>
                <c:pt idx="3">
                  <c:v>10</c:v>
                </c:pt>
                <c:pt idx="4">
                  <c:v>20</c:v>
                </c:pt>
                <c:pt idx="5">
                  <c:v>30</c:v>
                </c:pt>
                <c:pt idx="6">
                  <c:v>60</c:v>
                </c:pt>
                <c:pt idx="7">
                  <c:v>130</c:v>
                </c:pt>
                <c:pt idx="8">
                  <c:v>260</c:v>
                </c:pt>
                <c:pt idx="9">
                  <c:v>510</c:v>
                </c:pt>
                <c:pt idx="10">
                  <c:v>1020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239220</c:v>
                </c:pt>
                <c:pt idx="1">
                  <c:v>119988</c:v>
                </c:pt>
                <c:pt idx="2">
                  <c:v>60431.3</c:v>
                </c:pt>
                <c:pt idx="3">
                  <c:v>30619</c:v>
                </c:pt>
                <c:pt idx="4">
                  <c:v>15708.6</c:v>
                </c:pt>
                <c:pt idx="5">
                  <c:v>8256.26</c:v>
                </c:pt>
                <c:pt idx="6">
                  <c:v>4535.27</c:v>
                </c:pt>
                <c:pt idx="7">
                  <c:v>2670.52</c:v>
                </c:pt>
                <c:pt idx="8">
                  <c:v>1737.63</c:v>
                </c:pt>
                <c:pt idx="9">
                  <c:v>1281.94</c:v>
                </c:pt>
                <c:pt idx="10">
                  <c:v>1038.27</c:v>
                </c:pt>
              </c:numCache>
            </c:numRef>
          </c:yVal>
        </c:ser>
        <c:axId val="9032575"/>
        <c:axId val="76786609"/>
      </c:scatterChart>
      <c:valAx>
        <c:axId val="9032575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6786609"/>
        <c:crossesAt val="0"/>
      </c:valAx>
      <c:valAx>
        <c:axId val="76786609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Forward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032575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0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227.945</c:v>
                </c:pt>
                <c:pt idx="1">
                  <c:v>119.215</c:v>
                </c:pt>
                <c:pt idx="2">
                  <c:v>64.4721</c:v>
                </c:pt>
                <c:pt idx="3">
                  <c:v>35.3589</c:v>
                </c:pt>
                <c:pt idx="4">
                  <c:v>21.5097</c:v>
                </c:pt>
                <c:pt idx="5">
                  <c:v>14.6515</c:v>
                </c:pt>
                <c:pt idx="6">
                  <c:v>10.9817</c:v>
                </c:pt>
                <c:pt idx="7">
                  <c:v>9.37946</c:v>
                </c:pt>
                <c:pt idx="8">
                  <c:v>9.91411</c:v>
                </c:pt>
                <c:pt idx="9">
                  <c:v>10.3849</c:v>
                </c:pt>
                <c:pt idx="10">
                  <c:v>12.8516</c:v>
                </c:pt>
              </c:numCache>
            </c:numRef>
          </c:yVal>
        </c:ser>
        <c:axId val="69929654"/>
        <c:axId val="42954513"/>
      </c:scatterChart>
      <c:valAx>
        <c:axId val="69929654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2954513"/>
        <c:crossesAt val="0"/>
      </c:valAx>
      <c:valAx>
        <c:axId val="4295451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992965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0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Total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D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239447.945</c:v>
                </c:pt>
                <c:pt idx="1">
                  <c:v>120107.215</c:v>
                </c:pt>
                <c:pt idx="2">
                  <c:v>60495.7721</c:v>
                </c:pt>
                <c:pt idx="3">
                  <c:v>30654.3589</c:v>
                </c:pt>
                <c:pt idx="4">
                  <c:v>15730.1097</c:v>
                </c:pt>
                <c:pt idx="5">
                  <c:v>8270.9115</c:v>
                </c:pt>
                <c:pt idx="6">
                  <c:v>4546.2517</c:v>
                </c:pt>
                <c:pt idx="7">
                  <c:v>2679.89946</c:v>
                </c:pt>
                <c:pt idx="8">
                  <c:v>1747.54411</c:v>
                </c:pt>
                <c:pt idx="9">
                  <c:v>1292.3249</c:v>
                </c:pt>
                <c:pt idx="10">
                  <c:v>1051.1216</c:v>
                </c:pt>
              </c:numCache>
            </c:numRef>
          </c:yVal>
        </c:ser>
        <c:axId val="55733218"/>
        <c:axId val="88061957"/>
      </c:scatterChart>
      <c:valAx>
        <c:axId val="55733218"/>
        <c:scaling>
          <c:orientation val="minMax"/>
          <c:logBase val="10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88061957"/>
        <c:crossesAt val="0"/>
      </c:valAx>
      <c:valAx>
        <c:axId val="88061957"/>
        <c:scaling>
          <c:orientation val="minMax"/>
          <c:min val="1000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Total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573321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0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0.996809163379569</c:v>
                </c:pt>
                <c:pt idx="2">
                  <c:v>0.989523468698732</c:v>
                </c:pt>
                <c:pt idx="3">
                  <c:v>0.976402514978057</c:v>
                </c:pt>
                <c:pt idx="4">
                  <c:v>0.951391747922775</c:v>
                </c:pt>
                <c:pt idx="5">
                  <c:v>0.904706607155693</c:v>
                </c:pt>
                <c:pt idx="6">
                  <c:v>0.82295798550375</c:v>
                </c:pt>
                <c:pt idx="7">
                  <c:v>0.698043750608652</c:v>
                </c:pt>
                <c:pt idx="8">
                  <c:v>0.535233147938251</c:v>
                </c:pt>
                <c:pt idx="9">
                  <c:v>0.361884049110348</c:v>
                </c:pt>
                <c:pt idx="10">
                  <c:v>0.222463208623115</c:v>
                </c:pt>
              </c:numCache>
            </c:numRef>
          </c:yVal>
        </c:ser>
        <c:axId val="93075894"/>
        <c:axId val="6313166"/>
      </c:scatterChart>
      <c:valAx>
        <c:axId val="93075894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313166"/>
        <c:crossesAt val="0"/>
      </c:valAx>
      <c:valAx>
        <c:axId val="631316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307589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0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Backward time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C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smooth val="1"/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906.013</c:v>
                </c:pt>
                <c:pt idx="1">
                  <c:v>467.104</c:v>
                </c:pt>
                <c:pt idx="2">
                  <c:v>246.915</c:v>
                </c:pt>
                <c:pt idx="3">
                  <c:v>126.816</c:v>
                </c:pt>
                <c:pt idx="4">
                  <c:v>70.4205</c:v>
                </c:pt>
                <c:pt idx="5">
                  <c:v>43.26</c:v>
                </c:pt>
                <c:pt idx="6">
                  <c:v>28.8484</c:v>
                </c:pt>
                <c:pt idx="7">
                  <c:v>21.9856</c:v>
                </c:pt>
                <c:pt idx="8">
                  <c:v>20.1307</c:v>
                </c:pt>
                <c:pt idx="9">
                  <c:v>19.3192</c:v>
                </c:pt>
                <c:pt idx="10">
                  <c:v>21.5064</c:v>
                </c:pt>
              </c:numCache>
            </c:numRef>
          </c:yVal>
        </c:ser>
        <c:axId val="68062138"/>
        <c:axId val="21032320"/>
      </c:scatterChart>
      <c:valAx>
        <c:axId val="68062138"/>
        <c:scaling>
          <c:orientation val="minMax"/>
          <c:logBase val="10"/>
          <c:max val="1024"/>
          <c:min val="1"/>
        </c:scaling>
        <c:delete val="0"/>
        <c:axPos val="b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21032320"/>
        <c:crossesAt val="0"/>
      </c:valAx>
      <c:valAx>
        <c:axId val="2103232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Backward time (milliseconds)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8062138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charts/chart10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Efficiency</a:t>
            </a:r>
          </a:p>
        </c:rich>
      </c:tx>
      <c:layout/>
    </c:title>
    <c:plotArea>
      <c:layout/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>Column E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ize val="7"/>
          </c:marker>
          <c:cat>
            <c:strRef>
              <c:f>categories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strCache>
            </c:strRef>
          </c:cat>
          <c:xVal>
            <c:numRef>
              <c:f>0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</c:numCache>
            </c:numRef>
          </c:xVal>
          <c:yVal>
            <c:numRef>
              <c:f>1</c:f>
              <c:numCache>
                <c:formatCode>General</c:formatCode>
                <c:ptCount val="11"/>
                <c:pt idx="0">
                  <c:v>1</c:v>
                </c:pt>
                <c:pt idx="1">
                  <c:v>0.995962268489841</c:v>
                </c:pt>
                <c:pt idx="2">
                  <c:v>0.995063856538322</c:v>
                </c:pt>
                <c:pt idx="3">
                  <c:v>0.987659325458931</c:v>
                </c:pt>
                <c:pt idx="4">
                  <c:v>0.974567528393169</c:v>
                </c:pt>
                <c:pt idx="5">
                  <c:v>0.94931474731382</c:v>
                </c:pt>
                <c:pt idx="6">
                  <c:v>0.903705600585997</c:v>
                </c:pt>
                <c:pt idx="7">
                  <c:v>0.822313264043238</c:v>
                </c:pt>
                <c:pt idx="8">
                  <c:v>0.697141716851204</c:v>
                </c:pt>
                <c:pt idx="9">
                  <c:v>0.534867453084416</c:v>
                </c:pt>
                <c:pt idx="10">
                  <c:v>0.364387009772991</c:v>
                </c:pt>
              </c:numCache>
            </c:numRef>
          </c:yVal>
        </c:ser>
        <c:axId val="74746414"/>
        <c:axId val="71129665"/>
      </c:scatterChart>
      <c:valAx>
        <c:axId val="74746414"/>
        <c:scaling>
          <c:orientation val="minMax"/>
          <c:max val="102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Process amount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1129665"/>
        <c:crossesAt val="0"/>
      </c:valAx>
      <c:valAx>
        <c:axId val="7112966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sz="900">
                    <a:latin typeface="Arial"/>
                  </a:rPr>
                  <a:t>Efficiency</a:t>
                </a:r>
              </a:p>
            </c:rich>
          </c:tx>
          <c:layout/>
        </c:title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4746414"/>
        <c:crossesAt val="0"/>
      </c:valAx>
      <c:spPr>
        <a:noFill/>
        <a:ln>
          <a:solidFill>
            <a:srgbClr val="b3b3b3"/>
          </a:solidFill>
        </a:ln>
      </c:spPr>
    </c:plotArea>
    <c:plotVisOnly val="1"/>
  </c:chart>
  <c:spPr>
    <a:solidFill>
      <a:srgbClr val="ffffff"/>
    </a:solidFill>
    <a:ln>
      <a:noFill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F0C78-D8EE-423A-B359-0495ABFF0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2016-09-29T16:39:00Z</dcterms:created>
  <dc:creator>Pro</dc:creator>
  <dc:language>en-US</dc:language>
  <dcterms:modified xsi:type="dcterms:W3CDTF">2016-10-07T16:39:42Z</dcterms:modified>
  <cp:revision>98</cp:revision>
</cp:coreProperties>
</file>