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F7931A"/>
          <w:sz w:val="54"/>
          <w:szCs w:val="54"/>
        </w:rPr>
        <w:t xml:space="preserve">PERSAT FINANCE</w:t>
      </w:r>
    </w:p>
    <w:p>
      <w:pPr>
        <w:spacing w:after="80" w:before="0"/>
        <w:jc w:val="center"/>
      </w:pPr>
      <w:r>
        <w:rPr>
          <w:rFonts w:ascii="Arial" w:cs="Arial" w:eastAsia="Arial" w:hAnsi="Arial"/>
          <w:color w:val="3D3D3D"/>
          <w:sz w:val="30"/>
          <w:szCs w:val="30"/>
        </w:rPr>
        <w:t xml:space="preserve">Competitive Analysis</w:t>
      </w:r>
    </w:p>
    <w:p>
      <w:pPr>
        <w:spacing w:after="60" w:before="0"/>
        <w:jc w:val="center"/>
      </w:pPr>
      <w:r>
        <w:rPr>
          <w:rFonts w:ascii="Arial" w:cs="Arial" w:eastAsia="Arial" w:hAnsi="Arial"/>
          <w:color w:val="777777"/>
          <w:sz w:val="19"/>
          <w:szCs w:val="19"/>
        </w:rPr>
        <w:t xml:space="preserve">Version 2 — Global</w:t>
      </w:r>
    </w:p>
    <w:p>
      <w:pPr>
        <w:pBdr>
          <w:bottom w:val="single" w:color="F7931A" w:sz="6"/>
        </w:pBdr>
        <w:spacing w:after="600" w:before="0"/>
        <w:jc w:val="center"/>
      </w:pPr>
      <w:r>
        <w:rPr>
          <w:rFonts w:ascii="Arial" w:cs="Arial" w:eastAsia="Arial" w:hAnsi="Arial"/>
          <w:color w:val="777777"/>
          <w:sz w:val="18"/>
          <w:szCs w:val="18"/>
        </w:rPr>
        <w:t xml:space="preserve">Persat Labs Limited  |  Version 2.0 — Global  |  2026</w:t>
      </w:r>
    </w:p>
    <w:p>
      <w:pPr>
        <w:spacing w:after="180" w:before="420"/>
      </w:pPr>
      <w:r>
        <w:rPr>
          <w:rFonts w:ascii="Arial" w:cs="Arial" w:eastAsia="Arial" w:hAnsi="Arial"/>
          <w:b/>
          <w:bCs/>
          <w:color w:val="F7931A"/>
          <w:sz w:val="34"/>
          <w:szCs w:val="34"/>
        </w:rPr>
        <w:t xml:space="preserve">The Honest Verdict, First</w:t>
      </w:r>
    </w:p>
    <w:p>
      <w:pPr>
        <w:spacing w:after="70" w:before="70"/>
      </w:pPr>
      <w:r>
        <w:rPr>
          <w:rFonts w:ascii="Arial" w:cs="Arial" w:eastAsia="Arial" w:hAnsi="Arial"/>
          <w:color w:val="111111"/>
          <w:sz w:val="21"/>
          <w:szCs w:val="21"/>
        </w:rPr>
        <w:t xml:space="preserve">The gap this analysis identified in the first version of this document — nobody combining non-custodial architecture with true peer-to-peer lending — is narrower than it looked. Two competitors, Firefish and Hodl Hodl, already occupy almost exactly that position, globally, with real funding, real regulatory standing, and real growth. This version corrects that, and it changes what Persat Finance's differentiation actually has to rest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0F4FF" w:val="clear"/>
            <w:tcMar>
              <w:top w:type="dxa" w:w="130"/>
              <w:left w:type="dxa" w:w="170"/>
              <w:bottom w:type="dxa" w:w="130"/>
              <w:right w:type="dxa" w:w="170"/>
            </w:tcMar>
          </w:tcPr>
          <w:p>
            <w:r>
              <w:rPr>
                <w:rFonts w:ascii="Arial" w:cs="Arial" w:eastAsia="Arial" w:hAnsi="Arial"/>
                <w:b/>
                <w:bCs/>
                <w:color w:val="F7931A"/>
                <w:sz w:val="21"/>
                <w:szCs w:val="21"/>
              </w:rPr>
              <w:t xml:space="preserve">In one sentence</w:t>
            </w:r>
          </w:p>
          <w:p>
            <w:pPr>
              <w:spacing w:after="0" w:before="60"/>
            </w:pPr>
            <w:r>
              <w:rPr>
                <w:rFonts w:ascii="Arial" w:cs="Arial" w:eastAsia="Arial" w:hAnsi="Arial"/>
                <w:color w:val="111111"/>
                <w:sz w:val="20"/>
                <w:szCs w:val="20"/>
              </w:rPr>
              <w:t xml:space="preserve">Firefish and Hodl Hodl already prove non-custodial peer-to-peer Bitcoin lending works at real scale — and they do it without ever needing a blockchain bridge, since they escrow real Bitcoin directly. Persat Finance's differentiation now has to be the dual-path model (private deals and open marketplace, in one product) and Solana-native automation — not “we're the only non-custodial P2P option,” which is no longer true.</w:t>
            </w:r>
          </w:p>
        </w:tc>
      </w:tr>
    </w:tbl>
    <w:p>
      <w:pPr>
        <w:spacing w:after="0" w:before="200"/>
      </w:pPr>
      <w:r>
        <w:t xml:space="preserve"/>
      </w:r>
    </w:p>
    <w:p>
      <w:pPr>
        <w:pBdr>
          <w:bottom w:val="single" w:color="F7931A" w:sz="6"/>
        </w:pBdr>
        <w:spacing w:after="170" w:before="170"/>
      </w:pPr>
      <w:r>
        <w:t xml:space="preserve"/>
      </w:r>
    </w:p>
    <w:p>
      <w:pPr>
        <w:spacing w:after="180" w:before="420"/>
      </w:pPr>
      <w:r>
        <w:rPr>
          <w:rFonts w:ascii="Arial" w:cs="Arial" w:eastAsia="Arial" w:hAnsi="Arial"/>
          <w:b/>
          <w:bCs/>
          <w:color w:val="F7931A"/>
          <w:sz w:val="34"/>
          <w:szCs w:val="34"/>
        </w:rPr>
        <w:t xml:space="preserve">The Competitive Landscape, Mapped</w:t>
      </w:r>
    </w:p>
    <w:p>
      <w:pPr>
        <w:spacing w:after="70" w:before="70"/>
      </w:pPr>
      <w:r>
        <w:rPr>
          <w:rFonts w:ascii="Arial" w:cs="Arial" w:eastAsia="Arial" w:hAnsi="Arial"/>
          <w:color w:val="111111"/>
          <w:sz w:val="21"/>
          <w:szCs w:val="21"/>
        </w:rPr>
        <w:t xml:space="preserve">Five distinct groups exist. Persat Finance needs to be evaluated against all five.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Group</w:t>
            </w:r>
          </w:p>
        </w:tc>
        <w:tc>
          <w:tcPr>
            <w:tcW w:type="dxa" w:w="30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Who's In It</w:t>
            </w:r>
          </w:p>
        </w:tc>
        <w:tc>
          <w:tcPr>
            <w:tcW w:type="dxa" w:w="38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Core Threat</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Non-custodial P2P Bitcoin lenders</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Firefish, Hodl Hodl / Debifi</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Structurally the closest match found anywhere — real funding, real growth, years of track record</w:t>
            </w:r>
          </w:p>
        </w:tc>
      </w:tr>
      <w:tr>
        <w:tc>
          <w:tcPr>
            <w:tcW w:type="dxa" w:w="25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Custodial Bitcoin lenders</w:t>
            </w:r>
          </w:p>
        </w:tc>
        <w:tc>
          <w:tcPr>
            <w:tcW w:type="dxa" w:w="3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Ledn, Nexo, CoinRabbit, Busha</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Deep liquidity, established brands, largest share of the actual lending market by volume</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Non-custodial pooled DeFi</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Kamino, Morpho</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Massive scale, now powers Coinbase's own BTC lending product and the World App</w:t>
            </w:r>
          </w:p>
        </w:tc>
      </w:tr>
      <w:tr>
        <w:tc>
          <w:tcPr>
            <w:tcW w:type="dxa" w:w="25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Regional / adjacent players</w:t>
            </w:r>
          </w:p>
        </w:tc>
        <w:tc>
          <w:tcPr>
            <w:tcW w:type="dxa" w:w="30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Bitnob, TransferXO, Carrot Credit, Bit2Me</w:t>
            </w:r>
          </w:p>
        </w:tc>
        <w:tc>
          <w:tcPr>
            <w:tcW w:type="dxa" w:w="38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Country-specific fintechs solving the same problem locally, some expanding into adjacent asset classes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Cautionary precedent</w:t>
            </w:r>
          </w:p>
        </w:tc>
        <w:tc>
          <w:tcPr>
            <w:tcW w:type="dxa" w:w="30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Celsius, BlockFi (collapsed), Sovryn (failed to gain traction)</w:t>
            </w:r>
          </w:p>
        </w:tc>
        <w:tc>
          <w:tcPr>
            <w:tcW w:type="dxa" w:w="38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Not active threats — the reference points the whole non-custodial narrative is built against</w:t>
            </w:r>
          </w:p>
        </w:tc>
      </w:tr>
    </w:tbl>
    <w:p>
      <w:pPr>
        <w:spacing w:after="0" w:before="200"/>
      </w:pPr>
      <w:r>
        <w:t xml:space="preserve"/>
      </w:r>
    </w:p>
    <w:p>
      <w:r>
        <w:br w:type="page"/>
      </w:r>
    </w:p>
    <w:p>
      <w:pPr>
        <w:spacing w:after="180" w:before="420"/>
      </w:pPr>
      <w:r>
        <w:rPr>
          <w:rFonts w:ascii="Arial" w:cs="Arial" w:eastAsia="Arial" w:hAnsi="Arial"/>
          <w:b/>
          <w:bCs/>
          <w:color w:val="F7931A"/>
          <w:sz w:val="34"/>
          <w:szCs w:val="34"/>
        </w:rPr>
        <w:t xml:space="preserve">Market Size — Context Worth Knowing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4460"/>
      </w:tblGrid>
      <w:tr>
        <w:trPr>
          <w:tblHeader/>
        </w:trPr>
        <w:tc>
          <w:tcPr>
            <w:tcW w:type="dxa" w:w="49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Metric</w:t>
            </w:r>
          </w:p>
        </w:tc>
        <w:tc>
          <w:tcPr>
            <w:tcW w:type="dxa" w:w="446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7"/>
                <w:szCs w:val="17"/>
              </w:rPr>
              <w:t xml:space="preserve">Figure</w:t>
            </w:r>
          </w:p>
        </w:tc>
      </w:tr>
      <w:tr>
        <w:tc>
          <w:tcPr>
            <w:tcW w:type="dxa" w:w="4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Total outstanding crypto-collateralized loans (Q3 2025)</w:t>
            </w:r>
          </w:p>
        </w:tc>
        <w:tc>
          <w:tcPr>
            <w:tcW w:type="dxa" w:w="44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$73.6 billion — an all-time high</w:t>
            </w:r>
          </w:p>
        </w:tc>
      </w:tr>
      <w:tr>
        <w:tc>
          <w:tcPr>
            <w:tcW w:type="dxa" w:w="4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Ledn total originations since inception</w:t>
            </w:r>
          </w:p>
        </w:tc>
        <w:tc>
          <w:tcPr>
            <w:tcW w:type="dxa" w:w="44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$2.8 billion+, including $1.4B in 2025 alone (~30% of the consumer market)</w:t>
            </w:r>
          </w:p>
        </w:tc>
      </w:tr>
      <w:tr>
        <w:tc>
          <w:tcPr>
            <w:tcW w:type="dxa" w:w="49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Cantor Fitzgerald's BTC-backed lending program (institutional)</w:t>
            </w:r>
          </w:p>
        </w:tc>
        <w:tc>
          <w:tcPr>
            <w:tcW w:type="dxa" w:w="44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$2 billion, launched May 2025 — signals traditional finance now considers this market worth entering at scale</w:t>
            </w:r>
          </w:p>
        </w:tc>
      </w:tr>
      <w:tr>
        <w:tc>
          <w:tcPr>
            <w:tcW w:type="dxa" w:w="49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Kamino total value locked</w:t>
            </w:r>
          </w:p>
        </w:tc>
        <w:tc>
          <w:tcPr>
            <w:tcW w:type="dxa" w:w="44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Approximately $3 billion — largest money market on Solana</w:t>
            </w:r>
          </w:p>
        </w:tc>
      </w:tr>
    </w:tbl>
    <w:p>
      <w:pPr>
        <w:spacing w:after="0" w:before="80"/>
      </w:pPr>
      <w:r>
        <w:t xml:space="preserve"/>
      </w:r>
    </w:p>
    <w:p>
      <w:pPr>
        <w:spacing w:after="60" w:before="60"/>
      </w:pPr>
      <w:r>
        <w:rPr>
          <w:rFonts w:ascii="Arial" w:cs="Arial" w:eastAsia="Arial" w:hAnsi="Arial"/>
          <w:color w:val="777777"/>
          <w:sz w:val="19"/>
          <w:szCs w:val="19"/>
        </w:rPr>
        <w:t xml:space="preserve">This is not an emerging category anymore — it is a large, contested, increasingly institutional market. That cuts both ways: the demand is proven and enormous, and the competition is real capital, not just other startups.</w:t>
      </w:r>
    </w:p>
    <w:p>
      <w:pPr>
        <w:spacing w:after="0" w:before="200"/>
      </w:pPr>
      <w:r>
        <w:t xml:space="preserve"/>
      </w:r>
    </w:p>
    <w:p>
      <w:pPr>
        <w:pBdr>
          <w:bottom w:val="single" w:color="F7931A" w:sz="6"/>
        </w:pBdr>
        <w:spacing w:after="170" w:before="170"/>
      </w:pPr>
      <w:r>
        <w:t xml:space="preserve"/>
      </w:r>
    </w:p>
    <w:p>
      <w:pPr>
        <w:spacing w:after="180" w:before="420"/>
      </w:pPr>
      <w:r>
        <w:rPr>
          <w:rFonts w:ascii="Arial" w:cs="Arial" w:eastAsia="Arial" w:hAnsi="Arial"/>
          <w:b/>
          <w:bCs/>
          <w:color w:val="F7931A"/>
          <w:sz w:val="34"/>
          <w:szCs w:val="34"/>
        </w:rPr>
        <w:t xml:space="preserve">Direct Competitor Profiles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Firefish</w:t>
            </w:r>
            <w:r>
              <w:rPr>
                <w:rFonts w:ascii="Arial" w:cs="Arial" w:eastAsia="Arial" w:hAnsi="Arial"/>
                <w:b/>
                <w:bCs/>
                <w:color w:val="FF6B6B"/>
                <w:sz w:val="16"/>
                <w:szCs w:val="16"/>
              </w:rPr>
              <w:t xml:space="preserve">   — HIGHEST PRIORITY — CLOSEST STRUCTURAL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it is</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An open, non-custodial marketplace for peer-to-peer Bitcoin-backed loans. Founded on the principle — in their own words — of never handing Bitcoin collateral to a centralized lender.</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Custody model</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Non-custodial via Bitcoin-native multisig escrow. Critically: no blockchain bridge required at all — collateral stays as real Bitcoin the entire time, never wrapped or bridged to another chain.</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Structure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Open marketplace — post terms, get matched with any interested counterparty, rates set by market supply and demand</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Loan currency</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EUR, CHF, USDC, and other currencies</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Loan structure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3–24 month terms, no monthly installments — full repayment in one lump sum at the end of term</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Regulatory status</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Regulated under the EU's MiCA framework, publicly listed as an authorized Crypto-Asset Service Provider in the ESMA register</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Traction</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$1.8M raised; triple-digit month-over-month growth recorded in March 2025</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Why this matters most</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This is the single closest match to Persat Finance's model found anywhere. Non-custodial, peer-to-peer, marketplace-based, real funding, real regulatory standing. It also has no bridge dependency whatsoever — a real structural advantage over Persat Finance's bridged-collateral approach, and worth naming honestly rather than downplaying.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Hodl Hodl / Debifi</w:t>
            </w:r>
            <w:r>
              <w:rPr>
                <w:rFonts w:ascii="Arial" w:cs="Arial" w:eastAsia="Arial" w:hAnsi="Arial"/>
                <w:b/>
                <w:bCs/>
                <w:color w:val="FF6B6B"/>
                <w:sz w:val="16"/>
                <w:szCs w:val="16"/>
              </w:rPr>
              <w:t xml:space="preserve">   — HIGHEST PRIORITY — LONGEST TRACK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it is</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A global peer-to-peer Bitcoin trading and lending platform operating since roughly 2018, expanded into a dedicated long-term lending product, Debifi, more recently.</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Custody model</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Non-custodial, Bitcoin-native multisig escrow — same structural advantage as Firefish: no bridge needed, real Bitcoin held directly.</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Structure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Open marketplace. Borrowers post Bitcoin as collateral; lenders offer stablecoins or other assets; amount, duration, and rate are negotiated directly between the two matched parties.</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Notable features</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No KYC on either platform. Financial institutions have reportedly shown interest in joining as lenders on Debifi specifically — an institutional-liquidity signal worth watching.</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Revenue model</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A fee charged on each completed trade or loan — relevant reference point for Persat Finance's own not-yet-finalized fee structure.</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Why this matters most</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The longest-running proof that non-custodial P2P Bitcoin lending is viable as a real, sustained business — not just a recent trend. Institutional lender interest suggests this category is maturing beyond retail.</w:t>
            </w:r>
          </w:p>
        </w:tc>
      </w:tr>
    </w:tbl>
    <w:p>
      <w:pPr>
        <w:spacing w:after="0" w:before="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Ledn</w:t>
            </w:r>
            <w:r>
              <w:rPr>
                <w:rFonts w:ascii="Arial" w:cs="Arial" w:eastAsia="Arial" w:hAnsi="Arial"/>
                <w:b/>
                <w:bCs/>
                <w:color w:val="FF6B6B"/>
                <w:sz w:val="16"/>
                <w:szCs w:val="16"/>
              </w:rPr>
              <w:t xml:space="preserve">   — HIGHEST PRIORITY — LARGEST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it is</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The largest consumer-focused Bitcoin lender globally, with $2.8 billion+ in total originations since inception, $1.4 billion of that in 2025 alone — roughly 30% of the entire consumer market.</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Custody model</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Fully custodial — collateral held in cold storage by BitGo Trust, ring-fenced from Ledn's own funding partners, with bi-annual proof-of-reserve attestations.</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Terms</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50% maximum LTV — identical ceiling to Persat Finance. APR 9.25%–11.49%, 12-month fixed terms, monthly interest payments, no prepayment penalties, no credit checks.</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Notable development</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Tether made a strategic investment in Ledn in 2026, deepening its integration into the stablecoin ecosystem.</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Why this matters</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Not structurally close to Persat Finance — fully custodial, pooled — but the dominant brand by sheer volume and trust in the category. The default “safe choice” a cautious Bitcoin holder reaches for.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Kamino / Morpho (and Coinbase, via Morpho)</w:t>
            </w:r>
            <w:r>
              <w:rPr>
                <w:rFonts w:ascii="Arial" w:cs="Arial" w:eastAsia="Arial" w:hAnsi="Arial"/>
                <w:b/>
                <w:bCs/>
                <w:color w:val="FF6B6B"/>
                <w:sz w:val="16"/>
                <w:szCs w:val="16"/>
              </w:rPr>
              <w:t xml:space="preserve">   — HIGHEST PRIORITY — INFRASTRUCTURE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they are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Kamino: the largest Solana money market, ~$3B TVL, already accepts BTC and tokenized equities as collateral. Morpho: a major non-custodial DeFi lending protocol using curated vaults, now powering Coinbase's own Bitcoin-backed lending product on Base (up to $1M USDC against BTC/WBTC) and integrated into the World App, reaching 2M+ users globally.</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Custody model</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Both non-custodial, smart-contract governed — structurally similar to Persat Finance in this one respect.</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Structure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Pooled / peer-to-pool — no bilateral relationship between any two specific users, unlike Persat Finance.</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Why this matters</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Proof that non-custodial DeFi lending against Bitcoin works at massive scale, and that major consumer brands (Coinbase) are willing to build directly on top of this kind of infrastructure rather than build their own. Persat Finance's future collateral-expansion ideas are not blue ocean — Kamino is already there, at scale.</w:t>
            </w:r>
          </w:p>
        </w:tc>
      </w:tr>
    </w:tbl>
    <w:p>
      <w:pPr>
        <w:spacing w:after="0" w:before="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Regional Players</w:t>
            </w:r>
            <w:r>
              <w:rPr>
                <w:rFonts w:ascii="Arial" w:cs="Arial" w:eastAsia="Arial" w:hAnsi="Arial"/>
                <w:b/>
                <w:bCs/>
                <w:color w:val="F7931A"/>
                <w:sz w:val="16"/>
                <w:szCs w:val="16"/>
              </w:rPr>
              <w:t xml:space="preserve">   — WATCH, LOWER PRIORITY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Busha (Nigeria)</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Licensed exchange, BTC/SOL collateral, Naira loans, 50% LTV, launched Jan 2026. Still the closest match for any Nigeria-specific positioning, but less central now that Persat Finance's primary positioning is global.</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Bitnob (Africa)</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Bitcoin savings and lending platform with an existing engaged user base.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TransferXO (Africa)</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Crypto-backed lending explicitly positioned around African financial realities — similar narrative framing to Persat Finance's own origin story.</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Carrot Credit (Nigeria)</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$4.2M raised, asset-backed lending using stocks, crypto, and fixed income — directly overlaps with Persat Finance's future asset-agnostic ambitions.</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Bit2Me (EU/Spain)</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Regulated fiat loans against BTC/ETH collateral for European residents — evidence the “regulated regional crypto-collateral lender” pattern repeats in multiple markets, not just Africa.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Nexo / CoinRabbit / Binance Loans</w:t>
            </w:r>
            <w:r>
              <w:rPr>
                <w:rFonts w:ascii="Arial" w:cs="Arial" w:eastAsia="Arial" w:hAnsi="Arial"/>
                <w:b/>
                <w:bCs/>
                <w:color w:val="22C55E"/>
                <w:sz w:val="16"/>
                <w:szCs w:val="16"/>
              </w:rPr>
              <w:t xml:space="preserve">   — LOWER PRIORITY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they are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Established global custodial lenders. Nexo supports dozens of assets across lending, trading, and card products. Binance Loans supports 400+ cryptocurrencies at up to 75% LTV. CoinRabbit pays out in stablecoins only.</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Why lower priority</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Broad and generic rather than Bitcoin-specific or peer-to-peer — competing on convenience and breadth, not on the trust or structural properties Persat Finance is built around.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11111" w:val="clear"/>
            <w:tcMar>
              <w:top w:type="dxa" w:w="120"/>
              <w:left w:type="dxa" w:w="180"/>
              <w:bottom w:type="dxa" w:w="120"/>
              <w:right w:type="dxa" w:w="180"/>
            </w:tcMar>
          </w:tcPr>
          <w:p>
            <w:r>
              <w:rPr>
                <w:rFonts w:ascii="Arial" w:cs="Arial" w:eastAsia="Arial" w:hAnsi="Arial"/>
                <w:b/>
                <w:bCs/>
                <w:color w:val="FFFFFF"/>
                <w:sz w:val="23"/>
                <w:szCs w:val="23"/>
              </w:rPr>
              <w:t xml:space="preserve">Sovryn / Celsius / BlockFi</w:t>
            </w:r>
            <w:r>
              <w:rPr>
                <w:rFonts w:ascii="Arial" w:cs="Arial" w:eastAsia="Arial" w:hAnsi="Arial"/>
                <w:b/>
                <w:bCs/>
                <w:color w:val="777777"/>
                <w:sz w:val="16"/>
                <w:szCs w:val="16"/>
              </w:rPr>
              <w:t xml:space="preserve">   — CAUTIONARY PRECEDENT, NOT ACTIVE THREATS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Dimension</w:t>
            </w:r>
          </w:p>
        </w:tc>
        <w:tc>
          <w:tcPr>
            <w:tcW w:type="dxa" w:w="6960"/>
            <w:tcBorders>
              <w:top w:val="single" w:color="E0E0E0" w:sz="1"/>
              <w:left w:val="single" w:color="E0E0E0" w:sz="1"/>
              <w:bottom w:val="single" w:color="E0E0E0" w:sz="1"/>
              <w:right w:val="single" w:color="E0E0E0" w:sz="1"/>
            </w:tcBorders>
            <w:shd w:fill="3D3D3D" w:val="clear"/>
            <w:tcMar>
              <w:top w:type="dxa" w:w="90"/>
              <w:left w:type="dxa" w:w="110"/>
              <w:bottom w:type="dxa" w:w="90"/>
              <w:right w:type="dxa" w:w="110"/>
            </w:tcMar>
            <w:vAlign w:val="center"/>
          </w:tcPr>
          <w:p>
            <w:r>
              <w:rPr>
                <w:rFonts w:ascii="Arial" w:cs="Arial" w:eastAsia="Arial" w:hAnsi="Arial"/>
                <w:b/>
                <w:bCs/>
                <w:color w:val="FFFFFF"/>
                <w:sz w:val="17"/>
                <w:szCs w:val="17"/>
              </w:rPr>
              <w:t xml:space="preserve">Detail</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What they were</w:t>
            </w:r>
          </w:p>
        </w:tc>
        <w:tc>
          <w:tcPr>
            <w:tcW w:type="dxa" w:w="696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7"/>
                <w:szCs w:val="17"/>
              </w:rPr>
              <w:t xml:space="preserve">Sovryn attempted Bitcoin-backed DeFi lending on Rootstock and failed to gain meaningful adoption. Celsius and BlockFi were centralized lenders that froze user funds and collapsed.</w:t>
            </w:r>
          </w:p>
        </w:tc>
      </w:tr>
      <w:tr>
        <w:tc>
          <w:tcPr>
            <w:tcW w:type="dxa" w:w="24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Why they still matter</w:t>
            </w:r>
          </w:p>
        </w:tc>
        <w:tc>
          <w:tcPr>
            <w:tcW w:type="dxa" w:w="696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7"/>
                <w:szCs w:val="17"/>
              </w:rPr>
              <w:t xml:space="preserve">The reference points Persat Finance's entire trust narrative is built against — worth keeping named accurately rather than treated as settled history, especially now that Firefish and Hodl Hodl show what a non-custodial alternative done well can look like.</w:t>
            </w:r>
          </w:p>
        </w:tc>
      </w:tr>
    </w:tbl>
    <w:p>
      <w:pPr>
        <w:spacing w:after="0" w:before="140"/>
      </w:pPr>
      <w:r>
        <w:t xml:space="preserve"/>
      </w:r>
    </w:p>
    <w:p>
      <w:pPr>
        <w:pBdr>
          <w:bottom w:val="single" w:color="F7931A" w:sz="6"/>
        </w:pBdr>
        <w:spacing w:after="170" w:before="170"/>
      </w:pPr>
      <w:r>
        <w:t xml:space="preserve"/>
      </w:r>
    </w:p>
    <w:p>
      <w:pPr>
        <w:spacing w:after="180" w:before="420"/>
      </w:pPr>
      <w:r>
        <w:rPr>
          <w:rFonts w:ascii="Arial" w:cs="Arial" w:eastAsia="Arial" w:hAnsi="Arial"/>
          <w:b/>
          <w:bCs/>
          <w:color w:val="F7931A"/>
          <w:sz w:val="34"/>
          <w:szCs w:val="34"/>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1450"/>
        <w:gridCol w:w="1450"/>
        <w:gridCol w:w="1300"/>
        <w:gridCol w:w="1450"/>
      </w:tblGrid>
      <w:tr>
        <w:trPr>
          <w:tblHeader/>
        </w:trPr>
        <w:tc>
          <w:tcPr>
            <w:tcW w:type="dxa" w:w="15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
            </w:r>
          </w:p>
        </w:tc>
        <w:tc>
          <w:tcPr>
            <w:tcW w:type="dxa" w:w="165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Persat Finance</w:t>
            </w:r>
          </w:p>
        </w:tc>
        <w:tc>
          <w:tcPr>
            <w:tcW w:type="dxa" w:w="145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Firefish</w:t>
            </w:r>
          </w:p>
        </w:tc>
        <w:tc>
          <w:tcPr>
            <w:tcW w:type="dxa" w:w="145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Hodl Hodl</w:t>
            </w:r>
          </w:p>
        </w:tc>
        <w:tc>
          <w:tcPr>
            <w:tcW w:type="dxa" w:w="130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Ledn</w:t>
            </w:r>
          </w:p>
        </w:tc>
        <w:tc>
          <w:tcPr>
            <w:tcW w:type="dxa" w:w="1450"/>
            <w:tcBorders>
              <w:top w:val="single" w:color="E0E0E0" w:sz="1"/>
              <w:left w:val="single" w:color="E0E0E0" w:sz="1"/>
              <w:bottom w:val="single" w:color="E0E0E0" w:sz="1"/>
              <w:right w:val="single" w:color="E0E0E0" w:sz="1"/>
            </w:tcBorders>
            <w:shd w:fill="F7931A" w:val="clear"/>
            <w:tcMar>
              <w:top w:type="dxa" w:w="90"/>
              <w:left w:type="dxa" w:w="110"/>
              <w:bottom w:type="dxa" w:w="90"/>
              <w:right w:type="dxa" w:w="110"/>
            </w:tcMar>
            <w:vAlign w:val="center"/>
          </w:tcPr>
          <w:p>
            <w:r>
              <w:rPr>
                <w:rFonts w:ascii="Arial" w:cs="Arial" w:eastAsia="Arial" w:hAnsi="Arial"/>
                <w:b/>
                <w:bCs/>
                <w:color w:val="FFFFFF"/>
                <w:sz w:val="14"/>
                <w:szCs w:val="14"/>
              </w:rPr>
              <w:t xml:space="preserve">Kamino</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Custody</w:t>
            </w:r>
          </w:p>
        </w:tc>
        <w:tc>
          <w:tcPr>
            <w:tcW w:type="dxa" w:w="16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Non-custodial</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Non-custodial</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Non-custodial</w:t>
            </w:r>
          </w:p>
        </w:tc>
        <w:tc>
          <w:tcPr>
            <w:tcW w:type="dxa" w:w="1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Custodial</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Non-custodial</w:t>
            </w:r>
          </w:p>
        </w:tc>
      </w:tr>
      <w:tr>
        <w:tc>
          <w:tcPr>
            <w:tcW w:type="dxa" w:w="15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Bridge required?</w:t>
            </w:r>
          </w:p>
        </w:tc>
        <w:tc>
          <w:tcPr>
            <w:tcW w:type="dxa" w:w="16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Yes (tBTC/zBTC)</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No — native BTC</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No — native BTC</w:t>
            </w:r>
          </w:p>
        </w:tc>
        <w:tc>
          <w:tcPr>
            <w:tcW w:type="dxa" w:w="1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N/A (custodial)</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Yes (wrapped BTC)</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Structure</w:t>
            </w:r>
          </w:p>
        </w:tc>
        <w:tc>
          <w:tcPr>
            <w:tcW w:type="dxa" w:w="16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Private deals + open marketplace</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Open marketplace</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Open marketplace</w:t>
            </w:r>
          </w:p>
        </w:tc>
        <w:tc>
          <w:tcPr>
            <w:tcW w:type="dxa" w:w="1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Pooled, platform as counterparty</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Pooled (peer-to-pool)</w:t>
            </w:r>
          </w:p>
        </w:tc>
      </w:tr>
      <w:tr>
        <w:tc>
          <w:tcPr>
            <w:tcW w:type="dxa" w:w="15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Loan currency</w:t>
            </w:r>
          </w:p>
        </w:tc>
        <w:tc>
          <w:tcPr>
            <w:tcW w:type="dxa" w:w="16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USDC / USDT</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EUR, CHF, USDC+</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Stablecoins, others</w:t>
            </w:r>
          </w:p>
        </w:tc>
        <w:tc>
          <w:tcPr>
            <w:tcW w:type="dxa" w:w="1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USD</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Primarily USDC</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Max LTV</w:t>
            </w:r>
          </w:p>
        </w:tc>
        <w:tc>
          <w:tcPr>
            <w:tcW w:type="dxa" w:w="16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50%</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Not published here</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Negotiated per deal</w:t>
            </w:r>
          </w:p>
        </w:tc>
        <w:tc>
          <w:tcPr>
            <w:tcW w:type="dxa" w:w="1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50%</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Varies by asset</w:t>
            </w:r>
          </w:p>
        </w:tc>
      </w:tr>
      <w:tr>
        <w:tc>
          <w:tcPr>
            <w:tcW w:type="dxa" w:w="15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Repayment</w:t>
            </w:r>
          </w:p>
        </w:tc>
        <w:tc>
          <w:tcPr>
            <w:tcW w:type="dxa" w:w="16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Fixed monthly installments</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Lump sum at term end</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Negotiated per deal</w:t>
            </w:r>
          </w:p>
        </w:tc>
        <w:tc>
          <w:tcPr>
            <w:tcW w:type="dxa" w:w="130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Monthly</w:t>
            </w:r>
          </w:p>
        </w:tc>
        <w:tc>
          <w:tcPr>
            <w:tcW w:type="dxa" w:w="1450"/>
            <w:tcBorders>
              <w:top w:val="single" w:color="E0E0E0" w:sz="1"/>
              <w:left w:val="single" w:color="E0E0E0" w:sz="1"/>
              <w:bottom w:val="single" w:color="E0E0E0" w:sz="1"/>
              <w:right w:val="single" w:color="E0E0E0" w:sz="1"/>
            </w:tcBorders>
            <w:shd w:fill="FFF8F0" w:val="clear"/>
            <w:tcMar>
              <w:top w:type="dxa" w:w="90"/>
              <w:left w:type="dxa" w:w="110"/>
              <w:bottom w:type="dxa" w:w="90"/>
              <w:right w:type="dxa" w:w="110"/>
            </w:tcMar>
            <w:vAlign w:val="top"/>
          </w:tcPr>
          <w:p>
            <w:r>
              <w:rPr>
                <w:rFonts w:ascii="Arial" w:cs="Arial" w:eastAsia="Arial" w:hAnsi="Arial"/>
                <w:color w:val="111111"/>
                <w:sz w:val="14"/>
                <w:szCs w:val="14"/>
              </w:rPr>
              <w:t xml:space="preserve">Variable/DeFi-native</w:t>
            </w:r>
          </w:p>
        </w:tc>
      </w:tr>
      <w:tr>
        <w:tc>
          <w:tcPr>
            <w:tcW w:type="dxa" w:w="15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Live today</w:t>
            </w:r>
          </w:p>
        </w:tc>
        <w:tc>
          <w:tcPr>
            <w:tcW w:type="dxa" w:w="16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No — in development</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Yes</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Yes, since ~2018</w:t>
            </w:r>
          </w:p>
        </w:tc>
        <w:tc>
          <w:tcPr>
            <w:tcW w:type="dxa" w:w="130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Yes</w:t>
            </w:r>
          </w:p>
        </w:tc>
        <w:tc>
          <w:tcPr>
            <w:tcW w:type="dxa" w:w="1450"/>
            <w:tcBorders>
              <w:top w:val="single" w:color="E0E0E0" w:sz="1"/>
              <w:left w:val="single" w:color="E0E0E0" w:sz="1"/>
              <w:bottom w:val="single" w:color="E0E0E0" w:sz="1"/>
              <w:right w:val="single" w:color="E0E0E0" w:sz="1"/>
            </w:tcBorders>
            <w:shd w:fill="FFFFFF" w:val="clear"/>
            <w:tcMar>
              <w:top w:type="dxa" w:w="90"/>
              <w:left w:type="dxa" w:w="110"/>
              <w:bottom w:type="dxa" w:w="90"/>
              <w:right w:type="dxa" w:w="110"/>
            </w:tcMar>
            <w:vAlign w:val="top"/>
          </w:tcPr>
          <w:p>
            <w:r>
              <w:rPr>
                <w:rFonts w:ascii="Arial" w:cs="Arial" w:eastAsia="Arial" w:hAnsi="Arial"/>
                <w:color w:val="111111"/>
                <w:sz w:val="14"/>
                <w:szCs w:val="14"/>
              </w:rPr>
              <w:t xml:space="preserve">Yes, ~$3B TVL</w:t>
            </w:r>
          </w:p>
        </w:tc>
      </w:tr>
    </w:tbl>
    <w:p>
      <w:pPr>
        <w:spacing w:after="0" w:before="200"/>
      </w:pPr>
      <w:r>
        <w:t xml:space="preserve"/>
      </w:r>
    </w:p>
    <w:p>
      <w:r>
        <w:br w:type="page"/>
      </w:r>
    </w:p>
    <w:p>
      <w:pPr>
        <w:spacing w:after="180" w:before="420"/>
      </w:pPr>
      <w:r>
        <w:rPr>
          <w:rFonts w:ascii="Arial" w:cs="Arial" w:eastAsia="Arial" w:hAnsi="Arial"/>
          <w:b/>
          <w:bCs/>
          <w:color w:val="F7931A"/>
          <w:sz w:val="34"/>
          <w:szCs w:val="34"/>
        </w:rPr>
        <w:t xml:space="preserve">Where Persat Finance Genuinely Differentiates</w:t>
      </w:r>
    </w:p>
    <w:p>
      <w:pPr>
        <w:spacing w:after="0" w:before="80"/>
      </w:pPr>
      <w:r>
        <w:t xml:space="preserve"/>
      </w:r>
    </w:p>
    <w:p>
      <w:pPr>
        <w:pStyle w:val="ListParagraph"/>
        <w:numPr>
          <w:ilvl w:val="0"/>
          <w:numId w:val="2"/>
        </w:numPr>
        <w:spacing w:after="50" w:before="50"/>
      </w:pPr>
      <w:r>
        <w:rPr>
          <w:rFonts w:ascii="Arial" w:cs="Arial" w:eastAsia="Arial" w:hAnsi="Arial"/>
          <w:b/>
          <w:bCs/>
          <w:color w:val="111111"/>
          <w:sz w:val="21"/>
          <w:szCs w:val="21"/>
        </w:rPr>
        <w:t xml:space="preserve">Only Persat Finance supports both paths in one product — a private deal with someone you already know, and an open marketplace when you don't. Firefish and Hodl Hodl are marketplace-only. This dual-path design is a genuine, current differentiator.</w:t>
      </w:r>
    </w:p>
    <w:p>
      <w:pPr>
        <w:pStyle w:val="ListParagraph"/>
        <w:numPr>
          <w:ilvl w:val="0"/>
          <w:numId w:val="2"/>
        </w:numPr>
        <w:spacing w:after="50" w:before="50"/>
      </w:pPr>
      <w:r>
        <w:rPr>
          <w:rFonts w:ascii="Arial" w:cs="Arial" w:eastAsia="Arial" w:hAnsi="Arial"/>
          <w:b w:val="false"/>
          <w:bCs w:val="false"/>
          <w:color w:val="111111"/>
          <w:sz w:val="21"/>
          <w:szCs w:val="21"/>
        </w:rPr>
        <w:t xml:space="preserve">Smart-contract-automated enforcement on Solana, versus multisig coordination. Automation removes manual coordination steps and reduces the chance of a stuck or mishandled multisig setup — though this needs to be proven in practice, not just claimed.</w:t>
      </w:r>
    </w:p>
    <w:p>
      <w:pPr>
        <w:pStyle w:val="ListParagraph"/>
        <w:numPr>
          <w:ilvl w:val="0"/>
          <w:numId w:val="2"/>
        </w:numPr>
        <w:spacing w:after="50" w:before="50"/>
      </w:pPr>
      <w:r>
        <w:rPr>
          <w:rFonts w:ascii="Arial" w:cs="Arial" w:eastAsia="Arial" w:hAnsi="Arial"/>
          <w:b w:val="false"/>
          <w:bCs w:val="false"/>
          <w:color w:val="111111"/>
          <w:sz w:val="21"/>
          <w:szCs w:val="21"/>
        </w:rPr>
        <w:t xml:space="preserve">Fixed monthly installment structure, versus Firefish's lump-sum-at-term-end. More predictable for borrowers managing cash flow, though this is a genuine trade-off rather than a strict improvement — some borrowers prefer not paying anything until the end.</w:t>
      </w:r>
    </w:p>
    <w:p>
      <w:pPr>
        <w:pStyle w:val="ListParagraph"/>
        <w:numPr>
          <w:ilvl w:val="0"/>
          <w:numId w:val="2"/>
        </w:numPr>
        <w:spacing w:after="50" w:before="50"/>
      </w:pPr>
      <w:r>
        <w:rPr>
          <w:rFonts w:ascii="Arial" w:cs="Arial" w:eastAsia="Arial" w:hAnsi="Arial"/>
          <w:b w:val="false"/>
          <w:bCs w:val="false"/>
          <w:color w:val="111111"/>
          <w:sz w:val="21"/>
          <w:szCs w:val="21"/>
        </w:rPr>
        <w:t xml:space="preserve">Structured, no-open-chat negotiation on the marketplace side, mirroring what Firefish and Hodl Hodl already do — validated as the safer pattern, not a Persat Finance invention, but correctly adopted.</w:t>
      </w:r>
    </w:p>
    <w:p>
      <w:pPr>
        <w:spacing w:after="0" w:before="160"/>
      </w:pPr>
      <w:r>
        <w:t xml:space="preserve"/>
      </w:r>
    </w:p>
    <w:p>
      <w:pPr>
        <w:spacing w:after="180" w:before="420"/>
      </w:pPr>
      <w:r>
        <w:rPr>
          <w:rFonts w:ascii="Arial" w:cs="Arial" w:eastAsia="Arial" w:hAnsi="Arial"/>
          <w:b/>
          <w:bCs/>
          <w:color w:val="F7931A"/>
          <w:sz w:val="34"/>
          <w:szCs w:val="34"/>
        </w:rPr>
        <w:t xml:space="preserve">Where Persat Finance Is Genuinely Exposed</w:t>
      </w:r>
    </w:p>
    <w:p>
      <w:pPr>
        <w:spacing w:after="0" w:before="80"/>
      </w:pPr>
      <w:r>
        <w:t xml:space="preserve"/>
      </w:r>
    </w:p>
    <w:p>
      <w:pPr>
        <w:pStyle w:val="ListParagraph"/>
        <w:numPr>
          <w:ilvl w:val="0"/>
          <w:numId w:val="2"/>
        </w:numPr>
        <w:spacing w:after="50" w:before="50"/>
      </w:pPr>
      <w:r>
        <w:rPr>
          <w:rFonts w:ascii="Arial" w:cs="Arial" w:eastAsia="Arial" w:hAnsi="Arial"/>
          <w:b/>
          <w:bCs/>
          <w:color w:val="111111"/>
          <w:sz w:val="21"/>
          <w:szCs w:val="21"/>
        </w:rPr>
        <w:t xml:space="preserve">The bridge dependency is real and Firefish and Hodl Hodl simply don't have it. They escrow actual Bitcoin directly via multisig — no wrapped token, no bridge risk, none of the infrastructure fragility that the Botanix shutdown exposed. Persat Finance's multi-bridge design mitigates this risk but does not eliminate it the way a bridge-free model does. This is the single most important technical disadvantage in this document and should not be softened.</w:t>
      </w:r>
    </w:p>
    <w:p>
      <w:pPr>
        <w:pStyle w:val="ListParagraph"/>
        <w:numPr>
          <w:ilvl w:val="0"/>
          <w:numId w:val="2"/>
        </w:numPr>
        <w:spacing w:after="50" w:before="50"/>
      </w:pPr>
      <w:r>
        <w:rPr>
          <w:rFonts w:ascii="Arial" w:cs="Arial" w:eastAsia="Arial" w:hAnsi="Arial"/>
          <w:b w:val="false"/>
          <w:bCs w:val="false"/>
          <w:color w:val="111111"/>
          <w:sz w:val="21"/>
          <w:szCs w:val="21"/>
        </w:rPr>
        <w:t xml:space="preserve">Hodl Hodl has roughly eight years of operating history. Persat Finance has none yet. Track record is a trust signal that cannot be shortcut — only earned.</w:t>
      </w:r>
    </w:p>
    <w:p>
      <w:pPr>
        <w:pStyle w:val="ListParagraph"/>
        <w:numPr>
          <w:ilvl w:val="0"/>
          <w:numId w:val="2"/>
        </w:numPr>
        <w:spacing w:after="50" w:before="50"/>
      </w:pPr>
      <w:r>
        <w:rPr>
          <w:rFonts w:ascii="Arial" w:cs="Arial" w:eastAsia="Arial" w:hAnsi="Arial"/>
          <w:b w:val="false"/>
          <w:bCs w:val="false"/>
          <w:color w:val="111111"/>
          <w:sz w:val="21"/>
          <w:szCs w:val="21"/>
        </w:rPr>
        <w:t xml:space="preserve">Firefish is already regulated under MiCA in the EU. If Persat Finance's global ambitions include Europe, a real regulatory conversation is needed — Firefish has a head start there specifically.</w:t>
      </w:r>
    </w:p>
    <w:p>
      <w:pPr>
        <w:pStyle w:val="ListParagraph"/>
        <w:numPr>
          <w:ilvl w:val="0"/>
          <w:numId w:val="2"/>
        </w:numPr>
        <w:spacing w:after="50" w:before="50"/>
      </w:pPr>
      <w:r>
        <w:rPr>
          <w:rFonts w:ascii="Arial" w:cs="Arial" w:eastAsia="Arial" w:hAnsi="Arial"/>
          <w:b w:val="false"/>
          <w:bCs w:val="false"/>
          <w:color w:val="111111"/>
          <w:sz w:val="21"/>
          <w:szCs w:val="21"/>
        </w:rPr>
        <w:t xml:space="preserve">Ledn's scale and the Cantor Fitzgerald institutional program both signal that well-capitalized, credentialed players are entering this market at a size no startup can match on trust alone — differentiation has to come from the product, not from claiming to be safer than everyone else by default.</w:t>
      </w:r>
    </w:p>
    <w:p>
      <w:pPr>
        <w:pStyle w:val="ListParagraph"/>
        <w:numPr>
          <w:ilvl w:val="0"/>
          <w:numId w:val="2"/>
        </w:numPr>
        <w:spacing w:after="50" w:before="50"/>
      </w:pPr>
      <w:r>
        <w:rPr>
          <w:rFonts w:ascii="Arial" w:cs="Arial" w:eastAsia="Arial" w:hAnsi="Arial"/>
          <w:b w:val="false"/>
          <w:bCs w:val="false"/>
          <w:color w:val="111111"/>
          <w:sz w:val="21"/>
          <w:szCs w:val="21"/>
        </w:rPr>
        <w:t xml:space="preserve">The marketplace addition, while necessary to compete with Firefish and Hodl Hodl on reach, is unproven for Persat Finance specifically — both competitors spent years building the trust-and-safety practices that make an open marketplace work. Persat Finance is adopting the model quickly, not organically over time, and should expect real early friction.</w:t>
      </w:r>
    </w:p>
    <w:p>
      <w:pPr>
        <w:spacing w:after="0" w:before="200"/>
      </w:pPr>
      <w:r>
        <w:t xml:space="preserve"/>
      </w:r>
    </w:p>
    <w:p>
      <w:pPr>
        <w:spacing w:after="180" w:before="420"/>
      </w:pPr>
      <w:r>
        <w:rPr>
          <w:rFonts w:ascii="Arial" w:cs="Arial" w:eastAsia="Arial" w:hAnsi="Arial"/>
          <w:b/>
          <w:bCs/>
          <w:color w:val="F7931A"/>
          <w:sz w:val="34"/>
          <w:szCs w:val="34"/>
        </w:rPr>
        <w:t xml:space="preserve">What This Should Change, Practically</w:t>
      </w:r>
    </w:p>
    <w:p>
      <w:pPr>
        <w:spacing w:after="0" w:before="80"/>
      </w:pPr>
      <w:r>
        <w:t xml:space="preserve"/>
      </w:r>
    </w:p>
    <w:p>
      <w:pPr>
        <w:spacing w:after="90" w:before="180"/>
      </w:pPr>
      <w:r>
        <w:rPr>
          <w:rFonts w:ascii="Arial" w:cs="Arial" w:eastAsia="Arial" w:hAnsi="Arial"/>
          <w:b/>
          <w:bCs/>
          <w:color w:val="3D3D3D"/>
          <w:sz w:val="21"/>
          <w:szCs w:val="21"/>
        </w:rPr>
        <w:t xml:space="preserve">For positioning</w:t>
      </w:r>
    </w:p>
    <w:p>
      <w:pPr>
        <w:spacing w:after="70" w:before="70"/>
      </w:pPr>
      <w:r>
        <w:rPr>
          <w:rFonts w:ascii="Arial" w:cs="Arial" w:eastAsia="Arial" w:hAnsi="Arial"/>
          <w:color w:val="111111"/>
          <w:sz w:val="21"/>
          <w:szCs w:val="21"/>
        </w:rPr>
        <w:t xml:space="preserve">Drop any claim to being the only non-custodial peer-to-peer option — it isn't true and a five-minute investor search will find Firefish immediately. The honest, defensible claim is narrower and still real: the only product offering both a private relationship path and an open marketplace in one place, built on programmable smart-contract automation rather than manual multisig coordination.</w:t>
      </w:r>
    </w:p>
    <w:p>
      <w:pPr>
        <w:spacing w:after="0" w:before="80"/>
      </w:pPr>
      <w:r>
        <w:t xml:space="preserve"/>
      </w:r>
    </w:p>
    <w:p>
      <w:pPr>
        <w:spacing w:after="90" w:before="180"/>
      </w:pPr>
      <w:r>
        <w:rPr>
          <w:rFonts w:ascii="Arial" w:cs="Arial" w:eastAsia="Arial" w:hAnsi="Arial"/>
          <w:b/>
          <w:bCs/>
          <w:color w:val="3D3D3D"/>
          <w:sz w:val="21"/>
          <w:szCs w:val="21"/>
        </w:rPr>
        <w:t xml:space="preserve">For the roadmap</w:t>
      </w:r>
    </w:p>
    <w:p>
      <w:pPr>
        <w:spacing w:after="70" w:before="70"/>
      </w:pPr>
      <w:r>
        <w:rPr>
          <w:rFonts w:ascii="Arial" w:cs="Arial" w:eastAsia="Arial" w:hAnsi="Arial"/>
          <w:color w:val="111111"/>
          <w:sz w:val="21"/>
          <w:szCs w:val="21"/>
        </w:rPr>
        <w:t xml:space="preserve">Given that Firefish and Hodl Hodl operate without any bridge at all, it's worth revisiting — as a longer-term research question, not now — whether a future version of Persat Finance could offer a bridge-free, Bitcoin-native escrow path alongside the Solana-based one, rather than treating the bridge as permanent infrastructure.</w:t>
      </w:r>
    </w:p>
    <w:p>
      <w:pPr>
        <w:spacing w:after="0" w:before="80"/>
      </w:pPr>
      <w:r>
        <w:t xml:space="preserve"/>
      </w:r>
    </w:p>
    <w:p>
      <w:pPr>
        <w:spacing w:after="90" w:before="180"/>
      </w:pPr>
      <w:r>
        <w:rPr>
          <w:rFonts w:ascii="Arial" w:cs="Arial" w:eastAsia="Arial" w:hAnsi="Arial"/>
          <w:b/>
          <w:bCs/>
          <w:color w:val="3D3D3D"/>
          <w:sz w:val="21"/>
          <w:szCs w:val="21"/>
        </w:rPr>
        <w:t xml:space="preserve">For fundraising</w:t>
      </w:r>
    </w:p>
    <w:p>
      <w:pPr>
        <w:spacing w:after="70" w:before="70"/>
      </w:pPr>
      <w:r>
        <w:rPr>
          <w:rFonts w:ascii="Arial" w:cs="Arial" w:eastAsia="Arial" w:hAnsi="Arial"/>
          <w:color w:val="111111"/>
          <w:sz w:val="21"/>
          <w:szCs w:val="21"/>
        </w:rPr>
        <w:t xml:space="preserve">Use the market-size data in this document directly — $73.6B in outstanding crypto-collateralized loans and a $2B institutional program from Cantor Fitzgerald are strong, current proof that this category is real, large, and increasingly taken seriously by traditional finance, not just crypto-native capital.</w:t>
      </w:r>
    </w:p>
    <w:p>
      <w:pPr>
        <w:spacing w:after="0" w:before="200"/>
      </w:pPr>
      <w:r>
        <w:t xml:space="preserve"/>
      </w:r>
    </w:p>
    <w:p>
      <w:pPr>
        <w:pBdr>
          <w:top w:val="single" w:color="F7931A" w:sz="4"/>
        </w:pBdr>
        <w:spacing w:after="0" w:before="280"/>
        <w:jc w:val="center"/>
      </w:pPr>
      <w:r>
        <w:rPr>
          <w:rFonts w:ascii="Arial" w:cs="Arial" w:eastAsia="Arial" w:hAnsi="Arial"/>
          <w:color w:val="777777"/>
          <w:sz w:val="17"/>
          <w:szCs w:val="17"/>
        </w:rPr>
        <w:t xml:space="preserve">Persat Finance  |  Persat Labs Limited  |  Competitive Analysis  |  persat.ng@gmail.com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2026-08-18T21:04:46.777Z</dcterms:created>
  <dcterms:modified xsi:type="dcterms:W3CDTF">2026-08-18T21:04:46.777Z</dcterms:modified>
</cp:coreProperties>
</file>

<file path=docProps/custom.xml><?xml version="1.0" encoding="utf-8"?>
<Properties xmlns="http://schemas.openxmlformats.org/officeDocument/2006/custom-properties" xmlns:vt="http://schemas.openxmlformats.org/officeDocument/2006/docPropsVTypes"/>
</file>