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00"/>
        <w:jc w:val="center"/>
      </w:pPr>
      <w:r>
        <w:rPr>
          <w:rFonts w:ascii="Arial" w:cs="Arial" w:eastAsia="Arial" w:hAnsi="Arial"/>
          <w:b/>
          <w:bCs/>
          <w:color w:val="F7931A"/>
          <w:sz w:val="54"/>
          <w:szCs w:val="54"/>
        </w:rPr>
        <w:t xml:space="preserve">PERSAT FINANCE</w:t>
      </w:r>
    </w:p>
    <w:p>
      <w:pPr>
        <w:spacing w:after="80" w:before="0"/>
        <w:jc w:val="center"/>
      </w:pPr>
      <w:r>
        <w:rPr>
          <w:rFonts w:ascii="Arial" w:cs="Arial" w:eastAsia="Arial" w:hAnsi="Arial"/>
          <w:color w:val="3D3D3D"/>
          <w:sz w:val="30"/>
          <w:szCs w:val="30"/>
        </w:rPr>
        <w:t xml:space="preserve">Technical Architecture &amp; Multi-Bridge System</w:t>
      </w:r>
    </w:p>
    <w:p>
      <w:pPr>
        <w:spacing w:after="60" w:before="0"/>
        <w:jc w:val="center"/>
      </w:pPr>
      <w:r>
        <w:rPr>
          <w:rFonts w:ascii="Arial" w:cs="Arial" w:eastAsia="Arial" w:hAnsi="Arial"/>
          <w:color w:val="777777"/>
          <w:sz w:val="19"/>
          <w:szCs w:val="19"/>
        </w:rPr>
        <w:t xml:space="preserve">Version 2 — Global, Single Oracle, Dual-Path Model</w:t>
      </w:r>
    </w:p>
    <w:p>
      <w:pPr>
        <w:pBdr>
          <w:bottom w:val="single" w:color="F7931A" w:sz="6"/>
        </w:pBdr>
        <w:spacing w:after="600" w:before="0"/>
        <w:jc w:val="center"/>
      </w:pPr>
      <w:r>
        <w:rPr>
          <w:rFonts w:ascii="Arial" w:cs="Arial" w:eastAsia="Arial" w:hAnsi="Arial"/>
          <w:color w:val="777777"/>
          <w:sz w:val="18"/>
          <w:szCs w:val="18"/>
        </w:rPr>
        <w:t xml:space="preserve">Persat Labs Limited  |  Version 2.0 — Global  |  2026</w:t>
      </w:r>
    </w:p>
    <w:p>
      <w:pPr>
        <w:spacing w:after="180" w:before="420"/>
      </w:pPr>
      <w:r>
        <w:rPr>
          <w:rFonts w:ascii="Arial" w:cs="Arial" w:eastAsia="Arial" w:hAnsi="Arial"/>
          <w:b/>
          <w:bCs/>
          <w:color w:val="F7931A"/>
          <w:sz w:val="34"/>
          <w:szCs w:val="34"/>
        </w:rPr>
        <w:t xml:space="preserve">Change Log — What's Different From Version 1</w:t>
      </w:r>
    </w:p>
    <w:p>
      <w:pPr>
        <w:spacing w:after="70" w:before="70"/>
      </w:pPr>
      <w:r>
        <w:rPr>
          <w:rFonts w:ascii="Arial" w:cs="Arial" w:eastAsia="Arial" w:hAnsi="Arial"/>
          <w:color w:val="111111"/>
          <w:sz w:val="21"/>
          <w:szCs w:val="21"/>
        </w:rPr>
        <w:t xml:space="preserve">This version reflects three decisions made after the original architecture was written. Read this before anything else, since it changes several components described later in the document.</w:t>
      </w:r>
    </w:p>
    <w:p>
      <w:pPr>
        <w:spacing w:after="0" w:before="70"/>
      </w:pPr>
      <w:r>
        <w:t xml:space="preserve"/>
      </w:r>
    </w:p>
    <w:p>
      <w:pPr>
        <w:pStyle w:val="ListParagraph"/>
        <w:numPr>
          <w:ilvl w:val="0"/>
          <w:numId w:val="2"/>
        </w:numPr>
        <w:spacing w:after="50" w:before="50"/>
      </w:pPr>
      <w:r>
        <w:rPr>
          <w:rFonts w:ascii="Arial" w:cs="Arial" w:eastAsia="Arial" w:hAnsi="Arial"/>
          <w:b/>
          <w:bCs/>
          <w:color w:val="111111"/>
          <w:sz w:val="21"/>
          <w:szCs w:val="21"/>
        </w:rPr>
        <w:t xml:space="preserve">Single oracle, not dual. The loan currency is now USDC/USDT instead of a local-currency stablecoin, so the USD/NGN conversion feed is no longer needed — one BTC/USD feed does the whole job.</w:t>
      </w:r>
    </w:p>
    <w:p>
      <w:pPr>
        <w:pStyle w:val="ListParagraph"/>
        <w:numPr>
          <w:ilvl w:val="0"/>
          <w:numId w:val="2"/>
        </w:numPr>
        <w:spacing w:after="50" w:before="50"/>
      </w:pPr>
      <w:r>
        <w:rPr>
          <w:rFonts w:ascii="Arial" w:cs="Arial" w:eastAsia="Arial" w:hAnsi="Arial"/>
          <w:b/>
          <w:bCs/>
          <w:color w:val="111111"/>
          <w:sz w:val="21"/>
          <w:szCs w:val="21"/>
        </w:rPr>
        <w:t xml:space="preserve">The marketplace is now a launch feature, not a deferred one. The original Version 1 explicitly deferred discovery/matching post-MVP. That reasoning is superseded — see Section 8.</w:t>
      </w:r>
    </w:p>
    <w:p>
      <w:pPr>
        <w:pStyle w:val="ListParagraph"/>
        <w:numPr>
          <w:ilvl w:val="0"/>
          <w:numId w:val="2"/>
        </w:numPr>
        <w:spacing w:after="50" w:before="50"/>
      </w:pPr>
      <w:r>
        <w:rPr>
          <w:rFonts w:ascii="Arial" w:cs="Arial" w:eastAsia="Arial" w:hAnsi="Arial"/>
          <w:b w:val="false"/>
          <w:bCs w:val="false"/>
          <w:color w:val="111111"/>
          <w:sz w:val="21"/>
          <w:szCs w:val="21"/>
        </w:rPr>
        <w:t xml:space="preserve">Global positioning. No country or local currency appears anywhere in this document.</w:t>
      </w:r>
    </w:p>
    <w:p>
      <w:pPr>
        <w:pStyle w:val="ListParagraph"/>
        <w:numPr>
          <w:ilvl w:val="0"/>
          <w:numId w:val="2"/>
        </w:numPr>
        <w:spacing w:after="50" w:before="50"/>
      </w:pPr>
      <w:r>
        <w:rPr>
          <w:rFonts w:ascii="Arial" w:cs="Arial" w:eastAsia="Arial" w:hAnsi="Arial"/>
          <w:b w:val="false"/>
          <w:bCs w:val="false"/>
          <w:color w:val="111111"/>
          <w:sz w:val="21"/>
          <w:szCs w:val="21"/>
        </w:rPr>
        <w:t xml:space="preserve">Three sections that existed only as proposals in conversation — embedded bridge widgets, the deal-link mechanism, and future tokenized-equity expansion — are now formally incorporated below.</w:t>
      </w:r>
    </w:p>
    <w:p>
      <w:pPr>
        <w:spacing w:after="0" w:before="200"/>
      </w:pPr>
      <w:r>
        <w:t xml:space="preserve"/>
      </w:r>
    </w:p>
    <w:p>
      <w:pPr>
        <w:pBdr>
          <w:bottom w:val="single" w:color="F7931A" w:sz="6"/>
        </w:pBdr>
        <w:spacing w:after="170" w:before="170"/>
      </w:pPr>
      <w:r>
        <w:t xml:space="preserve"/>
      </w:r>
    </w:p>
    <w:p>
      <w:pPr>
        <w:spacing w:after="180" w:before="420"/>
      </w:pPr>
      <w:r>
        <w:rPr>
          <w:rFonts w:ascii="Arial" w:cs="Arial" w:eastAsia="Arial" w:hAnsi="Arial"/>
          <w:b/>
          <w:bCs/>
          <w:color w:val="F7931A"/>
          <w:sz w:val="34"/>
          <w:szCs w:val="34"/>
        </w:rPr>
        <w:t xml:space="preserve">1. System Overview</w:t>
      </w:r>
    </w:p>
    <w:p>
      <w:pPr>
        <w:spacing w:after="70" w:before="70"/>
      </w:pPr>
      <w:r>
        <w:rPr>
          <w:rFonts w:ascii="Arial" w:cs="Arial" w:eastAsia="Arial" w:hAnsi="Arial"/>
          <w:color w:val="111111"/>
          <w:sz w:val="21"/>
          <w:szCs w:val="21"/>
        </w:rPr>
        <w:t xml:space="preserve">Persat Finance is escrow and settlement infrastructure for Bitcoin-collateralized loans, built on Solana. Every loan connects exactly two parties — either people who already know each other, using a private deal-link, or people matched through Persat Finance's own open marketplace. There is no pooled liquidity market. The protocol's job is narrow: verify collateral, escrow it safely, settle atomically, monitor it, and enforce repayment or liquidation according to terms both parties explicitly agreed to.</w:t>
      </w:r>
    </w:p>
    <w:p>
      <w:pPr>
        <w:spacing w:after="0" w:before="80"/>
      </w:pPr>
      <w:r>
        <w:t xml:space="preserve"/>
      </w:r>
    </w:p>
    <w:p>
      <w:pPr>
        <w:spacing w:after="90" w:before="180"/>
      </w:pPr>
      <w:r>
        <w:rPr>
          <w:rFonts w:ascii="Arial" w:cs="Arial" w:eastAsia="Arial" w:hAnsi="Arial"/>
          <w:b/>
          <w:bCs/>
          <w:color w:val="3D3D3D"/>
          <w:sz w:val="21"/>
          <w:szCs w:val="21"/>
        </w:rPr>
        <w:t xml:space="preserve">Component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E0E0E0" w:sz="1"/>
              <w:left w:val="single" w:color="E0E0E0" w:sz="1"/>
              <w:bottom w:val="single" w:color="E0E0E0" w:sz="1"/>
              <w:right w:val="single" w:color="E0E0E0" w:sz="1"/>
            </w:tcBorders>
            <w:shd w:fill="F7931A" w:val="clear"/>
            <w:tcMar>
              <w:top w:type="dxa" w:w="90"/>
              <w:left w:type="dxa" w:w="110"/>
              <w:bottom w:type="dxa" w:w="90"/>
              <w:right w:type="dxa" w:w="110"/>
            </w:tcMar>
            <w:vAlign w:val="center"/>
          </w:tcPr>
          <w:p>
            <w:r>
              <w:rPr>
                <w:rFonts w:ascii="Arial" w:cs="Arial" w:eastAsia="Arial" w:hAnsi="Arial"/>
                <w:b/>
                <w:bCs/>
                <w:color w:val="FFFFFF"/>
                <w:sz w:val="17"/>
                <w:szCs w:val="17"/>
              </w:rPr>
              <w:t xml:space="preserve">Layer</w:t>
            </w:r>
          </w:p>
        </w:tc>
        <w:tc>
          <w:tcPr>
            <w:tcW w:type="dxa" w:w="3000"/>
            <w:tcBorders>
              <w:top w:val="single" w:color="E0E0E0" w:sz="1"/>
              <w:left w:val="single" w:color="E0E0E0" w:sz="1"/>
              <w:bottom w:val="single" w:color="E0E0E0" w:sz="1"/>
              <w:right w:val="single" w:color="E0E0E0" w:sz="1"/>
            </w:tcBorders>
            <w:shd w:fill="F7931A" w:val="clear"/>
            <w:tcMar>
              <w:top w:type="dxa" w:w="90"/>
              <w:left w:type="dxa" w:w="110"/>
              <w:bottom w:type="dxa" w:w="90"/>
              <w:right w:type="dxa" w:w="110"/>
            </w:tcMar>
            <w:vAlign w:val="center"/>
          </w:tcPr>
          <w:p>
            <w:r>
              <w:rPr>
                <w:rFonts w:ascii="Arial" w:cs="Arial" w:eastAsia="Arial" w:hAnsi="Arial"/>
                <w:b/>
                <w:bCs/>
                <w:color w:val="FFFFFF"/>
                <w:sz w:val="17"/>
                <w:szCs w:val="17"/>
              </w:rPr>
              <w:t xml:space="preserve">Component</w:t>
            </w:r>
          </w:p>
        </w:tc>
        <w:tc>
          <w:tcPr>
            <w:tcW w:type="dxa" w:w="4560"/>
            <w:tcBorders>
              <w:top w:val="single" w:color="E0E0E0" w:sz="1"/>
              <w:left w:val="single" w:color="E0E0E0" w:sz="1"/>
              <w:bottom w:val="single" w:color="E0E0E0" w:sz="1"/>
              <w:right w:val="single" w:color="E0E0E0" w:sz="1"/>
            </w:tcBorders>
            <w:shd w:fill="F7931A" w:val="clear"/>
            <w:tcMar>
              <w:top w:type="dxa" w:w="90"/>
              <w:left w:type="dxa" w:w="110"/>
              <w:bottom w:type="dxa" w:w="90"/>
              <w:right w:type="dxa" w:w="110"/>
            </w:tcMar>
            <w:vAlign w:val="center"/>
          </w:tcPr>
          <w:p>
            <w:r>
              <w:rPr>
                <w:rFonts w:ascii="Arial" w:cs="Arial" w:eastAsia="Arial" w:hAnsi="Arial"/>
                <w:b/>
                <w:bCs/>
                <w:color w:val="FFFFFF"/>
                <w:sz w:val="17"/>
                <w:szCs w:val="17"/>
              </w:rPr>
              <w:t xml:space="preserve">Responsibility</w:t>
            </w:r>
          </w:p>
        </w:tc>
      </w:tr>
      <w:tr>
        <w:tc>
          <w:tcPr>
            <w:tcW w:type="dxa" w:w="18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Settlement</w:t>
            </w:r>
          </w:p>
        </w:tc>
        <w:tc>
          <w:tcPr>
            <w:tcW w:type="dxa" w:w="30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Solana programs (Rust/Anchor)</w:t>
            </w:r>
          </w:p>
        </w:tc>
        <w:tc>
          <w:tcPr>
            <w:tcW w:type="dxa" w:w="456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Deal terms, escrow, payments, liquidation, governance</w:t>
            </w:r>
          </w:p>
        </w:tc>
      </w:tr>
      <w:tr>
        <w:tc>
          <w:tcPr>
            <w:tcW w:type="dxa" w:w="180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Collateral bridging</w:t>
            </w:r>
          </w:p>
        </w:tc>
        <w:tc>
          <w:tcPr>
            <w:tcW w:type="dxa" w:w="300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Multi-bridge whitelist (tBTC, zBTC)</w:t>
            </w:r>
          </w:p>
        </w:tc>
        <w:tc>
          <w:tcPr>
            <w:tcW w:type="dxa" w:w="456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Brings decentralized BTC representations onto Solana as usable collateral</w:t>
            </w:r>
          </w:p>
        </w:tc>
      </w:tr>
      <w:tr>
        <w:tc>
          <w:tcPr>
            <w:tcW w:type="dxa" w:w="18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Price data</w:t>
            </w:r>
          </w:p>
        </w:tc>
        <w:tc>
          <w:tcPr>
            <w:tcW w:type="dxa" w:w="30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Single price oracle (BTC/USD)</w:t>
            </w:r>
          </w:p>
        </w:tc>
        <w:tc>
          <w:tcPr>
            <w:tcW w:type="dxa" w:w="456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Collateral valuation. USDC/USDT are treated as $1 — no second conversion needed.</w:t>
            </w:r>
          </w:p>
        </w:tc>
      </w:tr>
      <w:tr>
        <w:tc>
          <w:tcPr>
            <w:tcW w:type="dxa" w:w="180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Settlement currency</w:t>
            </w:r>
          </w:p>
        </w:tc>
        <w:tc>
          <w:tcPr>
            <w:tcW w:type="dxa" w:w="300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USDC / USDT (Solana-native)</w:t>
            </w:r>
          </w:p>
        </w:tc>
        <w:tc>
          <w:tcPr>
            <w:tcW w:type="dxa" w:w="456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Loan principal and interest</w:t>
            </w:r>
          </w:p>
        </w:tc>
      </w:tr>
      <w:tr>
        <w:tc>
          <w:tcPr>
            <w:tcW w:type="dxa" w:w="18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Matching</w:t>
            </w:r>
          </w:p>
        </w:tc>
        <w:tc>
          <w:tcPr>
            <w:tcW w:type="dxa" w:w="30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Deal-link mechanism + open marketplace</w:t>
            </w:r>
          </w:p>
        </w:tc>
        <w:tc>
          <w:tcPr>
            <w:tcW w:type="dxa" w:w="456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Two independent paths for two parties to reach a bound, on-chain deal</w:t>
            </w:r>
          </w:p>
        </w:tc>
      </w:tr>
      <w:tr>
        <w:tc>
          <w:tcPr>
            <w:tcW w:type="dxa" w:w="180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Off-chain services</w:t>
            </w:r>
          </w:p>
        </w:tc>
        <w:tc>
          <w:tcPr>
            <w:tcW w:type="dxa" w:w="300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Keeper bot, notifications, price pusher, marketplace indexer</w:t>
            </w:r>
          </w:p>
        </w:tc>
        <w:tc>
          <w:tcPr>
            <w:tcW w:type="dxa" w:w="456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Automation, reminders, listings, and liveness for time-based logic</w:t>
            </w:r>
          </w:p>
        </w:tc>
      </w:tr>
      <w:tr>
        <w:tc>
          <w:tcPr>
            <w:tcW w:type="dxa" w:w="18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Application</w:t>
            </w:r>
          </w:p>
        </w:tc>
        <w:tc>
          <w:tcPr>
            <w:tcW w:type="dxa" w:w="30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Next.js frontend + wallet adapter</w:t>
            </w:r>
          </w:p>
        </w:tc>
        <w:tc>
          <w:tcPr>
            <w:tcW w:type="dxa" w:w="456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Deal creation, marketplace browsing, monitoring, management</w:t>
            </w:r>
          </w:p>
        </w:tc>
      </w:tr>
    </w:tbl>
    <w:p>
      <w:pPr>
        <w:spacing w:after="0" w:before="160"/>
      </w:pPr>
      <w:r>
        <w:t xml:space="preserve"/>
      </w:r>
    </w:p>
    <w:p>
      <w:pPr>
        <w:spacing w:after="180" w:before="420"/>
      </w:pPr>
      <w:r>
        <w:rPr>
          <w:rFonts w:ascii="Arial" w:cs="Arial" w:eastAsia="Arial" w:hAnsi="Arial"/>
          <w:b/>
          <w:bCs/>
          <w:color w:val="F7931A"/>
          <w:sz w:val="34"/>
          <w:szCs w:val="34"/>
        </w:rPr>
        <w:t xml:space="preserve">2. Core Design Principles</w:t>
      </w:r>
    </w:p>
    <w:p>
      <w:pPr>
        <w:spacing w:after="0" w:before="80"/>
      </w:pPr>
      <w:r>
        <w:t xml:space="preserve"/>
      </w:r>
    </w:p>
    <w:p>
      <w:pPr>
        <w:spacing w:after="80" w:before="160"/>
      </w:pPr>
      <w:r>
        <w:rPr>
          <w:rFonts w:ascii="Arial" w:cs="Arial" w:eastAsia="Arial" w:hAnsi="Arial"/>
          <w:b/>
          <w:bCs/>
          <w:color w:val="F7931A"/>
          <w:sz w:val="20"/>
          <w:szCs w:val="20"/>
        </w:rPr>
        <w:t xml:space="preserve">Non-custodial at every layer</w:t>
      </w:r>
    </w:p>
    <w:p>
      <w:pPr>
        <w:spacing w:after="70" w:before="70"/>
      </w:pPr>
      <w:r>
        <w:rPr>
          <w:rFonts w:ascii="Arial" w:cs="Arial" w:eastAsia="Arial" w:hAnsi="Arial"/>
          <w:color w:val="111111"/>
          <w:sz w:val="21"/>
          <w:szCs w:val="21"/>
        </w:rPr>
        <w:t xml:space="preserve">No Persat Labs-controlled account ever holds user funds. All collateral and principal sit in program-derived vaults governed entirely by on-chain logic.</w:t>
      </w:r>
    </w:p>
    <w:p>
      <w:pPr>
        <w:spacing w:after="0" w:before="70"/>
      </w:pPr>
      <w:r>
        <w:t xml:space="preserve"/>
      </w:r>
    </w:p>
    <w:p>
      <w:pPr>
        <w:spacing w:after="80" w:before="160"/>
      </w:pPr>
      <w:r>
        <w:rPr>
          <w:rFonts w:ascii="Arial" w:cs="Arial" w:eastAsia="Arial" w:hAnsi="Arial"/>
          <w:b/>
          <w:bCs/>
          <w:color w:val="F7931A"/>
          <w:sz w:val="20"/>
          <w:szCs w:val="20"/>
        </w:rPr>
        <w:t xml:space="preserve">Two paths to the same destination</w:t>
      </w:r>
    </w:p>
    <w:p>
      <w:pPr>
        <w:spacing w:after="70" w:before="70"/>
      </w:pPr>
      <w:r>
        <w:rPr>
          <w:rFonts w:ascii="Arial" w:cs="Arial" w:eastAsia="Arial" w:hAnsi="Arial"/>
          <w:color w:val="111111"/>
          <w:sz w:val="21"/>
          <w:szCs w:val="21"/>
        </w:rPr>
        <w:t xml:space="preserve">A deal can start privately, between two people who already know each other, or publicly, through the marketplace, for two people who don't. Both converge into the exact same on-chain deal structure, escrow mechanism, repayment schedule, and liquidation logic. Neither path is a lesser version of the other.</w:t>
      </w:r>
    </w:p>
    <w:p>
      <w:pPr>
        <w:spacing w:after="0" w:before="70"/>
      </w:pPr>
      <w:r>
        <w:t xml:space="preserve"/>
      </w:r>
    </w:p>
    <w:p>
      <w:pPr>
        <w:spacing w:after="80" w:before="160"/>
      </w:pPr>
      <w:r>
        <w:rPr>
          <w:rFonts w:ascii="Arial" w:cs="Arial" w:eastAsia="Arial" w:hAnsi="Arial"/>
          <w:b/>
          <w:bCs/>
          <w:color w:val="F7931A"/>
          <w:sz w:val="20"/>
          <w:szCs w:val="20"/>
        </w:rPr>
        <w:t xml:space="preserve">Structured negotiation only — never open messaging</w:t>
      </w:r>
    </w:p>
    <w:p>
      <w:pPr>
        <w:spacing w:after="70" w:before="70"/>
      </w:pPr>
      <w:r>
        <w:rPr>
          <w:rFonts w:ascii="Arial" w:cs="Arial" w:eastAsia="Arial" w:hAnsi="Arial"/>
          <w:color w:val="111111"/>
          <w:sz w:val="21"/>
          <w:szCs w:val="21"/>
        </w:rPr>
        <w:t xml:space="preserve">Nowhere on the marketplace can two unmatched parties exchange a free-form message. Every interaction is terms against terms — amount, rate, duration — proposed and countered through structured fields. This is a deliberate safety decision given the direct financial stakes of a lending negotiation between strangers.</w:t>
      </w:r>
    </w:p>
    <w:p>
      <w:pPr>
        <w:spacing w:after="0" w:before="70"/>
      </w:pPr>
      <w:r>
        <w:t xml:space="preserve"/>
      </w:r>
    </w:p>
    <w:p>
      <w:pPr>
        <w:spacing w:after="80" w:before="160"/>
      </w:pPr>
      <w:r>
        <w:rPr>
          <w:rFonts w:ascii="Arial" w:cs="Arial" w:eastAsia="Arial" w:hAnsi="Arial"/>
          <w:b/>
          <w:bCs/>
          <w:color w:val="F7931A"/>
          <w:sz w:val="20"/>
          <w:szCs w:val="20"/>
        </w:rPr>
        <w:t xml:space="preserve">Multi-bridge collateral, no single point of failure</w:t>
      </w:r>
    </w:p>
    <w:p>
      <w:pPr>
        <w:spacing w:after="70" w:before="70"/>
      </w:pPr>
      <w:r>
        <w:rPr>
          <w:rFonts w:ascii="Arial" w:cs="Arial" w:eastAsia="Arial" w:hAnsi="Arial"/>
          <w:color w:val="111111"/>
          <w:sz w:val="21"/>
          <w:szCs w:val="21"/>
        </w:rPr>
        <w:t xml:space="preserve">Bitcoin collateral enters through more than one independently-operated, decentralized bridge. No single bridge's continued operation is a prerequisite for the protocol's survival — a direct response to the Botanix Labs shutdown, which stranded every project built exclusively on top of it.</w:t>
      </w:r>
    </w:p>
    <w:p>
      <w:pPr>
        <w:spacing w:after="0" w:before="70"/>
      </w:pPr>
      <w:r>
        <w:t xml:space="preserve"/>
      </w:r>
    </w:p>
    <w:p>
      <w:pPr>
        <w:spacing w:after="80" w:before="160"/>
      </w:pPr>
      <w:r>
        <w:rPr>
          <w:rFonts w:ascii="Arial" w:cs="Arial" w:eastAsia="Arial" w:hAnsi="Arial"/>
          <w:b/>
          <w:bCs/>
          <w:color w:val="F7931A"/>
          <w:sz w:val="20"/>
          <w:szCs w:val="20"/>
        </w:rPr>
        <w:t xml:space="preserve">Atomic settlement</w:t>
      </w:r>
    </w:p>
    <w:p>
      <w:pPr>
        <w:spacing w:after="70" w:before="70"/>
      </w:pPr>
      <w:r>
        <w:rPr>
          <w:rFonts w:ascii="Arial" w:cs="Arial" w:eastAsia="Arial" w:hAnsi="Arial"/>
          <w:color w:val="111111"/>
          <w:sz w:val="21"/>
          <w:szCs w:val="21"/>
        </w:rPr>
        <w:t xml:space="preserve">Collateral locking and loan disbursement happen as a single Solana transaction. No intermediate state exists where one party is exposed without the other having fulfilled their side.</w:t>
      </w:r>
    </w:p>
    <w:p>
      <w:pPr>
        <w:spacing w:after="0" w:before="70"/>
      </w:pPr>
      <w:r>
        <w:t xml:space="preserve"/>
      </w:r>
    </w:p>
    <w:p>
      <w:pPr>
        <w:spacing w:after="80" w:before="160"/>
      </w:pPr>
      <w:r>
        <w:rPr>
          <w:rFonts w:ascii="Arial" w:cs="Arial" w:eastAsia="Arial" w:hAnsi="Arial"/>
          <w:b/>
          <w:bCs/>
          <w:color w:val="F7931A"/>
          <w:sz w:val="20"/>
          <w:szCs w:val="20"/>
        </w:rPr>
        <w:t xml:space="preserve">Deliberate exclusions</w:t>
      </w:r>
    </w:p>
    <w:p>
      <w:pPr>
        <w:spacing w:after="70" w:before="70"/>
      </w:pPr>
      <w:r>
        <w:rPr>
          <w:rFonts w:ascii="Arial" w:cs="Arial" w:eastAsia="Arial" w:hAnsi="Arial"/>
          <w:color w:val="111111"/>
          <w:sz w:val="21"/>
          <w:szCs w:val="21"/>
        </w:rPr>
        <w:t xml:space="preserve">Custodial wrapped Bitcoin (cbBTC, WBTC) and centrally-custodied reserve models (SolvBTC) are excluded from the collateral whitelist by protocol policy. See Section 5.4 for the full reasoning.</w:t>
      </w:r>
    </w:p>
    <w:p>
      <w:pPr>
        <w:spacing w:after="0" w:before="160"/>
      </w:pPr>
      <w:r>
        <w:t xml:space="preserve"/>
      </w:r>
    </w:p>
    <w:p>
      <w:r>
        <w:br w:type="page"/>
      </w:r>
    </w:p>
    <w:p>
      <w:pPr>
        <w:spacing w:after="180" w:before="420"/>
      </w:pPr>
      <w:r>
        <w:rPr>
          <w:rFonts w:ascii="Arial" w:cs="Arial" w:eastAsia="Arial" w:hAnsi="Arial"/>
          <w:b/>
          <w:bCs/>
          <w:color w:val="F7931A"/>
          <w:sz w:val="34"/>
          <w:szCs w:val="34"/>
        </w:rPr>
        <w:t xml:space="preserve">3. The Deal Lifecycle — State Machine</w:t>
      </w:r>
    </w:p>
    <w:p>
      <w:pPr>
        <w:spacing w:after="70" w:before="70"/>
      </w:pPr>
      <w:r>
        <w:rPr>
          <w:rFonts w:ascii="Arial" w:cs="Arial" w:eastAsia="Arial" w:hAnsi="Arial"/>
          <w:color w:val="111111"/>
          <w:sz w:val="21"/>
          <w:szCs w:val="21"/>
        </w:rPr>
        <w:t xml:space="preserve">Every loan moves through a fixed set of states, regardless of which path — private or marketplace — it started 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4060"/>
      </w:tblGrid>
      <w:tr>
        <w:trPr>
          <w:tblHeader/>
        </w:trPr>
        <w:tc>
          <w:tcPr>
            <w:tcW w:type="dxa" w:w="2000"/>
            <w:tcBorders>
              <w:top w:val="single" w:color="E0E0E0" w:sz="1"/>
              <w:left w:val="single" w:color="E0E0E0" w:sz="1"/>
              <w:bottom w:val="single" w:color="E0E0E0" w:sz="1"/>
              <w:right w:val="single" w:color="E0E0E0" w:sz="1"/>
            </w:tcBorders>
            <w:shd w:fill="F7931A" w:val="clear"/>
            <w:tcMar>
              <w:top w:type="dxa" w:w="90"/>
              <w:left w:type="dxa" w:w="110"/>
              <w:bottom w:type="dxa" w:w="90"/>
              <w:right w:type="dxa" w:w="110"/>
            </w:tcMar>
            <w:vAlign w:val="center"/>
          </w:tcPr>
          <w:p>
            <w:r>
              <w:rPr>
                <w:rFonts w:ascii="Arial" w:cs="Arial" w:eastAsia="Arial" w:hAnsi="Arial"/>
                <w:b/>
                <w:bCs/>
                <w:color w:val="FFFFFF"/>
                <w:sz w:val="17"/>
                <w:szCs w:val="17"/>
              </w:rPr>
              <w:t xml:space="preserve">State</w:t>
            </w:r>
          </w:p>
        </w:tc>
        <w:tc>
          <w:tcPr>
            <w:tcW w:type="dxa" w:w="3300"/>
            <w:tcBorders>
              <w:top w:val="single" w:color="E0E0E0" w:sz="1"/>
              <w:left w:val="single" w:color="E0E0E0" w:sz="1"/>
              <w:bottom w:val="single" w:color="E0E0E0" w:sz="1"/>
              <w:right w:val="single" w:color="E0E0E0" w:sz="1"/>
            </w:tcBorders>
            <w:shd w:fill="F7931A" w:val="clear"/>
            <w:tcMar>
              <w:top w:type="dxa" w:w="90"/>
              <w:left w:type="dxa" w:w="110"/>
              <w:bottom w:type="dxa" w:w="90"/>
              <w:right w:type="dxa" w:w="110"/>
            </w:tcMar>
            <w:vAlign w:val="center"/>
          </w:tcPr>
          <w:p>
            <w:r>
              <w:rPr>
                <w:rFonts w:ascii="Arial" w:cs="Arial" w:eastAsia="Arial" w:hAnsi="Arial"/>
                <w:b/>
                <w:bCs/>
                <w:color w:val="FFFFFF"/>
                <w:sz w:val="17"/>
                <w:szCs w:val="17"/>
              </w:rPr>
              <w:t xml:space="preserve">Entry Condition</w:t>
            </w:r>
          </w:p>
        </w:tc>
        <w:tc>
          <w:tcPr>
            <w:tcW w:type="dxa" w:w="4060"/>
            <w:tcBorders>
              <w:top w:val="single" w:color="E0E0E0" w:sz="1"/>
              <w:left w:val="single" w:color="E0E0E0" w:sz="1"/>
              <w:bottom w:val="single" w:color="E0E0E0" w:sz="1"/>
              <w:right w:val="single" w:color="E0E0E0" w:sz="1"/>
            </w:tcBorders>
            <w:shd w:fill="F7931A" w:val="clear"/>
            <w:tcMar>
              <w:top w:type="dxa" w:w="90"/>
              <w:left w:type="dxa" w:w="110"/>
              <w:bottom w:type="dxa" w:w="90"/>
              <w:right w:type="dxa" w:w="110"/>
            </w:tcMar>
            <w:vAlign w:val="center"/>
          </w:tcPr>
          <w:p>
            <w:r>
              <w:rPr>
                <w:rFonts w:ascii="Arial" w:cs="Arial" w:eastAsia="Arial" w:hAnsi="Arial"/>
                <w:b/>
                <w:bCs/>
                <w:color w:val="FFFFFF"/>
                <w:sz w:val="17"/>
                <w:szCs w:val="17"/>
              </w:rPr>
              <w:t xml:space="preserve">Notes</w:t>
            </w:r>
          </w:p>
        </w:tc>
      </w:tr>
      <w:tr>
        <w:tc>
          <w:tcPr>
            <w:tcW w:type="dxa" w:w="20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PROPOSED</w:t>
            </w:r>
          </w:p>
        </w:tc>
        <w:tc>
          <w:tcPr>
            <w:tcW w:type="dxa" w:w="33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Deal created with visibility Private or Public</w:t>
            </w:r>
          </w:p>
        </w:tc>
        <w:tc>
          <w:tcPr>
            <w:tcW w:type="dxa" w:w="406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Private: bound to a specific counterparty or awaiting a deal-link claim. Public: visible on the marketplace, open to proposals.</w:t>
            </w:r>
          </w:p>
        </w:tc>
      </w:tr>
      <w:tr>
        <w:tc>
          <w:tcPr>
            <w:tcW w:type="dxa" w:w="200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CONFIRMED</w:t>
            </w:r>
          </w:p>
        </w:tc>
        <w:tc>
          <w:tcPr>
            <w:tcW w:type="dxa" w:w="330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Counterparty confirms identical terms</w:t>
            </w:r>
          </w:p>
        </w:tc>
        <w:tc>
          <w:tcPr>
            <w:tcW w:type="dxa" w:w="406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For a marketplace deal, this happens automatically once the poster accepts a matching proposal (Section 8.3).</w:t>
            </w:r>
          </w:p>
        </w:tc>
      </w:tr>
      <w:tr>
        <w:tc>
          <w:tcPr>
            <w:tcW w:type="dxa" w:w="20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FUNDING</w:t>
            </w:r>
          </w:p>
        </w:tc>
        <w:tc>
          <w:tcPr>
            <w:tcW w:type="dxa" w:w="33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Borrower initiates collateral deposit</w:t>
            </w:r>
          </w:p>
        </w:tc>
        <w:tc>
          <w:tcPr>
            <w:tcW w:type="dxa" w:w="406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Bridge confirmation in progress.</w:t>
            </w:r>
          </w:p>
        </w:tc>
      </w:tr>
      <w:tr>
        <w:tc>
          <w:tcPr>
            <w:tcW w:type="dxa" w:w="200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ACTIVE</w:t>
            </w:r>
          </w:p>
        </w:tc>
        <w:tc>
          <w:tcPr>
            <w:tcW w:type="dxa" w:w="330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Collateral confirmed, principal disbursed atomically</w:t>
            </w:r>
          </w:p>
        </w:tc>
        <w:tc>
          <w:tcPr>
            <w:tcW w:type="dxa" w:w="406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Identical for both paths from this point forward.</w:t>
            </w:r>
          </w:p>
        </w:tc>
      </w:tr>
      <w:tr>
        <w:tc>
          <w:tcPr>
            <w:tcW w:type="dxa" w:w="20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REPAYING</w:t>
            </w:r>
          </w:p>
        </w:tc>
        <w:tc>
          <w:tcPr>
            <w:tcW w:type="dxa" w:w="33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Scheduled payments in progress</w:t>
            </w:r>
          </w:p>
        </w:tc>
        <w:tc>
          <w:tcPr>
            <w:tcW w:type="dxa" w:w="406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w:t>
            </w:r>
          </w:p>
        </w:tc>
      </w:tr>
      <w:tr>
        <w:tc>
          <w:tcPr>
            <w:tcW w:type="dxa" w:w="200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DEFAULTED</w:t>
            </w:r>
          </w:p>
        </w:tc>
        <w:tc>
          <w:tcPr>
            <w:tcW w:type="dxa" w:w="330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Payment window closes unpaid</w:t>
            </w:r>
          </w:p>
        </w:tc>
        <w:tc>
          <w:tcPr>
            <w:tcW w:type="dxa" w:w="406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w:t>
            </w:r>
          </w:p>
        </w:tc>
      </w:tr>
      <w:tr>
        <w:tc>
          <w:tcPr>
            <w:tcW w:type="dxa" w:w="20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PARTIALLY_LIQUIDATED</w:t>
            </w:r>
          </w:p>
        </w:tc>
        <w:tc>
          <w:tcPr>
            <w:tcW w:type="dxa" w:w="33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LTV breach below full-liquidation threshold</w:t>
            </w:r>
          </w:p>
        </w:tc>
        <w:tc>
          <w:tcPr>
            <w:tcW w:type="dxa" w:w="406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Loan continues with reduced collateral.</w:t>
            </w:r>
          </w:p>
        </w:tc>
      </w:tr>
      <w:tr>
        <w:tc>
          <w:tcPr>
            <w:tcW w:type="dxa" w:w="200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FULLY_LIQUIDATED</w:t>
            </w:r>
          </w:p>
        </w:tc>
        <w:tc>
          <w:tcPr>
            <w:tcW w:type="dxa" w:w="330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LTV breach at threshold, or final default</w:t>
            </w:r>
          </w:p>
        </w:tc>
        <w:tc>
          <w:tcPr>
            <w:tcW w:type="dxa" w:w="406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w:t>
            </w:r>
          </w:p>
        </w:tc>
      </w:tr>
      <w:tr>
        <w:tc>
          <w:tcPr>
            <w:tcW w:type="dxa" w:w="20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COMPLETED</w:t>
            </w:r>
          </w:p>
        </w:tc>
        <w:tc>
          <w:tcPr>
            <w:tcW w:type="dxa" w:w="33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Final payment and principal repaid in full</w:t>
            </w:r>
          </w:p>
        </w:tc>
        <w:tc>
          <w:tcPr>
            <w:tcW w:type="dxa" w:w="406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Collateral released atomically.</w:t>
            </w:r>
          </w:p>
        </w:tc>
      </w:tr>
      <w:tr>
        <w:tc>
          <w:tcPr>
            <w:tcW w:type="dxa" w:w="200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CANCELLED</w:t>
            </w:r>
          </w:p>
        </w:tc>
        <w:tc>
          <w:tcPr>
            <w:tcW w:type="dxa" w:w="330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Either party withdraws before FUNDING; or a public listing is withdrawn/superseded</w:t>
            </w:r>
          </w:p>
        </w:tc>
        <w:tc>
          <w:tcPr>
            <w:tcW w:type="dxa" w:w="406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See Section 8.3 for how an accepted counter-proposal handles this.</w:t>
            </w:r>
          </w:p>
        </w:tc>
      </w:tr>
      <w:tr>
        <w:tc>
          <w:tcPr>
            <w:tcW w:type="dxa" w:w="20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CLOSED</w:t>
            </w:r>
          </w:p>
        </w:tc>
        <w:tc>
          <w:tcPr>
            <w:tcW w:type="dxa" w:w="33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COMPLETED or FULLY_LIQUIDATED resolved</w:t>
            </w:r>
          </w:p>
        </w:tc>
        <w:tc>
          <w:tcPr>
            <w:tcW w:type="dxa" w:w="406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Repayment history recorded for both parties — this becomes the marketplace reputation signal.</w:t>
            </w:r>
          </w:p>
        </w:tc>
      </w:tr>
    </w:tbl>
    <w:p>
      <w:pPr>
        <w:spacing w:after="0" w:before="160"/>
      </w:pPr>
      <w:r>
        <w:t xml:space="preserve"/>
      </w:r>
    </w:p>
    <w:p>
      <w:pPr>
        <w:spacing w:after="180" w:before="420"/>
      </w:pPr>
      <w:r>
        <w:rPr>
          <w:rFonts w:ascii="Arial" w:cs="Arial" w:eastAsia="Arial" w:hAnsi="Arial"/>
          <w:b/>
          <w:bCs/>
          <w:color w:val="F7931A"/>
          <w:sz w:val="34"/>
          <w:szCs w:val="34"/>
        </w:rPr>
        <w:t xml:space="preserve">4. Program-by-Program Architecture (Solana / Anchor)</w:t>
      </w:r>
    </w:p>
    <w:p>
      <w:pPr>
        <w:spacing w:after="70" w:before="70"/>
      </w:pPr>
      <w:r>
        <w:rPr>
          <w:rFonts w:ascii="Arial" w:cs="Arial" w:eastAsia="Arial" w:hAnsi="Arial"/>
          <w:color w:val="111111"/>
          <w:sz w:val="21"/>
          <w:szCs w:val="21"/>
        </w:rPr>
        <w:t xml:space="preserve">Eight programs, each with a single, auditable responsibility.</w:t>
      </w:r>
    </w:p>
    <w:p>
      <w:pPr>
        <w:spacing w:after="0" w:before="120"/>
      </w:pPr>
      <w:r>
        <w:t xml:space="preserve"/>
      </w:r>
    </w:p>
    <w:p>
      <w:pPr>
        <w:spacing w:after="130" w:before="260"/>
      </w:pPr>
      <w:r>
        <w:rPr>
          <w:rFonts w:ascii="Arial" w:cs="Arial" w:eastAsia="Arial" w:hAnsi="Arial"/>
          <w:b/>
          <w:bCs/>
          <w:color w:val="111111"/>
          <w:sz w:val="25"/>
          <w:szCs w:val="25"/>
        </w:rPr>
        <w:t xml:space="preserve">4.1 Deal Registry</w:t>
      </w:r>
    </w:p>
    <w:p>
      <w:pPr>
        <w:spacing w:after="70" w:before="70"/>
      </w:pPr>
      <w:r>
        <w:rPr>
          <w:rFonts w:ascii="Arial" w:cs="Arial" w:eastAsia="Arial" w:hAnsi="Arial"/>
          <w:color w:val="111111"/>
          <w:sz w:val="21"/>
          <w:szCs w:val="21"/>
        </w:rPr>
        <w:t xml:space="preserve">Creates and tracks the agreement between borrower and lender — the entry point for both paths.</w:t>
      </w:r>
    </w:p>
    <w:p>
      <w:pPr>
        <w:spacing w:after="80" w:before="160"/>
      </w:pPr>
      <w:r>
        <w:rPr>
          <w:rFonts w:ascii="Arial" w:cs="Arial" w:eastAsia="Arial" w:hAnsi="Arial"/>
          <w:b/>
          <w:bCs/>
          <w:color w:val="F7931A"/>
          <w:sz w:val="20"/>
          <w:szCs w:val="20"/>
        </w:rPr>
        <w:t xml:space="preserve">Core accounts:</w:t>
      </w:r>
    </w:p>
    <w:p>
      <w:pPr>
        <w:pStyle w:val="ListParagraph"/>
        <w:numPr>
          <w:ilvl w:val="0"/>
          <w:numId w:val="2"/>
        </w:numPr>
        <w:spacing w:after="50" w:before="50"/>
      </w:pPr>
      <w:r>
        <w:rPr>
          <w:rFonts w:ascii="Arial" w:cs="Arial" w:eastAsia="Arial" w:hAnsi="Arial"/>
          <w:b w:val="false"/>
          <w:bCs w:val="false"/>
          <w:color w:val="111111"/>
          <w:sz w:val="21"/>
          <w:szCs w:val="21"/>
        </w:rPr>
        <w:t xml:space="preserve">Deal account (PDA, seeded by a unique deal ID) — borrower pubkey, lender pubkey (nullable until confirmed), principal, rate, duration, collateral requirement, visibility (Public or Private), and current state</w:t>
      </w:r>
    </w:p>
    <w:p>
      <w:pPr>
        <w:spacing w:after="80" w:before="160"/>
      </w:pPr>
      <w:r>
        <w:rPr>
          <w:rFonts w:ascii="Arial" w:cs="Arial" w:eastAsia="Arial" w:hAnsi="Arial"/>
          <w:b/>
          <w:bCs/>
          <w:color w:val="F7931A"/>
          <w:sz w:val="20"/>
          <w:szCs w:val="20"/>
        </w:rPr>
        <w:t xml:space="preserve">Core instructions:</w:t>
      </w:r>
    </w:p>
    <w:p>
      <w:pPr>
        <w:pStyle w:val="ListParagraph"/>
        <w:numPr>
          <w:ilvl w:val="0"/>
          <w:numId w:val="2"/>
        </w:numPr>
        <w:spacing w:after="50" w:before="50"/>
      </w:pPr>
      <w:r>
        <w:rPr>
          <w:rFonts w:ascii="Arial" w:cs="Arial" w:eastAsia="Arial" w:hAnsi="Arial"/>
          <w:b w:val="false"/>
          <w:bCs w:val="false"/>
          <w:color w:val="111111"/>
          <w:sz w:val="21"/>
          <w:szCs w:val="21"/>
        </w:rPr>
        <w:t xml:space="preserve">propose_deal(terms, visibility) — creates a Deal account in PROPOSED state</w:t>
      </w:r>
    </w:p>
    <w:p>
      <w:pPr>
        <w:pStyle w:val="ListParagraph"/>
        <w:numPr>
          <w:ilvl w:val="0"/>
          <w:numId w:val="2"/>
        </w:numPr>
        <w:spacing w:after="50" w:before="50"/>
      </w:pPr>
      <w:r>
        <w:rPr>
          <w:rFonts w:ascii="Arial" w:cs="Arial" w:eastAsia="Arial" w:hAnsi="Arial"/>
          <w:b w:val="false"/>
          <w:bCs w:val="false"/>
          <w:color w:val="111111"/>
          <w:sz w:val="21"/>
          <w:szCs w:val="21"/>
        </w:rPr>
        <w:t xml:space="preserve">confirm_deal(deal_id) — counterparty signs; terms hash must match exactly; transitions to CONFIRMED</w:t>
      </w:r>
    </w:p>
    <w:p>
      <w:pPr>
        <w:pStyle w:val="ListParagraph"/>
        <w:numPr>
          <w:ilvl w:val="0"/>
          <w:numId w:val="2"/>
        </w:numPr>
        <w:spacing w:after="50" w:before="50"/>
      </w:pPr>
      <w:r>
        <w:rPr>
          <w:rFonts w:ascii="Arial" w:cs="Arial" w:eastAsia="Arial" w:hAnsi="Arial"/>
          <w:b w:val="false"/>
          <w:bCs w:val="false"/>
          <w:color w:val="111111"/>
          <w:sz w:val="21"/>
          <w:szCs w:val="21"/>
        </w:rPr>
        <w:t xml:space="preserve">cancel_deal(deal_id) — either party can cancel before FUNDING; also used to withdraw or supersede a public listing</w:t>
      </w:r>
    </w:p>
    <w:p>
      <w:pPr>
        <w:pStyle w:val="ListParagraph"/>
        <w:numPr>
          <w:ilvl w:val="0"/>
          <w:numId w:val="2"/>
        </w:numPr>
        <w:spacing w:after="50" w:before="50"/>
      </w:pPr>
      <w:r>
        <w:rPr>
          <w:rFonts w:ascii="Arial" w:cs="Arial" w:eastAsia="Arial" w:hAnsi="Arial"/>
          <w:b w:val="false"/>
          <w:bCs w:val="false"/>
          <w:color w:val="111111"/>
          <w:sz w:val="21"/>
          <w:szCs w:val="21"/>
        </w:rPr>
        <w:t xml:space="preserve">get_deal_status(deal_id) — read-only</w:t>
      </w:r>
    </w:p>
    <w:p>
      <w:pPr>
        <w:spacing w:after="0" w:before="120"/>
      </w:pPr>
      <w:r>
        <w:t xml:space="preserve"/>
      </w:r>
    </w:p>
    <w:p>
      <w:r>
        <w:br w:type="page"/>
      </w:r>
    </w:p>
    <w:p>
      <w:pPr>
        <w:spacing w:after="130" w:before="260"/>
      </w:pPr>
      <w:r>
        <w:rPr>
          <w:rFonts w:ascii="Arial" w:cs="Arial" w:eastAsia="Arial" w:hAnsi="Arial"/>
          <w:b/>
          <w:bCs/>
          <w:color w:val="111111"/>
          <w:sz w:val="25"/>
          <w:szCs w:val="25"/>
        </w:rPr>
        <w:t xml:space="preserve">4.2 Asset Whitelist Registry</w:t>
      </w:r>
    </w:p>
    <w:p>
      <w:pPr>
        <w:spacing w:after="70" w:before="70"/>
      </w:pPr>
      <w:r>
        <w:rPr>
          <w:rFonts w:ascii="Arial" w:cs="Arial" w:eastAsia="Arial" w:hAnsi="Arial"/>
          <w:color w:val="111111"/>
          <w:sz w:val="21"/>
          <w:szCs w:val="21"/>
        </w:rPr>
        <w:t xml:space="preserve">Maintains every asset Persat Finance accepts — both as collateral and as loan currency — with independent risk parameters for each. Renamed and expanded from the original Bridge &amp; Collateral Whitelist Registry to cover both categories through one consistent pattern.</w:t>
      </w:r>
    </w:p>
    <w:p>
      <w:pPr>
        <w:spacing w:after="80" w:before="160"/>
      </w:pPr>
      <w:r>
        <w:rPr>
          <w:rFonts w:ascii="Arial" w:cs="Arial" w:eastAsia="Arial" w:hAnsi="Arial"/>
          <w:b/>
          <w:bCs/>
          <w:color w:val="F7931A"/>
          <w:sz w:val="20"/>
          <w:szCs w:val="20"/>
        </w:rPr>
        <w:t xml:space="preserve">Core accounts:</w:t>
      </w:r>
    </w:p>
    <w:p>
      <w:pPr>
        <w:pStyle w:val="ListParagraph"/>
        <w:numPr>
          <w:ilvl w:val="0"/>
          <w:numId w:val="2"/>
        </w:numPr>
        <w:spacing w:after="50" w:before="50"/>
      </w:pPr>
      <w:r>
        <w:rPr>
          <w:rFonts w:ascii="Arial" w:cs="Arial" w:eastAsia="Arial" w:hAnsi="Arial"/>
          <w:b w:val="false"/>
          <w:bCs w:val="false"/>
          <w:color w:val="111111"/>
          <w:sz w:val="21"/>
          <w:szCs w:val="21"/>
        </w:rPr>
        <w:t xml:space="preserve">Whitelist registry (singleton PDA) — maps each asset mint to its category (Collateral or LoanCurrency), oracle feed if applicable, max LTV, liquidation threshold, and active status</w:t>
      </w:r>
    </w:p>
    <w:p>
      <w:pPr>
        <w:spacing w:after="80" w:before="160"/>
      </w:pPr>
      <w:r>
        <w:rPr>
          <w:rFonts w:ascii="Arial" w:cs="Arial" w:eastAsia="Arial" w:hAnsi="Arial"/>
          <w:b/>
          <w:bCs/>
          <w:color w:val="F7931A"/>
          <w:sz w:val="20"/>
          <w:szCs w:val="20"/>
        </w:rPr>
        <w:t xml:space="preserve">Core instructions:</w:t>
      </w:r>
    </w:p>
    <w:p>
      <w:pPr>
        <w:pStyle w:val="ListParagraph"/>
        <w:numPr>
          <w:ilvl w:val="0"/>
          <w:numId w:val="2"/>
        </w:numPr>
        <w:spacing w:after="50" w:before="50"/>
      </w:pPr>
      <w:r>
        <w:rPr>
          <w:rFonts w:ascii="Arial" w:cs="Arial" w:eastAsia="Arial" w:hAnsi="Arial"/>
          <w:b w:val="false"/>
          <w:bCs w:val="false"/>
          <w:color w:val="111111"/>
          <w:sz w:val="21"/>
          <w:szCs w:val="21"/>
        </w:rPr>
        <w:t xml:space="preserve">add_asset_type(mint, category, oracle_feed, risk_params) — governance only</w:t>
      </w:r>
    </w:p>
    <w:p>
      <w:pPr>
        <w:pStyle w:val="ListParagraph"/>
        <w:numPr>
          <w:ilvl w:val="0"/>
          <w:numId w:val="2"/>
        </w:numPr>
        <w:spacing w:after="50" w:before="50"/>
      </w:pPr>
      <w:r>
        <w:rPr>
          <w:rFonts w:ascii="Arial" w:cs="Arial" w:eastAsia="Arial" w:hAnsi="Arial"/>
          <w:b w:val="false"/>
          <w:bCs w:val="false"/>
          <w:color w:val="111111"/>
          <w:sz w:val="21"/>
          <w:szCs w:val="21"/>
        </w:rPr>
        <w:t xml:space="preserve">update_asset_params(mint, new_params) — governance only, timelocked</w:t>
      </w:r>
    </w:p>
    <w:p>
      <w:pPr>
        <w:pStyle w:val="ListParagraph"/>
        <w:numPr>
          <w:ilvl w:val="0"/>
          <w:numId w:val="2"/>
        </w:numPr>
        <w:spacing w:after="50" w:before="50"/>
      </w:pPr>
      <w:r>
        <w:rPr>
          <w:rFonts w:ascii="Arial" w:cs="Arial" w:eastAsia="Arial" w:hAnsi="Arial"/>
          <w:b w:val="false"/>
          <w:bCs w:val="false"/>
          <w:color w:val="111111"/>
          <w:sz w:val="21"/>
          <w:szCs w:val="21"/>
        </w:rPr>
        <w:t xml:space="preserve">deactivate_asset_type(mint) — governance only; halts new use without affecting existing loans</w:t>
      </w:r>
    </w:p>
    <w:p>
      <w:pPr>
        <w:pStyle w:val="ListParagraph"/>
        <w:numPr>
          <w:ilvl w:val="0"/>
          <w:numId w:val="2"/>
        </w:numPr>
        <w:spacing w:after="50" w:before="50"/>
      </w:pPr>
      <w:r>
        <w:rPr>
          <w:rFonts w:ascii="Arial" w:cs="Arial" w:eastAsia="Arial" w:hAnsi="Arial"/>
          <w:b w:val="false"/>
          <w:bCs w:val="false"/>
          <w:color w:val="111111"/>
          <w:sz w:val="21"/>
          <w:szCs w:val="21"/>
        </w:rPr>
        <w:t xml:space="preserve">is_accepted(mint, category) returns (bool) — called by every other program before accepting a deposit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8F0" w:val="clear"/>
            <w:tcMar>
              <w:top w:type="dxa" w:w="130"/>
              <w:left w:type="dxa" w:w="170"/>
              <w:bottom w:type="dxa" w:w="130"/>
              <w:right w:type="dxa" w:w="170"/>
            </w:tcMar>
          </w:tcPr>
          <w:p>
            <w:r>
              <w:rPr>
                <w:rFonts w:ascii="Arial" w:cs="Arial" w:eastAsia="Arial" w:hAnsi="Arial"/>
                <w:b/>
                <w:bCs/>
                <w:color w:val="F7931A"/>
                <w:sz w:val="21"/>
                <w:szCs w:val="21"/>
              </w:rPr>
              <w:t xml:space="preserve">At launch</w:t>
            </w:r>
          </w:p>
          <w:p>
            <w:pPr>
              <w:spacing w:after="0" w:before="60"/>
            </w:pPr>
            <w:r>
              <w:rPr>
                <w:rFonts w:ascii="Arial" w:cs="Arial" w:eastAsia="Arial" w:hAnsi="Arial"/>
                <w:color w:val="111111"/>
                <w:sz w:val="20"/>
                <w:szCs w:val="20"/>
              </w:rPr>
              <w:t xml:space="preserve">Collateral: tBTC, zBTC. Loan currency: USDC, USDT. Both categories live in the same registry so adding a future asset — another bridge, another stablecoin, or eventually a different collateral class entirely — follows one governance-gated pattern.</w:t>
            </w:r>
          </w:p>
        </w:tc>
      </w:tr>
    </w:tbl>
    <w:p>
      <w:pPr>
        <w:spacing w:after="0" w:before="120"/>
      </w:pPr>
      <w:r>
        <w:t xml:space="preserve"/>
      </w:r>
    </w:p>
    <w:p>
      <w:pPr>
        <w:spacing w:after="130" w:before="260"/>
      </w:pPr>
      <w:r>
        <w:rPr>
          <w:rFonts w:ascii="Arial" w:cs="Arial" w:eastAsia="Arial" w:hAnsi="Arial"/>
          <w:b/>
          <w:bCs/>
          <w:color w:val="111111"/>
          <w:sz w:val="25"/>
          <w:szCs w:val="25"/>
        </w:rPr>
        <w:t xml:space="preserve">4.3 Escrow Vault</w:t>
      </w:r>
    </w:p>
    <w:p>
      <w:pPr>
        <w:spacing w:after="70" w:before="70"/>
      </w:pPr>
      <w:r>
        <w:rPr>
          <w:rFonts w:ascii="Arial" w:cs="Arial" w:eastAsia="Arial" w:hAnsi="Arial"/>
          <w:color w:val="111111"/>
          <w:sz w:val="21"/>
          <w:szCs w:val="21"/>
        </w:rPr>
        <w:t xml:space="preserve">Holds locked collateral for the life of a loan. One vault per active deal.</w:t>
      </w:r>
    </w:p>
    <w:p>
      <w:pPr>
        <w:spacing w:after="80" w:before="160"/>
      </w:pPr>
      <w:r>
        <w:rPr>
          <w:rFonts w:ascii="Arial" w:cs="Arial" w:eastAsia="Arial" w:hAnsi="Arial"/>
          <w:b/>
          <w:bCs/>
          <w:color w:val="F7931A"/>
          <w:sz w:val="20"/>
          <w:szCs w:val="20"/>
        </w:rPr>
        <w:t xml:space="preserve">Core instructions:</w:t>
      </w:r>
    </w:p>
    <w:p>
      <w:pPr>
        <w:pStyle w:val="ListParagraph"/>
        <w:numPr>
          <w:ilvl w:val="0"/>
          <w:numId w:val="2"/>
        </w:numPr>
        <w:spacing w:after="50" w:before="50"/>
      </w:pPr>
      <w:r>
        <w:rPr>
          <w:rFonts w:ascii="Arial" w:cs="Arial" w:eastAsia="Arial" w:hAnsi="Arial"/>
          <w:b w:val="false"/>
          <w:bCs w:val="false"/>
          <w:color w:val="111111"/>
          <w:sz w:val="21"/>
          <w:szCs w:val="21"/>
        </w:rPr>
        <w:t xml:space="preserve">deposit_collateral(deal_id, amount, token_mint) — validates against the whitelist, transfers into the vault, triggers atomic disbursement</w:t>
      </w:r>
    </w:p>
    <w:p>
      <w:pPr>
        <w:pStyle w:val="ListParagraph"/>
        <w:numPr>
          <w:ilvl w:val="0"/>
          <w:numId w:val="2"/>
        </w:numPr>
        <w:spacing w:after="50" w:before="50"/>
      </w:pPr>
      <w:r>
        <w:rPr>
          <w:rFonts w:ascii="Arial" w:cs="Arial" w:eastAsia="Arial" w:hAnsi="Arial"/>
          <w:b w:val="false"/>
          <w:bCs w:val="false"/>
          <w:color w:val="111111"/>
          <w:sz w:val="21"/>
          <w:szCs w:val="21"/>
        </w:rPr>
        <w:t xml:space="preserve">release_collateral(deal_id) — callable only by the Loan Lifecycle Program on COMPLETED</w:t>
      </w:r>
    </w:p>
    <w:p>
      <w:pPr>
        <w:pStyle w:val="ListParagraph"/>
        <w:numPr>
          <w:ilvl w:val="0"/>
          <w:numId w:val="2"/>
        </w:numPr>
        <w:spacing w:after="50" w:before="50"/>
      </w:pPr>
      <w:r>
        <w:rPr>
          <w:rFonts w:ascii="Arial" w:cs="Arial" w:eastAsia="Arial" w:hAnsi="Arial"/>
          <w:b w:val="false"/>
          <w:bCs w:val="false"/>
          <w:color w:val="111111"/>
          <w:sz w:val="21"/>
          <w:szCs w:val="21"/>
        </w:rPr>
        <w:t xml:space="preserve">seize_collateral(deal_id, amount, recipient) — callable only by the Liquidation Engine</w:t>
      </w:r>
    </w:p>
    <w:p>
      <w:pPr>
        <w:pStyle w:val="ListParagraph"/>
        <w:numPr>
          <w:ilvl w:val="0"/>
          <w:numId w:val="2"/>
        </w:numPr>
        <w:spacing w:after="50" w:before="50"/>
      </w:pPr>
      <w:r>
        <w:rPr>
          <w:rFonts w:ascii="Arial" w:cs="Arial" w:eastAsia="Arial" w:hAnsi="Arial"/>
          <w:b w:val="false"/>
          <w:bCs w:val="false"/>
          <w:color w:val="111111"/>
          <w:sz w:val="21"/>
          <w:szCs w:val="21"/>
        </w:rPr>
        <w:t xml:space="preserve">get_collateral_usd_value(deal_id) returns (usd_value, is_stale) — renamed from the earlier NGN-denominated version; calls the single Price Oracle directly</w:t>
      </w:r>
    </w:p>
    <w:p>
      <w:pPr>
        <w:spacing w:after="0" w:before="120"/>
      </w:pPr>
      <w:r>
        <w:t xml:space="preserve"/>
      </w:r>
    </w:p>
    <w:p>
      <w:pPr>
        <w:spacing w:after="130" w:before="260"/>
      </w:pPr>
      <w:r>
        <w:rPr>
          <w:rFonts w:ascii="Arial" w:cs="Arial" w:eastAsia="Arial" w:hAnsi="Arial"/>
          <w:b/>
          <w:bCs/>
          <w:color w:val="111111"/>
          <w:sz w:val="25"/>
          <w:szCs w:val="25"/>
        </w:rPr>
        <w:t xml:space="preserve">4.4 Price Oracle</w:t>
      </w:r>
    </w:p>
    <w:p>
      <w:pPr>
        <w:spacing w:after="70" w:before="70"/>
      </w:pPr>
      <w:r>
        <w:rPr>
          <w:rFonts w:ascii="Arial" w:cs="Arial" w:eastAsia="Arial" w:hAnsi="Arial"/>
          <w:color w:val="111111"/>
          <w:sz w:val="21"/>
          <w:szCs w:val="21"/>
        </w:rPr>
        <w:t xml:space="preserve">Renamed and simplified from the earlier Dual Oracle Adapter. Supplies a single BTC/USD price.</w:t>
      </w:r>
    </w:p>
    <w:p>
      <w:pPr>
        <w:spacing w:after="80" w:before="160"/>
      </w:pPr>
      <w:r>
        <w:rPr>
          <w:rFonts w:ascii="Arial" w:cs="Arial" w:eastAsia="Arial" w:hAnsi="Arial"/>
          <w:b/>
          <w:bCs/>
          <w:color w:val="F7931A"/>
          <w:sz w:val="20"/>
          <w:szCs w:val="20"/>
        </w:rPr>
        <w:t xml:space="preserve">Core accounts:</w:t>
      </w:r>
    </w:p>
    <w:p>
      <w:pPr>
        <w:pStyle w:val="ListParagraph"/>
        <w:numPr>
          <w:ilvl w:val="0"/>
          <w:numId w:val="2"/>
        </w:numPr>
        <w:spacing w:after="50" w:before="50"/>
      </w:pPr>
      <w:r>
        <w:rPr>
          <w:rFonts w:ascii="Arial" w:cs="Arial" w:eastAsia="Arial" w:hAnsi="Arial"/>
          <w:b w:val="false"/>
          <w:bCs w:val="false"/>
          <w:color w:val="111111"/>
          <w:sz w:val="21"/>
          <w:szCs w:val="21"/>
        </w:rPr>
        <w:t xml:space="preserve">Oracle config PDA — feed address (Pyth or Switchboard), staleness threshold</w:t>
      </w:r>
    </w:p>
    <w:p>
      <w:pPr>
        <w:spacing w:after="80" w:before="160"/>
      </w:pPr>
      <w:r>
        <w:rPr>
          <w:rFonts w:ascii="Arial" w:cs="Arial" w:eastAsia="Arial" w:hAnsi="Arial"/>
          <w:b/>
          <w:bCs/>
          <w:color w:val="F7931A"/>
          <w:sz w:val="20"/>
          <w:szCs w:val="20"/>
        </w:rPr>
        <w:t xml:space="preserve">Core instructions:</w:t>
      </w:r>
    </w:p>
    <w:p>
      <w:pPr>
        <w:pStyle w:val="ListParagraph"/>
        <w:numPr>
          <w:ilvl w:val="0"/>
          <w:numId w:val="2"/>
        </w:numPr>
        <w:spacing w:after="50" w:before="50"/>
      </w:pPr>
      <w:r>
        <w:rPr>
          <w:rFonts w:ascii="Arial" w:cs="Arial" w:eastAsia="Arial" w:hAnsi="Arial"/>
          <w:b w:val="false"/>
          <w:bCs w:val="false"/>
          <w:color w:val="111111"/>
          <w:sz w:val="21"/>
          <w:szCs w:val="21"/>
        </w:rPr>
        <w:t xml:space="preserve">get_btc_usd_price() returns (price, is_stale)</w:t>
      </w:r>
    </w:p>
    <w:p>
      <w:pPr>
        <w:pStyle w:val="ListParagraph"/>
        <w:numPr>
          <w:ilvl w:val="0"/>
          <w:numId w:val="2"/>
        </w:numPr>
        <w:spacing w:after="50" w:before="50"/>
      </w:pPr>
      <w:r>
        <w:rPr>
          <w:rFonts w:ascii="Arial" w:cs="Arial" w:eastAsia="Arial" w:hAnsi="Arial"/>
          <w:b w:val="false"/>
          <w:bCs w:val="false"/>
          <w:color w:val="111111"/>
          <w:sz w:val="21"/>
          <w:szCs w:val="21"/>
        </w:rPr>
        <w:t xml:space="preserve">set_staleness_threshold(seconds) — governance only</w:t>
      </w:r>
    </w:p>
    <w:p>
      <w:pPr>
        <w:pStyle w:val="ListParagraph"/>
        <w:numPr>
          <w:ilvl w:val="0"/>
          <w:numId w:val="2"/>
        </w:numPr>
        <w:spacing w:after="50" w:before="50"/>
      </w:pPr>
      <w:r>
        <w:rPr>
          <w:rFonts w:ascii="Arial" w:cs="Arial" w:eastAsia="Arial" w:hAnsi="Arial"/>
          <w:b w:val="false"/>
          <w:bCs w:val="false"/>
          <w:color w:val="111111"/>
          <w:sz w:val="21"/>
          <w:szCs w:val="21"/>
        </w:rPr>
        <w:t xml:space="preserve">set_feed_address(feed) — governance only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8F0" w:val="clear"/>
            <w:tcMar>
              <w:top w:type="dxa" w:w="130"/>
              <w:left w:type="dxa" w:w="170"/>
              <w:bottom w:type="dxa" w:w="130"/>
              <w:right w:type="dxa" w:w="170"/>
            </w:tcMar>
          </w:tcPr>
          <w:p>
            <w:r>
              <w:rPr>
                <w:rFonts w:ascii="Arial" w:cs="Arial" w:eastAsia="Arial" w:hAnsi="Arial"/>
                <w:b/>
                <w:bCs/>
                <w:color w:val="F7931A"/>
                <w:sz w:val="21"/>
                <w:szCs w:val="21"/>
              </w:rPr>
              <w:t xml:space="preserve">Why this got simpler</w:t>
            </w:r>
          </w:p>
          <w:p>
            <w:pPr>
              <w:spacing w:after="0" w:before="60"/>
            </w:pPr>
            <w:r>
              <w:rPr>
                <w:rFonts w:ascii="Arial" w:cs="Arial" w:eastAsia="Arial" w:hAnsi="Arial"/>
                <w:color w:val="111111"/>
                <w:sz w:val="20"/>
                <w:szCs w:val="20"/>
              </w:rPr>
              <w:t xml:space="preserve">The original design needed BTC/USD and USD/NGN because loans were Naira-denominated while collateral was priced in dollars. USDC and USDT are already dollar-pegged, so that second conversion step is gone. One documented assumption replaces it: USDC and USDT are treated as exactly $1 for MVP purposes. This is an accepted, deliberate simplification, not an oversight — de-peg detection is deferred to a post-MVP hardening pass.</w:t>
            </w:r>
          </w:p>
        </w:tc>
      </w:tr>
    </w:tbl>
    <w:p>
      <w:pPr>
        <w:spacing w:after="0" w:before="160"/>
      </w:pPr>
      <w:r>
        <w:t xml:space="preserve"/>
      </w:r>
    </w:p>
    <w:p>
      <w:r>
        <w:br w:type="page"/>
      </w:r>
    </w:p>
    <w:p>
      <w:pPr>
        <w:spacing w:after="130" w:before="260"/>
      </w:pPr>
      <w:r>
        <w:rPr>
          <w:rFonts w:ascii="Arial" w:cs="Arial" w:eastAsia="Arial" w:hAnsi="Arial"/>
          <w:b/>
          <w:bCs/>
          <w:color w:val="111111"/>
          <w:sz w:val="25"/>
          <w:szCs w:val="25"/>
        </w:rPr>
        <w:t xml:space="preserve">4.5 Loan Lifecycle / Payment Program</w:t>
      </w:r>
    </w:p>
    <w:p>
      <w:pPr>
        <w:spacing w:after="70" w:before="70"/>
      </w:pPr>
      <w:r>
        <w:rPr>
          <w:rFonts w:ascii="Arial" w:cs="Arial" w:eastAsia="Arial" w:hAnsi="Arial"/>
          <w:color w:val="111111"/>
          <w:sz w:val="21"/>
          <w:szCs w:val="21"/>
        </w:rPr>
        <w:t xml:space="preserve">Manages the full loan lifecycle from ACTIVE through COMPLETED or DEFAULTED, identical regardless of which path originated the deal.</w:t>
      </w:r>
    </w:p>
    <w:p>
      <w:pPr>
        <w:spacing w:after="80" w:before="160"/>
      </w:pPr>
      <w:r>
        <w:rPr>
          <w:rFonts w:ascii="Arial" w:cs="Arial" w:eastAsia="Arial" w:hAnsi="Arial"/>
          <w:b/>
          <w:bCs/>
          <w:color w:val="F7931A"/>
          <w:sz w:val="20"/>
          <w:szCs w:val="20"/>
        </w:rPr>
        <w:t xml:space="preserve">Core instructions:</w:t>
      </w:r>
    </w:p>
    <w:p>
      <w:pPr>
        <w:pStyle w:val="ListParagraph"/>
        <w:numPr>
          <w:ilvl w:val="0"/>
          <w:numId w:val="2"/>
        </w:numPr>
        <w:spacing w:after="50" w:before="50"/>
      </w:pPr>
      <w:r>
        <w:rPr>
          <w:rFonts w:ascii="Arial" w:cs="Arial" w:eastAsia="Arial" w:hAnsi="Arial"/>
          <w:b w:val="false"/>
          <w:bCs w:val="false"/>
          <w:color w:val="111111"/>
          <w:sz w:val="21"/>
          <w:szCs w:val="21"/>
        </w:rPr>
        <w:t xml:space="preserve">activate_loan(deal_id) — disburses principal, transitions to ACTIVE</w:t>
      </w:r>
    </w:p>
    <w:p>
      <w:pPr>
        <w:pStyle w:val="ListParagraph"/>
        <w:numPr>
          <w:ilvl w:val="0"/>
          <w:numId w:val="2"/>
        </w:numPr>
        <w:spacing w:after="50" w:before="50"/>
      </w:pPr>
      <w:r>
        <w:rPr>
          <w:rFonts w:ascii="Arial" w:cs="Arial" w:eastAsia="Arial" w:hAnsi="Arial"/>
          <w:b w:val="false"/>
          <w:bCs w:val="false"/>
          <w:color w:val="111111"/>
          <w:sz w:val="21"/>
          <w:szCs w:val="21"/>
        </w:rPr>
        <w:t xml:space="preserve">make_payment(deal_id, amount) — validates against schedule, advances it</w:t>
      </w:r>
    </w:p>
    <w:p>
      <w:pPr>
        <w:pStyle w:val="ListParagraph"/>
        <w:numPr>
          <w:ilvl w:val="0"/>
          <w:numId w:val="2"/>
        </w:numPr>
        <w:spacing w:after="50" w:before="50"/>
      </w:pPr>
      <w:r>
        <w:rPr>
          <w:rFonts w:ascii="Arial" w:cs="Arial" w:eastAsia="Arial" w:hAnsi="Arial"/>
          <w:b w:val="false"/>
          <w:bCs w:val="false"/>
          <w:color w:val="111111"/>
          <w:sz w:val="21"/>
          <w:szCs w:val="21"/>
        </w:rPr>
        <w:t xml:space="preserve">check_payment_status(deal_id) returns (is_due, is_overdue, amount_due)</w:t>
      </w:r>
    </w:p>
    <w:p>
      <w:pPr>
        <w:pStyle w:val="ListParagraph"/>
        <w:numPr>
          <w:ilvl w:val="0"/>
          <w:numId w:val="2"/>
        </w:numPr>
        <w:spacing w:after="50" w:before="50"/>
      </w:pPr>
      <w:r>
        <w:rPr>
          <w:rFonts w:ascii="Arial" w:cs="Arial" w:eastAsia="Arial" w:hAnsi="Arial"/>
          <w:b w:val="false"/>
          <w:bCs w:val="false"/>
          <w:color w:val="111111"/>
          <w:sz w:val="21"/>
          <w:szCs w:val="21"/>
        </w:rPr>
        <w:t xml:space="preserve">flag_default(deal_id) — called by the keeper bot once the grace window passes unpaid</w:t>
      </w:r>
    </w:p>
    <w:p>
      <w:pPr>
        <w:spacing w:after="0" w:before="120"/>
      </w:pPr>
      <w:r>
        <w:t xml:space="preserve"/>
      </w:r>
    </w:p>
    <w:p>
      <w:pPr>
        <w:spacing w:after="130" w:before="260"/>
      </w:pPr>
      <w:r>
        <w:rPr>
          <w:rFonts w:ascii="Arial" w:cs="Arial" w:eastAsia="Arial" w:hAnsi="Arial"/>
          <w:b/>
          <w:bCs/>
          <w:color w:val="111111"/>
          <w:sz w:val="25"/>
          <w:szCs w:val="25"/>
        </w:rPr>
        <w:t xml:space="preserve">4.6 Liquidation Engine</w:t>
      </w:r>
    </w:p>
    <w:p>
      <w:pPr>
        <w:spacing w:after="80" w:before="160"/>
      </w:pPr>
      <w:r>
        <w:rPr>
          <w:rFonts w:ascii="Arial" w:cs="Arial" w:eastAsia="Arial" w:hAnsi="Arial"/>
          <w:b/>
          <w:bCs/>
          <w:color w:val="F7931A"/>
          <w:sz w:val="20"/>
          <w:szCs w:val="20"/>
        </w:rPr>
        <w:t xml:space="preserve">Core instructions:</w:t>
      </w:r>
    </w:p>
    <w:p>
      <w:pPr>
        <w:pStyle w:val="ListParagraph"/>
        <w:numPr>
          <w:ilvl w:val="0"/>
          <w:numId w:val="2"/>
        </w:numPr>
        <w:spacing w:after="50" w:before="50"/>
      </w:pPr>
      <w:r>
        <w:rPr>
          <w:rFonts w:ascii="Arial" w:cs="Arial" w:eastAsia="Arial" w:hAnsi="Arial"/>
          <w:b w:val="false"/>
          <w:bCs w:val="false"/>
          <w:color w:val="111111"/>
          <w:sz w:val="21"/>
          <w:szCs w:val="21"/>
        </w:rPr>
        <w:t xml:space="preserve">evaluate_position(deal_id) returns (current_ltv, is_partial_liquidatable, is_fully_liquidatable)</w:t>
      </w:r>
    </w:p>
    <w:p>
      <w:pPr>
        <w:pStyle w:val="ListParagraph"/>
        <w:numPr>
          <w:ilvl w:val="0"/>
          <w:numId w:val="2"/>
        </w:numPr>
        <w:spacing w:after="50" w:before="50"/>
      </w:pPr>
      <w:r>
        <w:rPr>
          <w:rFonts w:ascii="Arial" w:cs="Arial" w:eastAsia="Arial" w:hAnsi="Arial"/>
          <w:b w:val="false"/>
          <w:bCs w:val="false"/>
          <w:color w:val="111111"/>
          <w:sz w:val="21"/>
          <w:szCs w:val="21"/>
        </w:rPr>
        <w:t xml:space="preserve">execute_partial_liquidation(deal_id) — seizes only enough to cover the missed payment plus penalty, capped</w:t>
      </w:r>
    </w:p>
    <w:p>
      <w:pPr>
        <w:pStyle w:val="ListParagraph"/>
        <w:numPr>
          <w:ilvl w:val="0"/>
          <w:numId w:val="2"/>
        </w:numPr>
        <w:spacing w:after="50" w:before="50"/>
      </w:pPr>
      <w:r>
        <w:rPr>
          <w:rFonts w:ascii="Arial" w:cs="Arial" w:eastAsia="Arial" w:hAnsi="Arial"/>
          <w:b w:val="false"/>
          <w:bCs w:val="false"/>
          <w:color w:val="111111"/>
          <w:sz w:val="21"/>
          <w:szCs w:val="21"/>
        </w:rPr>
        <w:t xml:space="preserve">execute_full_liquidation(deal_id) — seizes collateral, repays lender in full, returns surplus, closes the deal</w:t>
      </w:r>
    </w:p>
    <w:p>
      <w:pPr>
        <w:spacing w:after="0" w:before="120"/>
      </w:pPr>
      <w:r>
        <w:t xml:space="preserve"/>
      </w:r>
    </w:p>
    <w:p>
      <w:pPr>
        <w:spacing w:after="130" w:before="260"/>
      </w:pPr>
      <w:r>
        <w:rPr>
          <w:rFonts w:ascii="Arial" w:cs="Arial" w:eastAsia="Arial" w:hAnsi="Arial"/>
          <w:b/>
          <w:bCs/>
          <w:color w:val="111111"/>
          <w:sz w:val="25"/>
          <w:szCs w:val="25"/>
        </w:rPr>
        <w:t xml:space="preserve">4.7 Fee &amp; Treasury Program</w:t>
      </w:r>
    </w:p>
    <w:p>
      <w:pPr>
        <w:spacing w:after="70" w:before="70"/>
      </w:pPr>
      <w:r>
        <w:rPr>
          <w:rFonts w:ascii="Arial" w:cs="Arial" w:eastAsia="Arial" w:hAnsi="Arial"/>
          <w:color w:val="111111"/>
          <w:sz w:val="21"/>
          <w:szCs w:val="21"/>
        </w:rPr>
        <w:t xml:space="preserve">Fee model is not yet finalized — kept fully governance-parametrized so it can support whatever structure is chosen, including a possible future distinction between direct-deal and marketplace-originated fees, without a contract redesign.</w:t>
      </w:r>
    </w:p>
    <w:p>
      <w:pPr>
        <w:spacing w:after="80" w:before="160"/>
      </w:pPr>
      <w:r>
        <w:rPr>
          <w:rFonts w:ascii="Arial" w:cs="Arial" w:eastAsia="Arial" w:hAnsi="Arial"/>
          <w:b/>
          <w:bCs/>
          <w:color w:val="F7931A"/>
          <w:sz w:val="20"/>
          <w:szCs w:val="20"/>
        </w:rPr>
        <w:t xml:space="preserve">Core instructions:</w:t>
      </w:r>
    </w:p>
    <w:p>
      <w:pPr>
        <w:pStyle w:val="ListParagraph"/>
        <w:numPr>
          <w:ilvl w:val="0"/>
          <w:numId w:val="2"/>
        </w:numPr>
        <w:spacing w:after="50" w:before="50"/>
      </w:pPr>
      <w:r>
        <w:rPr>
          <w:rFonts w:ascii="Arial" w:cs="Arial" w:eastAsia="Arial" w:hAnsi="Arial"/>
          <w:b w:val="false"/>
          <w:bCs w:val="false"/>
          <w:color w:val="111111"/>
          <w:sz w:val="21"/>
          <w:szCs w:val="21"/>
        </w:rPr>
        <w:t xml:space="preserve">collect_origination_fee(deal_id)</w:t>
      </w:r>
    </w:p>
    <w:p>
      <w:pPr>
        <w:pStyle w:val="ListParagraph"/>
        <w:numPr>
          <w:ilvl w:val="0"/>
          <w:numId w:val="2"/>
        </w:numPr>
        <w:spacing w:after="50" w:before="50"/>
      </w:pPr>
      <w:r>
        <w:rPr>
          <w:rFonts w:ascii="Arial" w:cs="Arial" w:eastAsia="Arial" w:hAnsi="Arial"/>
          <w:b w:val="false"/>
          <w:bCs w:val="false"/>
          <w:color w:val="111111"/>
          <w:sz w:val="21"/>
          <w:szCs w:val="21"/>
        </w:rPr>
        <w:t xml:space="preserve">set_fee_parameters(fee_bps) — governance only</w:t>
      </w:r>
    </w:p>
    <w:p>
      <w:pPr>
        <w:spacing w:after="0" w:before="120"/>
      </w:pPr>
      <w:r>
        <w:t xml:space="preserve"/>
      </w:r>
    </w:p>
    <w:p>
      <w:pPr>
        <w:spacing w:after="130" w:before="260"/>
      </w:pPr>
      <w:r>
        <w:rPr>
          <w:rFonts w:ascii="Arial" w:cs="Arial" w:eastAsia="Arial" w:hAnsi="Arial"/>
          <w:b/>
          <w:bCs/>
          <w:color w:val="111111"/>
          <w:sz w:val="25"/>
          <w:szCs w:val="25"/>
        </w:rPr>
        <w:t xml:space="preserve">4.8 Governance Program</w:t>
      </w:r>
    </w:p>
    <w:p>
      <w:pPr>
        <w:spacing w:after="80" w:before="160"/>
      </w:pPr>
      <w:r>
        <w:rPr>
          <w:rFonts w:ascii="Arial" w:cs="Arial" w:eastAsia="Arial" w:hAnsi="Arial"/>
          <w:b/>
          <w:bCs/>
          <w:color w:val="F7931A"/>
          <w:sz w:val="20"/>
          <w:szCs w:val="20"/>
        </w:rPr>
        <w:t xml:space="preserve">Core instructions:</w:t>
      </w:r>
    </w:p>
    <w:p>
      <w:pPr>
        <w:pStyle w:val="ListParagraph"/>
        <w:numPr>
          <w:ilvl w:val="0"/>
          <w:numId w:val="2"/>
        </w:numPr>
        <w:spacing w:after="50" w:before="50"/>
      </w:pPr>
      <w:r>
        <w:rPr>
          <w:rFonts w:ascii="Arial" w:cs="Arial" w:eastAsia="Arial" w:hAnsi="Arial"/>
          <w:b w:val="false"/>
          <w:bCs w:val="false"/>
          <w:color w:val="111111"/>
          <w:sz w:val="21"/>
          <w:szCs w:val="21"/>
        </w:rPr>
        <w:t xml:space="preserve">propose_parameter_change / execute_proposal — 2-of-3 multisig, 24hr timelock</w:t>
      </w:r>
    </w:p>
    <w:p>
      <w:pPr>
        <w:pStyle w:val="ListParagraph"/>
        <w:numPr>
          <w:ilvl w:val="0"/>
          <w:numId w:val="2"/>
        </w:numPr>
        <w:spacing w:after="50" w:before="50"/>
      </w:pPr>
      <w:r>
        <w:rPr>
          <w:rFonts w:ascii="Arial" w:cs="Arial" w:eastAsia="Arial" w:hAnsi="Arial"/>
          <w:b w:val="false"/>
          <w:bCs w:val="false"/>
          <w:color w:val="111111"/>
          <w:sz w:val="21"/>
          <w:szCs w:val="21"/>
        </w:rPr>
        <w:t xml:space="preserve">emergency_pause() / emergency_unpause() — 1-of-3, no timelock</w:t>
      </w:r>
    </w:p>
    <w:p>
      <w:pPr>
        <w:spacing w:after="0" w:before="160"/>
      </w:pPr>
      <w:r>
        <w:t xml:space="preserve"/>
      </w:r>
    </w:p>
    <w:p>
      <w:r>
        <w:br w:type="page"/>
      </w:r>
    </w:p>
    <w:p>
      <w:pPr>
        <w:spacing w:after="180" w:before="420"/>
      </w:pPr>
      <w:r>
        <w:rPr>
          <w:rFonts w:ascii="Arial" w:cs="Arial" w:eastAsia="Arial" w:hAnsi="Arial"/>
          <w:b/>
          <w:bCs/>
          <w:color w:val="F7931A"/>
          <w:sz w:val="34"/>
          <w:szCs w:val="34"/>
        </w:rPr>
        <w:t xml:space="preserve">5. The Multi-Bridge Collateral System</w:t>
      </w:r>
    </w:p>
    <w:p>
      <w:pPr>
        <w:spacing w:after="0" w:before="80"/>
      </w:pPr>
      <w:r>
        <w:t xml:space="preserve"/>
      </w:r>
    </w:p>
    <w:p>
      <w:pPr>
        <w:spacing w:after="90" w:before="180"/>
      </w:pPr>
      <w:r>
        <w:rPr>
          <w:rFonts w:ascii="Arial" w:cs="Arial" w:eastAsia="Arial" w:hAnsi="Arial"/>
          <w:b/>
          <w:bCs/>
          <w:color w:val="3D3D3D"/>
          <w:sz w:val="21"/>
          <w:szCs w:val="21"/>
        </w:rPr>
        <w:t xml:space="preserve">5.1 Why Multi-Bridge</w:t>
      </w:r>
    </w:p>
    <w:p>
      <w:pPr>
        <w:spacing w:after="70" w:before="70"/>
      </w:pPr>
      <w:r>
        <w:rPr>
          <w:rFonts w:ascii="Arial" w:cs="Arial" w:eastAsia="Arial" w:hAnsi="Arial"/>
          <w:color w:val="111111"/>
          <w:sz w:val="21"/>
          <w:szCs w:val="21"/>
        </w:rPr>
        <w:t xml:space="preserve">A Bitcoin Layer 2 network much of the industry depended on shut down with roughly one month's notice in mid-2026, despite a clean operational record. The technology wasn't the problem — single-bridge dependency was. Persat Finance is designed so that no individual bridge's continued existence is a prerequisite for survival.</w:t>
      </w:r>
    </w:p>
    <w:p>
      <w:pPr>
        <w:spacing w:after="0" w:before="80"/>
      </w:pPr>
      <w:r>
        <w:t xml:space="preserve"/>
      </w:r>
    </w:p>
    <w:p>
      <w:pPr>
        <w:spacing w:after="90" w:before="180"/>
      </w:pPr>
      <w:r>
        <w:rPr>
          <w:rFonts w:ascii="Arial" w:cs="Arial" w:eastAsia="Arial" w:hAnsi="Arial"/>
          <w:b/>
          <w:bCs/>
          <w:color w:val="3D3D3D"/>
          <w:sz w:val="21"/>
          <w:szCs w:val="21"/>
        </w:rPr>
        <w:t xml:space="preserve">5.2 Whitelisted Collateral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600"/>
        <w:gridCol w:w="1760"/>
      </w:tblGrid>
      <w:tr>
        <w:trPr>
          <w:tblHeader/>
        </w:trPr>
        <w:tc>
          <w:tcPr>
            <w:tcW w:type="dxa" w:w="1600"/>
            <w:tcBorders>
              <w:top w:val="single" w:color="E0E0E0" w:sz="1"/>
              <w:left w:val="single" w:color="E0E0E0" w:sz="1"/>
              <w:bottom w:val="single" w:color="E0E0E0" w:sz="1"/>
              <w:right w:val="single" w:color="E0E0E0" w:sz="1"/>
            </w:tcBorders>
            <w:shd w:fill="F7931A" w:val="clear"/>
            <w:tcMar>
              <w:top w:type="dxa" w:w="90"/>
              <w:left w:type="dxa" w:w="110"/>
              <w:bottom w:type="dxa" w:w="90"/>
              <w:right w:type="dxa" w:w="110"/>
            </w:tcMar>
            <w:vAlign w:val="center"/>
          </w:tcPr>
          <w:p>
            <w:r>
              <w:rPr>
                <w:rFonts w:ascii="Arial" w:cs="Arial" w:eastAsia="Arial" w:hAnsi="Arial"/>
                <w:b/>
                <w:bCs/>
                <w:color w:val="FFFFFF"/>
                <w:sz w:val="17"/>
                <w:szCs w:val="17"/>
              </w:rPr>
              <w:t xml:space="preserve">Token</w:t>
            </w:r>
          </w:p>
        </w:tc>
        <w:tc>
          <w:tcPr>
            <w:tcW w:type="dxa" w:w="2400"/>
            <w:tcBorders>
              <w:top w:val="single" w:color="E0E0E0" w:sz="1"/>
              <w:left w:val="single" w:color="E0E0E0" w:sz="1"/>
              <w:bottom w:val="single" w:color="E0E0E0" w:sz="1"/>
              <w:right w:val="single" w:color="E0E0E0" w:sz="1"/>
            </w:tcBorders>
            <w:shd w:fill="F7931A" w:val="clear"/>
            <w:tcMar>
              <w:top w:type="dxa" w:w="90"/>
              <w:left w:type="dxa" w:w="110"/>
              <w:bottom w:type="dxa" w:w="90"/>
              <w:right w:type="dxa" w:w="110"/>
            </w:tcMar>
            <w:vAlign w:val="center"/>
          </w:tcPr>
          <w:p>
            <w:r>
              <w:rPr>
                <w:rFonts w:ascii="Arial" w:cs="Arial" w:eastAsia="Arial" w:hAnsi="Arial"/>
                <w:b/>
                <w:bCs/>
                <w:color w:val="FFFFFF"/>
                <w:sz w:val="17"/>
                <w:szCs w:val="17"/>
              </w:rPr>
              <w:t xml:space="preserve">Bridge Mechanism</w:t>
            </w:r>
          </w:p>
        </w:tc>
        <w:tc>
          <w:tcPr>
            <w:tcW w:type="dxa" w:w="3600"/>
            <w:tcBorders>
              <w:top w:val="single" w:color="E0E0E0" w:sz="1"/>
              <w:left w:val="single" w:color="E0E0E0" w:sz="1"/>
              <w:bottom w:val="single" w:color="E0E0E0" w:sz="1"/>
              <w:right w:val="single" w:color="E0E0E0" w:sz="1"/>
            </w:tcBorders>
            <w:shd w:fill="F7931A" w:val="clear"/>
            <w:tcMar>
              <w:top w:type="dxa" w:w="90"/>
              <w:left w:type="dxa" w:w="110"/>
              <w:bottom w:type="dxa" w:w="90"/>
              <w:right w:type="dxa" w:w="110"/>
            </w:tcMar>
            <w:vAlign w:val="center"/>
          </w:tcPr>
          <w:p>
            <w:r>
              <w:rPr>
                <w:rFonts w:ascii="Arial" w:cs="Arial" w:eastAsia="Arial" w:hAnsi="Arial"/>
                <w:b/>
                <w:bCs/>
                <w:color w:val="FFFFFF"/>
                <w:sz w:val="17"/>
                <w:szCs w:val="17"/>
              </w:rPr>
              <w:t xml:space="preserve">Decentralization Model</w:t>
            </w:r>
          </w:p>
        </w:tc>
        <w:tc>
          <w:tcPr>
            <w:tcW w:type="dxa" w:w="1760"/>
            <w:tcBorders>
              <w:top w:val="single" w:color="E0E0E0" w:sz="1"/>
              <w:left w:val="single" w:color="E0E0E0" w:sz="1"/>
              <w:bottom w:val="single" w:color="E0E0E0" w:sz="1"/>
              <w:right w:val="single" w:color="E0E0E0" w:sz="1"/>
            </w:tcBorders>
            <w:shd w:fill="F7931A" w:val="clear"/>
            <w:tcMar>
              <w:top w:type="dxa" w:w="90"/>
              <w:left w:type="dxa" w:w="110"/>
              <w:bottom w:type="dxa" w:w="90"/>
              <w:right w:type="dxa" w:w="110"/>
            </w:tcMar>
            <w:vAlign w:val="center"/>
          </w:tcPr>
          <w:p>
            <w:r>
              <w:rPr>
                <w:rFonts w:ascii="Arial" w:cs="Arial" w:eastAsia="Arial" w:hAnsi="Arial"/>
                <w:b/>
                <w:bCs/>
                <w:color w:val="FFFFFF"/>
                <w:sz w:val="17"/>
                <w:szCs w:val="17"/>
              </w:rPr>
              <w:t xml:space="preserve">Notes</w:t>
            </w:r>
          </w:p>
        </w:tc>
      </w:tr>
      <w:tr>
        <w:tc>
          <w:tcPr>
            <w:tcW w:type="dxa" w:w="16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tBTC</w:t>
            </w:r>
          </w:p>
        </w:tc>
        <w:tc>
          <w:tcPr>
            <w:tcW w:type="dxa" w:w="24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Threshold Network</w:t>
            </w:r>
          </w:p>
        </w:tc>
        <w:tc>
          <w:tcPr>
            <w:tcW w:type="dxa" w:w="36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Threshold cryptography across ~100 randomly-selected, independently-operated nodes; no single custodian</w:t>
            </w:r>
          </w:p>
        </w:tc>
        <w:tc>
          <w:tcPr>
            <w:tcW w:type="dxa" w:w="176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Most decentralized option; currently thinner Solana liquidity, warranting more conservative risk parameters</w:t>
            </w:r>
          </w:p>
        </w:tc>
      </w:tr>
      <w:tr>
        <w:tc>
          <w:tcPr>
            <w:tcW w:type="dxa" w:w="160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zBTC</w:t>
            </w:r>
          </w:p>
        </w:tc>
        <w:tc>
          <w:tcPr>
            <w:tcW w:type="dxa" w:w="240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Zeus Network (BitcoinKit)</w:t>
            </w:r>
          </w:p>
        </w:tc>
        <w:tc>
          <w:tcPr>
            <w:tcW w:type="dxa" w:w="360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Guardian-based MPC combined with SPV proof verification; no KYC required</w:t>
            </w:r>
          </w:p>
        </w:tc>
        <w:tc>
          <w:tcPr>
            <w:tcW w:type="dxa" w:w="176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Deeper Solana liquidity and DeFi integration; smaller validator set, shorter operating history</w:t>
            </w:r>
          </w:p>
        </w:tc>
      </w:tr>
    </w:tbl>
    <w:p>
      <w:pPr>
        <w:spacing w:after="0" w:before="80"/>
      </w:pPr>
      <w:r>
        <w:t xml:space="preserve"/>
      </w:r>
    </w:p>
    <w:p>
      <w:pPr>
        <w:spacing w:after="90" w:before="180"/>
      </w:pPr>
      <w:r>
        <w:rPr>
          <w:rFonts w:ascii="Arial" w:cs="Arial" w:eastAsia="Arial" w:hAnsi="Arial"/>
          <w:b/>
          <w:bCs/>
          <w:color w:val="3D3D3D"/>
          <w:sz w:val="21"/>
          <w:szCs w:val="21"/>
        </w:rPr>
        <w:t xml:space="preserve">5.3 Per-Bridge Risk Parameters</w:t>
      </w:r>
    </w:p>
    <w:p>
      <w:pPr>
        <w:spacing w:after="70" w:before="70"/>
      </w:pPr>
      <w:r>
        <w:rPr>
          <w:rFonts w:ascii="Arial" w:cs="Arial" w:eastAsia="Arial" w:hAnsi="Arial"/>
          <w:color w:val="111111"/>
          <w:sz w:val="21"/>
          <w:szCs w:val="21"/>
        </w:rPr>
        <w:t xml:space="preserve">Each token's maximum LTV and liquidation threshold are set independently in the Asset Whitelist Registry, reflecting actual liquidation-execution risk — not just custody-model risk. tBTC's deeper decentralization is a security strength; its thinner liquidity means a fast liquidation could face real slippage. zBTC's smaller validator set is offset by deeper liquidity, meaning liquidation can execute closer to true market price. Parameters can be recalibrated by governance as liquidity conditions change, without any contract redesign.</w:t>
      </w:r>
    </w:p>
    <w:p>
      <w:pPr>
        <w:spacing w:after="0" w:before="80"/>
      </w:pPr>
      <w:r>
        <w:t xml:space="preserve"/>
      </w:r>
    </w:p>
    <w:p>
      <w:pPr>
        <w:spacing w:after="90" w:before="180"/>
      </w:pPr>
      <w:r>
        <w:rPr>
          <w:rFonts w:ascii="Arial" w:cs="Arial" w:eastAsia="Arial" w:hAnsi="Arial"/>
          <w:b/>
          <w:bCs/>
          <w:color w:val="3D3D3D"/>
          <w:sz w:val="21"/>
          <w:szCs w:val="21"/>
        </w:rPr>
        <w:t xml:space="preserve">5.4 Explicitly Excluded Collateral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E0E0E0" w:sz="1"/>
              <w:left w:val="single" w:color="E0E0E0" w:sz="1"/>
              <w:bottom w:val="single" w:color="E0E0E0" w:sz="1"/>
              <w:right w:val="single" w:color="E0E0E0" w:sz="1"/>
            </w:tcBorders>
            <w:shd w:fill="F7931A" w:val="clear"/>
            <w:tcMar>
              <w:top w:type="dxa" w:w="90"/>
              <w:left w:type="dxa" w:w="110"/>
              <w:bottom w:type="dxa" w:w="90"/>
              <w:right w:type="dxa" w:w="110"/>
            </w:tcMar>
            <w:vAlign w:val="center"/>
          </w:tcPr>
          <w:p>
            <w:r>
              <w:rPr>
                <w:rFonts w:ascii="Arial" w:cs="Arial" w:eastAsia="Arial" w:hAnsi="Arial"/>
                <w:b/>
                <w:bCs/>
                <w:color w:val="FFFFFF"/>
                <w:sz w:val="17"/>
                <w:szCs w:val="17"/>
              </w:rPr>
              <w:t xml:space="preserve">Token</w:t>
            </w:r>
          </w:p>
        </w:tc>
        <w:tc>
          <w:tcPr>
            <w:tcW w:type="dxa" w:w="7560"/>
            <w:tcBorders>
              <w:top w:val="single" w:color="E0E0E0" w:sz="1"/>
              <w:left w:val="single" w:color="E0E0E0" w:sz="1"/>
              <w:bottom w:val="single" w:color="E0E0E0" w:sz="1"/>
              <w:right w:val="single" w:color="E0E0E0" w:sz="1"/>
            </w:tcBorders>
            <w:shd w:fill="F7931A" w:val="clear"/>
            <w:tcMar>
              <w:top w:type="dxa" w:w="90"/>
              <w:left w:type="dxa" w:w="110"/>
              <w:bottom w:type="dxa" w:w="90"/>
              <w:right w:type="dxa" w:w="110"/>
            </w:tcMar>
            <w:vAlign w:val="center"/>
          </w:tcPr>
          <w:p>
            <w:r>
              <w:rPr>
                <w:rFonts w:ascii="Arial" w:cs="Arial" w:eastAsia="Arial" w:hAnsi="Arial"/>
                <w:b/>
                <w:bCs/>
                <w:color w:val="FFFFFF"/>
                <w:sz w:val="17"/>
                <w:szCs w:val="17"/>
              </w:rPr>
              <w:t xml:space="preserve">Why It Is Excluded</w:t>
            </w:r>
          </w:p>
        </w:tc>
      </w:tr>
      <w:tr>
        <w:tc>
          <w:tcPr>
            <w:tcW w:type="dxa" w:w="18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cbBTC</w:t>
            </w:r>
          </w:p>
        </w:tc>
        <w:tc>
          <w:tcPr>
            <w:tcW w:type="dxa" w:w="756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Backed by BTC reserves held directly by a single centralized company, with redemption rights tied to that company's continued operation and compliance status.</w:t>
            </w:r>
          </w:p>
        </w:tc>
      </w:tr>
      <w:tr>
        <w:tc>
          <w:tcPr>
            <w:tcW w:type="dxa" w:w="180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WBTC</w:t>
            </w:r>
          </w:p>
        </w:tc>
        <w:tc>
          <w:tcPr>
            <w:tcW w:type="dxa" w:w="756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Single-custodian model, the industry's longest-standing example of custodial wrapped Bitcoin risk.</w:t>
            </w:r>
          </w:p>
        </w:tc>
      </w:tr>
      <w:tr>
        <w:tc>
          <w:tcPr>
            <w:tcW w:type="dxa" w:w="18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SolvBTC</w:t>
            </w:r>
          </w:p>
        </w:tc>
        <w:tc>
          <w:tcPr>
            <w:tcW w:type="dxa" w:w="756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Despite strong audit credentials and large reported TVL, relies on externally-verified custodians holding the backing Bitcoin — a CeFi-adjacent reserve model, not a trust-minimized cryptographic system.</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8F0" w:val="clear"/>
            <w:tcMar>
              <w:top w:type="dxa" w:w="130"/>
              <w:left w:type="dxa" w:w="170"/>
              <w:bottom w:type="dxa" w:w="130"/>
              <w:right w:type="dxa" w:w="170"/>
            </w:tcMar>
          </w:tcPr>
          <w:p>
            <w:r>
              <w:rPr>
                <w:rFonts w:ascii="Arial" w:cs="Arial" w:eastAsia="Arial" w:hAnsi="Arial"/>
                <w:b/>
                <w:bCs/>
                <w:color w:val="F7931A"/>
                <w:sz w:val="21"/>
                <w:szCs w:val="21"/>
              </w:rPr>
              <w:t xml:space="preserve">A stated policy, not a gap</w:t>
            </w:r>
          </w:p>
          <w:p>
            <w:pPr>
              <w:spacing w:after="0" w:before="60"/>
            </w:pPr>
            <w:r>
              <w:rPr>
                <w:rFonts w:ascii="Arial" w:cs="Arial" w:eastAsia="Arial" w:hAnsi="Arial"/>
                <w:color w:val="111111"/>
                <w:sz w:val="20"/>
                <w:szCs w:val="20"/>
              </w:rPr>
              <w:t xml:space="preserve">add_asset_type is governance-gated specifically so a custodial token cannot be added without a deliberate, visible governance action. The default posture is restrictive, not permissive.</w:t>
            </w:r>
          </w:p>
        </w:tc>
      </w:tr>
    </w:tbl>
    <w:p>
      <w:pPr>
        <w:spacing w:after="0" w:before="160"/>
      </w:pPr>
      <w:r>
        <w:t xml:space="preserve"/>
      </w:r>
    </w:p>
    <w:p>
      <w:r>
        <w:br w:type="page"/>
      </w:r>
    </w:p>
    <w:p>
      <w:pPr>
        <w:spacing w:after="180" w:before="420"/>
      </w:pPr>
      <w:r>
        <w:rPr>
          <w:rFonts w:ascii="Arial" w:cs="Arial" w:eastAsia="Arial" w:hAnsi="Arial"/>
          <w:b/>
          <w:bCs/>
          <w:color w:val="F7931A"/>
          <w:sz w:val="34"/>
          <w:szCs w:val="34"/>
        </w:rPr>
        <w:t xml:space="preserve">6. Embedded Bridge Widgets and Automatic Routing</w:t>
      </w:r>
    </w:p>
    <w:p>
      <w:pPr>
        <w:spacing w:after="70" w:before="70"/>
      </w:pPr>
      <w:r>
        <w:rPr>
          <w:rFonts w:ascii="Arial" w:cs="Arial" w:eastAsia="Arial" w:hAnsi="Arial"/>
          <w:color w:val="111111"/>
          <w:sz w:val="21"/>
          <w:szCs w:val="21"/>
        </w:rPr>
        <w:t xml:space="preserve">Bridge deposits happen entirely inside Persat Finance — no external site visits, no separate bridge-provider website.</w:t>
      </w:r>
    </w:p>
    <w:p>
      <w:pPr>
        <w:spacing w:after="0" w:before="70"/>
      </w:pPr>
      <w:r>
        <w:t xml:space="preserve"/>
      </w:r>
    </w:p>
    <w:p>
      <w:pPr>
        <w:spacing w:after="90" w:before="180"/>
      </w:pPr>
      <w:r>
        <w:rPr>
          <w:rFonts w:ascii="Arial" w:cs="Arial" w:eastAsia="Arial" w:hAnsi="Arial"/>
          <w:b/>
          <w:bCs/>
          <w:color w:val="3D3D3D"/>
          <w:sz w:val="21"/>
          <w:szCs w:val="21"/>
        </w:rPr>
        <w:t xml:space="preserve">Embedded Widgets</w:t>
      </w:r>
    </w:p>
    <w:p>
      <w:pPr>
        <w:spacing w:after="70" w:before="70"/>
      </w:pPr>
      <w:r>
        <w:rPr>
          <w:rFonts w:ascii="Arial" w:cs="Arial" w:eastAsia="Arial" w:hAnsi="Arial"/>
          <w:color w:val="111111"/>
          <w:sz w:val="21"/>
          <w:szCs w:val="21"/>
        </w:rPr>
        <w:t xml:space="preserve">zBTC deposits use Zeus Network's bitcoin-kit-widget, an embeddable React component opened as an in-app modal. tBTC deposits use Threshold Network's TypeScript SDK via its depositor-proxy capability, routing minted tBTC directly into the Escrow Vault program without manual forwarding by the user.</w:t>
      </w:r>
    </w:p>
    <w:p>
      <w:pPr>
        <w:spacing w:after="0" w:before="70"/>
      </w:pPr>
      <w:r>
        <w:t xml:space="preserve"/>
      </w:r>
    </w:p>
    <w:p>
      <w:pPr>
        <w:spacing w:after="90" w:before="180"/>
      </w:pPr>
      <w:r>
        <w:rPr>
          <w:rFonts w:ascii="Arial" w:cs="Arial" w:eastAsia="Arial" w:hAnsi="Arial"/>
          <w:b/>
          <w:bCs/>
          <w:color w:val="3D3D3D"/>
          <w:sz w:val="21"/>
          <w:szCs w:val="21"/>
        </w:rPr>
        <w:t xml:space="preserve">Automatic Bridge Selection</w:t>
      </w:r>
    </w:p>
    <w:p>
      <w:pPr>
        <w:spacing w:after="70" w:before="70"/>
      </w:pPr>
      <w:r>
        <w:rPr>
          <w:rFonts w:ascii="Arial" w:cs="Arial" w:eastAsia="Arial" w:hAnsi="Arial"/>
          <w:color w:val="111111"/>
          <w:sz w:val="21"/>
          <w:szCs w:val="21"/>
        </w:rPr>
        <w:t xml:space="preserve">A backend health service checks, per whitelisted bridge: on-chain pause status, empirical mint success/failure rate over a rolling window, and current on-Solana liquidity depth for the resulting token. New deposits route automatically to the healthier option — the user is never asked to choose, and is never told by default which bridge was used. A “View collateral details” link in the loan dashboard shows the backing token and bridge for anyone who wants to check.</w:t>
      </w:r>
    </w:p>
    <w:p>
      <w:pPr>
        <w:spacing w:after="0" w:before="70"/>
      </w:pPr>
      <w:r>
        <w:t xml:space="preserve"/>
      </w:r>
    </w:p>
    <w:p>
      <w:pPr>
        <w:spacing w:after="90" w:before="180"/>
      </w:pPr>
      <w:r>
        <w:rPr>
          <w:rFonts w:ascii="Arial" w:cs="Arial" w:eastAsia="Arial" w:hAnsi="Arial"/>
          <w:b/>
          <w:bCs/>
          <w:color w:val="3D3D3D"/>
          <w:sz w:val="21"/>
          <w:szCs w:val="21"/>
        </w:rPr>
        <w:t xml:space="preserve">Constraints</w:t>
      </w:r>
    </w:p>
    <w:p>
      <w:pPr>
        <w:pStyle w:val="ListParagraph"/>
        <w:numPr>
          <w:ilvl w:val="0"/>
          <w:numId w:val="2"/>
        </w:numPr>
        <w:spacing w:after="50" w:before="50"/>
      </w:pPr>
      <w:r>
        <w:rPr>
          <w:rFonts w:ascii="Arial" w:cs="Arial" w:eastAsia="Arial" w:hAnsi="Arial"/>
          <w:b w:val="false"/>
          <w:bCs w:val="false"/>
          <w:color w:val="111111"/>
          <w:sz w:val="21"/>
          <w:szCs w:val="21"/>
        </w:rPr>
        <w:t xml:space="preserve">Routing only applies at the start of a new deposit. A deposit already in progress cannot be rerouted mid-transaction — once BTC is sent to a bridge's deposit address, it is committed to that bridge's process.</w:t>
      </w:r>
    </w:p>
    <w:p>
      <w:pPr>
        <w:pStyle w:val="ListParagraph"/>
        <w:numPr>
          <w:ilvl w:val="0"/>
          <w:numId w:val="2"/>
        </w:numPr>
        <w:spacing w:after="50" w:before="50"/>
      </w:pPr>
      <w:r>
        <w:rPr>
          <w:rFonts w:ascii="Arial" w:cs="Arial" w:eastAsia="Arial" w:hAnsi="Arial"/>
          <w:b w:val="false"/>
          <w:bCs w:val="false"/>
          <w:color w:val="111111"/>
          <w:sz w:val="21"/>
          <w:szCs w:val="21"/>
        </w:rPr>
        <w:t xml:space="preserve">If the health service itself is unavailable, the frontend falls back to manual bridge selection rather than blocking the deposit flow.</w:t>
      </w:r>
    </w:p>
    <w:p>
      <w:pPr>
        <w:spacing w:after="0" w:before="160"/>
      </w:pPr>
      <w:r>
        <w:t xml:space="preserve"/>
      </w:r>
    </w:p>
    <w:p>
      <w:pPr>
        <w:spacing w:after="180" w:before="420"/>
      </w:pPr>
      <w:r>
        <w:rPr>
          <w:rFonts w:ascii="Arial" w:cs="Arial" w:eastAsia="Arial" w:hAnsi="Arial"/>
          <w:b/>
          <w:bCs/>
          <w:color w:val="F7931A"/>
          <w:sz w:val="34"/>
          <w:szCs w:val="34"/>
        </w:rPr>
        <w:t xml:space="preserve">7. Counterparty Connection — Path One: The Deal-Link Mechanism</w:t>
      </w:r>
    </w:p>
    <w:p>
      <w:pPr>
        <w:spacing w:after="70" w:before="70"/>
      </w:pPr>
      <w:r>
        <w:rPr>
          <w:rFonts w:ascii="Arial" w:cs="Arial" w:eastAsia="Arial" w:hAnsi="Arial"/>
          <w:color w:val="111111"/>
          <w:sz w:val="21"/>
          <w:szCs w:val="21"/>
        </w:rPr>
        <w:t xml:space="preserve">For a private deal where the initiator doesn't already have the counterparty's wallet address, the backend generates a single-use, server-tracked token bound to that specific deal, producing a private URL: /deal/claim/{token}.</w:t>
      </w:r>
    </w:p>
    <w:p>
      <w:pPr>
        <w:spacing w:after="0" w:before="60"/>
      </w:pPr>
      <w:r>
        <w:t xml:space="preserve"/>
      </w:r>
    </w:p>
    <w:p>
      <w:pPr>
        <w:spacing w:after="70" w:before="70"/>
      </w:pPr>
      <w:r>
        <w:rPr>
          <w:rFonts w:ascii="Arial" w:cs="Arial" w:eastAsia="Arial" w:hAnsi="Arial"/>
          <w:color w:val="111111"/>
          <w:sz w:val="21"/>
          <w:szCs w:val="21"/>
        </w:rPr>
        <w:t xml:space="preserve">This link is shared through whatever channel the two parties already used to negotiate — Persat Finance never sends it anywhere itself, and no directory exists to send it through in the first place.</w:t>
      </w:r>
    </w:p>
    <w:p>
      <w:pPr>
        <w:spacing w:after="0" w:before="60"/>
      </w:pPr>
      <w:r>
        <w:t xml:space="preserve"/>
      </w:r>
    </w:p>
    <w:p>
      <w:pPr>
        <w:pStyle w:val="ListParagraph"/>
        <w:numPr>
          <w:ilvl w:val="0"/>
          <w:numId w:val="3"/>
        </w:numPr>
        <w:spacing w:after="60" w:before="60"/>
      </w:pPr>
      <w:r>
        <w:rPr>
          <w:rFonts w:ascii="Arial" w:cs="Arial" w:eastAsia="Arial" w:hAnsi="Arial"/>
          <w:color w:val="111111"/>
          <w:sz w:val="21"/>
          <w:szCs w:val="21"/>
        </w:rPr>
        <w:t xml:space="preserve">Backend validates the token is unused and unexpired</w:t>
      </w:r>
    </w:p>
    <w:p>
      <w:pPr>
        <w:pStyle w:val="ListParagraph"/>
        <w:numPr>
          <w:ilvl w:val="0"/>
          <w:numId w:val="3"/>
        </w:numPr>
        <w:spacing w:after="60" w:before="60"/>
      </w:pPr>
      <w:r>
        <w:rPr>
          <w:rFonts w:ascii="Arial" w:cs="Arial" w:eastAsia="Arial" w:hAnsi="Arial"/>
          <w:color w:val="111111"/>
          <w:sz w:val="21"/>
          <w:szCs w:val="21"/>
        </w:rPr>
        <w:t xml:space="preserve">On claim, that wallet address is bound to the Deal account on-chain</w:t>
      </w:r>
    </w:p>
    <w:p>
      <w:pPr>
        <w:pStyle w:val="ListParagraph"/>
        <w:numPr>
          <w:ilvl w:val="0"/>
          <w:numId w:val="3"/>
        </w:numPr>
        <w:spacing w:after="60" w:before="60"/>
      </w:pPr>
      <w:r>
        <w:rPr>
          <w:rFonts w:ascii="Arial" w:cs="Arial" w:eastAsia="Arial" w:hAnsi="Arial"/>
          <w:color w:val="111111"/>
          <w:sz w:val="21"/>
          <w:szCs w:val="21"/>
        </w:rPr>
        <w:t xml:space="preserve">The token is immediately invalidated — it cannot be reused, even by someone who obtains the link later</w:t>
      </w:r>
    </w:p>
    <w:p>
      <w:pPr>
        <w:spacing w:after="0" w:before="60"/>
      </w:pPr>
      <w:r>
        <w:t xml:space="preserve"/>
      </w:r>
    </w:p>
    <w:p>
      <w:pPr>
        <w:spacing w:after="70" w:before="70"/>
      </w:pPr>
      <w:r>
        <w:rPr>
          <w:rFonts w:ascii="Arial" w:cs="Arial" w:eastAsia="Arial" w:hAnsi="Arial"/>
          <w:color w:val="111111"/>
          <w:sz w:val="21"/>
          <w:szCs w:val="21"/>
        </w:rPr>
        <w:t xml:space="preserve">If the initiator already knows the counterparty's address, they may enter it directly at deal creation and skip the link entirely.</w:t>
      </w:r>
    </w:p>
    <w:p>
      <w:pPr>
        <w:spacing w:after="0" w:before="160"/>
      </w:pPr>
      <w:r>
        <w:t xml:space="preserve"/>
      </w:r>
    </w:p>
    <w:p>
      <w:r>
        <w:br w:type="page"/>
      </w:r>
    </w:p>
    <w:p>
      <w:pPr>
        <w:spacing w:after="180" w:before="420"/>
      </w:pPr>
      <w:r>
        <w:rPr>
          <w:rFonts w:ascii="Arial" w:cs="Arial" w:eastAsia="Arial" w:hAnsi="Arial"/>
          <w:b/>
          <w:bCs/>
          <w:color w:val="F7931A"/>
          <w:sz w:val="34"/>
          <w:szCs w:val="34"/>
        </w:rPr>
        <w:t xml:space="preserve">8. Counterparty Connection — Path Two: The Open Marketplace</w:t>
      </w:r>
    </w:p>
    <w:p>
      <w:pPr>
        <w:spacing w:after="70" w:before="70"/>
      </w:pPr>
      <w:r>
        <w:rPr>
          <w:rFonts w:ascii="Arial" w:cs="Arial" w:eastAsia="Arial" w:hAnsi="Arial"/>
          <w:color w:val="111111"/>
          <w:sz w:val="21"/>
          <w:szCs w:val="21"/>
        </w:rPr>
        <w:t xml:space="preserve">This section replaces the original Version 1 architecture's Section 11, which deferred discovery and matching post-MVP. That decision has been reversed — competitive research found that non-custodial peer-to-peer Bitcoin lenders operating open marketplaces (Firefish, Hodl Hodl) are proven, funded, and growing, meaning the marketplace model itself is de-risked by real precedent. The marketplace is now a launch-scope component.</w:t>
      </w:r>
    </w:p>
    <w:p>
      <w:pPr>
        <w:spacing w:after="0" w:before="70"/>
      </w:pPr>
      <w:r>
        <w:t xml:space="preserve"/>
      </w:r>
    </w:p>
    <w:p>
      <w:pPr>
        <w:spacing w:after="90" w:before="180"/>
      </w:pPr>
      <w:r>
        <w:rPr>
          <w:rFonts w:ascii="Arial" w:cs="Arial" w:eastAsia="Arial" w:hAnsi="Arial"/>
          <w:b/>
          <w:bCs/>
          <w:color w:val="3D3D3D"/>
          <w:sz w:val="21"/>
          <w:szCs w:val="21"/>
        </w:rPr>
        <w:t xml:space="preserve">8.1 Listings Are Public Deals</w:t>
      </w:r>
    </w:p>
    <w:p>
      <w:pPr>
        <w:spacing w:after="70" w:before="70"/>
      </w:pPr>
      <w:r>
        <w:rPr>
          <w:rFonts w:ascii="Arial" w:cs="Arial" w:eastAsia="Arial" w:hAnsi="Arial"/>
          <w:color w:val="111111"/>
          <w:sz w:val="21"/>
          <w:szCs w:val="21"/>
        </w:rPr>
        <w:t xml:space="preserve">A marketplace listing is simply a Deal Registry entry created with visibility set to Public. No second on-chain system exists for listings — this keeps the audited contract surface as small as possible.</w:t>
      </w:r>
    </w:p>
    <w:p>
      <w:pPr>
        <w:spacing w:after="0" w:before="70"/>
      </w:pPr>
      <w:r>
        <w:t xml:space="preserve"/>
      </w:r>
    </w:p>
    <w:p>
      <w:pPr>
        <w:spacing w:after="90" w:before="180"/>
      </w:pPr>
      <w:r>
        <w:rPr>
          <w:rFonts w:ascii="Arial" w:cs="Arial" w:eastAsia="Arial" w:hAnsi="Arial"/>
          <w:b/>
          <w:bCs/>
          <w:color w:val="3D3D3D"/>
          <w:sz w:val="21"/>
          <w:szCs w:val="21"/>
        </w:rPr>
        <w:t xml:space="preserve">8.2 Off-Chain Indexing and Discovery</w:t>
      </w:r>
    </w:p>
    <w:p>
      <w:pPr>
        <w:spacing w:after="70" w:before="70"/>
      </w:pPr>
      <w:r>
        <w:rPr>
          <w:rFonts w:ascii="Arial" w:cs="Arial" w:eastAsia="Arial" w:hAnsi="Arial"/>
          <w:color w:val="111111"/>
          <w:sz w:val="21"/>
          <w:szCs w:val="21"/>
        </w:rPr>
        <w:t xml:space="preserve">A backend marketplace indexer service queries all Public, unconfirmed Deal Registry accounts and serves them to the frontend with filtering (borrow or lend, duration, amount range) and sorting (rate, or the poster's on-chain completed-loan history).</w:t>
      </w:r>
    </w:p>
    <w:p>
      <w:pPr>
        <w:spacing w:after="0" w:before="70"/>
      </w:pPr>
      <w:r>
        <w:t xml:space="preserve"/>
      </w:r>
    </w:p>
    <w:p>
      <w:pPr>
        <w:spacing w:after="90" w:before="180"/>
      </w:pPr>
      <w:r>
        <w:rPr>
          <w:rFonts w:ascii="Arial" w:cs="Arial" w:eastAsia="Arial" w:hAnsi="Arial"/>
          <w:b/>
          <w:bCs/>
          <w:color w:val="3D3D3D"/>
          <w:sz w:val="21"/>
          <w:szCs w:val="21"/>
        </w:rPr>
        <w:t xml:space="preserve">8.3 Structured Negotiation and the Terms-Mismatch Resolution</w:t>
      </w:r>
    </w:p>
    <w:p>
      <w:pPr>
        <w:spacing w:after="70" w:before="70"/>
      </w:pPr>
      <w:r>
        <w:rPr>
          <w:rFonts w:ascii="Arial" w:cs="Arial" w:eastAsia="Arial" w:hAnsi="Arial"/>
          <w:color w:val="111111"/>
          <w:sz w:val="21"/>
          <w:szCs w:val="21"/>
        </w:rPr>
        <w:t xml:space="preserve">A user responding to a listing submits a Proposal — tracked off-chain, linked to the listing — with their own structured terms (amount, rate, duration). No free-text field exists anywhere in this flow.</w:t>
      </w:r>
    </w:p>
    <w:p>
      <w:pPr>
        <w:spacing w:after="0" w:before="60"/>
      </w:pPr>
      <w:r>
        <w:t xml:space="preserve"/>
      </w:r>
    </w:p>
    <w:p>
      <w:pPr>
        <w:spacing w:after="70" w:before="70"/>
      </w:pPr>
      <w:r>
        <w:rPr>
          <w:rFonts w:ascii="Arial" w:cs="Arial" w:eastAsia="Arial" w:hAnsi="Arial"/>
          <w:color w:val="111111"/>
          <w:sz w:val="21"/>
          <w:szCs w:val="21"/>
        </w:rPr>
        <w:t xml:space="preserve">Two outcomes when a listing owner accepts a proposal:</w:t>
      </w:r>
    </w:p>
    <w:p>
      <w:pPr>
        <w:pStyle w:val="ListParagraph"/>
        <w:numPr>
          <w:ilvl w:val="0"/>
          <w:numId w:val="2"/>
        </w:numPr>
        <w:spacing w:after="50" w:before="50"/>
      </w:pPr>
      <w:r>
        <w:rPr>
          <w:rFonts w:ascii="Arial" w:cs="Arial" w:eastAsia="Arial" w:hAnsi="Arial"/>
          <w:b w:val="false"/>
          <w:bCs w:val="false"/>
          <w:color w:val="111111"/>
          <w:sz w:val="21"/>
          <w:szCs w:val="21"/>
        </w:rPr>
        <w:t xml:space="preserve">If the accepted proposal's terms exactly match the original listing, the backend simply calls confirm_deal on the existing on-chain Deal — no new deal is created.</w:t>
      </w:r>
    </w:p>
    <w:p>
      <w:pPr>
        <w:pStyle w:val="ListParagraph"/>
        <w:numPr>
          <w:ilvl w:val="0"/>
          <w:numId w:val="2"/>
        </w:numPr>
        <w:spacing w:after="50" w:before="50"/>
      </w:pPr>
      <w:r>
        <w:rPr>
          <w:rFonts w:ascii="Arial" w:cs="Arial" w:eastAsia="Arial" w:hAnsi="Arial"/>
          <w:b w:val="false"/>
          <w:bCs w:val="false"/>
          <w:color w:val="111111"/>
          <w:sz w:val="21"/>
          <w:szCs w:val="21"/>
        </w:rPr>
        <w:t xml:space="preserve">If the accepted proposal's terms differ (a genuine counter-negotiation), the backend calls cancel_deal on the original public listing and creates a new Private deal bound directly to both known wallets, skipping the deal-link step since both parties are already established through the marketplace interaction. This keeps confirm_deal itself simple — binding only, never term-mutating — which keeps the audited surface smaller than adding a term-amendment instruction would.</w:t>
      </w:r>
    </w:p>
    <w:p>
      <w:pPr>
        <w:spacing w:after="0" w:before="70"/>
      </w:pPr>
      <w:r>
        <w:t xml:space="preserve"/>
      </w:r>
    </w:p>
    <w:p>
      <w:pPr>
        <w:spacing w:after="90" w:before="180"/>
      </w:pPr>
      <w:r>
        <w:rPr>
          <w:rFonts w:ascii="Arial" w:cs="Arial" w:eastAsia="Arial" w:hAnsi="Arial"/>
          <w:b/>
          <w:bCs/>
          <w:color w:val="3D3D3D"/>
          <w:sz w:val="21"/>
          <w:szCs w:val="21"/>
        </w:rPr>
        <w:t xml:space="preserve">8.4 Reputation Data</w:t>
      </w:r>
    </w:p>
    <w:p>
      <w:pPr>
        <w:spacing w:after="70" w:before="70"/>
      </w:pPr>
      <w:r>
        <w:rPr>
          <w:rFonts w:ascii="Arial" w:cs="Arial" w:eastAsia="Arial" w:hAnsi="Arial"/>
          <w:color w:val="111111"/>
          <w:sz w:val="21"/>
          <w:szCs w:val="21"/>
        </w:rPr>
        <w:t xml:space="preserve">Each wallet's completed-loan count and default count are aggregated from on-chain history (the CLOSED state, Section 3) and exposed via API for display on listings — real, verifiable history, not a self-written profile.</w:t>
      </w:r>
    </w:p>
    <w:p>
      <w:pPr>
        <w:spacing w:after="0" w:before="70"/>
      </w:pPr>
      <w:r>
        <w:t xml:space="preserve"/>
      </w:r>
    </w:p>
    <w:p>
      <w:pPr>
        <w:spacing w:after="90" w:before="180"/>
      </w:pPr>
      <w:r>
        <w:rPr>
          <w:rFonts w:ascii="Arial" w:cs="Arial" w:eastAsia="Arial" w:hAnsi="Arial"/>
          <w:b/>
          <w:bCs/>
          <w:color w:val="3D3D3D"/>
          <w:sz w:val="21"/>
          <w:szCs w:val="21"/>
        </w:rPr>
        <w:t xml:space="preserve">8.5 The One Rule That Doesn't Bend</w:t>
      </w:r>
    </w:p>
    <w:p>
      <w:pPr>
        <w:spacing w:after="70" w:before="70"/>
      </w:pPr>
      <w:r>
        <w:rPr>
          <w:rFonts w:ascii="Arial" w:cs="Arial" w:eastAsia="Arial" w:hAnsi="Arial"/>
          <w:color w:val="111111"/>
          <w:sz w:val="21"/>
          <w:szCs w:val="21"/>
        </w:rPr>
        <w:t xml:space="preserve">No free-text messaging exists anywhere between unmatched marketplace parties, under any circumstance. Every interaction is structured terms against structured terms. This is a deliberate safety decision — letting strangers exchange open messages about money is one of the highest-risk surfaces for social engineering, and Firefish and Hodl Hodl both follow the same structured-only pattern.</w:t>
      </w:r>
    </w:p>
    <w:p>
      <w:pPr>
        <w:spacing w:after="0" w:before="160"/>
      </w:pPr>
      <w:r>
        <w:t xml:space="preserve"/>
      </w:r>
    </w:p>
    <w:p>
      <w:r>
        <w:br w:type="page"/>
      </w:r>
    </w:p>
    <w:p>
      <w:pPr>
        <w:spacing w:after="180" w:before="420"/>
      </w:pPr>
      <w:r>
        <w:rPr>
          <w:rFonts w:ascii="Arial" w:cs="Arial" w:eastAsia="Arial" w:hAnsi="Arial"/>
          <w:b/>
          <w:bCs/>
          <w:color w:val="F7931A"/>
          <w:sz w:val="34"/>
          <w:szCs w:val="34"/>
        </w:rPr>
        <w:t xml:space="preserve">9. Oracle Design</w:t>
      </w:r>
    </w:p>
    <w:p>
      <w:pPr>
        <w:spacing w:after="70" w:before="70"/>
      </w:pPr>
      <w:r>
        <w:rPr>
          <w:rFonts w:ascii="Arial" w:cs="Arial" w:eastAsia="Arial" w:hAnsi="Arial"/>
          <w:color w:val="111111"/>
          <w:sz w:val="21"/>
          <w:szCs w:val="21"/>
        </w:rPr>
        <w:t xml:space="preserve">A single BTC/USD price feed, sourced from an established Solana-native oracle provider (Pyth or Switchboard, finalized at implementation time based on feed reliability and update frequency).</w:t>
      </w:r>
    </w:p>
    <w:p>
      <w:pPr>
        <w:spacing w:after="0" w:before="60"/>
      </w:pPr>
      <w:r>
        <w:t xml:space="preserve"/>
      </w:r>
    </w:p>
    <w:p>
      <w:pPr>
        <w:spacing w:after="70" w:before="70"/>
      </w:pPr>
      <w:r>
        <w:rPr>
          <w:rFonts w:ascii="Arial" w:cs="Arial" w:eastAsia="Arial" w:hAnsi="Arial"/>
          <w:color w:val="111111"/>
          <w:sz w:val="21"/>
          <w:szCs w:val="21"/>
        </w:rPr>
        <w:t xml:space="preserve">The feed carries a staleness threshold. If it has not updated within that window, every price-dependent action — new deal funding, liquidation evaluation — is blocked until fresh data is available. The protocol fails closed: when in doubt about the price, it does nothing, rather than acting on data it cannot trust.</w:t>
      </w:r>
    </w:p>
    <w:p>
      <w:pPr>
        <w:spacing w:after="0" w:before="160"/>
      </w:pPr>
      <w:r>
        <w:t xml:space="preserve"/>
      </w:r>
    </w:p>
    <w:p>
      <w:pPr>
        <w:spacing w:after="180" w:before="420"/>
      </w:pPr>
      <w:r>
        <w:rPr>
          <w:rFonts w:ascii="Arial" w:cs="Arial" w:eastAsia="Arial" w:hAnsi="Arial"/>
          <w:b/>
          <w:bCs/>
          <w:color w:val="F7931A"/>
          <w:sz w:val="34"/>
          <w:szCs w:val="34"/>
        </w:rPr>
        <w:t xml:space="preserve">10. Backend / Off-Chain Services</w:t>
      </w:r>
    </w:p>
    <w:p>
      <w:pPr>
        <w:spacing w:after="0" w:before="70"/>
      </w:pPr>
      <w:r>
        <w:t xml:space="preserve"/>
      </w:r>
    </w:p>
    <w:p>
      <w:pPr>
        <w:spacing w:after="90" w:before="180"/>
      </w:pPr>
      <w:r>
        <w:rPr>
          <w:rFonts w:ascii="Arial" w:cs="Arial" w:eastAsia="Arial" w:hAnsi="Arial"/>
          <w:b/>
          <w:bCs/>
          <w:color w:val="3D3D3D"/>
          <w:sz w:val="21"/>
          <w:szCs w:val="21"/>
        </w:rPr>
        <w:t xml:space="preserve">10.1 Keeper Bot</w:t>
      </w:r>
    </w:p>
    <w:p>
      <w:pPr>
        <w:spacing w:after="70" w:before="70"/>
      </w:pPr>
      <w:r>
        <w:rPr>
          <w:rFonts w:ascii="Arial" w:cs="Arial" w:eastAsia="Arial" w:hAnsi="Arial"/>
          <w:color w:val="111111"/>
          <w:sz w:val="21"/>
          <w:szCs w:val="21"/>
        </w:rPr>
        <w:t xml:space="preserve">Polls every 60 seconds for overdue payments and liquidatable positions, calling flag_default and the appropriate liquidation instruction. Never crashes on a single failed transaction.</w:t>
      </w:r>
    </w:p>
    <w:p>
      <w:pPr>
        <w:spacing w:after="0" w:before="70"/>
      </w:pPr>
      <w:r>
        <w:t xml:space="preserve"/>
      </w:r>
    </w:p>
    <w:p>
      <w:pPr>
        <w:spacing w:after="90" w:before="180"/>
      </w:pPr>
      <w:r>
        <w:rPr>
          <w:rFonts w:ascii="Arial" w:cs="Arial" w:eastAsia="Arial" w:hAnsi="Arial"/>
          <w:b/>
          <w:bCs/>
          <w:color w:val="3D3D3D"/>
          <w:sz w:val="21"/>
          <w:szCs w:val="21"/>
        </w:rPr>
        <w:t xml:space="preserve">10.2 Price Pusher</w:t>
      </w:r>
    </w:p>
    <w:p>
      <w:pPr>
        <w:spacing w:after="70" w:before="70"/>
      </w:pPr>
      <w:r>
        <w:rPr>
          <w:rFonts w:ascii="Arial" w:cs="Arial" w:eastAsia="Arial" w:hAnsi="Arial"/>
          <w:color w:val="111111"/>
          <w:sz w:val="21"/>
          <w:szCs w:val="21"/>
        </w:rPr>
        <w:t xml:space="preserve">Fetches BTC/USD on a fixed interval. Never pushes a price it cannot verify — skips an update cycle rather than pushing stale or failed data.</w:t>
      </w:r>
    </w:p>
    <w:p>
      <w:pPr>
        <w:spacing w:after="0" w:before="70"/>
      </w:pPr>
      <w:r>
        <w:t xml:space="preserve"/>
      </w:r>
    </w:p>
    <w:p>
      <w:pPr>
        <w:spacing w:after="90" w:before="180"/>
      </w:pPr>
      <w:r>
        <w:rPr>
          <w:rFonts w:ascii="Arial" w:cs="Arial" w:eastAsia="Arial" w:hAnsi="Arial"/>
          <w:b/>
          <w:bCs/>
          <w:color w:val="3D3D3D"/>
          <w:sz w:val="21"/>
          <w:szCs w:val="21"/>
        </w:rPr>
        <w:t xml:space="preserve">10.3 Bridge Health Service</w:t>
      </w:r>
    </w:p>
    <w:p>
      <w:pPr>
        <w:spacing w:after="70" w:before="70"/>
      </w:pPr>
      <w:r>
        <w:rPr>
          <w:rFonts w:ascii="Arial" w:cs="Arial" w:eastAsia="Arial" w:hAnsi="Arial"/>
          <w:color w:val="111111"/>
          <w:sz w:val="21"/>
          <w:szCs w:val="21"/>
        </w:rPr>
        <w:t xml:space="preserve">Per Section 6 — checks bridge status and routes new deposits automatically.</w:t>
      </w:r>
    </w:p>
    <w:p>
      <w:pPr>
        <w:spacing w:after="0" w:before="70"/>
      </w:pPr>
      <w:r>
        <w:t xml:space="preserve"/>
      </w:r>
    </w:p>
    <w:p>
      <w:pPr>
        <w:spacing w:after="90" w:before="180"/>
      </w:pPr>
      <w:r>
        <w:rPr>
          <w:rFonts w:ascii="Arial" w:cs="Arial" w:eastAsia="Arial" w:hAnsi="Arial"/>
          <w:b/>
          <w:bCs/>
          <w:color w:val="3D3D3D"/>
          <w:sz w:val="21"/>
          <w:szCs w:val="21"/>
        </w:rPr>
        <w:t xml:space="preserve">10.4 Marketplace Indexer and Proposal Service</w:t>
      </w:r>
    </w:p>
    <w:p>
      <w:pPr>
        <w:spacing w:after="70" w:before="70"/>
      </w:pPr>
      <w:r>
        <w:rPr>
          <w:rFonts w:ascii="Arial" w:cs="Arial" w:eastAsia="Arial" w:hAnsi="Arial"/>
          <w:color w:val="111111"/>
          <w:sz w:val="21"/>
          <w:szCs w:val="21"/>
        </w:rPr>
        <w:t xml:space="preserve">Per Section 8 — serves listings, tracks proposals, triggers on-chain confirmation or the terms-mismatch resolution path once a proposal is accepted.</w:t>
      </w:r>
    </w:p>
    <w:p>
      <w:pPr>
        <w:spacing w:after="0" w:before="70"/>
      </w:pPr>
      <w:r>
        <w:t xml:space="preserve"/>
      </w:r>
    </w:p>
    <w:p>
      <w:pPr>
        <w:spacing w:after="90" w:before="180"/>
      </w:pPr>
      <w:r>
        <w:rPr>
          <w:rFonts w:ascii="Arial" w:cs="Arial" w:eastAsia="Arial" w:hAnsi="Arial"/>
          <w:b/>
          <w:bCs/>
          <w:color w:val="3D3D3D"/>
          <w:sz w:val="21"/>
          <w:szCs w:val="21"/>
        </w:rPr>
        <w:t xml:space="preserve">10.5 Notification Service</w:t>
      </w:r>
    </w:p>
    <w:p>
      <w:pPr>
        <w:spacing w:after="70" w:before="70"/>
      </w:pPr>
      <w:r>
        <w:rPr>
          <w:rFonts w:ascii="Arial" w:cs="Arial" w:eastAsia="Arial" w:hAnsi="Arial"/>
          <w:color w:val="111111"/>
          <w:sz w:val="21"/>
          <w:szCs w:val="21"/>
        </w:rPr>
        <w:t xml:space="preserve">Payment reminders, default warnings, liquidation notices, deal-confirmation requests, and marketplace proposal notifications, via email with a console-log fallback if no provider is configured.</w:t>
      </w:r>
    </w:p>
    <w:p>
      <w:pPr>
        <w:spacing w:after="0" w:before="160"/>
      </w:pPr>
      <w:r>
        <w:t xml:space="preserve"/>
      </w:r>
    </w:p>
    <w:p>
      <w:r>
        <w:br w:type="page"/>
      </w:r>
    </w:p>
    <w:p>
      <w:pPr>
        <w:spacing w:after="180" w:before="420"/>
      </w:pPr>
      <w:r>
        <w:rPr>
          <w:rFonts w:ascii="Arial" w:cs="Arial" w:eastAsia="Arial" w:hAnsi="Arial"/>
          <w:b/>
          <w:bCs/>
          <w:color w:val="F7931A"/>
          <w:sz w:val="34"/>
          <w:szCs w:val="34"/>
        </w:rPr>
        <w:t xml:space="preserve">11. Frontend and Route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3860"/>
      </w:tblGrid>
      <w:tr>
        <w:trPr>
          <w:tblHeader/>
        </w:trPr>
        <w:tc>
          <w:tcPr>
            <w:tcW w:type="dxa" w:w="2900"/>
            <w:tcBorders>
              <w:top w:val="single" w:color="E0E0E0" w:sz="1"/>
              <w:left w:val="single" w:color="E0E0E0" w:sz="1"/>
              <w:bottom w:val="single" w:color="E0E0E0" w:sz="1"/>
              <w:right w:val="single" w:color="E0E0E0" w:sz="1"/>
            </w:tcBorders>
            <w:shd w:fill="F7931A" w:val="clear"/>
            <w:tcMar>
              <w:top w:type="dxa" w:w="90"/>
              <w:left w:type="dxa" w:w="110"/>
              <w:bottom w:type="dxa" w:w="90"/>
              <w:right w:type="dxa" w:w="110"/>
            </w:tcMar>
            <w:vAlign w:val="center"/>
          </w:tcPr>
          <w:p>
            <w:r>
              <w:rPr>
                <w:rFonts w:ascii="Arial" w:cs="Arial" w:eastAsia="Arial" w:hAnsi="Arial"/>
                <w:b/>
                <w:bCs/>
                <w:color w:val="FFFFFF"/>
                <w:sz w:val="17"/>
                <w:szCs w:val="17"/>
              </w:rPr>
              <w:t xml:space="preserve">User-Facing Step</w:t>
            </w:r>
          </w:p>
        </w:tc>
        <w:tc>
          <w:tcPr>
            <w:tcW w:type="dxa" w:w="2600"/>
            <w:tcBorders>
              <w:top w:val="single" w:color="E0E0E0" w:sz="1"/>
              <w:left w:val="single" w:color="E0E0E0" w:sz="1"/>
              <w:bottom w:val="single" w:color="E0E0E0" w:sz="1"/>
              <w:right w:val="single" w:color="E0E0E0" w:sz="1"/>
            </w:tcBorders>
            <w:shd w:fill="F7931A" w:val="clear"/>
            <w:tcMar>
              <w:top w:type="dxa" w:w="90"/>
              <w:left w:type="dxa" w:w="110"/>
              <w:bottom w:type="dxa" w:w="90"/>
              <w:right w:type="dxa" w:w="110"/>
            </w:tcMar>
            <w:vAlign w:val="center"/>
          </w:tcPr>
          <w:p>
            <w:r>
              <w:rPr>
                <w:rFonts w:ascii="Arial" w:cs="Arial" w:eastAsia="Arial" w:hAnsi="Arial"/>
                <w:b/>
                <w:bCs/>
                <w:color w:val="FFFFFF"/>
                <w:sz w:val="17"/>
                <w:szCs w:val="17"/>
              </w:rPr>
              <w:t xml:space="preserve">Frontend Route</w:t>
            </w:r>
          </w:p>
        </w:tc>
        <w:tc>
          <w:tcPr>
            <w:tcW w:type="dxa" w:w="3860"/>
            <w:tcBorders>
              <w:top w:val="single" w:color="E0E0E0" w:sz="1"/>
              <w:left w:val="single" w:color="E0E0E0" w:sz="1"/>
              <w:bottom w:val="single" w:color="E0E0E0" w:sz="1"/>
              <w:right w:val="single" w:color="E0E0E0" w:sz="1"/>
            </w:tcBorders>
            <w:shd w:fill="F7931A" w:val="clear"/>
            <w:tcMar>
              <w:top w:type="dxa" w:w="90"/>
              <w:left w:type="dxa" w:w="110"/>
              <w:bottom w:type="dxa" w:w="90"/>
              <w:right w:type="dxa" w:w="110"/>
            </w:tcMar>
            <w:vAlign w:val="center"/>
          </w:tcPr>
          <w:p>
            <w:r>
              <w:rPr>
                <w:rFonts w:ascii="Arial" w:cs="Arial" w:eastAsia="Arial" w:hAnsi="Arial"/>
                <w:b/>
                <w:bCs/>
                <w:color w:val="FFFFFF"/>
                <w:sz w:val="17"/>
                <w:szCs w:val="17"/>
              </w:rPr>
              <w:t xml:space="preserve">Program Instruction(s) / Service</w:t>
            </w:r>
          </w:p>
        </w:tc>
      </w:tr>
      <w:tr>
        <w:tc>
          <w:tcPr>
            <w:tcW w:type="dxa" w:w="29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Create a private deal</w:t>
            </w:r>
          </w:p>
        </w:tc>
        <w:tc>
          <w:tcPr>
            <w:tcW w:type="dxa" w:w="26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/deal/new</w:t>
            </w:r>
          </w:p>
        </w:tc>
        <w:tc>
          <w:tcPr>
            <w:tcW w:type="dxa" w:w="386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propose_deal (visibility: Private)</w:t>
            </w:r>
          </w:p>
        </w:tc>
      </w:tr>
      <w:tr>
        <w:tc>
          <w:tcPr>
            <w:tcW w:type="dxa" w:w="290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Counterparty confirms via link</w:t>
            </w:r>
          </w:p>
        </w:tc>
        <w:tc>
          <w:tcPr>
            <w:tcW w:type="dxa" w:w="260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/deal/claim/{token}</w:t>
            </w:r>
          </w:p>
        </w:tc>
        <w:tc>
          <w:tcPr>
            <w:tcW w:type="dxa" w:w="386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confirm_deal</w:t>
            </w:r>
          </w:p>
        </w:tc>
      </w:tr>
      <w:tr>
        <w:tc>
          <w:tcPr>
            <w:tcW w:type="dxa" w:w="29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Browse the marketplace</w:t>
            </w:r>
          </w:p>
        </w:tc>
        <w:tc>
          <w:tcPr>
            <w:tcW w:type="dxa" w:w="26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/marketplace</w:t>
            </w:r>
          </w:p>
        </w:tc>
        <w:tc>
          <w:tcPr>
            <w:tcW w:type="dxa" w:w="386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Marketplace indexer service</w:t>
            </w:r>
          </w:p>
        </w:tc>
      </w:tr>
      <w:tr>
        <w:tc>
          <w:tcPr>
            <w:tcW w:type="dxa" w:w="290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Post a listing</w:t>
            </w:r>
          </w:p>
        </w:tc>
        <w:tc>
          <w:tcPr>
            <w:tcW w:type="dxa" w:w="260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/marketplace/new</w:t>
            </w:r>
          </w:p>
        </w:tc>
        <w:tc>
          <w:tcPr>
            <w:tcW w:type="dxa" w:w="386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propose_deal (visibility: Public)</w:t>
            </w:r>
          </w:p>
        </w:tc>
      </w:tr>
      <w:tr>
        <w:tc>
          <w:tcPr>
            <w:tcW w:type="dxa" w:w="29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Respond to a listing</w:t>
            </w:r>
          </w:p>
        </w:tc>
        <w:tc>
          <w:tcPr>
            <w:tcW w:type="dxa" w:w="26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/marketplace/[id]</w:t>
            </w:r>
          </w:p>
        </w:tc>
        <w:tc>
          <w:tcPr>
            <w:tcW w:type="dxa" w:w="386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Proposal service (off-chain)</w:t>
            </w:r>
          </w:p>
        </w:tc>
      </w:tr>
      <w:tr>
        <w:tc>
          <w:tcPr>
            <w:tcW w:type="dxa" w:w="290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Manage own listings and proposals</w:t>
            </w:r>
          </w:p>
        </w:tc>
        <w:tc>
          <w:tcPr>
            <w:tcW w:type="dxa" w:w="260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/marketplace/my-listings</w:t>
            </w:r>
          </w:p>
        </w:tc>
        <w:tc>
          <w:tcPr>
            <w:tcW w:type="dxa" w:w="386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Proposal service + confirm_deal / cancel_deal</w:t>
            </w:r>
          </w:p>
        </w:tc>
      </w:tr>
      <w:tr>
        <w:tc>
          <w:tcPr>
            <w:tcW w:type="dxa" w:w="29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Deposit collateral</w:t>
            </w:r>
          </w:p>
        </w:tc>
        <w:tc>
          <w:tcPr>
            <w:tcW w:type="dxa" w:w="26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/deal/[id]/fund</w:t>
            </w:r>
          </w:p>
        </w:tc>
        <w:tc>
          <w:tcPr>
            <w:tcW w:type="dxa" w:w="386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deposit_collateral → activate_loan (atomic)</w:t>
            </w:r>
          </w:p>
        </w:tc>
      </w:tr>
      <w:tr>
        <w:tc>
          <w:tcPr>
            <w:tcW w:type="dxa" w:w="290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Manage an active loan</w:t>
            </w:r>
          </w:p>
        </w:tc>
        <w:tc>
          <w:tcPr>
            <w:tcW w:type="dxa" w:w="260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/deal/[id]/manage</w:t>
            </w:r>
          </w:p>
        </w:tc>
        <w:tc>
          <w:tcPr>
            <w:tcW w:type="dxa" w:w="386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check_payment_status, make_payment</w:t>
            </w:r>
          </w:p>
        </w:tc>
      </w:tr>
      <w:tr>
        <w:tc>
          <w:tcPr>
            <w:tcW w:type="dxa" w:w="29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Loan completes</w:t>
            </w:r>
          </w:p>
        </w:tc>
        <w:tc>
          <w:tcPr>
            <w:tcW w:type="dxa" w:w="26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/deal/[id]/manage</w:t>
            </w:r>
          </w:p>
        </w:tc>
        <w:tc>
          <w:tcPr>
            <w:tcW w:type="dxa" w:w="386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release_collateral (auto-triggered)</w:t>
            </w:r>
          </w:p>
        </w:tc>
      </w:tr>
    </w:tbl>
    <w:p>
      <w:pPr>
        <w:spacing w:after="0" w:before="160"/>
      </w:pPr>
      <w:r>
        <w:t xml:space="preserve"/>
      </w:r>
    </w:p>
    <w:p>
      <w:pPr>
        <w:spacing w:after="180" w:before="420"/>
      </w:pPr>
      <w:r>
        <w:rPr>
          <w:rFonts w:ascii="Arial" w:cs="Arial" w:eastAsia="Arial" w:hAnsi="Arial"/>
          <w:b/>
          <w:bCs/>
          <w:color w:val="F7931A"/>
          <w:sz w:val="34"/>
          <w:szCs w:val="34"/>
        </w:rPr>
        <w:t xml:space="preserve">12. Security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960"/>
        <w:gridCol w:w="3800"/>
      </w:tblGrid>
      <w:tr>
        <w:trPr>
          <w:tblHeader/>
        </w:trPr>
        <w:tc>
          <w:tcPr>
            <w:tcW w:type="dxa" w:w="1600"/>
            <w:tcBorders>
              <w:top w:val="single" w:color="E0E0E0" w:sz="1"/>
              <w:left w:val="single" w:color="E0E0E0" w:sz="1"/>
              <w:bottom w:val="single" w:color="E0E0E0" w:sz="1"/>
              <w:right w:val="single" w:color="E0E0E0" w:sz="1"/>
            </w:tcBorders>
            <w:shd w:fill="F7931A" w:val="clear"/>
            <w:tcMar>
              <w:top w:type="dxa" w:w="90"/>
              <w:left w:type="dxa" w:w="110"/>
              <w:bottom w:type="dxa" w:w="90"/>
              <w:right w:type="dxa" w:w="110"/>
            </w:tcMar>
            <w:vAlign w:val="center"/>
          </w:tcPr>
          <w:p>
            <w:r>
              <w:rPr>
                <w:rFonts w:ascii="Arial" w:cs="Arial" w:eastAsia="Arial" w:hAnsi="Arial"/>
                <w:b/>
                <w:bCs/>
                <w:color w:val="FFFFFF"/>
                <w:sz w:val="17"/>
                <w:szCs w:val="17"/>
              </w:rPr>
              <w:t xml:space="preserve">Pass</w:t>
            </w:r>
          </w:p>
        </w:tc>
        <w:tc>
          <w:tcPr>
            <w:tcW w:type="dxa" w:w="3960"/>
            <w:tcBorders>
              <w:top w:val="single" w:color="E0E0E0" w:sz="1"/>
              <w:left w:val="single" w:color="E0E0E0" w:sz="1"/>
              <w:bottom w:val="single" w:color="E0E0E0" w:sz="1"/>
              <w:right w:val="single" w:color="E0E0E0" w:sz="1"/>
            </w:tcBorders>
            <w:shd w:fill="F7931A" w:val="clear"/>
            <w:tcMar>
              <w:top w:type="dxa" w:w="90"/>
              <w:left w:type="dxa" w:w="110"/>
              <w:bottom w:type="dxa" w:w="90"/>
              <w:right w:type="dxa" w:w="110"/>
            </w:tcMar>
            <w:vAlign w:val="center"/>
          </w:tcPr>
          <w:p>
            <w:r>
              <w:rPr>
                <w:rFonts w:ascii="Arial" w:cs="Arial" w:eastAsia="Arial" w:hAnsi="Arial"/>
                <w:b/>
                <w:bCs/>
                <w:color w:val="FFFFFF"/>
                <w:sz w:val="17"/>
                <w:szCs w:val="17"/>
              </w:rPr>
              <w:t xml:space="preserve">Focus</w:t>
            </w:r>
          </w:p>
        </w:tc>
        <w:tc>
          <w:tcPr>
            <w:tcW w:type="dxa" w:w="3800"/>
            <w:tcBorders>
              <w:top w:val="single" w:color="E0E0E0" w:sz="1"/>
              <w:left w:val="single" w:color="E0E0E0" w:sz="1"/>
              <w:bottom w:val="single" w:color="E0E0E0" w:sz="1"/>
              <w:right w:val="single" w:color="E0E0E0" w:sz="1"/>
            </w:tcBorders>
            <w:shd w:fill="F7931A" w:val="clear"/>
            <w:tcMar>
              <w:top w:type="dxa" w:w="90"/>
              <w:left w:type="dxa" w:w="110"/>
              <w:bottom w:type="dxa" w:w="90"/>
              <w:right w:type="dxa" w:w="110"/>
            </w:tcMar>
            <w:vAlign w:val="center"/>
          </w:tcPr>
          <w:p>
            <w:r>
              <w:rPr>
                <w:rFonts w:ascii="Arial" w:cs="Arial" w:eastAsia="Arial" w:hAnsi="Arial"/>
                <w:b/>
                <w:bCs/>
                <w:color w:val="FFFFFF"/>
                <w:sz w:val="17"/>
                <w:szCs w:val="17"/>
              </w:rPr>
              <w:t xml:space="preserve">Includes</w:t>
            </w:r>
          </w:p>
        </w:tc>
      </w:tr>
      <w:tr>
        <w:tc>
          <w:tcPr>
            <w:tcW w:type="dxa" w:w="16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1 — Unit Test Coverage</w:t>
            </w:r>
          </w:p>
        </w:tc>
        <w:tc>
          <w:tcPr>
            <w:tcW w:type="dxa" w:w="396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95%+ on every instruction, including access-control violations</w:t>
            </w:r>
          </w:p>
        </w:tc>
        <w:tc>
          <w:tcPr>
            <w:tcW w:type="dxa" w:w="38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Account ownership and signer checks on every instruction</w:t>
            </w:r>
          </w:p>
        </w:tc>
      </w:tr>
      <w:tr>
        <w:tc>
          <w:tcPr>
            <w:tcW w:type="dxa" w:w="160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2 — Fuzz Testing</w:t>
            </w:r>
          </w:p>
        </w:tc>
        <w:tc>
          <w:tcPr>
            <w:tcW w:type="dxa" w:w="396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10,000+ iterations on all financial calculations</w:t>
            </w:r>
          </w:p>
        </w:tc>
        <w:tc>
          <w:tcPr>
            <w:tcW w:type="dxa" w:w="380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PDA derivation fuzzing to confirm no collision or spoofing is possible</w:t>
            </w:r>
          </w:p>
        </w:tc>
      </w:tr>
      <w:tr>
        <w:tc>
          <w:tcPr>
            <w:tcW w:type="dxa" w:w="16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3 — Integration Testing</w:t>
            </w:r>
          </w:p>
        </w:tc>
        <w:tc>
          <w:tcPr>
            <w:tcW w:type="dxa" w:w="396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Full lifecycle scenarios on live testnet, every scenario documented with a transaction signature</w:t>
            </w:r>
          </w:p>
        </w:tc>
        <w:tc>
          <w:tcPr>
            <w:tcW w:type="dxa" w:w="38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Both private and marketplace-originated deal paths, including the terms-mismatch resolution flow</w:t>
            </w:r>
          </w:p>
        </w:tc>
      </w:tr>
      <w:tr>
        <w:tc>
          <w:tcPr>
            <w:tcW w:type="dxa" w:w="160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4 — Adversarial Audit</w:t>
            </w:r>
          </w:p>
        </w:tc>
        <w:tc>
          <w:tcPr>
            <w:tcW w:type="dxa" w:w="396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Self-attack against every identified threat vector before public launch</w:t>
            </w:r>
          </w:p>
        </w:tc>
        <w:tc>
          <w:tcPr>
            <w:tcW w:type="dxa" w:w="380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Fake listings, proposal spam, attempts to extract off-platform contact info through structured fields, deal-link token reuse, CPI reentrancy, unauthorized PDA signing</w:t>
            </w:r>
          </w:p>
        </w:tc>
      </w:tr>
    </w:tbl>
    <w:p>
      <w:pPr>
        <w:spacing w:after="0" w:before="160"/>
      </w:pPr>
      <w:r>
        <w:t xml:space="preserve"/>
      </w:r>
    </w:p>
    <w:p>
      <w:r>
        <w:br w:type="page"/>
      </w:r>
    </w:p>
    <w:p>
      <w:pPr>
        <w:spacing w:after="180" w:before="420"/>
      </w:pPr>
      <w:r>
        <w:rPr>
          <w:rFonts w:ascii="Arial" w:cs="Arial" w:eastAsia="Arial" w:hAnsi="Arial"/>
          <w:b/>
          <w:bCs/>
          <w:color w:val="F7931A"/>
          <w:sz w:val="34"/>
          <w:szCs w:val="34"/>
        </w:rPr>
        <w:t xml:space="preserve">13. Fee and Revenue Mechanism — Status</w:t>
      </w:r>
    </w:p>
    <w:p>
      <w:pPr>
        <w:spacing w:after="70" w:before="70"/>
      </w:pPr>
      <w:r>
        <w:rPr>
          <w:rFonts w:ascii="Arial" w:cs="Arial" w:eastAsia="Arial" w:hAnsi="Arial"/>
          <w:color w:val="111111"/>
          <w:sz w:val="21"/>
          <w:szCs w:val="21"/>
        </w:rPr>
        <w:t xml:space="preserve">Not yet finalized. The Fee &amp; Treasury Program (Section 4.7) supports a governance-adjustable origination fee, collected at the FUNDING → ACTIVE transition. There is no pooled liquidity, so there is no yield-sharing percentage to calculate. Whether direct-deal and marketplace-originated deals eventually carry different fee structures is an open question the architecture supports but does not yet answer.</w:t>
      </w:r>
    </w:p>
    <w:p>
      <w:pPr>
        <w:spacing w:after="0" w:before="160"/>
      </w:pPr>
      <w:r>
        <w:t xml:space="preserve"/>
      </w:r>
    </w:p>
    <w:p>
      <w:pPr>
        <w:spacing w:after="180" w:before="420"/>
      </w:pPr>
      <w:r>
        <w:rPr>
          <w:rFonts w:ascii="Arial" w:cs="Arial" w:eastAsia="Arial" w:hAnsi="Arial"/>
          <w:b/>
          <w:bCs/>
          <w:color w:val="F7931A"/>
          <w:sz w:val="34"/>
          <w:szCs w:val="34"/>
        </w:rPr>
        <w:t xml:space="preserve">14. Future Asset Expansion — Tokenized Equities</w:t>
      </w:r>
    </w:p>
    <w:p>
      <w:pPr>
        <w:spacing w:after="70" w:before="70"/>
      </w:pPr>
      <w:r>
        <w:rPr>
          <w:rFonts w:ascii="Arial" w:cs="Arial" w:eastAsia="Arial" w:hAnsi="Arial"/>
          <w:color w:val="111111"/>
          <w:sz w:val="21"/>
          <w:szCs w:val="21"/>
        </w:rPr>
        <w:t xml:space="preserve">Beyond Bitcoin, the Asset Whitelist Registry is designed to support additional collateral types without core protocol changes. The most viable near-term expansion is tokenized public equities (for example xStocks, Ondo Global Markets), already live on Solana, regulated, and already used as DeFi loan collateral by existing protocols such as Kamino. This reuses the existing whitelist pattern rather than requiring new custody infrastructure, and is architecturally distinct from a longer-term, higher-touch path of direct brokerage-lien partnerships for users' existing traditional brokerage holdings.</w:t>
      </w:r>
    </w:p>
    <w:p>
      <w:pPr>
        <w:spacing w:after="0" w:before="160"/>
      </w:pPr>
      <w:r>
        <w:t xml:space="preserve"/>
      </w:r>
    </w:p>
    <w:p>
      <w:pPr>
        <w:spacing w:after="180" w:before="420"/>
      </w:pPr>
      <w:r>
        <w:rPr>
          <w:rFonts w:ascii="Arial" w:cs="Arial" w:eastAsia="Arial" w:hAnsi="Arial"/>
          <w:b/>
          <w:bCs/>
          <w:color w:val="F7931A"/>
          <w:sz w:val="34"/>
          <w:szCs w:val="34"/>
        </w:rPr>
        <w:t xml:space="preserve">15. Future Research — Bridge-Free Escrow</w:t>
      </w:r>
    </w:p>
    <w:p>
      <w:pPr>
        <w:spacing w:after="70" w:before="70"/>
      </w:pPr>
      <w:r>
        <w:rPr>
          <w:rFonts w:ascii="Arial" w:cs="Arial" w:eastAsia="Arial" w:hAnsi="Arial"/>
          <w:color w:val="111111"/>
          <w:sz w:val="21"/>
          <w:szCs w:val="21"/>
        </w:rPr>
        <w:t xml:space="preserve">Competitive research identified that Firefish and Hodl Hodl, the two closest non-custodial peer-to-peer Bitcoin lenders found globally, operate without any blockchain bridge at all — they escrow real Bitcoin directly via Bitcoin-native multisig. This removes an entire category of risk that Persat Finance's bridged-collateral approach still carries, even with multi-bridge redundancy.</w:t>
      </w:r>
    </w:p>
    <w:p>
      <w:pPr>
        <w:spacing w:after="0" w:before="60"/>
      </w:pPr>
      <w:r>
        <w:t xml:space="preserve"/>
      </w:r>
    </w:p>
    <w:p>
      <w:pPr>
        <w:spacing w:after="70" w:before="70"/>
      </w:pPr>
      <w:r>
        <w:rPr>
          <w:rFonts w:ascii="Arial" w:cs="Arial" w:eastAsia="Arial" w:hAnsi="Arial"/>
          <w:color w:val="111111"/>
          <w:sz w:val="21"/>
          <w:szCs w:val="21"/>
        </w:rPr>
        <w:t xml:space="preserve">This is flagged as a genuine open research question for a post-MVP phase, not a current commitment: whether a future version of Persat Finance could offer a bridge-free, Bitcoin-native escrow path alongside the Solana-based one, rather than treating the bridge as permanent infrastructure. No architectural decision has been made here — this section exists so the question isn't lost.</w:t>
      </w:r>
    </w:p>
    <w:p>
      <w:pPr>
        <w:spacing w:after="0" w:before="160"/>
      </w:pPr>
      <w:r>
        <w:t xml:space="preserve"/>
      </w:r>
    </w:p>
    <w:p>
      <w:pPr>
        <w:spacing w:after="180" w:before="420"/>
      </w:pPr>
      <w:r>
        <w:rPr>
          <w:rFonts w:ascii="Arial" w:cs="Arial" w:eastAsia="Arial" w:hAnsi="Arial"/>
          <w:b/>
          <w:bCs/>
          <w:color w:val="F7931A"/>
          <w:sz w:val="34"/>
          <w:szCs w:val="34"/>
        </w:rPr>
        <w:t xml:space="preserve">16. Explicit Exclusions — For Historical Clarity</w:t>
      </w:r>
    </w:p>
    <w:p>
      <w:pPr>
        <w:spacing w:after="70" w:before="70"/>
      </w:pPr>
      <w:r>
        <w:rPr>
          <w:rFonts w:ascii="Arial" w:cs="Arial" w:eastAsia="Arial" w:hAnsi="Arial"/>
          <w:color w:val="111111"/>
          <w:sz w:val="21"/>
          <w:szCs w:val="21"/>
        </w:rPr>
        <w:t xml:space="preserve">To avoid confusion with earlier iterations of this project, the following are explicitly NOT part of Persat Finance as currently scoped:</w:t>
      </w:r>
    </w:p>
    <w:p>
      <w:pPr>
        <w:spacing w:after="0" w:before="60"/>
      </w:pPr>
      <w:r>
        <w:t xml:space="preserve"/>
      </w:r>
    </w:p>
    <w:p>
      <w:pPr>
        <w:pStyle w:val="ListParagraph"/>
        <w:numPr>
          <w:ilvl w:val="0"/>
          <w:numId w:val="2"/>
        </w:numPr>
        <w:spacing w:after="50" w:before="50"/>
      </w:pPr>
      <w:r>
        <w:rPr>
          <w:rFonts w:ascii="Arial" w:cs="Arial" w:eastAsia="Arial" w:hAnsi="Arial"/>
          <w:b w:val="false"/>
          <w:bCs w:val="false"/>
          <w:color w:val="111111"/>
          <w:sz w:val="21"/>
          <w:szCs w:val="21"/>
        </w:rPr>
        <w:t xml:space="preserve">No pooled liquidity model, Federation-style governance structure, or yield-split mechanism</w:t>
      </w:r>
    </w:p>
    <w:p>
      <w:pPr>
        <w:pStyle w:val="ListParagraph"/>
        <w:numPr>
          <w:ilvl w:val="0"/>
          <w:numId w:val="2"/>
        </w:numPr>
        <w:spacing w:after="50" w:before="50"/>
      </w:pPr>
      <w:r>
        <w:rPr>
          <w:rFonts w:ascii="Arial" w:cs="Arial" w:eastAsia="Arial" w:hAnsi="Arial"/>
          <w:b w:val="false"/>
          <w:bCs w:val="false"/>
          <w:color w:val="111111"/>
          <w:sz w:val="21"/>
          <w:szCs w:val="21"/>
        </w:rPr>
        <w:t xml:space="preserve">No Term Finance-style batch auction or market-clearing rate mechanism — not applicable without pooled liquidity</w:t>
      </w:r>
    </w:p>
    <w:p>
      <w:pPr>
        <w:pStyle w:val="ListParagraph"/>
        <w:numPr>
          <w:ilvl w:val="0"/>
          <w:numId w:val="2"/>
        </w:numPr>
        <w:spacing w:after="50" w:before="50"/>
      </w:pPr>
      <w:r>
        <w:rPr>
          <w:rFonts w:ascii="Arial" w:cs="Arial" w:eastAsia="Arial" w:hAnsi="Arial"/>
          <w:b w:val="false"/>
          <w:bCs w:val="false"/>
          <w:color w:val="111111"/>
          <w:sz w:val="21"/>
          <w:szCs w:val="21"/>
        </w:rPr>
        <w:t xml:space="preserve">No Botanix EVM dependency — the protocol is built on Solana</w:t>
      </w:r>
    </w:p>
    <w:p>
      <w:pPr>
        <w:pStyle w:val="ListParagraph"/>
        <w:numPr>
          <w:ilvl w:val="0"/>
          <w:numId w:val="2"/>
        </w:numPr>
        <w:spacing w:after="50" w:before="50"/>
      </w:pPr>
      <w:r>
        <w:rPr>
          <w:rFonts w:ascii="Arial" w:cs="Arial" w:eastAsia="Arial" w:hAnsi="Arial"/>
          <w:b w:val="false"/>
          <w:bCs w:val="false"/>
          <w:color w:val="111111"/>
          <w:sz w:val="21"/>
          <w:szCs w:val="21"/>
        </w:rPr>
        <w:t xml:space="preserve">No custodial Bitcoin representations (cbBTC, WBTC) or CeFi-adjacent reserve tokens (SolvBTC) accepted as collateral, by explicit policy</w:t>
      </w:r>
    </w:p>
    <w:p>
      <w:pPr>
        <w:pStyle w:val="ListParagraph"/>
        <w:numPr>
          <w:ilvl w:val="0"/>
          <w:numId w:val="2"/>
        </w:numPr>
        <w:spacing w:after="50" w:before="50"/>
      </w:pPr>
      <w:r>
        <w:rPr>
          <w:rFonts w:ascii="Arial" w:cs="Arial" w:eastAsia="Arial" w:hAnsi="Arial"/>
          <w:b w:val="false"/>
          <w:bCs w:val="false"/>
          <w:color w:val="111111"/>
          <w:sz w:val="21"/>
          <w:szCs w:val="21"/>
        </w:rPr>
        <w:t xml:space="preserve">No local-currency-specific oracle or loan denomination — loans settle in USDC/USDT globally</w:t>
      </w:r>
    </w:p>
    <w:p>
      <w:pPr>
        <w:pStyle w:val="ListParagraph"/>
        <w:numPr>
          <w:ilvl w:val="0"/>
          <w:numId w:val="2"/>
        </w:numPr>
        <w:spacing w:after="50" w:before="50"/>
      </w:pPr>
      <w:r>
        <w:rPr>
          <w:rFonts w:ascii="Arial" w:cs="Arial" w:eastAsia="Arial" w:hAnsi="Arial"/>
          <w:b w:val="false"/>
          <w:bCs w:val="false"/>
          <w:color w:val="111111"/>
          <w:sz w:val="21"/>
          <w:szCs w:val="21"/>
        </w:rPr>
        <w:t xml:space="preserve">No free-text messaging anywhere in the marketplace, under any circumstance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8F0" w:val="clear"/>
            <w:tcMar>
              <w:top w:type="dxa" w:w="130"/>
              <w:left w:type="dxa" w:w="170"/>
              <w:bottom w:type="dxa" w:w="130"/>
              <w:right w:type="dxa" w:w="170"/>
            </w:tcMar>
          </w:tcPr>
          <w:p>
            <w:r>
              <w:rPr>
                <w:rFonts w:ascii="Arial" w:cs="Arial" w:eastAsia="Arial" w:hAnsi="Arial"/>
                <w:b/>
                <w:bCs/>
                <w:color w:val="F7931A"/>
                <w:sz w:val="21"/>
                <w:szCs w:val="21"/>
              </w:rPr>
              <w:t xml:space="preserve">Naming and scope note</w:t>
            </w:r>
          </w:p>
          <w:p>
            <w:pPr>
              <w:spacing w:after="0" w:before="60"/>
            </w:pPr>
            <w:r>
              <w:rPr>
                <w:rFonts w:ascii="Arial" w:cs="Arial" w:eastAsia="Arial" w:hAnsi="Arial"/>
                <w:color w:val="111111"/>
                <w:sz w:val="20"/>
                <w:szCs w:val="20"/>
              </w:rPr>
              <w:t xml:space="preserve">The product previously operated under the name “Wazobia Finance” with a pooled-liquidity design, and was later scoped as “Persat Finance” with a private-deal-only model that explicitly deferred discovery and matching. Both of those decisions have since evolved: the product is Persat Finance, built by Persat Labs Limited, and the open marketplace described in Section 8 is a current, launch-scope component — not a deferred one.</w:t>
            </w:r>
          </w:p>
        </w:tc>
      </w:tr>
    </w:tbl>
    <w:p>
      <w:pPr>
        <w:spacing w:after="0" w:before="200"/>
      </w:pPr>
      <w:r>
        <w:t xml:space="preserve"/>
      </w:r>
    </w:p>
    <w:p>
      <w:pPr>
        <w:pBdr>
          <w:top w:val="single" w:color="F7931A" w:sz="4"/>
        </w:pBdr>
        <w:spacing w:after="0" w:before="280"/>
        <w:jc w:val="center"/>
      </w:pPr>
      <w:r>
        <w:rPr>
          <w:rFonts w:ascii="Arial" w:cs="Arial" w:eastAsia="Arial" w:hAnsi="Arial"/>
          <w:color w:val="777777"/>
          <w:sz w:val="17"/>
          <w:szCs w:val="17"/>
        </w:rPr>
        <w:t xml:space="preserve">Persat Finance  |  Persat Labs Limited  |  Technical Architecture v2  |  persat.ng@gmail.com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2026-08-19T08:45:23.667Z</dcterms:created>
  <dcterms:modified xsi:type="dcterms:W3CDTF">2026-08-19T08:45:23.679Z</dcterms:modified>
</cp:coreProperties>
</file>

<file path=docProps/custom.xml><?xml version="1.0" encoding="utf-8"?>
<Properties xmlns="http://schemas.openxmlformats.org/officeDocument/2006/custom-properties" xmlns:vt="http://schemas.openxmlformats.org/officeDocument/2006/docPropsVTypes"/>
</file>