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43FE4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693" w:type="dxa"/>
          </w:tcPr>
          <w:p w:rsidR="00445E9D" w:rsidRPr="000326B8" w:rsidRDefault="00445E9D" w:rsidP="00443FE4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43FE4" w:rsidRPr="00443FE4">
              <w:rPr>
                <w:rFonts w:ascii="Arial" w:hAnsi="Arial" w:cs="Arial"/>
                <w:sz w:val="22"/>
                <w:szCs w:val="22"/>
              </w:rPr>
              <w:t>29</w:t>
            </w:r>
            <w:r w:rsidR="005E216B" w:rsidRPr="00583A35">
              <w:rPr>
                <w:rFonts w:ascii="Arial" w:hAnsi="Arial" w:cs="Arial"/>
                <w:sz w:val="22"/>
                <w:szCs w:val="22"/>
              </w:rPr>
              <w:t xml:space="preserve"> agosto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 xml:space="preserve"> 2016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583A3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16BAF">
              <w:rPr>
                <w:rFonts w:ascii="Arial" w:hAnsi="Arial" w:cs="Arial"/>
                <w:sz w:val="22"/>
                <w:szCs w:val="22"/>
              </w:rPr>
              <w:t>8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OyG Consultores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Patricia García</w:t>
            </w:r>
          </w:p>
        </w:tc>
        <w:tc>
          <w:tcPr>
            <w:tcW w:w="5103" w:type="dxa"/>
          </w:tcPr>
          <w:p w:rsidR="00A05702" w:rsidRPr="000326B8" w:rsidRDefault="005E216B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Especialista Vertical Salud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 de Soluciones TI para Vertical Salud.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1CE7" w:rsidRPr="00C56BA5" w:rsidRDefault="00443FE4" w:rsidP="00043DA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Soluciones marco para la Vertical</w:t>
            </w:r>
          </w:p>
          <w:p w:rsidR="00771CE7" w:rsidRPr="00C56BA5" w:rsidRDefault="00771CE7" w:rsidP="00043DA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C56BA5">
              <w:rPr>
                <w:rFonts w:ascii="Arial" w:hAnsi="Arial" w:cs="Arial"/>
                <w:sz w:val="22"/>
                <w:szCs w:val="22"/>
              </w:rPr>
              <w:t>Mape</w:t>
            </w:r>
            <w:r w:rsidR="00443FE4">
              <w:rPr>
                <w:rFonts w:ascii="Arial" w:hAnsi="Arial" w:cs="Arial"/>
                <w:sz w:val="22"/>
                <w:szCs w:val="22"/>
              </w:rPr>
              <w:t>o de Soluciones y Oportunidades</w:t>
            </w: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771CE7" w:rsidRDefault="005C5E7E" w:rsidP="00043DA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Soluciones marco </w:t>
            </w:r>
            <w:r w:rsidR="00D1776D">
              <w:rPr>
                <w:rFonts w:ascii="Arial" w:hAnsi="Arial" w:cs="Arial"/>
                <w:sz w:val="22"/>
                <w:szCs w:val="22"/>
              </w:rPr>
              <w:t xml:space="preserve">inicial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de la Vertical</w:t>
            </w:r>
            <w:r w:rsidR="00771C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71CE7">
              <w:rPr>
                <w:rFonts w:ascii="Arial" w:hAnsi="Arial" w:cs="Arial"/>
                <w:sz w:val="22"/>
                <w:szCs w:val="22"/>
              </w:rPr>
              <w:br/>
            </w:r>
            <w:r w:rsidRPr="007B3F55">
              <w:rPr>
                <w:rFonts w:ascii="Arial" w:hAnsi="Arial" w:cs="Arial"/>
                <w:sz w:val="22"/>
                <w:szCs w:val="22"/>
              </w:rPr>
              <w:t xml:space="preserve">Se establece el patrón marco de solución para la Vertical. En esta sesión se consolidad como patrones marco de solución el </w:t>
            </w:r>
            <w:r>
              <w:rPr>
                <w:rFonts w:ascii="Arial" w:hAnsi="Arial" w:cs="Arial"/>
                <w:sz w:val="22"/>
                <w:szCs w:val="22"/>
              </w:rPr>
              <w:t xml:space="preserve">bus </w:t>
            </w:r>
            <w:r w:rsidRPr="007B3F55">
              <w:rPr>
                <w:rFonts w:ascii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hAnsi="Arial" w:cs="Arial"/>
                <w:sz w:val="22"/>
                <w:szCs w:val="22"/>
              </w:rPr>
              <w:t xml:space="preserve">integración de </w:t>
            </w:r>
            <w:r w:rsidRPr="007B3F55">
              <w:rPr>
                <w:rFonts w:ascii="Arial" w:hAnsi="Arial" w:cs="Arial"/>
                <w:sz w:val="22"/>
                <w:szCs w:val="22"/>
              </w:rPr>
              <w:t>sistemas de información individuales de la Vertical</w:t>
            </w:r>
            <w:r>
              <w:rPr>
                <w:rFonts w:ascii="Arial" w:hAnsi="Arial" w:cs="Arial"/>
                <w:sz w:val="22"/>
                <w:szCs w:val="22"/>
              </w:rPr>
              <w:t>, y (extracción, análisis, y) visualización integral de los consolidados de datos</w:t>
            </w:r>
            <w:r w:rsidRPr="007B3F55">
              <w:rPr>
                <w:rFonts w:ascii="Arial" w:hAnsi="Arial" w:cs="Arial"/>
                <w:sz w:val="22"/>
                <w:szCs w:val="22"/>
              </w:rPr>
              <w:t>. A la vez, se identifican los retos y consideraciones para la realización de la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7B3F55">
              <w:rPr>
                <w:rFonts w:ascii="Arial" w:hAnsi="Arial" w:cs="Arial"/>
                <w:sz w:val="22"/>
                <w:szCs w:val="22"/>
              </w:rPr>
              <w:t xml:space="preserve"> soluci</w:t>
            </w:r>
            <w:r>
              <w:rPr>
                <w:rFonts w:ascii="Arial" w:hAnsi="Arial" w:cs="Arial"/>
                <w:sz w:val="22"/>
                <w:szCs w:val="22"/>
              </w:rPr>
              <w:t>ones</w:t>
            </w:r>
            <w:r w:rsidRPr="007B3F55">
              <w:rPr>
                <w:rFonts w:ascii="Arial" w:hAnsi="Arial" w:cs="Arial"/>
                <w:sz w:val="22"/>
                <w:szCs w:val="22"/>
              </w:rPr>
              <w:t xml:space="preserve"> marco.</w:t>
            </w:r>
            <w:r w:rsidR="00771CE7">
              <w:rPr>
                <w:rFonts w:ascii="Arial" w:hAnsi="Arial" w:cs="Arial"/>
                <w:sz w:val="22"/>
                <w:szCs w:val="22"/>
              </w:rPr>
              <w:br/>
            </w:r>
          </w:p>
          <w:p w:rsidR="00771CE7" w:rsidRPr="00F927D0" w:rsidRDefault="005C5E7E" w:rsidP="00043DA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927D0">
              <w:rPr>
                <w:rFonts w:ascii="Arial" w:hAnsi="Arial" w:cs="Arial"/>
                <w:sz w:val="22"/>
                <w:szCs w:val="22"/>
              </w:rPr>
              <w:t>Mapeo de soluciones con SIPOC</w:t>
            </w:r>
            <w:r w:rsidR="00771CE7" w:rsidRPr="00F927D0">
              <w:rPr>
                <w:rFonts w:ascii="Arial" w:hAnsi="Arial" w:cs="Arial"/>
                <w:sz w:val="22"/>
                <w:szCs w:val="22"/>
              </w:rPr>
              <w:br/>
            </w:r>
            <w:r w:rsidRPr="00F927D0">
              <w:rPr>
                <w:rFonts w:ascii="Arial" w:hAnsi="Arial" w:cs="Arial"/>
                <w:sz w:val="22"/>
                <w:szCs w:val="22"/>
              </w:rPr>
              <w:t xml:space="preserve">Se identificó 4 soluciones del tipo Aplicativas para la vertical. Las soluciones </w:t>
            </w:r>
            <w:r w:rsidR="00F927D0" w:rsidRPr="00F927D0">
              <w:rPr>
                <w:rFonts w:ascii="Arial" w:hAnsi="Arial" w:cs="Arial"/>
                <w:sz w:val="22"/>
                <w:szCs w:val="22"/>
              </w:rPr>
              <w:t>identificadas fueron</w:t>
            </w:r>
            <w:r w:rsidRPr="00F927D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E2BEF">
              <w:rPr>
                <w:rFonts w:ascii="Arial" w:hAnsi="Arial" w:cs="Arial"/>
                <w:sz w:val="22"/>
                <w:szCs w:val="22"/>
              </w:rPr>
              <w:t xml:space="preserve">1) </w:t>
            </w:r>
            <w:r w:rsidR="00F927D0">
              <w:rPr>
                <w:rFonts w:ascii="Arial" w:hAnsi="Arial" w:cs="Arial"/>
                <w:sz w:val="22"/>
                <w:szCs w:val="22"/>
              </w:rPr>
              <w:t xml:space="preserve">análisis preventivo de hipertensión, </w:t>
            </w:r>
            <w:r w:rsidR="00CE2BEF">
              <w:rPr>
                <w:rFonts w:ascii="Arial" w:hAnsi="Arial" w:cs="Arial"/>
                <w:sz w:val="22"/>
                <w:szCs w:val="22"/>
              </w:rPr>
              <w:t xml:space="preserve">2) </w:t>
            </w:r>
            <w:r w:rsidR="00F927D0">
              <w:rPr>
                <w:rFonts w:ascii="Arial" w:hAnsi="Arial" w:cs="Arial"/>
                <w:sz w:val="22"/>
                <w:szCs w:val="22"/>
              </w:rPr>
              <w:t xml:space="preserve">seguimiento programas sociales, </w:t>
            </w:r>
            <w:r w:rsidR="00CE2BEF">
              <w:rPr>
                <w:rFonts w:ascii="Arial" w:hAnsi="Arial" w:cs="Arial"/>
                <w:sz w:val="22"/>
                <w:szCs w:val="22"/>
              </w:rPr>
              <w:t xml:space="preserve">3) </w:t>
            </w:r>
            <w:r w:rsidR="00F927D0">
              <w:rPr>
                <w:rFonts w:ascii="Arial" w:hAnsi="Arial" w:cs="Arial"/>
                <w:sz w:val="22"/>
                <w:szCs w:val="22"/>
              </w:rPr>
              <w:t xml:space="preserve">suministros para educación asistida (tecnología), </w:t>
            </w:r>
            <w:r w:rsidR="00CE2BEF">
              <w:rPr>
                <w:rFonts w:ascii="Arial" w:hAnsi="Arial" w:cs="Arial"/>
                <w:sz w:val="22"/>
                <w:szCs w:val="22"/>
              </w:rPr>
              <w:t xml:space="preserve">4) </w:t>
            </w:r>
            <w:r w:rsidR="00F927D0">
              <w:rPr>
                <w:rFonts w:ascii="Arial" w:hAnsi="Arial" w:cs="Arial"/>
                <w:sz w:val="22"/>
                <w:szCs w:val="22"/>
              </w:rPr>
              <w:t>generación de contenidos didác</w:t>
            </w:r>
            <w:r w:rsidR="00EC5087">
              <w:rPr>
                <w:rFonts w:ascii="Arial" w:hAnsi="Arial" w:cs="Arial"/>
                <w:sz w:val="22"/>
                <w:szCs w:val="22"/>
              </w:rPr>
              <w:t>ticos.</w:t>
            </w:r>
            <w:r w:rsidR="0063422E">
              <w:rPr>
                <w:rFonts w:ascii="Arial" w:hAnsi="Arial" w:cs="Arial"/>
                <w:sz w:val="22"/>
                <w:szCs w:val="22"/>
              </w:rPr>
              <w:br/>
            </w:r>
            <w:r w:rsidR="0063422E">
              <w:rPr>
                <w:rFonts w:ascii="Arial" w:hAnsi="Arial" w:cs="Arial"/>
                <w:sz w:val="22"/>
                <w:szCs w:val="22"/>
              </w:rPr>
              <w:br/>
              <w:t>Los procesos del SIPOC de la vertical Salud aún no est</w:t>
            </w:r>
            <w:r w:rsidR="007574FE">
              <w:rPr>
                <w:rFonts w:ascii="Arial" w:hAnsi="Arial" w:cs="Arial"/>
                <w:sz w:val="22"/>
                <w:szCs w:val="22"/>
              </w:rPr>
              <w:t>án descritos en la matriz. En esta sesión se realizó un avance en la descripción de los procesos a partir de las soluciones (conceptuales) encontradas.</w:t>
            </w:r>
            <w:r w:rsidR="007574FE">
              <w:rPr>
                <w:rFonts w:ascii="Arial" w:hAnsi="Arial" w:cs="Arial"/>
                <w:sz w:val="22"/>
                <w:szCs w:val="22"/>
              </w:rPr>
              <w:br/>
            </w:r>
            <w:r w:rsidR="007574FE">
              <w:rPr>
                <w:rFonts w:ascii="Arial" w:hAnsi="Arial" w:cs="Arial"/>
                <w:sz w:val="22"/>
                <w:szCs w:val="22"/>
              </w:rPr>
              <w:br/>
            </w:r>
            <w:r w:rsidR="00F927D0" w:rsidRPr="00F927D0">
              <w:rPr>
                <w:rFonts w:ascii="Arial" w:hAnsi="Arial" w:cs="Arial"/>
                <w:sz w:val="22"/>
                <w:szCs w:val="22"/>
              </w:rPr>
              <w:br/>
            </w:r>
            <w:r w:rsidRPr="00F927D0"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7F0777" w:rsidRDefault="007F0777" w:rsidP="007F0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390F74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167" w:type="dxa"/>
          </w:tcPr>
          <w:p w:rsidR="000B1C26" w:rsidRPr="000326B8" w:rsidRDefault="00B97412" w:rsidP="00390F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Establecer soluciones marco para la Vertical</w:t>
            </w:r>
          </w:p>
        </w:tc>
        <w:tc>
          <w:tcPr>
            <w:tcW w:w="2245" w:type="dxa"/>
          </w:tcPr>
          <w:p w:rsidR="001E197A" w:rsidRPr="000326B8" w:rsidRDefault="00390F74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FC7D36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16BAF">
              <w:rPr>
                <w:rFonts w:ascii="Arial" w:hAnsi="Arial" w:cs="Arial"/>
                <w:sz w:val="22"/>
                <w:szCs w:val="22"/>
              </w:rPr>
              <w:t>11</w:t>
            </w:r>
            <w:r w:rsidR="00FC7D36">
              <w:rPr>
                <w:rFonts w:ascii="Arial" w:hAnsi="Arial" w:cs="Arial"/>
                <w:sz w:val="22"/>
                <w:szCs w:val="22"/>
              </w:rPr>
              <w:t xml:space="preserve"> de agosto 2016</w:t>
            </w:r>
          </w:p>
        </w:tc>
        <w:tc>
          <w:tcPr>
            <w:tcW w:w="4821" w:type="dxa"/>
          </w:tcPr>
          <w:p w:rsidR="00445E9D" w:rsidRPr="000326B8" w:rsidRDefault="00445E9D" w:rsidP="00914762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2513D" w:rsidRPr="00914762">
              <w:rPr>
                <w:rFonts w:ascii="Arial" w:hAnsi="Arial" w:cs="Arial"/>
                <w:sz w:val="22"/>
                <w:szCs w:val="22"/>
              </w:rPr>
              <w:t>1</w:t>
            </w:r>
            <w:r w:rsidR="00914762" w:rsidRPr="00914762">
              <w:rPr>
                <w:rFonts w:ascii="Arial" w:hAnsi="Arial" w:cs="Arial"/>
                <w:sz w:val="22"/>
                <w:szCs w:val="22"/>
              </w:rPr>
              <w:t>2</w:t>
            </w:r>
            <w:r w:rsidR="00F2513D" w:rsidRPr="00914762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D30297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:rsidR="001B2C12" w:rsidRDefault="00163F1E" w:rsidP="00D30297">
            <w:pPr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Cuales:</w:t>
            </w:r>
            <w:r w:rsidR="00A54467" w:rsidRPr="00D3029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B2C12" w:rsidRPr="001B2C12" w:rsidRDefault="00914762" w:rsidP="00043DA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Apuntes de soluciones de la vertical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Default="00525776" w:rsidP="009D53C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0.5pt" o:ole="">
            <v:imagedata r:id="rId8" o:title=""/>
          </v:shape>
          <o:OLEObject Type="Embed" ProgID="Package" ShapeID="_x0000_i1025" DrawAspect="Icon" ObjectID="_1537264647" r:id="rId9"/>
        </w:object>
      </w: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29 Sept.</w:t>
            </w:r>
          </w:p>
        </w:tc>
        <w:tc>
          <w:tcPr>
            <w:tcW w:w="4981" w:type="dxa"/>
          </w:tcPr>
          <w:p w:rsidR="00163F1E" w:rsidRPr="000326B8" w:rsidRDefault="00163F1E" w:rsidP="007757BA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10"/>
      <w:footerReference w:type="default" r:id="rId11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CD" w:rsidRDefault="00D068CD">
      <w:r>
        <w:separator/>
      </w:r>
    </w:p>
  </w:endnote>
  <w:endnote w:type="continuationSeparator" w:id="0">
    <w:p w:rsidR="00D068CD" w:rsidRDefault="00D0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CD" w:rsidRDefault="00D068CD">
      <w:r>
        <w:separator/>
      </w:r>
    </w:p>
  </w:footnote>
  <w:footnote w:type="continuationSeparator" w:id="0">
    <w:p w:rsidR="00D068CD" w:rsidRDefault="00D06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E52761">
            <w:rPr>
              <w:rFonts w:ascii="Arial" w:hAnsi="Arial" w:cs="Arial"/>
              <w:b/>
              <w:bCs/>
              <w:noProof/>
              <w:sz w:val="22"/>
            </w:rPr>
            <w:t>1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E52761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453A13E7"/>
    <w:multiLevelType w:val="hybridMultilevel"/>
    <w:tmpl w:val="49F0FC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41E1C"/>
    <w:multiLevelType w:val="hybridMultilevel"/>
    <w:tmpl w:val="A51A6E3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43DAC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16BAF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0E55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B2C12"/>
    <w:rsid w:val="001C18A3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90F74"/>
    <w:rsid w:val="003A74E0"/>
    <w:rsid w:val="003A7B33"/>
    <w:rsid w:val="003B6CB1"/>
    <w:rsid w:val="003C1449"/>
    <w:rsid w:val="003C768B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3FE4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14B92"/>
    <w:rsid w:val="00525776"/>
    <w:rsid w:val="00531F3B"/>
    <w:rsid w:val="0053254B"/>
    <w:rsid w:val="00545172"/>
    <w:rsid w:val="00552C63"/>
    <w:rsid w:val="00563C72"/>
    <w:rsid w:val="00567DA9"/>
    <w:rsid w:val="0057053F"/>
    <w:rsid w:val="00583A35"/>
    <w:rsid w:val="005848F0"/>
    <w:rsid w:val="00585487"/>
    <w:rsid w:val="00590479"/>
    <w:rsid w:val="00596F16"/>
    <w:rsid w:val="005B11A7"/>
    <w:rsid w:val="005B24BD"/>
    <w:rsid w:val="005B5607"/>
    <w:rsid w:val="005C5E7E"/>
    <w:rsid w:val="005C752B"/>
    <w:rsid w:val="005E216B"/>
    <w:rsid w:val="005F0D38"/>
    <w:rsid w:val="005F50A2"/>
    <w:rsid w:val="005F6A18"/>
    <w:rsid w:val="005F7BC8"/>
    <w:rsid w:val="00605F88"/>
    <w:rsid w:val="006142BB"/>
    <w:rsid w:val="00624D95"/>
    <w:rsid w:val="0063422E"/>
    <w:rsid w:val="00651A20"/>
    <w:rsid w:val="006632C3"/>
    <w:rsid w:val="006849AF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73DA"/>
    <w:rsid w:val="00717553"/>
    <w:rsid w:val="007216C2"/>
    <w:rsid w:val="00727752"/>
    <w:rsid w:val="007574FE"/>
    <w:rsid w:val="00761733"/>
    <w:rsid w:val="00771CE7"/>
    <w:rsid w:val="007744C6"/>
    <w:rsid w:val="007757BA"/>
    <w:rsid w:val="007774AB"/>
    <w:rsid w:val="007803C0"/>
    <w:rsid w:val="007A0142"/>
    <w:rsid w:val="007B4B6D"/>
    <w:rsid w:val="007B5E7F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14762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07C36"/>
    <w:rsid w:val="00B21430"/>
    <w:rsid w:val="00B32440"/>
    <w:rsid w:val="00B360B6"/>
    <w:rsid w:val="00B4566D"/>
    <w:rsid w:val="00B47FC2"/>
    <w:rsid w:val="00B6551A"/>
    <w:rsid w:val="00B865EE"/>
    <w:rsid w:val="00B97412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2230A"/>
    <w:rsid w:val="00C32169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E2BEF"/>
    <w:rsid w:val="00CF0AA3"/>
    <w:rsid w:val="00CF120B"/>
    <w:rsid w:val="00D0190B"/>
    <w:rsid w:val="00D05AF4"/>
    <w:rsid w:val="00D068CD"/>
    <w:rsid w:val="00D07E6F"/>
    <w:rsid w:val="00D1337B"/>
    <w:rsid w:val="00D14C91"/>
    <w:rsid w:val="00D1776D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4E5D"/>
    <w:rsid w:val="00E314F2"/>
    <w:rsid w:val="00E52761"/>
    <w:rsid w:val="00E820A5"/>
    <w:rsid w:val="00E8337E"/>
    <w:rsid w:val="00E85A17"/>
    <w:rsid w:val="00EA2343"/>
    <w:rsid w:val="00EB2D3A"/>
    <w:rsid w:val="00EB46EF"/>
    <w:rsid w:val="00EC5087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27D0"/>
    <w:rsid w:val="00F95931"/>
    <w:rsid w:val="00FA3DF9"/>
    <w:rsid w:val="00FA5558"/>
    <w:rsid w:val="00FA5781"/>
    <w:rsid w:val="00FB5BF0"/>
    <w:rsid w:val="00FB620F"/>
    <w:rsid w:val="00FC3E68"/>
    <w:rsid w:val="00FC75D8"/>
    <w:rsid w:val="00FC7D36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1246A-FA7A-402C-B50F-A4D02A3E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162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10</cp:revision>
  <cp:lastPrinted>2016-07-25T13:12:00Z</cp:lastPrinted>
  <dcterms:created xsi:type="dcterms:W3CDTF">2016-10-06T15:01:00Z</dcterms:created>
  <dcterms:modified xsi:type="dcterms:W3CDTF">2016-10-06T18:10:00Z</dcterms:modified>
</cp:coreProperties>
</file>