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F489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93" w:type="dxa"/>
          </w:tcPr>
          <w:p w:rsidR="00445E9D" w:rsidRPr="000326B8" w:rsidRDefault="00445E9D" w:rsidP="00E22C5F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 w:rsidRPr="00462DEB">
              <w:rPr>
                <w:rFonts w:ascii="Arial" w:hAnsi="Arial" w:cs="Arial"/>
                <w:sz w:val="22"/>
                <w:szCs w:val="22"/>
              </w:rPr>
              <w:t>5 Dic, 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>
              <w:rPr>
                <w:rFonts w:ascii="Arial" w:hAnsi="Arial" w:cs="Arial"/>
                <w:sz w:val="22"/>
                <w:szCs w:val="22"/>
              </w:rPr>
              <w:t>8:00</w:t>
            </w:r>
          </w:p>
        </w:tc>
        <w:tc>
          <w:tcPr>
            <w:tcW w:w="3118" w:type="dxa"/>
          </w:tcPr>
          <w:p w:rsidR="00445E9D" w:rsidRPr="000326B8" w:rsidRDefault="00445E9D" w:rsidP="00462DE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 w:rsidRPr="00462DEB">
              <w:rPr>
                <w:rFonts w:ascii="Arial" w:hAnsi="Arial" w:cs="Arial"/>
                <w:sz w:val="22"/>
                <w:szCs w:val="22"/>
              </w:rPr>
              <w:t>Centro Internacional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462DEB" w:rsidP="00462D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Rodriguez</w:t>
            </w:r>
          </w:p>
        </w:tc>
        <w:tc>
          <w:tcPr>
            <w:tcW w:w="5103" w:type="dxa"/>
          </w:tcPr>
          <w:p w:rsidR="00A05702" w:rsidRPr="000326B8" w:rsidRDefault="005E216B" w:rsidP="00462D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Especialista Vertical </w:t>
            </w:r>
            <w:r w:rsidR="00462DEB">
              <w:rPr>
                <w:rFonts w:ascii="Arial" w:hAnsi="Arial" w:cs="Arial"/>
                <w:sz w:val="22"/>
                <w:szCs w:val="22"/>
              </w:rPr>
              <w:t>Urbanismo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2DEB" w:rsidRPr="000326B8" w:rsidTr="00837C7A">
        <w:tc>
          <w:tcPr>
            <w:tcW w:w="4361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tecnológica y financiera de las soluciones de la vertical.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62238" w:rsidRDefault="00962238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Temas pendientes sesión anterior</w:t>
            </w: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</w:p>
          <w:p w:rsidR="00C56BA5" w:rsidRPr="00A64937" w:rsidRDefault="00C56BA5" w:rsidP="00A64937">
            <w:pPr>
              <w:rPr>
                <w:rFonts w:ascii="Arial" w:hAnsi="Arial" w:cs="Arial"/>
                <w:sz w:val="22"/>
                <w:szCs w:val="22"/>
              </w:rPr>
            </w:pP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962238" w:rsidRDefault="00962238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 los temas que quedaron pendientes el más importante era la aclaración de las soluciones encontradas. Alexander desarrolló un documento adjunto para describir con más detalle las soluciones.</w:t>
            </w:r>
            <w:r w:rsidR="004A6DEF">
              <w:rPr>
                <w:rFonts w:ascii="Arial" w:hAnsi="Arial" w:cs="Arial"/>
                <w:sz w:val="22"/>
                <w:szCs w:val="22"/>
              </w:rPr>
              <w:t xml:space="preserve"> El documento solo describe el primer grupo de soluciones. Se toma como referencia las observaciones para poder desarrollar los otros dos grupos de solución </w:t>
            </w:r>
            <w:r w:rsidR="00911D78">
              <w:rPr>
                <w:rFonts w:ascii="Arial" w:hAnsi="Arial" w:cs="Arial"/>
                <w:sz w:val="22"/>
                <w:szCs w:val="22"/>
              </w:rPr>
              <w:t>de la vertical.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781F71">
              <w:rPr>
                <w:rFonts w:ascii="Arial" w:hAnsi="Arial" w:cs="Arial"/>
                <w:sz w:val="22"/>
                <w:szCs w:val="22"/>
              </w:rPr>
              <w:t>Se determinaron 3 iniciativas de la vertical que cubren más del 60% de la matriz SIPOC del especialista.</w:t>
            </w:r>
            <w:r w:rsidR="00B00A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81F71">
              <w:rPr>
                <w:rFonts w:ascii="Arial" w:hAnsi="Arial" w:cs="Arial"/>
                <w:sz w:val="22"/>
                <w:szCs w:val="22"/>
              </w:rPr>
              <w:t>Los grupos se indican abajo.</w:t>
            </w:r>
            <w:r w:rsidR="00781F71">
              <w:rPr>
                <w:rFonts w:ascii="Arial" w:hAnsi="Arial" w:cs="Arial"/>
                <w:sz w:val="22"/>
                <w:szCs w:val="22"/>
              </w:rPr>
              <w:br/>
            </w: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</w:r>
            <w:r w:rsidR="00781F71">
              <w:rPr>
                <w:rFonts w:ascii="Arial" w:hAnsi="Arial" w:cs="Arial"/>
                <w:sz w:val="22"/>
                <w:szCs w:val="22"/>
              </w:rPr>
              <w:t>De l</w:t>
            </w:r>
            <w:r w:rsidR="00B00A0E">
              <w:rPr>
                <w:rFonts w:ascii="Arial" w:hAnsi="Arial" w:cs="Arial"/>
                <w:sz w:val="22"/>
                <w:szCs w:val="22"/>
              </w:rPr>
              <w:t>as soluciones obtenidas de la revisión se incluyen en los siguientes grupos de soluciones:</w:t>
            </w:r>
          </w:p>
          <w:p w:rsidR="00781F71" w:rsidRDefault="00781F71" w:rsidP="00781F7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81F71">
              <w:rPr>
                <w:rFonts w:ascii="Arial" w:hAnsi="Arial" w:cs="Arial"/>
                <w:sz w:val="22"/>
                <w:szCs w:val="22"/>
              </w:rPr>
              <w:t>SOLX800 - Administración catastro multipropósito</w:t>
            </w:r>
          </w:p>
          <w:p w:rsidR="00781F71" w:rsidRDefault="00781F71" w:rsidP="00781F7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81F71">
              <w:rPr>
                <w:rFonts w:ascii="Arial" w:hAnsi="Arial" w:cs="Arial"/>
                <w:sz w:val="22"/>
                <w:szCs w:val="22"/>
              </w:rPr>
              <w:t>SOLX801 - Mitigación riesgo ambiental</w:t>
            </w:r>
          </w:p>
          <w:p w:rsidR="00B00A0E" w:rsidRDefault="00781F71" w:rsidP="00781F7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81F71">
              <w:rPr>
                <w:rFonts w:ascii="Arial" w:hAnsi="Arial" w:cs="Arial"/>
                <w:sz w:val="22"/>
                <w:szCs w:val="22"/>
              </w:rPr>
              <w:t>SOLX802 - Gestión parquead</w:t>
            </w:r>
            <w:r w:rsidR="00962238">
              <w:rPr>
                <w:rFonts w:ascii="Arial" w:hAnsi="Arial" w:cs="Arial"/>
                <w:sz w:val="22"/>
                <w:szCs w:val="22"/>
              </w:rPr>
              <w:t>e</w:t>
            </w:r>
            <w:r w:rsidRPr="00781F71">
              <w:rPr>
                <w:rFonts w:ascii="Arial" w:hAnsi="Arial" w:cs="Arial"/>
                <w:sz w:val="22"/>
                <w:szCs w:val="22"/>
              </w:rPr>
              <w:t>r</w:t>
            </w:r>
            <w:r w:rsidR="00962238">
              <w:rPr>
                <w:rFonts w:ascii="Arial" w:hAnsi="Arial" w:cs="Arial"/>
                <w:sz w:val="22"/>
                <w:szCs w:val="22"/>
              </w:rPr>
              <w:t>o</w:t>
            </w:r>
            <w:r w:rsidRPr="00781F7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Pr="00FD7A87" w:rsidRDefault="00A94ABC" w:rsidP="00FD7A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B00A0E" w:rsidRPr="00FD7A87" w:rsidRDefault="00B00A0E" w:rsidP="00CB350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FD7A87">
              <w:rPr>
                <w:rFonts w:ascii="Arial" w:hAnsi="Arial" w:cs="Arial"/>
                <w:sz w:val="22"/>
                <w:szCs w:val="22"/>
              </w:rPr>
              <w:t xml:space="preserve">(Alexander Rodriguez) </w:t>
            </w:r>
            <w:r w:rsidR="00FD7A87" w:rsidRPr="00FD7A87">
              <w:rPr>
                <w:rFonts w:ascii="Arial" w:hAnsi="Arial" w:cs="Arial"/>
                <w:sz w:val="22"/>
                <w:szCs w:val="22"/>
              </w:rPr>
              <w:t>Desarrollo de la ficha de las soluciones de</w:t>
            </w:r>
            <w:r w:rsidR="00FD7A87">
              <w:t xml:space="preserve"> </w:t>
            </w:r>
            <w:r w:rsidR="00FD7A87" w:rsidRPr="00FD7A87">
              <w:rPr>
                <w:rFonts w:ascii="Arial" w:hAnsi="Arial" w:cs="Arial"/>
                <w:sz w:val="22"/>
                <w:szCs w:val="22"/>
              </w:rPr>
              <w:t>SOLX801 - Mitigación riesgo ambiental</w:t>
            </w:r>
            <w:r w:rsidR="00FD7A87" w:rsidRPr="00FD7A87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FD7A87" w:rsidRPr="00FD7A87">
              <w:rPr>
                <w:rFonts w:ascii="Arial" w:hAnsi="Arial" w:cs="Arial"/>
                <w:sz w:val="22"/>
                <w:szCs w:val="22"/>
              </w:rPr>
              <w:t>SOLX802 - Gestión parqueaderos</w:t>
            </w:r>
            <w:r w:rsidR="00FD7A8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AB7C27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67" w:type="dxa"/>
          </w:tcPr>
          <w:p w:rsidR="00AB7C27" w:rsidRPr="00AB7C27" w:rsidRDefault="00AB7C27" w:rsidP="00AB7C27">
            <w:pPr>
              <w:rPr>
                <w:rFonts w:ascii="Arial" w:hAnsi="Arial" w:cs="Arial"/>
                <w:sz w:val="22"/>
                <w:szCs w:val="22"/>
              </w:rPr>
            </w:pPr>
            <w:r w:rsidRPr="00AB7C27">
              <w:rPr>
                <w:rFonts w:ascii="Arial" w:hAnsi="Arial" w:cs="Arial"/>
                <w:sz w:val="22"/>
                <w:szCs w:val="22"/>
              </w:rPr>
              <w:t>Desarrollo de la ficha de las soluciones de</w:t>
            </w:r>
            <w:r>
              <w:t xml:space="preserve"> </w:t>
            </w:r>
            <w:r w:rsidRPr="00AB7C27">
              <w:rPr>
                <w:rFonts w:ascii="Arial" w:hAnsi="Arial" w:cs="Arial"/>
                <w:sz w:val="22"/>
                <w:szCs w:val="22"/>
              </w:rPr>
              <w:t>SOLX801 - Mitigación riesgo ambiental y SOLX802 - Gestión parqueaderos.</w:t>
            </w:r>
          </w:p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AB7C27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FD7A87">
              <w:rPr>
                <w:rFonts w:ascii="Arial" w:hAnsi="Arial" w:cs="Arial"/>
                <w:sz w:val="22"/>
                <w:szCs w:val="22"/>
              </w:rPr>
              <w:t>Alexander Rodriguez</w:t>
            </w: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62AFF">
              <w:rPr>
                <w:rFonts w:ascii="Arial" w:hAnsi="Arial" w:cs="Arial"/>
                <w:sz w:val="22"/>
                <w:szCs w:val="22"/>
              </w:rPr>
              <w:t>20</w:t>
            </w:r>
            <w:r w:rsidR="00B00A0E" w:rsidRPr="00B00A0E">
              <w:rPr>
                <w:rFonts w:ascii="Arial" w:hAnsi="Arial" w:cs="Arial"/>
                <w:sz w:val="22"/>
                <w:szCs w:val="22"/>
              </w:rPr>
              <w:t xml:space="preserve"> Dic 2016</w:t>
            </w:r>
          </w:p>
        </w:tc>
        <w:tc>
          <w:tcPr>
            <w:tcW w:w="4821" w:type="dxa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A0E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B00A0E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445E9D" w:rsidRPr="00D30297" w:rsidRDefault="00962238" w:rsidP="00D30297">
            <w:pPr>
              <w:rPr>
                <w:rFonts w:ascii="Arial" w:hAnsi="Arial" w:cs="Arial"/>
                <w:sz w:val="22"/>
                <w:szCs w:val="22"/>
              </w:rPr>
            </w:pPr>
            <w:r w:rsidRPr="00962238">
              <w:rPr>
                <w:rFonts w:ascii="Arial" w:hAnsi="Arial" w:cs="Arial"/>
                <w:sz w:val="22"/>
                <w:szCs w:val="22"/>
              </w:rPr>
              <w:t>Selección de Soluciones por Vertical.docx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bookmarkStart w:id="0" w:name="_MON_1543654385"/>
    <w:bookmarkEnd w:id="0"/>
    <w:p w:rsidR="00445E9D" w:rsidRPr="000326B8" w:rsidRDefault="00962238" w:rsidP="009D53C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25pt" o:ole="">
            <v:imagedata r:id="rId8" o:title=""/>
          </v:shape>
          <o:OLEObject Type="Embed" ProgID="Word.Document.12" ShapeID="_x0000_i1025" DrawAspect="Icon" ObjectID="_1543654590" r:id="rId9">
            <o:FieldCodes>\s</o:FieldCodes>
          </o:OLEObject>
        </w:object>
      </w: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bookmarkStart w:id="1" w:name="_GoBack"/>
            <w:bookmarkEnd w:id="1"/>
            <w:r w:rsidR="00762AFF">
              <w:rPr>
                <w:rFonts w:ascii="Arial" w:hAnsi="Arial" w:cs="Arial"/>
                <w:sz w:val="22"/>
                <w:szCs w:val="22"/>
                <w:lang w:eastAsia="ar-SA"/>
              </w:rPr>
              <w:t>10</w:t>
            </w:r>
            <w:r w:rsidR="00B00A0E" w:rsidRPr="00B00A0E">
              <w:rPr>
                <w:rFonts w:ascii="Arial" w:hAnsi="Arial" w:cs="Arial"/>
                <w:sz w:val="22"/>
                <w:szCs w:val="22"/>
                <w:lang w:eastAsia="ar-SA"/>
              </w:rPr>
              <w:t xml:space="preserve"> Dic 2016</w:t>
            </w:r>
          </w:p>
        </w:tc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10"/>
      <w:footerReference w:type="default" r:id="rId11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66" w:rsidRDefault="00000266">
      <w:r>
        <w:separator/>
      </w:r>
    </w:p>
  </w:endnote>
  <w:endnote w:type="continuationSeparator" w:id="0">
    <w:p w:rsidR="00000266" w:rsidRDefault="0000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66" w:rsidRDefault="00000266">
      <w:r>
        <w:separator/>
      </w:r>
    </w:p>
  </w:footnote>
  <w:footnote w:type="continuationSeparator" w:id="0">
    <w:p w:rsidR="00000266" w:rsidRDefault="0000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762AFF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762AFF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73013038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0266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C6F4A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2DE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A6DEF"/>
    <w:rsid w:val="004B13ED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3747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352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61733"/>
    <w:rsid w:val="00762AFF"/>
    <w:rsid w:val="007744C6"/>
    <w:rsid w:val="007774AB"/>
    <w:rsid w:val="007803C0"/>
    <w:rsid w:val="00781F71"/>
    <w:rsid w:val="007A0142"/>
    <w:rsid w:val="007B4B6D"/>
    <w:rsid w:val="007C4BB8"/>
    <w:rsid w:val="007D0275"/>
    <w:rsid w:val="007D1335"/>
    <w:rsid w:val="007D3934"/>
    <w:rsid w:val="007D3E1B"/>
    <w:rsid w:val="007D44B9"/>
    <w:rsid w:val="007D50C8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11D78"/>
    <w:rsid w:val="009332DA"/>
    <w:rsid w:val="009352E3"/>
    <w:rsid w:val="00944695"/>
    <w:rsid w:val="009501ED"/>
    <w:rsid w:val="00953883"/>
    <w:rsid w:val="00962238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64937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B7C27"/>
    <w:rsid w:val="00AC2308"/>
    <w:rsid w:val="00AD0551"/>
    <w:rsid w:val="00AD0C97"/>
    <w:rsid w:val="00AD3827"/>
    <w:rsid w:val="00AD768F"/>
    <w:rsid w:val="00AE011E"/>
    <w:rsid w:val="00AE5637"/>
    <w:rsid w:val="00AE761B"/>
    <w:rsid w:val="00B00A0E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6402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4897"/>
    <w:rsid w:val="00DF7950"/>
    <w:rsid w:val="00E00F38"/>
    <w:rsid w:val="00E10705"/>
    <w:rsid w:val="00E22C5F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D7A87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F2CD1-83A8-41C5-B026-7DF09407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69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HWO .</cp:lastModifiedBy>
  <cp:revision>17</cp:revision>
  <cp:lastPrinted>2016-07-25T13:12:00Z</cp:lastPrinted>
  <dcterms:created xsi:type="dcterms:W3CDTF">2016-10-06T13:27:00Z</dcterms:created>
  <dcterms:modified xsi:type="dcterms:W3CDTF">2016-12-19T17:10:00Z</dcterms:modified>
</cp:coreProperties>
</file>