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Default="003D0B15">
      <w:pPr>
        <w:pStyle w:val="Puest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>Selección de Soluciones por Vertical</w:t>
      </w:r>
    </w:p>
    <w:p w:rsidR="003D0B15" w:rsidRPr="003D0B15" w:rsidRDefault="003D0B15" w:rsidP="003D0B15">
      <w:pPr>
        <w:rPr>
          <w:lang w:val="es-ES"/>
        </w:rPr>
      </w:pPr>
    </w:p>
    <w:p w:rsidR="003D0B15" w:rsidRDefault="003D0B15" w:rsidP="003D0B15">
      <w:pPr>
        <w:rPr>
          <w:noProof/>
          <w:lang w:val="es-ES"/>
        </w:rPr>
      </w:pPr>
    </w:p>
    <w:p w:rsidR="00066685" w:rsidRPr="003D0B15" w:rsidRDefault="004C5F61" w:rsidP="003D0B15">
      <w:pPr>
        <w:rPr>
          <w:rStyle w:val="Textoennegrita"/>
          <w:lang w:val="es-CO"/>
        </w:rPr>
      </w:pPr>
      <w:r>
        <w:rPr>
          <w:rStyle w:val="Textoennegrita"/>
          <w:lang w:val="es-CO"/>
        </w:rPr>
        <w:t>Versión 0.05</w:t>
      </w:r>
    </w:p>
    <w:p w:rsidR="0006668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Utilice esta pantilla para documentar la</w:t>
      </w:r>
      <w:r w:rsidR="00D53B23">
        <w:rPr>
          <w:rFonts w:ascii="Corbel" w:hAnsi="Corbel"/>
          <w:noProof/>
          <w:szCs w:val="20"/>
          <w:lang w:val="es-ES"/>
        </w:rPr>
        <w:t xml:space="preserve">s razones </w:t>
      </w:r>
      <w:r>
        <w:rPr>
          <w:rFonts w:ascii="Corbel" w:hAnsi="Corbel"/>
          <w:noProof/>
          <w:szCs w:val="20"/>
          <w:lang w:val="es-ES"/>
        </w:rPr>
        <w:t>por las que se conformaron los grupos de soluciones</w:t>
      </w:r>
      <w:r w:rsidR="004C5F61">
        <w:rPr>
          <w:rFonts w:ascii="Corbel" w:hAnsi="Corbel"/>
          <w:noProof/>
          <w:szCs w:val="20"/>
          <w:lang w:val="es-ES"/>
        </w:rPr>
        <w:t xml:space="preserve"> y consideración </w:t>
      </w:r>
      <w:r>
        <w:rPr>
          <w:rFonts w:ascii="Corbel" w:hAnsi="Corbel"/>
          <w:noProof/>
          <w:szCs w:val="20"/>
          <w:lang w:val="es-ES"/>
        </w:rPr>
        <w:t>de soluciones individuales de su vertical.</w:t>
      </w: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305395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0B15" w:rsidRDefault="003D0B15">
          <w:pPr>
            <w:pStyle w:val="TtulodeTDC"/>
          </w:pPr>
          <w:r>
            <w:rPr>
              <w:lang w:val="es-ES"/>
            </w:rPr>
            <w:t>Contenido</w:t>
          </w:r>
        </w:p>
        <w:p w:rsidR="00E031BD" w:rsidRDefault="008E4873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 w:rsidR="003D0B15">
            <w:instrText xml:space="preserve"> TOC \o "1-3" \h \z \u </w:instrText>
          </w:r>
          <w:r>
            <w:fldChar w:fldCharType="separate"/>
          </w:r>
          <w:hyperlink w:anchor="_Toc468867664" w:history="1">
            <w:r w:rsidR="00E031BD" w:rsidRPr="00212333">
              <w:rPr>
                <w:rStyle w:val="Hipervnculo"/>
                <w:noProof/>
                <w:lang w:val="es-CO" w:eastAsia="es-CO"/>
              </w:rPr>
              <w:t>Filtros para Selección de Solución/Grupo solución</w:t>
            </w:r>
            <w:r w:rsidR="00E03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1BD" w:rsidRDefault="001E31C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5" w:history="1">
            <w:r w:rsidR="00E031BD" w:rsidRPr="00212333">
              <w:rPr>
                <w:rStyle w:val="Hipervnculo"/>
                <w:noProof/>
                <w:lang w:val="es-CO" w:eastAsia="es-CO"/>
              </w:rPr>
              <w:t>Grupos de Soluciones Encontradas</w:t>
            </w:r>
            <w:r w:rsidR="00E031BD">
              <w:rPr>
                <w:noProof/>
                <w:webHidden/>
              </w:rPr>
              <w:tab/>
            </w:r>
            <w:r w:rsidR="008E4873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_Toc468867665 \h </w:instrText>
            </w:r>
            <w:r w:rsidR="008E4873">
              <w:rPr>
                <w:noProof/>
                <w:webHidden/>
              </w:rPr>
            </w:r>
            <w:r w:rsidR="008E4873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2</w:t>
            </w:r>
            <w:r w:rsidR="008E4873">
              <w:rPr>
                <w:noProof/>
                <w:webHidden/>
              </w:rPr>
              <w:fldChar w:fldCharType="end"/>
            </w:r>
          </w:hyperlink>
        </w:p>
        <w:p w:rsidR="00E031BD" w:rsidRDefault="001E31C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6" w:history="1">
            <w:r w:rsidR="00E031BD" w:rsidRPr="00212333">
              <w:rPr>
                <w:rStyle w:val="Hipervnculo"/>
                <w:noProof/>
                <w:lang w:val="es-CO" w:eastAsia="es-CO"/>
              </w:rPr>
              <w:t>Soluciones Particulares Destacadas</w:t>
            </w:r>
            <w:r w:rsidR="00E031BD">
              <w:rPr>
                <w:noProof/>
                <w:webHidden/>
              </w:rPr>
              <w:tab/>
            </w:r>
            <w:r w:rsidR="008E4873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_Toc468867666 \h </w:instrText>
            </w:r>
            <w:r w:rsidR="008E4873">
              <w:rPr>
                <w:noProof/>
                <w:webHidden/>
              </w:rPr>
            </w:r>
            <w:r w:rsidR="008E4873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4</w:t>
            </w:r>
            <w:r w:rsidR="008E4873">
              <w:rPr>
                <w:noProof/>
                <w:webHidden/>
              </w:rPr>
              <w:fldChar w:fldCharType="end"/>
            </w:r>
          </w:hyperlink>
        </w:p>
        <w:p w:rsidR="00E031BD" w:rsidRDefault="001E31C4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O" w:eastAsia="es-CO"/>
            </w:rPr>
          </w:pPr>
          <w:hyperlink w:anchor="_Toc468867667" w:history="1">
            <w:r w:rsidR="00E031BD" w:rsidRPr="00212333">
              <w:rPr>
                <w:rStyle w:val="Hipervnculo"/>
                <w:noProof/>
                <w:lang w:val="es-CO" w:eastAsia="es-CO"/>
              </w:rPr>
              <w:t>Anexos</w:t>
            </w:r>
            <w:r w:rsidR="00E031BD">
              <w:rPr>
                <w:noProof/>
                <w:webHidden/>
              </w:rPr>
              <w:tab/>
            </w:r>
            <w:r w:rsidR="008E4873">
              <w:rPr>
                <w:noProof/>
                <w:webHidden/>
              </w:rPr>
              <w:fldChar w:fldCharType="begin"/>
            </w:r>
            <w:r w:rsidR="00E031BD">
              <w:rPr>
                <w:noProof/>
                <w:webHidden/>
              </w:rPr>
              <w:instrText xml:space="preserve"> PAGEREF _Toc468867667 \h </w:instrText>
            </w:r>
            <w:r w:rsidR="008E4873">
              <w:rPr>
                <w:noProof/>
                <w:webHidden/>
              </w:rPr>
            </w:r>
            <w:r w:rsidR="008E4873">
              <w:rPr>
                <w:noProof/>
                <w:webHidden/>
              </w:rPr>
              <w:fldChar w:fldCharType="separate"/>
            </w:r>
            <w:r w:rsidR="00E031BD">
              <w:rPr>
                <w:noProof/>
                <w:webHidden/>
              </w:rPr>
              <w:t>6</w:t>
            </w:r>
            <w:r w:rsidR="008E4873">
              <w:rPr>
                <w:noProof/>
                <w:webHidden/>
              </w:rPr>
              <w:fldChar w:fldCharType="end"/>
            </w:r>
          </w:hyperlink>
        </w:p>
        <w:p w:rsidR="003D0B15" w:rsidRDefault="008E4873">
          <w:r>
            <w:rPr>
              <w:b/>
              <w:bCs/>
              <w:lang w:val="es-ES"/>
            </w:rPr>
            <w:fldChar w:fldCharType="end"/>
          </w:r>
        </w:p>
      </w:sdtContent>
    </w:sdt>
    <w:p w:rsidR="003D0B15" w:rsidRDefault="003D0B15">
      <w:pPr>
        <w:rPr>
          <w:rFonts w:ascii="Corbel" w:hAnsi="Corbel"/>
          <w:noProof/>
          <w:szCs w:val="20"/>
          <w:lang w:val="es-ES"/>
        </w:rPr>
      </w:pPr>
    </w:p>
    <w:p w:rsidR="003D0B15" w:rsidRDefault="003D0B15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br w:type="page"/>
      </w:r>
    </w:p>
    <w:p w:rsidR="003D0B15" w:rsidRDefault="003D0B15" w:rsidP="003D0B15">
      <w:pPr>
        <w:pStyle w:val="Ttulo1"/>
        <w:rPr>
          <w:lang w:val="es-CO" w:eastAsia="es-CO"/>
        </w:rPr>
      </w:pPr>
      <w:bookmarkStart w:id="0" w:name="_Toc468867664"/>
      <w:r w:rsidRPr="003D0B15">
        <w:rPr>
          <w:lang w:val="es-CO" w:eastAsia="es-CO"/>
        </w:rPr>
        <w:lastRenderedPageBreak/>
        <w:t>Filtros para Selección de Solución/Grupo solución</w:t>
      </w:r>
      <w:bookmarkEnd w:id="0"/>
    </w:p>
    <w:p w:rsidR="00A81369" w:rsidRPr="00A81369" w:rsidRDefault="00A81369" w:rsidP="00A81369">
      <w:pPr>
        <w:rPr>
          <w:lang w:val="es-CO" w:eastAsia="es-CO"/>
        </w:rPr>
      </w:pPr>
      <w:r>
        <w:rPr>
          <w:lang w:val="es-CO" w:eastAsia="es-CO"/>
        </w:rPr>
        <w:t xml:space="preserve">Utilice estos criterios para justificar la </w:t>
      </w:r>
      <w:r w:rsidR="00E9422D">
        <w:rPr>
          <w:lang w:val="es-CO" w:eastAsia="es-CO"/>
        </w:rPr>
        <w:t xml:space="preserve">selección de una solución o </w:t>
      </w:r>
      <w:bookmarkStart w:id="1" w:name="_GoBack"/>
      <w:bookmarkEnd w:id="1"/>
      <w:r w:rsidR="00E9422D">
        <w:rPr>
          <w:lang w:val="es-CO" w:eastAsia="es-CO"/>
        </w:rPr>
        <w:t xml:space="preserve">grupo de solución </w:t>
      </w:r>
      <w:r>
        <w:rPr>
          <w:lang w:val="es-CO" w:eastAsia="es-CO"/>
        </w:rPr>
        <w:t>de su vertical.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Opinión ciudadana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Ambiente y riesgo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Económico y desarrollo</w:t>
      </w:r>
    </w:p>
    <w:p w:rsidR="003D0B15" w:rsidRPr="003D0B15" w:rsidRDefault="003D0B15" w:rsidP="003D0B1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Multi-sectorial</w:t>
      </w:r>
      <w:r w:rsidR="00452B03">
        <w:rPr>
          <w:lang w:val="es-CO" w:eastAsia="es-CO"/>
        </w:rPr>
        <w:t>idad</w:t>
      </w: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2" w:name="_Toc468867665"/>
      <w:r w:rsidRPr="003D0B15">
        <w:rPr>
          <w:lang w:val="es-CO" w:eastAsia="es-CO"/>
        </w:rPr>
        <w:t>Grupos de Soluciones Encontradas</w:t>
      </w:r>
      <w:bookmarkEnd w:id="2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>
        <w:rPr>
          <w:lang w:val="es-CO" w:eastAsia="es-CO"/>
        </w:rPr>
        <w:t>Son soluciones que</w:t>
      </w:r>
      <w:r w:rsidRPr="003D0B15">
        <w:rPr>
          <w:lang w:val="es-CO" w:eastAsia="es-CO"/>
        </w:rPr>
        <w:t xml:space="preserve"> se encuentran presentes, por ejemplo, en varios servicios de la vertical, y por lo tanto, pueden ser implementadas una vez y con ajustes o configuración manejable pueden servir múltiples veces en la vertical, o en otras.</w:t>
      </w:r>
    </w:p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SOLX601. Administración de infraestructura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C5F61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Planificar en función del inventario y el estado del a infraestructura.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Inventario de existencia público / privado. Estado de los ítems. Capacidades. Ubicación (geo-r).</w:t>
            </w:r>
          </w:p>
        </w:tc>
      </w:tr>
      <w:tr w:rsidR="00453E1C" w:rsidRPr="004C5F61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 xml:space="preserve">Entidad de administración de los servicios públicos, dependiendo de la jerarquía territorio. Por ejemplo, en Bogotá UASP; en </w:t>
            </w:r>
            <w:r w:rsidR="00E031BD" w:rsidRPr="00453E1C">
              <w:rPr>
                <w:lang w:val="es-CO" w:eastAsia="es-CO"/>
              </w:rPr>
              <w:t>Cali</w:t>
            </w:r>
            <w:r w:rsidRPr="00453E1C">
              <w:rPr>
                <w:lang w:val="es-CO" w:eastAsia="es-CO"/>
              </w:rPr>
              <w:t>, es Secretaría de SS PP., operadoras, la Alcaldía.</w:t>
            </w:r>
          </w:p>
        </w:tc>
      </w:tr>
      <w:tr w:rsidR="00453E1C" w:rsidRPr="00453E1C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453E1C" w:rsidP="00453E1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</w:t>
            </w:r>
            <w:r w:rsidRPr="00453E1C">
              <w:rPr>
                <w:lang w:val="es-CO" w:eastAsia="es-CO"/>
              </w:rPr>
              <w:t>laneación en inversión social, es decir, dónde hago la inversión en servicios públicos. Ejecución de promesas en inversión social.</w:t>
            </w:r>
          </w:p>
        </w:tc>
      </w:tr>
      <w:tr w:rsidR="00453E1C" w:rsidRPr="004C5F61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UASP postes inteligentes en BGT; alcantarillado tiene contadores inteligentes; </w:t>
            </w:r>
          </w:p>
        </w:tc>
      </w:tr>
      <w:tr w:rsidR="00453E1C" w:rsidRPr="004C5F61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Los operadores pueden tener datos de la infraestructura.</w:t>
            </w:r>
          </w:p>
        </w:tc>
      </w:tr>
      <w:tr w:rsidR="00453E1C" w:rsidRPr="004C5F61" w:rsidTr="00453E1C">
        <w:tc>
          <w:tcPr>
            <w:tcW w:w="2695" w:type="dxa"/>
          </w:tcPr>
          <w:p w:rsidR="00453E1C" w:rsidRPr="00453E1C" w:rsidRDefault="00453E1C" w:rsidP="009E759A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453E1C" w:rsidP="00453E1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1) la falta de información es el principal problema. Es necesario hacer reconocimientos físicos. 2) luego del inventario el seguimiento / la actualización y la gestión del inventario queda a manos del prestador del servici</w:t>
            </w:r>
            <w:r>
              <w:rPr>
                <w:lang w:val="es-CO" w:eastAsia="es-CO"/>
              </w:rPr>
              <w:t>o</w:t>
            </w:r>
            <w:r w:rsidRPr="00453E1C">
              <w:rPr>
                <w:lang w:val="es-CO" w:eastAsia="es-CO"/>
              </w:rPr>
              <w:t xml:space="preserve"> lo cual hace necesario la obligación contractual.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SOLX602. Gestión Central PQR (todas verticales) y Seguimiento (por cada servicio)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145B71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Gestionar las PQRS de la ciudad.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E62FA7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E62FA7">
              <w:rPr>
                <w:lang w:val="es-CO" w:eastAsia="es-CO"/>
              </w:rPr>
              <w:t>Sistema que permite realizar el registro, administración y seguimiento de las Peticiones, Quejas, Solicitudes y Reclamos pudiendo administrar tiempos y procesos de seguimiento.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145B71" w:rsidP="00145B71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Alcaldía / secretarias de gobierno y Operadores de los servicios.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Default="00630C69" w:rsidP="00630C69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Entrega de respuestas de PQRS en los tiempos definidos por ley (se evita castigos penales y administrativos).</w:t>
            </w:r>
          </w:p>
          <w:p w:rsidR="00630C69" w:rsidRDefault="00630C69" w:rsidP="00630C69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Gestión única de PQRS</w:t>
            </w:r>
          </w:p>
          <w:p w:rsidR="00630C69" w:rsidRPr="00453E1C" w:rsidRDefault="00630C69" w:rsidP="00630C69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Centralización de información.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630C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Sistema de PQRS de Bogotá (SDQS).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Pro</w:t>
            </w:r>
          </w:p>
        </w:tc>
        <w:tc>
          <w:tcPr>
            <w:tcW w:w="6295" w:type="dxa"/>
          </w:tcPr>
          <w:p w:rsidR="00453E1C" w:rsidRPr="00453E1C" w:rsidRDefault="00630C69" w:rsidP="00630C69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 centralizan los procesos de asignación de PQRS evitando la asignación errónea y por ende la pérdida de tiempo, lo cual puede estar definido en sanciones legales y administrativas</w:t>
            </w: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453E1C" w:rsidRPr="00453E1C" w:rsidRDefault="00630C69" w:rsidP="00630C69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Definir la inteligencia de negocio para la entrega puntual de los PQRS el cual es diferente por cada servicio, operador. Generalización de proceso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SOLX603. Gestión de Subsidios (baja agrupación) (se puede repetir en otras verticales)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453E1C" w:rsidRPr="00453E1C" w:rsidRDefault="00630C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Parametrizar subsidios.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453E1C" w:rsidRPr="00453E1C" w:rsidRDefault="00E62FA7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E62FA7">
              <w:rPr>
                <w:lang w:val="es-CO" w:eastAsia="es-CO"/>
              </w:rPr>
              <w:t>Sistema que permitirá, dada la data de cada usuario, poder definir los subsidios correspondientes y la gestión de los mismos.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453E1C" w:rsidRPr="00453E1C" w:rsidRDefault="00630C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Alcaldías y las diferentes secretarias.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453E1C" w:rsidRPr="00453E1C" w:rsidRDefault="00630C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Definición de impactos, administración presupuestal.</w:t>
            </w:r>
          </w:p>
        </w:tc>
      </w:tr>
      <w:tr w:rsidR="00453E1C" w:rsidRPr="00453E1C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453E1C" w:rsidRPr="00453E1C" w:rsidRDefault="00630C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No conozco ninguna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453E1C" w:rsidRDefault="00630C69" w:rsidP="00AF14F8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Definir una plataforma única para solicitud, gestión y administración de subsidios para todos los servicios.</w:t>
            </w:r>
          </w:p>
          <w:p w:rsidR="00AF14F8" w:rsidRDefault="00AF14F8" w:rsidP="00AF14F8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Poder administrar y planificar la información tanto a nivel inicial (planeación del subsidio) como final (cuando se entreguen)</w:t>
            </w:r>
          </w:p>
          <w:p w:rsidR="00AF14F8" w:rsidRPr="00453E1C" w:rsidRDefault="00AF14F8" w:rsidP="00AF14F8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Información para el usuario final.</w:t>
            </w:r>
          </w:p>
        </w:tc>
      </w:tr>
      <w:tr w:rsidR="00453E1C" w:rsidRPr="004C5F61" w:rsidTr="00C3126E">
        <w:tc>
          <w:tcPr>
            <w:tcW w:w="2695" w:type="dxa"/>
          </w:tcPr>
          <w:p w:rsidR="00453E1C" w:rsidRPr="00453E1C" w:rsidRDefault="00453E1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F14F8" w:rsidRPr="00453E1C" w:rsidRDefault="00AF14F8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Demasiada información legal para la implementación y requisitos de subsidios.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SOLX604. Asistencia Técnica 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AF14F8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Administrar el proceso de solicitud de asistencia técnica.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9C1570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para solicitar a la empresa prestadora del servicio, el servicio técnico correspondiente al mismo.</w:t>
            </w: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AF14F8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Operadores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Default="00AF14F8" w:rsidP="00AF14F8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Análisis de problemática recurrente lo que indicaría problemas de obsolescencia o problemas d infraestructura.</w:t>
            </w:r>
          </w:p>
          <w:p w:rsidR="00AF14F8" w:rsidRDefault="00AF14F8" w:rsidP="00AF14F8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Proactividad y análisis de data para toma de acciones frente a infraestructura.</w:t>
            </w:r>
          </w:p>
          <w:p w:rsidR="00013832" w:rsidRPr="00453E1C" w:rsidRDefault="00013832" w:rsidP="00AF14F8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Mayor seguridad al estar continuamente comunicado con el usuario y el operario.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AF14F8" w:rsidP="00013832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Hay varias soluciones de mesas de ayuda parametrizables pero </w:t>
            </w:r>
            <w:r w:rsidR="00013832">
              <w:rPr>
                <w:lang w:val="es-CO" w:eastAsia="es-CO"/>
              </w:rPr>
              <w:t>no tienen la magnitud de definir muchos tipos de servicio más aun las políticas que cada servicio tiene para cumplir con una asistencia técnica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Default="00013832" w:rsidP="00013832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Mejoramiento de la experiencia de usuario frente a los servicios de asistencia técnica.</w:t>
            </w:r>
          </w:p>
          <w:p w:rsidR="00013832" w:rsidRDefault="00013832" w:rsidP="00013832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Incremento de seguridad.</w:t>
            </w:r>
          </w:p>
          <w:p w:rsidR="00013832" w:rsidRDefault="00013832" w:rsidP="00013832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Seguimiento a las respuestas del operador.</w:t>
            </w:r>
          </w:p>
          <w:p w:rsidR="00013832" w:rsidRPr="00453E1C" w:rsidRDefault="00013832" w:rsidP="00013832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Planificación de las labores y acciones.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013832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Generalización de los proceso de Asistencia Técnica.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SOLX605. Manejo Ambiental (agrupación media, 3 servicios)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613C8B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Definir, planear y gestionar las acciones correspondientes al manejo </w:t>
            </w:r>
            <w:r>
              <w:rPr>
                <w:lang w:val="es-CO" w:eastAsia="es-CO"/>
              </w:rPr>
              <w:lastRenderedPageBreak/>
              <w:t xml:space="preserve">ambiental y de cumplimiento de ley para los servicios públicos. 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Descripción</w:t>
            </w:r>
          </w:p>
        </w:tc>
        <w:tc>
          <w:tcPr>
            <w:tcW w:w="6295" w:type="dxa"/>
          </w:tcPr>
          <w:p w:rsidR="00A81369" w:rsidRPr="00453E1C" w:rsidRDefault="009C1570" w:rsidP="00613C8B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que va a permitir definir, administrar y gestionar las labores ambientales que l</w:t>
            </w:r>
            <w:r w:rsidR="00613C8B">
              <w:rPr>
                <w:lang w:val="es-CO" w:eastAsia="es-CO"/>
              </w:rPr>
              <w:t>os</w:t>
            </w:r>
            <w:r w:rsidRPr="009C1570">
              <w:rPr>
                <w:lang w:val="es-CO" w:eastAsia="es-CO"/>
              </w:rPr>
              <w:t xml:space="preserve"> operador</w:t>
            </w:r>
            <w:r w:rsidR="00613C8B">
              <w:rPr>
                <w:lang w:val="es-CO" w:eastAsia="es-CO"/>
              </w:rPr>
              <w:t>es</w:t>
            </w:r>
            <w:r w:rsidRPr="009C1570">
              <w:rPr>
                <w:lang w:val="es-CO" w:eastAsia="es-CO"/>
              </w:rPr>
              <w:t xml:space="preserve"> debe</w:t>
            </w:r>
            <w:r w:rsidR="00613C8B">
              <w:rPr>
                <w:lang w:val="es-CO" w:eastAsia="es-CO"/>
              </w:rPr>
              <w:t>n</w:t>
            </w:r>
            <w:r w:rsidRPr="009C1570">
              <w:rPr>
                <w:lang w:val="es-CO" w:eastAsia="es-CO"/>
              </w:rPr>
              <w:t xml:space="preserve"> adelantar en el marco del cumplimiento de las leyes para </w:t>
            </w:r>
            <w:r w:rsidR="00613C8B">
              <w:rPr>
                <w:lang w:val="es-CO" w:eastAsia="es-CO"/>
              </w:rPr>
              <w:t>cada uno de los servicios públicos</w:t>
            </w:r>
            <w:r w:rsidRPr="009C1570">
              <w:rPr>
                <w:lang w:val="es-CO" w:eastAsia="es-CO"/>
              </w:rPr>
              <w:t>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267FD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Alcaldías, diferentes secretarí</w:t>
            </w:r>
            <w:r w:rsidR="00613C8B">
              <w:rPr>
                <w:lang w:val="es-CO" w:eastAsia="es-CO"/>
              </w:rPr>
              <w:t>as, operadores de los servicios.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Definiciones de impacto de política ambiental.</w:t>
            </w:r>
          </w:p>
          <w:p w:rsidR="00267FDD" w:rsidRPr="00453E1C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Información en tiempo real de acciones, cumplimiento de acciones y manejo ambiental y cumplimiento de ley.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267FDD" w:rsidP="00267FDD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Hay programadores de cronogramas y seguimiento pero ninguno orientado a la parte ambiental y pública. </w:t>
            </w: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Información de primera mano sobre procesos ambientales en los diferentes servicios.</w:t>
            </w:r>
          </w:p>
          <w:p w:rsidR="00267FDD" w:rsidRPr="00453E1C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Información centralizada.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267FD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Ninguno (Hay normatividad que los operadores debe cumplir y hay obligaciones por parte de los encargados de las supervisiones que deben realizar seguimiento).</w:t>
            </w:r>
          </w:p>
        </w:tc>
      </w:tr>
    </w:tbl>
    <w:p w:rsidR="003D0B15" w:rsidRDefault="003D0B15" w:rsidP="003D0B1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SOLX606. Planes de Acción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A81369" w:rsidRPr="00453E1C" w:rsidRDefault="00267FD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Administrar, planear y gestionar las acciones a llevar a cabo para el cumplimiento efectivo de los objetivos de cada entidad y/o operador.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A81369" w:rsidRPr="00453E1C" w:rsidRDefault="009C1570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de transferencia de información que cuente con los datos de los planes de acción a seguir durante las diferente</w:t>
            </w:r>
            <w:r w:rsidR="00267FDD">
              <w:rPr>
                <w:lang w:val="es-CO" w:eastAsia="es-CO"/>
              </w:rPr>
              <w:t>s</w:t>
            </w:r>
            <w:r w:rsidRPr="009C1570">
              <w:rPr>
                <w:lang w:val="es-CO" w:eastAsia="es-CO"/>
              </w:rPr>
              <w:t xml:space="preserve"> vigencias, junto con los reportes y seguimientos</w:t>
            </w:r>
            <w:r w:rsidR="00267FDD">
              <w:rPr>
                <w:lang w:val="es-CO" w:eastAsia="es-CO"/>
              </w:rPr>
              <w:t xml:space="preserve"> para cada uno de los operadores y/o entidades</w:t>
            </w:r>
            <w:r w:rsidRPr="009C1570">
              <w:rPr>
                <w:lang w:val="es-CO" w:eastAsia="es-CO"/>
              </w:rPr>
              <w:t>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A81369" w:rsidRPr="00453E1C" w:rsidRDefault="00267FD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Alcaldías, diferentes secretarías, operadores de los servicios.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A81369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Planeación de las acciones a adelantar para el cumplimiento de los objetivos institucionales.</w:t>
            </w:r>
          </w:p>
          <w:p w:rsidR="00267FDD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Seguimiento en tiempo real de las acciones.</w:t>
            </w:r>
          </w:p>
          <w:p w:rsidR="00267FDD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Definición de impacto en tiempo real.</w:t>
            </w:r>
          </w:p>
          <w:p w:rsidR="00267FDD" w:rsidRPr="00453E1C" w:rsidRDefault="00267FDD" w:rsidP="00267FDD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Seguimiento presupuestal en el caso que se necesite.</w:t>
            </w:r>
          </w:p>
        </w:tc>
      </w:tr>
      <w:tr w:rsidR="00A81369" w:rsidRPr="004C5F61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A81369" w:rsidRPr="00453E1C" w:rsidRDefault="00267FDD" w:rsidP="00267FDD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Hay programadores de cronogramas y seguimiento pero ninguno orientado a la parte pública y cumplimento de PEI y planes de desarrollo tanto regionales como locales.</w:t>
            </w: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A81369" w:rsidRDefault="00267FDD" w:rsidP="00AD5A8C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Información en tiempo real de las acciones que se están adelantando actualmente, su avance y su gestión.</w:t>
            </w:r>
          </w:p>
          <w:p w:rsidR="00267FDD" w:rsidRPr="00453E1C" w:rsidRDefault="00AD5A8C" w:rsidP="00AD5A8C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Procesos de Planificación.</w:t>
            </w:r>
          </w:p>
        </w:tc>
      </w:tr>
      <w:tr w:rsidR="00A81369" w:rsidRPr="00453E1C" w:rsidTr="00C3126E">
        <w:tc>
          <w:tcPr>
            <w:tcW w:w="2695" w:type="dxa"/>
          </w:tcPr>
          <w:p w:rsidR="00A81369" w:rsidRPr="00453E1C" w:rsidRDefault="00A81369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A81369" w:rsidRPr="00453E1C" w:rsidRDefault="00AD5A8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Seguimiento y gestión a los planes de acción de los operadores. (Acompañarlos de obligaciones contractuales).</w:t>
            </w:r>
          </w:p>
        </w:tc>
      </w:tr>
    </w:tbl>
    <w:p w:rsidR="00A81369" w:rsidRPr="003D0B15" w:rsidRDefault="00A81369" w:rsidP="00A81369">
      <w:pPr>
        <w:spacing w:before="100" w:beforeAutospacing="1" w:after="100" w:afterAutospacing="1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</w:p>
    <w:p w:rsidR="003D0B15" w:rsidRPr="003D0B15" w:rsidRDefault="003D0B15" w:rsidP="003D0B15">
      <w:pPr>
        <w:pStyle w:val="Ttulo1"/>
        <w:rPr>
          <w:lang w:val="es-CO" w:eastAsia="es-CO"/>
        </w:rPr>
      </w:pPr>
      <w:bookmarkStart w:id="3" w:name="_Toc468867666"/>
      <w:r w:rsidRPr="003D0B15">
        <w:rPr>
          <w:lang w:val="es-CO" w:eastAsia="es-CO"/>
        </w:rPr>
        <w:lastRenderedPageBreak/>
        <w:t>Soluciones Particulares Destacadas</w:t>
      </w:r>
      <w:bookmarkEnd w:id="3"/>
    </w:p>
    <w:p w:rsidR="003D0B15" w:rsidRPr="003D0B15" w:rsidRDefault="003D0B15" w:rsidP="003D0B15">
      <w:pPr>
        <w:spacing w:after="0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Las soluciones individuales y destacadas son aquellas que no tienen relación de implementación con otras, y requieren de su implementación particular. A pesar de eso, se las considera como prospecto dado que puntúan bien en uno, o varios de los filtros de selección de solución.</w:t>
      </w:r>
    </w:p>
    <w:p w:rsidR="00E031BD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 xml:space="preserve">(Aseo) Empoderamiento ciudadano: Canal oficial (característica importante). reporte de casos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AD5A8C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Entregar a la ciudadanía una herramienta para gestión de acciones correctivas de los servicios públicos.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9C1570" w:rsidP="00AD5A8C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que permita acercar al usuario final con la entidad para que pueda reportar diferentes tipos de necesidades que no dan espera a realizar el tr</w:t>
            </w:r>
            <w:r w:rsidR="00AD5A8C">
              <w:rPr>
                <w:lang w:val="es-CO" w:eastAsia="es-CO"/>
              </w:rPr>
              <w:t>á</w:t>
            </w:r>
            <w:r w:rsidRPr="009C1570">
              <w:rPr>
                <w:lang w:val="es-CO" w:eastAsia="es-CO"/>
              </w:rPr>
              <w:t>mite normal</w:t>
            </w:r>
            <w:r w:rsidR="00AD5A8C">
              <w:rPr>
                <w:lang w:val="es-CO" w:eastAsia="es-CO"/>
              </w:rPr>
              <w:t xml:space="preserve"> (recolección de escombros, recolección de basura en punto crítico, solicitud de cambio de luminaria, solicitud de poda de árboles, solicitud de poda de césped, etc.)</w:t>
            </w:r>
            <w:r w:rsidRPr="009C1570">
              <w:rPr>
                <w:lang w:val="es-CO" w:eastAsia="es-CO"/>
              </w:rPr>
              <w:t xml:space="preserve">. El sistema debe tener la posibilidad de observar la </w:t>
            </w:r>
            <w:r w:rsidR="00AD5A8C" w:rsidRPr="009C1570">
              <w:rPr>
                <w:lang w:val="es-CO" w:eastAsia="es-CO"/>
              </w:rPr>
              <w:t>gestión</w:t>
            </w:r>
            <w:r w:rsidRPr="009C1570">
              <w:rPr>
                <w:lang w:val="es-CO" w:eastAsia="es-CO"/>
              </w:rPr>
              <w:t xml:space="preserve"> que se está adelantando frente a cada una de las necesidades presentadas.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BF2957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Alcaldías, operadores del servicio y secretarías encargadas de supervisión</w:t>
            </w:r>
            <w:r w:rsidR="004961BE">
              <w:rPr>
                <w:lang w:val="es-CO" w:eastAsia="es-CO"/>
              </w:rPr>
              <w:t>, Veedurías.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Default="00BF2957" w:rsidP="00BF2957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Herramientas de gran impacto ciudadano.</w:t>
            </w:r>
          </w:p>
          <w:p w:rsidR="00BF2957" w:rsidRPr="00453E1C" w:rsidRDefault="00BF2957" w:rsidP="00BF2957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Impacta en la prestación del servicio.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BF2957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SerCappital Bogotá, </w:t>
            </w:r>
            <w:hyperlink r:id="rId9" w:history="1">
              <w:r w:rsidRPr="0053402F">
                <w:rPr>
                  <w:rStyle w:val="Hipervnculo"/>
                  <w:lang w:val="es-CO" w:eastAsia="es-CO"/>
                </w:rPr>
                <w:t>http://www.lineaverdemunicipal.com/</w:t>
              </w:r>
            </w:hyperlink>
            <w:r>
              <w:rPr>
                <w:lang w:val="es-CO" w:eastAsia="es-CO"/>
              </w:rPr>
              <w:t xml:space="preserve">, </w:t>
            </w:r>
            <w:hyperlink r:id="rId10" w:history="1">
              <w:r w:rsidRPr="0053402F">
                <w:rPr>
                  <w:rStyle w:val="Hipervnculo"/>
                  <w:lang w:val="es-CO" w:eastAsia="es-CO"/>
                </w:rPr>
                <w:t>http://www.loremsolutions.com/es/productos/incidencias</w:t>
              </w:r>
            </w:hyperlink>
            <w:r>
              <w:rPr>
                <w:lang w:val="es-CO" w:eastAsia="es-CO"/>
              </w:rPr>
              <w:t>, son algunos de los software que tienen este tipo de posibilidades.</w:t>
            </w: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Default="00BF2957" w:rsidP="00BF2957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Acercamiento con la ciudadanía.</w:t>
            </w:r>
          </w:p>
          <w:p w:rsidR="00BF2957" w:rsidRDefault="00BF2957" w:rsidP="00BF2957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Registro de incidentes en tiempo real.</w:t>
            </w:r>
          </w:p>
          <w:p w:rsidR="00BF2957" w:rsidRPr="00453E1C" w:rsidRDefault="00BF2957" w:rsidP="00BF2957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Seguimiento en tiempo real.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BF2957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Políticas de trabajo pues se puede intentar volver en PQRS.</w:t>
            </w:r>
          </w:p>
        </w:tc>
      </w:tr>
    </w:tbl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relacionados a servicios públicos. Puede ser parte de PQR Central.</w:t>
      </w:r>
      <w:r w:rsidR="009C1570">
        <w:rPr>
          <w:lang w:val="es-CO" w:eastAsia="es-CO"/>
        </w:rPr>
        <w:t xml:space="preserve"> (No se cual es???)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E031BD" w:rsidP="00613C8B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</w:p>
        </w:tc>
      </w:tr>
    </w:tbl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(Alcantarillado) Seguimiento residuos y tratamiento de aguas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Administrar y gestionar los programas de seguimiento de residuos y tratamientos de agua.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9C1570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para Transferencia de información o software especifico que permita realizar el seguimiento a la potabilización de agua y el tratamiento de la misma</w:t>
            </w:r>
            <w:r w:rsidR="004961BE">
              <w:rPr>
                <w:lang w:val="es-CO" w:eastAsia="es-CO"/>
              </w:rPr>
              <w:t>, junto con el seguimiento de los residuos producto de dicha potabilización, ya sea de aguas de consumo humano como de aguas negras</w:t>
            </w:r>
            <w:r w:rsidRPr="009C1570">
              <w:rPr>
                <w:lang w:val="es-CO" w:eastAsia="es-CO"/>
              </w:rPr>
              <w:t>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Empresas de Acueducto y Alcantarillado, secretarias de supervisión </w:t>
            </w:r>
            <w:r>
              <w:rPr>
                <w:lang w:val="es-CO" w:eastAsia="es-CO"/>
              </w:rPr>
              <w:lastRenderedPageBreak/>
              <w:t>del servicio de acueducto y alcantarillad, alcaldías.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lastRenderedPageBreak/>
              <w:t>Beneficio(s) directos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Información en tiempo real sobre los procesos adelantados para el tratamiento de aguas y de los residuos, frente al impacto ambiental que se generar dada la actividad productiva correspondiente.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Hay programadores de cronogramas y seguimiento pero ninguno orientado a la parte ambiental y pública correspondiente a cumplimiento normativo.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Indicadores y seguimientos de ley frente a las acciones definidas como necesarias dentro de la prestación del servicio.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Colaboración de los operadores para adelantar el desarrollo.</w:t>
            </w:r>
          </w:p>
        </w:tc>
      </w:tr>
    </w:tbl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(Aseo) Aprovechamiento de materiales 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Permitir la gestión y administración de la información sobre el aprovechamiento de materiales potencialmente reciclables y del modelo de aprovechamiento.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que organice el sistema o modelo de reciclaje de las ciudades a partir de la inclusión de población recicladora, organizaciones de recicladores, centro de acopio de material potencialmente reciclable entre otros.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4961BE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Alcaldías, operadores del servicio de aseo, Veedurías, Secretarias con la función de </w:t>
            </w:r>
            <w:r w:rsidR="007F64E4">
              <w:rPr>
                <w:lang w:val="es-CO" w:eastAsia="es-CO"/>
              </w:rPr>
              <w:t>Inclusión social.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Implementación del modelo de aprovechamiento de material reciclable en las ciudades.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Existen apps para pedir la recolección de residuos pero no como modelo de aseo y aprovechamiento de materiales.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Definición e implementación de sistemas para el sistema de reciclaje de una ciudad.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Afectación de la tarifa de aseo para soportar la inversión en el desarrollo del sistema.</w:t>
            </w:r>
          </w:p>
        </w:tc>
      </w:tr>
    </w:tbl>
    <w:p w:rsidR="003D0B15" w:rsidRDefault="003D0B15" w:rsidP="003D0B1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lang w:val="es-CO" w:eastAsia="es-CO"/>
        </w:rPr>
      </w:pPr>
      <w:r w:rsidRPr="003D0B15">
        <w:rPr>
          <w:lang w:val="es-CO" w:eastAsia="es-CO"/>
        </w:rPr>
        <w:t>(Aseo) Administración rutas de recolección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Objetivo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Gestionar y administrar las  rutas de recolección de basuras-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Descripción</w:t>
            </w:r>
          </w:p>
        </w:tc>
        <w:tc>
          <w:tcPr>
            <w:tcW w:w="6295" w:type="dxa"/>
          </w:tcPr>
          <w:p w:rsidR="00E031BD" w:rsidRPr="00453E1C" w:rsidRDefault="009C1570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9C1570">
              <w:rPr>
                <w:lang w:val="es-CO" w:eastAsia="es-CO"/>
              </w:rPr>
              <w:t>Sistema que permitirá realizar seguimientos, administración y verificación de cumplimiento de rutas de recolección y servicio prestado.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Encargado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Alcaldías, Secretarías encargadas de aseo, operadores de aseo.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Beneficio(s) directos</w:t>
            </w:r>
          </w:p>
        </w:tc>
        <w:tc>
          <w:tcPr>
            <w:tcW w:w="6295" w:type="dxa"/>
          </w:tcPr>
          <w:p w:rsidR="00E031BD" w:rsidRPr="00453E1C" w:rsidRDefault="007F64E4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 xml:space="preserve">Contacto directo con el ciudadano, información en tiempo real del cumplimiento de rutas asignado, </w:t>
            </w:r>
            <w:r w:rsidR="006A5A2A">
              <w:rPr>
                <w:lang w:val="es-CO" w:eastAsia="es-CO"/>
              </w:rPr>
              <w:t>Información con el ciudadano.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Iniciativas</w:t>
            </w:r>
          </w:p>
        </w:tc>
        <w:tc>
          <w:tcPr>
            <w:tcW w:w="6295" w:type="dxa"/>
          </w:tcPr>
          <w:p w:rsidR="00E031BD" w:rsidRPr="00453E1C" w:rsidRDefault="006A5A2A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Hay innumerables sistemas de seguimiento de vehículos, incluso orientados a recolección de basura, pero se debe dar un bono adicional para crear las interacciones con los usuarios finales.</w:t>
            </w:r>
          </w:p>
        </w:tc>
      </w:tr>
      <w:tr w:rsidR="00E031BD" w:rsidRPr="004C5F61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</w:t>
            </w:r>
          </w:p>
        </w:tc>
        <w:tc>
          <w:tcPr>
            <w:tcW w:w="6295" w:type="dxa"/>
          </w:tcPr>
          <w:p w:rsidR="00E031BD" w:rsidRDefault="006A5A2A" w:rsidP="006A5A2A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Seguimiento por parte del ente público al cumplimiento del operador.</w:t>
            </w:r>
          </w:p>
          <w:p w:rsidR="006A5A2A" w:rsidRPr="00453E1C" w:rsidRDefault="006A5A2A" w:rsidP="006A5A2A">
            <w:pPr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Comunicación de información con el usuario final.</w:t>
            </w:r>
          </w:p>
        </w:tc>
      </w:tr>
      <w:tr w:rsidR="00E031BD" w:rsidRPr="00453E1C" w:rsidTr="00C3126E">
        <w:tc>
          <w:tcPr>
            <w:tcW w:w="2695" w:type="dxa"/>
          </w:tcPr>
          <w:p w:rsidR="00E031BD" w:rsidRPr="00453E1C" w:rsidRDefault="00E031BD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 w:rsidRPr="00453E1C">
              <w:rPr>
                <w:lang w:val="es-CO" w:eastAsia="es-CO"/>
              </w:rPr>
              <w:t>Problemas</w:t>
            </w:r>
          </w:p>
        </w:tc>
        <w:tc>
          <w:tcPr>
            <w:tcW w:w="6295" w:type="dxa"/>
          </w:tcPr>
          <w:p w:rsidR="00E031BD" w:rsidRPr="00453E1C" w:rsidRDefault="006A5A2A" w:rsidP="00C3126E">
            <w:pPr>
              <w:spacing w:before="100" w:beforeAutospacing="1" w:after="100" w:afterAutospacing="1"/>
              <w:jc w:val="left"/>
              <w:rPr>
                <w:lang w:val="es-CO" w:eastAsia="es-CO"/>
              </w:rPr>
            </w:pPr>
            <w:r>
              <w:rPr>
                <w:lang w:val="es-CO" w:eastAsia="es-CO"/>
              </w:rPr>
              <w:t>Ninguno.</w:t>
            </w:r>
          </w:p>
        </w:tc>
      </w:tr>
    </w:tbl>
    <w:p w:rsidR="00E031BD" w:rsidRDefault="00E031BD">
      <w:pPr>
        <w:rPr>
          <w:rFonts w:asciiTheme="majorHAnsi" w:eastAsiaTheme="majorEastAsia" w:hAnsiTheme="majorHAnsi" w:cstheme="majorBidi"/>
          <w:color w:val="1481AB" w:themeColor="accent1" w:themeShade="BF"/>
          <w:sz w:val="36"/>
          <w:szCs w:val="36"/>
          <w:lang w:val="es-CO" w:eastAsia="es-CO"/>
        </w:rPr>
      </w:pPr>
    </w:p>
    <w:p w:rsidR="003D0B15" w:rsidRDefault="00E031BD" w:rsidP="00E031BD">
      <w:pPr>
        <w:pStyle w:val="Ttulo1"/>
        <w:rPr>
          <w:lang w:val="es-CO" w:eastAsia="es-CO"/>
        </w:rPr>
      </w:pPr>
      <w:bookmarkStart w:id="4" w:name="_Toc468867667"/>
      <w:r>
        <w:rPr>
          <w:lang w:val="es-CO" w:eastAsia="es-CO"/>
        </w:rPr>
        <w:lastRenderedPageBreak/>
        <w:t>Anexos</w:t>
      </w:r>
      <w:bookmarkEnd w:id="4"/>
    </w:p>
    <w:p w:rsidR="00E031BD" w:rsidRDefault="00B40FA6" w:rsidP="00E031BD">
      <w:pPr>
        <w:rPr>
          <w:lang w:val="es-CO" w:eastAsia="es-CO"/>
        </w:rPr>
      </w:pPr>
      <w:r>
        <w:rPr>
          <w:lang w:val="es-CO" w:eastAsia="es-CO"/>
        </w:rPr>
        <w:t>Los anexos se pueden usar para demostrar el uso de los filtros. Por ejemplo, si tiene información respecto a la opinión ciudadana que manifieste la importancia de cierta solución, puede anexar la referencia, o la información aquí.</w:t>
      </w:r>
    </w:p>
    <w:p w:rsidR="00B40FA6" w:rsidRPr="00E031BD" w:rsidRDefault="00B40FA6" w:rsidP="00E031BD">
      <w:pPr>
        <w:rPr>
          <w:lang w:val="es-CO" w:eastAsia="es-CO"/>
        </w:rPr>
      </w:pPr>
    </w:p>
    <w:sectPr w:rsidR="00B40FA6" w:rsidRPr="00E031BD" w:rsidSect="008E487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1C4" w:rsidRDefault="001E31C4">
      <w:pPr>
        <w:spacing w:after="0"/>
      </w:pPr>
      <w:r>
        <w:separator/>
      </w:r>
    </w:p>
  </w:endnote>
  <w:endnote w:type="continuationSeparator" w:id="0">
    <w:p w:rsidR="001E31C4" w:rsidRDefault="001E31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1C4" w:rsidRDefault="001E31C4">
      <w:pPr>
        <w:spacing w:after="0"/>
      </w:pPr>
      <w:r>
        <w:separator/>
      </w:r>
    </w:p>
  </w:footnote>
  <w:footnote w:type="continuationSeparator" w:id="0">
    <w:p w:rsidR="001E31C4" w:rsidRDefault="001E31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D4F1C"/>
    <w:multiLevelType w:val="multilevel"/>
    <w:tmpl w:val="3480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723E5"/>
    <w:multiLevelType w:val="multilevel"/>
    <w:tmpl w:val="88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16C21"/>
    <w:multiLevelType w:val="hybridMultilevel"/>
    <w:tmpl w:val="F65478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7591"/>
    <w:multiLevelType w:val="multilevel"/>
    <w:tmpl w:val="FBA6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D0B15"/>
    <w:rsid w:val="00013832"/>
    <w:rsid w:val="00066685"/>
    <w:rsid w:val="00145B71"/>
    <w:rsid w:val="00180267"/>
    <w:rsid w:val="001E31C4"/>
    <w:rsid w:val="00267FDD"/>
    <w:rsid w:val="003D0B15"/>
    <w:rsid w:val="00452B03"/>
    <w:rsid w:val="00453E1C"/>
    <w:rsid w:val="004961BE"/>
    <w:rsid w:val="004C5F61"/>
    <w:rsid w:val="00613C8B"/>
    <w:rsid w:val="00630C69"/>
    <w:rsid w:val="006A5A2A"/>
    <w:rsid w:val="007F64E4"/>
    <w:rsid w:val="008E4873"/>
    <w:rsid w:val="00974CC6"/>
    <w:rsid w:val="009C1570"/>
    <w:rsid w:val="00A163A4"/>
    <w:rsid w:val="00A81369"/>
    <w:rsid w:val="00AD5A8C"/>
    <w:rsid w:val="00AF14F8"/>
    <w:rsid w:val="00B40FA6"/>
    <w:rsid w:val="00BF2957"/>
    <w:rsid w:val="00C8768C"/>
    <w:rsid w:val="00D53B23"/>
    <w:rsid w:val="00E031BD"/>
    <w:rsid w:val="00E62FA7"/>
    <w:rsid w:val="00E9422D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637A8-57D7-40FE-B781-62C7D8D1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873"/>
  </w:style>
  <w:style w:type="paragraph" w:styleId="Ttulo1">
    <w:name w:val="heading 1"/>
    <w:basedOn w:val="Normal"/>
    <w:next w:val="Normal"/>
    <w:link w:val="Ttulo1Car"/>
    <w:uiPriority w:val="9"/>
    <w:qFormat/>
    <w:rsid w:val="008E4873"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873"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873"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873"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87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87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87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87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87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873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8E4873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E487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8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8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87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87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87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87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8E4873"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E4873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87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8E48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rsid w:val="008E4873"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sid w:val="008E4873"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8E4873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8E4873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E4873"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E487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E4873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873"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873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rsid w:val="008E4873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8E4873"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4873"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sid w:val="008E4873"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4873"/>
  </w:style>
  <w:style w:type="character" w:styleId="Textoennegrita">
    <w:name w:val="Strong"/>
    <w:basedOn w:val="Fuentedeprrafopredeter"/>
    <w:uiPriority w:val="22"/>
    <w:qFormat/>
    <w:rsid w:val="008E4873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8E487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0B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0B15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453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2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2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oremsolutions.com/es/productos/incidencias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ineaverdemunicipal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%20Wong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93798-7A81-40D6-935E-21760753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256</TotalTime>
  <Pages>7</Pages>
  <Words>1887</Words>
  <Characters>10379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Wong</dc:creator>
  <cp:keywords/>
  <cp:lastModifiedBy>HWO .</cp:lastModifiedBy>
  <cp:revision>17</cp:revision>
  <dcterms:created xsi:type="dcterms:W3CDTF">2016-12-07T14:42:00Z</dcterms:created>
  <dcterms:modified xsi:type="dcterms:W3CDTF">2016-12-15T21:31:00Z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