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C6F4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93" w:type="dxa"/>
          </w:tcPr>
          <w:p w:rsidR="00445E9D" w:rsidRPr="000326B8" w:rsidRDefault="00445E9D" w:rsidP="001D45EC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D45EC" w:rsidRPr="001D45EC">
              <w:rPr>
                <w:rFonts w:ascii="Arial" w:hAnsi="Arial" w:cs="Arial"/>
                <w:sz w:val="22"/>
                <w:szCs w:val="22"/>
              </w:rPr>
              <w:t>6 julio 2016</w:t>
            </w:r>
          </w:p>
        </w:tc>
        <w:tc>
          <w:tcPr>
            <w:tcW w:w="1843" w:type="dxa"/>
          </w:tcPr>
          <w:p w:rsidR="00445E9D" w:rsidRPr="000326B8" w:rsidRDefault="00445E9D" w:rsidP="005E216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1C6F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D45EC">
              <w:rPr>
                <w:rFonts w:ascii="Arial" w:hAnsi="Arial" w:cs="Arial"/>
                <w:sz w:val="22"/>
                <w:szCs w:val="22"/>
              </w:rPr>
              <w:t>15</w:t>
            </w:r>
            <w:r w:rsidR="009332DA" w:rsidRPr="001C6F4A">
              <w:rPr>
                <w:rFonts w:ascii="Arial" w:hAnsi="Arial" w:cs="Arial"/>
                <w:sz w:val="22"/>
                <w:szCs w:val="22"/>
              </w:rPr>
              <w:t>:00</w:t>
            </w:r>
          </w:p>
        </w:tc>
        <w:tc>
          <w:tcPr>
            <w:tcW w:w="3118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32DA" w:rsidRPr="001C6F4A">
              <w:rPr>
                <w:rFonts w:ascii="Arial" w:hAnsi="Arial" w:cs="Arial"/>
                <w:sz w:val="22"/>
                <w:szCs w:val="22"/>
              </w:rPr>
              <w:t>OyG Consultores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CTO,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Patricia García</w:t>
            </w:r>
          </w:p>
        </w:tc>
        <w:tc>
          <w:tcPr>
            <w:tcW w:w="5103" w:type="dxa"/>
          </w:tcPr>
          <w:p w:rsidR="00A05702" w:rsidRPr="000326B8" w:rsidRDefault="005E216B" w:rsidP="00A95B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Especialista Vertical Salud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Desarrollo de Soluciones TI para Vertical Salud.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6F4A" w:rsidRDefault="001C6F4A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Entendimiento de Vertical </w:t>
            </w:r>
            <w:r w:rsidR="001D45EC">
              <w:rPr>
                <w:rFonts w:ascii="Arial" w:hAnsi="Arial" w:cs="Arial"/>
                <w:sz w:val="22"/>
                <w:szCs w:val="22"/>
              </w:rPr>
              <w:t>Servicios</w:t>
            </w:r>
          </w:p>
          <w:p w:rsidR="00C56BA5" w:rsidRPr="001C6F4A" w:rsidRDefault="00C56BA5" w:rsidP="001C6F4A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  <w:p w:rsidR="005E216B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03665F" w:rsidRDefault="0003665F" w:rsidP="0003665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Default="001C6F4A" w:rsidP="001C6F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Entendimiento la Vertical </w:t>
            </w:r>
            <w:r w:rsidR="001D45EC">
              <w:rPr>
                <w:rFonts w:ascii="Arial" w:hAnsi="Arial" w:cs="Arial"/>
                <w:sz w:val="22"/>
                <w:szCs w:val="22"/>
              </w:rPr>
              <w:t>Servicios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br/>
              <w:t>De la revisión inicial de la matriz se identifican los actores, problemas y tipos de servicios que componente la vertical. El marco legal también es abordado de forma breve. Se concluye que la Vertical tiene un nivel de madurez (regulatorio, operacional y tecnológico) alto.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:rsidR="0003665F" w:rsidRPr="0003665F" w:rsidRDefault="001C6F4A" w:rsidP="001C6F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partir de la matriz SIPOC versión del momento s</w:t>
            </w:r>
            <w:r w:rsidR="0003665F">
              <w:rPr>
                <w:rFonts w:ascii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</w:rPr>
              <w:t>lleva el registro de los servicios organizados por Nivel del Servicio pero aún no es claro cómo relacionar soluciones con la complejidad de la Vertical.</w:t>
            </w:r>
            <w:r w:rsidR="0003665F">
              <w:rPr>
                <w:rFonts w:ascii="Arial" w:hAnsi="Arial" w:cs="Arial"/>
                <w:sz w:val="22"/>
                <w:szCs w:val="22"/>
              </w:rPr>
              <w:br/>
            </w:r>
          </w:p>
          <w:p w:rsidR="00A94ABC" w:rsidRDefault="00A94ABC" w:rsidP="00A94ABC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Pr="003073FE" w:rsidRDefault="00A94ABC" w:rsidP="00A94ABC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21B" w:rsidRPr="00DA5591" w:rsidRDefault="00DA5591" w:rsidP="00DA55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A5591">
              <w:rPr>
                <w:rFonts w:ascii="Arial" w:hAnsi="Arial" w:cs="Arial"/>
                <w:b/>
                <w:sz w:val="22"/>
                <w:szCs w:val="22"/>
              </w:rPr>
              <w:t>Temas Pendientes</w:t>
            </w:r>
          </w:p>
          <w:p w:rsidR="001C6F4A" w:rsidRDefault="001C6F4A" w:rsidP="001C6F4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1C6F4A">
              <w:rPr>
                <w:rFonts w:ascii="Arial" w:hAnsi="Arial" w:cs="Arial"/>
                <w:sz w:val="22"/>
                <w:szCs w:val="22"/>
              </w:rPr>
              <w:t>[Identificación de Oportunidades y Problemas Vertical (SIPOC)]</w:t>
            </w:r>
          </w:p>
          <w:p w:rsidR="007F0777" w:rsidRPr="001C6F4A" w:rsidRDefault="001C6F4A" w:rsidP="001C6F4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1C6F4A">
              <w:rPr>
                <w:rFonts w:ascii="Arial" w:hAnsi="Arial" w:cs="Arial"/>
                <w:sz w:val="22"/>
                <w:szCs w:val="22"/>
              </w:rPr>
              <w:t>[Mapeo de Soluciones y Oportunidades]</w:t>
            </w: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1E197A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0B1C26" w:rsidRPr="000326B8" w:rsidRDefault="000B1C2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8551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1D45EC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D45EC" w:rsidRPr="001D45EC">
              <w:rPr>
                <w:rFonts w:ascii="Arial" w:hAnsi="Arial" w:cs="Arial"/>
                <w:sz w:val="22"/>
                <w:szCs w:val="22"/>
              </w:rPr>
              <w:t>6 julio 2016</w:t>
            </w:r>
          </w:p>
        </w:tc>
        <w:tc>
          <w:tcPr>
            <w:tcW w:w="4821" w:type="dxa"/>
          </w:tcPr>
          <w:p w:rsidR="00445E9D" w:rsidRPr="000326B8" w:rsidRDefault="00445E9D" w:rsidP="0071518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D45EC">
              <w:rPr>
                <w:rFonts w:ascii="Arial" w:hAnsi="Arial" w:cs="Arial"/>
                <w:sz w:val="22"/>
                <w:szCs w:val="22"/>
              </w:rPr>
              <w:t>16:30</w:t>
            </w:r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D30297" w:rsidRDefault="001D45EC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8" w:type="dxa"/>
            <w:gridSpan w:val="2"/>
          </w:tcPr>
          <w:p w:rsidR="00445E9D" w:rsidRPr="00D30297" w:rsidRDefault="00445E9D" w:rsidP="00D302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>
              <w:rPr>
                <w:rFonts w:ascii="Arial" w:hAnsi="Arial" w:cs="Arial"/>
                <w:sz w:val="22"/>
                <w:szCs w:val="22"/>
                <w:lang w:eastAsia="ar-SA"/>
              </w:rPr>
              <w:t>Harry Wong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CTO Persépolis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29 Sept.</w:t>
            </w:r>
          </w:p>
        </w:tc>
        <w:tc>
          <w:tcPr>
            <w:tcW w:w="4981" w:type="dxa"/>
          </w:tcPr>
          <w:p w:rsidR="00163F1E" w:rsidRPr="000326B8" w:rsidRDefault="00163F1E" w:rsidP="002D45B6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06</w:t>
            </w:r>
            <w:r w:rsidR="002D45B6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07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16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default" r:id="rId8"/>
      <w:footerReference w:type="default" r:id="rId9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E5D" w:rsidRDefault="00F77E5D">
      <w:r>
        <w:separator/>
      </w:r>
    </w:p>
  </w:endnote>
  <w:endnote w:type="continuationSeparator" w:id="0">
    <w:p w:rsidR="00F77E5D" w:rsidRDefault="00F7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E5D" w:rsidRDefault="00F77E5D">
      <w:r>
        <w:separator/>
      </w:r>
    </w:p>
  </w:footnote>
  <w:footnote w:type="continuationSeparator" w:id="0">
    <w:p w:rsidR="00F77E5D" w:rsidRDefault="00F77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1D45EC">
            <w:rPr>
              <w:rFonts w:ascii="Arial" w:hAnsi="Arial" w:cs="Arial"/>
              <w:b/>
              <w:bCs/>
              <w:noProof/>
              <w:sz w:val="22"/>
            </w:rPr>
            <w:t>2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1D45EC">
            <w:rPr>
              <w:rFonts w:ascii="Arial" w:hAnsi="Arial" w:cs="Arial"/>
              <w:b/>
              <w:bCs/>
              <w:noProof/>
              <w:sz w:val="22"/>
            </w:rPr>
            <w:t>2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25267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4012"/>
    <w:multiLevelType w:val="hybridMultilevel"/>
    <w:tmpl w:val="8C2E6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1C2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65F"/>
    <w:rsid w:val="00036ECF"/>
    <w:rsid w:val="00053087"/>
    <w:rsid w:val="00085518"/>
    <w:rsid w:val="00085D2A"/>
    <w:rsid w:val="000A24B2"/>
    <w:rsid w:val="000B1C26"/>
    <w:rsid w:val="000D0CD3"/>
    <w:rsid w:val="000D2E29"/>
    <w:rsid w:val="000E22C2"/>
    <w:rsid w:val="000E62AE"/>
    <w:rsid w:val="00102DA8"/>
    <w:rsid w:val="00112242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C18A3"/>
    <w:rsid w:val="001C6F4A"/>
    <w:rsid w:val="001D45EC"/>
    <w:rsid w:val="001E197A"/>
    <w:rsid w:val="001E68F3"/>
    <w:rsid w:val="001F466E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A4771"/>
    <w:rsid w:val="002A4EA5"/>
    <w:rsid w:val="002A75C0"/>
    <w:rsid w:val="002B617C"/>
    <w:rsid w:val="002B6B04"/>
    <w:rsid w:val="002C51D9"/>
    <w:rsid w:val="002D45B6"/>
    <w:rsid w:val="002D6387"/>
    <w:rsid w:val="002F266D"/>
    <w:rsid w:val="002F4CD1"/>
    <w:rsid w:val="002F7515"/>
    <w:rsid w:val="003073FE"/>
    <w:rsid w:val="003130CD"/>
    <w:rsid w:val="003206AC"/>
    <w:rsid w:val="003242DC"/>
    <w:rsid w:val="00331135"/>
    <w:rsid w:val="00331963"/>
    <w:rsid w:val="00336528"/>
    <w:rsid w:val="00357BBB"/>
    <w:rsid w:val="00377056"/>
    <w:rsid w:val="00384530"/>
    <w:rsid w:val="00384DD8"/>
    <w:rsid w:val="00385FD8"/>
    <w:rsid w:val="00386934"/>
    <w:rsid w:val="003A74E0"/>
    <w:rsid w:val="003A7B33"/>
    <w:rsid w:val="003B6CB1"/>
    <w:rsid w:val="003C1449"/>
    <w:rsid w:val="003C768B"/>
    <w:rsid w:val="003D3513"/>
    <w:rsid w:val="003D7A5D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5E9D"/>
    <w:rsid w:val="004474BB"/>
    <w:rsid w:val="00450475"/>
    <w:rsid w:val="004625C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C30CA"/>
    <w:rsid w:val="004C40D2"/>
    <w:rsid w:val="004D0E8D"/>
    <w:rsid w:val="004D245B"/>
    <w:rsid w:val="004D447F"/>
    <w:rsid w:val="00501A05"/>
    <w:rsid w:val="00531F3B"/>
    <w:rsid w:val="0053254B"/>
    <w:rsid w:val="00545172"/>
    <w:rsid w:val="00552C63"/>
    <w:rsid w:val="00563C72"/>
    <w:rsid w:val="00567DA9"/>
    <w:rsid w:val="0057053F"/>
    <w:rsid w:val="005848F0"/>
    <w:rsid w:val="00585487"/>
    <w:rsid w:val="00590479"/>
    <w:rsid w:val="00596F16"/>
    <w:rsid w:val="005B11A7"/>
    <w:rsid w:val="005B24BD"/>
    <w:rsid w:val="005B5607"/>
    <w:rsid w:val="005C752B"/>
    <w:rsid w:val="005E216B"/>
    <w:rsid w:val="005F0D38"/>
    <w:rsid w:val="005F50A2"/>
    <w:rsid w:val="005F6A18"/>
    <w:rsid w:val="005F7BC8"/>
    <w:rsid w:val="00605F88"/>
    <w:rsid w:val="006142BB"/>
    <w:rsid w:val="00624D95"/>
    <w:rsid w:val="006632C3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5181"/>
    <w:rsid w:val="007173DA"/>
    <w:rsid w:val="00717553"/>
    <w:rsid w:val="007216C2"/>
    <w:rsid w:val="00727752"/>
    <w:rsid w:val="00761733"/>
    <w:rsid w:val="007744C6"/>
    <w:rsid w:val="007774AB"/>
    <w:rsid w:val="007803C0"/>
    <w:rsid w:val="007A0142"/>
    <w:rsid w:val="007B4B6D"/>
    <w:rsid w:val="007C4BB8"/>
    <w:rsid w:val="007D0275"/>
    <w:rsid w:val="007D1335"/>
    <w:rsid w:val="007D3934"/>
    <w:rsid w:val="007D3E1B"/>
    <w:rsid w:val="007D44B9"/>
    <w:rsid w:val="007E34BB"/>
    <w:rsid w:val="007F0777"/>
    <w:rsid w:val="0080021B"/>
    <w:rsid w:val="008146C4"/>
    <w:rsid w:val="008149ED"/>
    <w:rsid w:val="0084418B"/>
    <w:rsid w:val="00845043"/>
    <w:rsid w:val="0084572F"/>
    <w:rsid w:val="008775ED"/>
    <w:rsid w:val="008858D8"/>
    <w:rsid w:val="00892926"/>
    <w:rsid w:val="008B09D2"/>
    <w:rsid w:val="008D371D"/>
    <w:rsid w:val="008E14E5"/>
    <w:rsid w:val="008E1F2D"/>
    <w:rsid w:val="00906D2D"/>
    <w:rsid w:val="00907BB3"/>
    <w:rsid w:val="0091074D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37DBC"/>
    <w:rsid w:val="00A532A6"/>
    <w:rsid w:val="00A54467"/>
    <w:rsid w:val="00A55301"/>
    <w:rsid w:val="00A63E96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B05E82"/>
    <w:rsid w:val="00B067AA"/>
    <w:rsid w:val="00B21430"/>
    <w:rsid w:val="00B32440"/>
    <w:rsid w:val="00B360B6"/>
    <w:rsid w:val="00B4566D"/>
    <w:rsid w:val="00B47FC2"/>
    <w:rsid w:val="00B6551A"/>
    <w:rsid w:val="00B73176"/>
    <w:rsid w:val="00B865EE"/>
    <w:rsid w:val="00BA041E"/>
    <w:rsid w:val="00BA067A"/>
    <w:rsid w:val="00BA3BB4"/>
    <w:rsid w:val="00BB5ED4"/>
    <w:rsid w:val="00BB6FA3"/>
    <w:rsid w:val="00BB7AAD"/>
    <w:rsid w:val="00BC3F52"/>
    <w:rsid w:val="00BC6B22"/>
    <w:rsid w:val="00BD1370"/>
    <w:rsid w:val="00BD39C8"/>
    <w:rsid w:val="00BE1AA1"/>
    <w:rsid w:val="00BF75B6"/>
    <w:rsid w:val="00C32169"/>
    <w:rsid w:val="00C37BE0"/>
    <w:rsid w:val="00C45121"/>
    <w:rsid w:val="00C56BA5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C2EB2"/>
    <w:rsid w:val="00CF0AA3"/>
    <w:rsid w:val="00CF120B"/>
    <w:rsid w:val="00D0190B"/>
    <w:rsid w:val="00D05AF4"/>
    <w:rsid w:val="00D07E6F"/>
    <w:rsid w:val="00D1337B"/>
    <w:rsid w:val="00D14C91"/>
    <w:rsid w:val="00D30297"/>
    <w:rsid w:val="00D353A7"/>
    <w:rsid w:val="00D35671"/>
    <w:rsid w:val="00D35C63"/>
    <w:rsid w:val="00D51448"/>
    <w:rsid w:val="00D91E1E"/>
    <w:rsid w:val="00D922C5"/>
    <w:rsid w:val="00DA5591"/>
    <w:rsid w:val="00DC578B"/>
    <w:rsid w:val="00DC65E3"/>
    <w:rsid w:val="00DC7958"/>
    <w:rsid w:val="00DD5FC2"/>
    <w:rsid w:val="00DE5871"/>
    <w:rsid w:val="00DF7950"/>
    <w:rsid w:val="00E00F38"/>
    <w:rsid w:val="00E10705"/>
    <w:rsid w:val="00E24E5D"/>
    <w:rsid w:val="00E314F2"/>
    <w:rsid w:val="00E820A5"/>
    <w:rsid w:val="00E8337E"/>
    <w:rsid w:val="00E85A17"/>
    <w:rsid w:val="00EA2343"/>
    <w:rsid w:val="00EB2D3A"/>
    <w:rsid w:val="00EB46EF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3F5D"/>
    <w:rsid w:val="00F2513D"/>
    <w:rsid w:val="00F44596"/>
    <w:rsid w:val="00F7639C"/>
    <w:rsid w:val="00F77E5D"/>
    <w:rsid w:val="00F87122"/>
    <w:rsid w:val="00F90E88"/>
    <w:rsid w:val="00F916CF"/>
    <w:rsid w:val="00F95931"/>
    <w:rsid w:val="00FA3DF9"/>
    <w:rsid w:val="00FA5558"/>
    <w:rsid w:val="00FA5781"/>
    <w:rsid w:val="00FB5BF0"/>
    <w:rsid w:val="00FB620F"/>
    <w:rsid w:val="00FC3E68"/>
    <w:rsid w:val="00FC75D8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1098E-50C2-4317-ADE3-E8F648D9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10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Harry Alfredo Wong Molina</cp:lastModifiedBy>
  <cp:revision>6</cp:revision>
  <cp:lastPrinted>2016-07-25T13:12:00Z</cp:lastPrinted>
  <dcterms:created xsi:type="dcterms:W3CDTF">2016-10-06T13:27:00Z</dcterms:created>
  <dcterms:modified xsi:type="dcterms:W3CDTF">2016-10-07T20:46:00Z</dcterms:modified>
</cp:coreProperties>
</file>