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B7" w:rsidRDefault="001E7FEE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  <w:r w:rsidRPr="001E7FEE">
        <w:rPr>
          <w:rFonts w:ascii="Trebuchet MS" w:hAnsi="Trebuchet MS" w:cs="Arial"/>
          <w:b/>
          <w:bCs/>
          <w:color w:val="252525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3556116" cy="1910542"/>
            <wp:effectExtent l="0" t="0" r="6350" b="0"/>
            <wp:wrapSquare wrapText="bothSides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16" cy="191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  <w:sectPr w:rsidR="00560905" w:rsidSect="00560905">
          <w:footerReference w:type="default" r:id="rId9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</w:p>
    <w:p w:rsidR="00560905" w:rsidRPr="001E7FEE" w:rsidRDefault="00560905" w:rsidP="001E7FEE">
      <w:pPr>
        <w:pStyle w:val="NormalWeb"/>
        <w:shd w:val="clear" w:color="auto" w:fill="00B050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FFFFFF" w:themeColor="background1"/>
          <w:sz w:val="40"/>
          <w:szCs w:val="20"/>
        </w:rPr>
      </w:pPr>
      <w:r w:rsidRPr="001E7FEE">
        <w:rPr>
          <w:rFonts w:ascii="Trebuchet MS" w:hAnsi="Trebuchet MS" w:cs="Arial"/>
          <w:b/>
          <w:bCs/>
          <w:color w:val="FFFFFF" w:themeColor="background1"/>
          <w:sz w:val="40"/>
          <w:szCs w:val="20"/>
        </w:rPr>
        <w:t>PERSÉPOLIS</w:t>
      </w:r>
    </w:p>
    <w:p w:rsidR="00560905" w:rsidRPr="001E7FEE" w:rsidRDefault="00560905" w:rsidP="001E7FEE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Arial"/>
          <w:bCs/>
          <w:color w:val="252525"/>
          <w:sz w:val="16"/>
          <w:szCs w:val="20"/>
        </w:rPr>
      </w:pPr>
      <w:r w:rsidRPr="001E7FEE">
        <w:rPr>
          <w:rFonts w:ascii="Trebuchet MS" w:hAnsi="Trebuchet MS" w:cs="Arial"/>
          <w:bCs/>
          <w:color w:val="252525"/>
          <w:sz w:val="16"/>
          <w:szCs w:val="20"/>
        </w:rPr>
        <w:t>Ficha de Análisis y Tipificación para viabilidad financiera a entidades territoriales</w:t>
      </w:r>
    </w:p>
    <w:p w:rsidR="001E7FEE" w:rsidRDefault="001E7FEE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  <w:r>
        <w:rPr>
          <w:rFonts w:ascii="Trebuchet MS" w:hAnsi="Trebuchet MS" w:cs="Arial"/>
          <w:b/>
          <w:bCs/>
          <w:color w:val="252525"/>
          <w:sz w:val="20"/>
          <w:szCs w:val="20"/>
        </w:rPr>
        <w:t xml:space="preserve">Tipo Entidad: </w:t>
      </w:r>
      <w:r>
        <w:rPr>
          <w:rFonts w:ascii="Trebuchet MS" w:hAnsi="Trebuchet MS" w:cs="Arial"/>
          <w:b/>
          <w:bCs/>
          <w:color w:val="252525"/>
          <w:sz w:val="20"/>
          <w:szCs w:val="20"/>
        </w:rPr>
        <w:tab/>
        <w:t>Municipio</w:t>
      </w:r>
    </w:p>
    <w:p w:rsidR="001E7FEE" w:rsidRDefault="001E7FEE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  <w:r>
        <w:rPr>
          <w:rFonts w:ascii="Trebuchet MS" w:hAnsi="Trebuchet MS" w:cs="Arial"/>
          <w:b/>
          <w:bCs/>
          <w:color w:val="252525"/>
          <w:sz w:val="20"/>
          <w:szCs w:val="20"/>
        </w:rPr>
        <w:t>Proyecto:</w:t>
      </w:r>
      <w:r>
        <w:rPr>
          <w:rFonts w:ascii="Trebuchet MS" w:hAnsi="Trebuchet MS" w:cs="Arial"/>
          <w:b/>
          <w:bCs/>
          <w:color w:val="252525"/>
          <w:sz w:val="20"/>
          <w:szCs w:val="20"/>
        </w:rPr>
        <w:tab/>
        <w:t xml:space="preserve">Smart </w:t>
      </w:r>
      <w:proofErr w:type="spellStart"/>
      <w:r>
        <w:rPr>
          <w:rFonts w:ascii="Trebuchet MS" w:hAnsi="Trebuchet MS" w:cs="Arial"/>
          <w:b/>
          <w:bCs/>
          <w:color w:val="252525"/>
          <w:sz w:val="20"/>
          <w:szCs w:val="20"/>
        </w:rPr>
        <w:t>Cities</w:t>
      </w:r>
      <w:proofErr w:type="spellEnd"/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  <w:sectPr w:rsidR="00560905" w:rsidSect="00560905">
          <w:type w:val="continuous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</w:p>
    <w:p w:rsid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793635" w:rsidRPr="000736B7" w:rsidRDefault="0079363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  <w:r w:rsidRPr="000736B7">
        <w:rPr>
          <w:rFonts w:ascii="Trebuchet MS" w:hAnsi="Trebuchet MS" w:cs="Arial"/>
          <w:b/>
          <w:bCs/>
          <w:color w:val="252525"/>
          <w:sz w:val="20"/>
          <w:szCs w:val="20"/>
        </w:rPr>
        <w:t>Girardota</w:t>
      </w:r>
      <w:r w:rsidR="002D510A" w:rsidRPr="000736B7">
        <w:rPr>
          <w:rStyle w:val="Refdenotaalpie"/>
          <w:rFonts w:ascii="Trebuchet MS" w:hAnsi="Trebuchet MS" w:cs="Arial"/>
          <w:b/>
          <w:bCs/>
          <w:color w:val="252525"/>
          <w:sz w:val="20"/>
          <w:szCs w:val="20"/>
        </w:rPr>
        <w:footnoteReference w:id="1"/>
      </w:r>
      <w:r w:rsidRPr="000736B7">
        <w:rPr>
          <w:rStyle w:val="apple-converted-space"/>
          <w:rFonts w:ascii="Trebuchet MS" w:hAnsi="Trebuchet MS" w:cs="Arial"/>
          <w:color w:val="252525"/>
          <w:sz w:val="20"/>
          <w:szCs w:val="20"/>
        </w:rPr>
        <w:t xml:space="preserve">: </w:t>
      </w:r>
      <w:r w:rsidRPr="000736B7">
        <w:rPr>
          <w:rFonts w:ascii="Trebuchet MS" w:hAnsi="Trebuchet MS" w:cs="Arial"/>
          <w:color w:val="252525"/>
          <w:sz w:val="20"/>
          <w:szCs w:val="20"/>
        </w:rPr>
        <w:t>municipio</w:t>
      </w:r>
      <w:r w:rsidRPr="000736B7">
        <w:rPr>
          <w:rStyle w:val="apple-converted-space"/>
          <w:rFonts w:ascii="Trebuchet MS" w:hAnsi="Trebuchet MS" w:cs="Arial"/>
          <w:color w:val="252525"/>
          <w:sz w:val="20"/>
          <w:szCs w:val="20"/>
        </w:rPr>
        <w:t> </w:t>
      </w:r>
      <w:r w:rsidRPr="000736B7">
        <w:rPr>
          <w:rFonts w:ascii="Trebuchet MS" w:hAnsi="Trebuchet MS" w:cs="Arial"/>
          <w:color w:val="252525"/>
          <w:sz w:val="20"/>
          <w:szCs w:val="20"/>
        </w:rPr>
        <w:t>de</w:t>
      </w:r>
      <w:r w:rsidRPr="000736B7">
        <w:rPr>
          <w:rStyle w:val="apple-converted-space"/>
          <w:rFonts w:ascii="Trebuchet MS" w:hAnsi="Trebuchet MS" w:cs="Arial"/>
          <w:color w:val="252525"/>
          <w:sz w:val="20"/>
          <w:szCs w:val="20"/>
        </w:rPr>
        <w:t> </w:t>
      </w:r>
      <w:r w:rsidRPr="000736B7">
        <w:rPr>
          <w:rFonts w:ascii="Trebuchet MS" w:hAnsi="Trebuchet MS" w:cs="Arial"/>
          <w:color w:val="252525"/>
          <w:sz w:val="20"/>
          <w:szCs w:val="20"/>
        </w:rPr>
        <w:t>Colombia</w:t>
      </w:r>
      <w:r w:rsidRPr="000736B7">
        <w:rPr>
          <w:rFonts w:ascii="Trebuchet MS" w:hAnsi="Trebuchet MS" w:cs="Arial"/>
          <w:color w:val="252525"/>
          <w:sz w:val="20"/>
          <w:szCs w:val="20"/>
        </w:rPr>
        <w:t>, ubicado en el</w:t>
      </w:r>
      <w:r w:rsidRPr="000736B7">
        <w:rPr>
          <w:rStyle w:val="apple-converted-space"/>
          <w:rFonts w:ascii="Trebuchet MS" w:hAnsi="Trebuchet MS" w:cs="Arial"/>
          <w:color w:val="252525"/>
          <w:sz w:val="20"/>
          <w:szCs w:val="20"/>
        </w:rPr>
        <w:t> </w:t>
      </w:r>
      <w:r w:rsidRPr="000736B7">
        <w:rPr>
          <w:rFonts w:ascii="Trebuchet MS" w:hAnsi="Trebuchet MS" w:cs="Arial"/>
          <w:color w:val="252525"/>
          <w:sz w:val="20"/>
          <w:szCs w:val="20"/>
        </w:rPr>
        <w:t xml:space="preserve">Valle de </w:t>
      </w:r>
      <w:proofErr w:type="spellStart"/>
      <w:r w:rsidRPr="000736B7">
        <w:rPr>
          <w:rFonts w:ascii="Trebuchet MS" w:hAnsi="Trebuchet MS" w:cs="Arial"/>
          <w:color w:val="252525"/>
          <w:sz w:val="20"/>
          <w:szCs w:val="20"/>
        </w:rPr>
        <w:t>Aburrá</w:t>
      </w:r>
      <w:proofErr w:type="spellEnd"/>
      <w:r w:rsidRPr="000736B7">
        <w:rPr>
          <w:rStyle w:val="apple-converted-space"/>
          <w:rFonts w:ascii="Trebuchet MS" w:hAnsi="Trebuchet MS" w:cs="Arial"/>
          <w:color w:val="252525"/>
          <w:sz w:val="20"/>
          <w:szCs w:val="20"/>
        </w:rPr>
        <w:t> </w:t>
      </w:r>
      <w:r w:rsidRPr="000736B7">
        <w:rPr>
          <w:rFonts w:ascii="Trebuchet MS" w:hAnsi="Trebuchet MS" w:cs="Arial"/>
          <w:color w:val="252525"/>
          <w:sz w:val="20"/>
          <w:szCs w:val="20"/>
        </w:rPr>
        <w:t>del departamento de</w:t>
      </w:r>
      <w:r w:rsidRPr="000736B7">
        <w:rPr>
          <w:rStyle w:val="apple-converted-space"/>
          <w:rFonts w:ascii="Trebuchet MS" w:hAnsi="Trebuchet MS" w:cs="Arial"/>
          <w:color w:val="252525"/>
          <w:sz w:val="20"/>
          <w:szCs w:val="20"/>
        </w:rPr>
        <w:t> </w:t>
      </w:r>
      <w:r w:rsidRPr="000736B7">
        <w:rPr>
          <w:rFonts w:ascii="Trebuchet MS" w:hAnsi="Trebuchet MS" w:cs="Arial"/>
          <w:color w:val="252525"/>
          <w:sz w:val="20"/>
          <w:szCs w:val="20"/>
        </w:rPr>
        <w:t xml:space="preserve">Antioquia. A </w:t>
      </w:r>
      <w:r w:rsidR="007F41AE" w:rsidRPr="000736B7">
        <w:rPr>
          <w:rFonts w:ascii="Trebuchet MS" w:hAnsi="Trebuchet MS" w:cs="Arial"/>
          <w:color w:val="252525"/>
          <w:sz w:val="20"/>
          <w:szCs w:val="20"/>
        </w:rPr>
        <w:t xml:space="preserve">26 kilómetros </w:t>
      </w:r>
      <w:r w:rsidRPr="000736B7">
        <w:rPr>
          <w:rFonts w:ascii="Trebuchet MS" w:hAnsi="Trebuchet MS" w:cs="Arial"/>
          <w:color w:val="252525"/>
          <w:sz w:val="20"/>
          <w:szCs w:val="20"/>
        </w:rPr>
        <w:t>de Medellín</w:t>
      </w:r>
      <w:r w:rsidR="007F41AE" w:rsidRPr="000736B7">
        <w:rPr>
          <w:rFonts w:ascii="Trebuchet MS" w:hAnsi="Trebuchet MS" w:cs="Arial"/>
          <w:color w:val="252525"/>
          <w:sz w:val="20"/>
          <w:szCs w:val="20"/>
        </w:rPr>
        <w:t xml:space="preserve"> </w:t>
      </w:r>
      <w:r w:rsidR="007F41AE" w:rsidRPr="000736B7">
        <w:rPr>
          <w:rFonts w:ascii="Trebuchet MS" w:hAnsi="Trebuchet MS" w:cs="Arial"/>
          <w:color w:val="252525"/>
          <w:sz w:val="20"/>
          <w:szCs w:val="20"/>
        </w:rPr>
        <w:t>30 minutos</w:t>
      </w:r>
      <w:r w:rsidR="007F41AE" w:rsidRPr="000736B7">
        <w:rPr>
          <w:rFonts w:ascii="Trebuchet MS" w:hAnsi="Trebuchet MS" w:cs="Arial"/>
          <w:color w:val="252525"/>
          <w:sz w:val="20"/>
          <w:szCs w:val="20"/>
        </w:rPr>
        <w:t xml:space="preserve"> en carro</w:t>
      </w:r>
      <w:r w:rsidRPr="000736B7">
        <w:rPr>
          <w:rFonts w:ascii="Trebuchet MS" w:hAnsi="Trebuchet MS" w:cs="Arial"/>
          <w:color w:val="252525"/>
          <w:sz w:val="20"/>
          <w:szCs w:val="20"/>
        </w:rPr>
        <w:t xml:space="preserve">. </w:t>
      </w:r>
    </w:p>
    <w:p w:rsidR="000736B7" w:rsidRP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0736B7" w:rsidRPr="00560905" w:rsidRDefault="000736B7" w:rsidP="000736B7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Cs w:val="20"/>
        </w:rPr>
      </w:pPr>
      <w:r w:rsidRPr="00560905">
        <w:rPr>
          <w:rFonts w:ascii="Trebuchet MS" w:hAnsi="Trebuchet MS"/>
          <w:b/>
          <w:color w:val="FFFFFF" w:themeColor="background1"/>
          <w:sz w:val="52"/>
          <w:szCs w:val="20"/>
        </w:rPr>
        <w:t>S</w:t>
      </w:r>
      <w:r w:rsidRPr="00560905">
        <w:rPr>
          <w:rFonts w:ascii="Trebuchet MS" w:hAnsi="Trebuchet MS"/>
          <w:b/>
          <w:color w:val="FFFFFF" w:themeColor="background1"/>
          <w:szCs w:val="20"/>
        </w:rPr>
        <w:t xml:space="preserve">ituación </w:t>
      </w:r>
      <w:r w:rsidRPr="00560905">
        <w:rPr>
          <w:rFonts w:ascii="Trebuchet MS" w:hAnsi="Trebuchet MS"/>
          <w:b/>
          <w:color w:val="FFFFFF" w:themeColor="background1"/>
          <w:sz w:val="52"/>
          <w:szCs w:val="20"/>
        </w:rPr>
        <w:t>f</w:t>
      </w:r>
      <w:r w:rsidRPr="00560905">
        <w:rPr>
          <w:rFonts w:ascii="Trebuchet MS" w:hAnsi="Trebuchet MS"/>
          <w:b/>
          <w:color w:val="FFFFFF" w:themeColor="background1"/>
          <w:szCs w:val="20"/>
        </w:rPr>
        <w:t>inanciera</w:t>
      </w:r>
    </w:p>
    <w:p w:rsidR="00560905" w:rsidRDefault="00560905" w:rsidP="000736B7">
      <w:pPr>
        <w:spacing w:after="0" w:line="276" w:lineRule="auto"/>
        <w:rPr>
          <w:rFonts w:ascii="Trebuchet MS" w:hAnsi="Trebuchet MS"/>
          <w:sz w:val="20"/>
          <w:szCs w:val="20"/>
        </w:rPr>
        <w:sectPr w:rsidR="00560905" w:rsidSect="00560905">
          <w:type w:val="continuous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</w:p>
    <w:p w:rsidR="00560905" w:rsidRDefault="00560905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b/>
          <w:sz w:val="20"/>
          <w:szCs w:val="20"/>
        </w:rPr>
        <w:t>Categoría Fiscal</w:t>
      </w:r>
      <w:r w:rsidRPr="000736B7">
        <w:rPr>
          <w:rFonts w:ascii="Trebuchet MS" w:hAnsi="Trebuchet MS"/>
          <w:sz w:val="20"/>
          <w:szCs w:val="20"/>
        </w:rPr>
        <w:t xml:space="preserve">:  Categoría </w:t>
      </w:r>
      <w:r w:rsidRPr="00560905">
        <w:rPr>
          <w:rFonts w:ascii="Trebuchet MS" w:hAnsi="Trebuchet MS"/>
          <w:b/>
          <w:color w:val="00B050"/>
          <w:sz w:val="44"/>
          <w:szCs w:val="20"/>
        </w:rPr>
        <w:t>3</w:t>
      </w:r>
    </w:p>
    <w:p w:rsidR="000736B7" w:rsidRPr="000736B7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3598E" wp14:editId="4E6F4A5E">
                <wp:simplePos x="0" y="0"/>
                <wp:positionH relativeFrom="column">
                  <wp:posOffset>-244703</wp:posOffset>
                </wp:positionH>
                <wp:positionV relativeFrom="paragraph">
                  <wp:posOffset>332436</wp:posOffset>
                </wp:positionV>
                <wp:extent cx="2435962" cy="1828800"/>
                <wp:effectExtent l="0" t="0" r="254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2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1105"/>
                              <w:gridCol w:w="1288"/>
                            </w:tblGrid>
                            <w:tr w:rsidR="000736B7" w:rsidRPr="00F651D9" w:rsidTr="00F651D9">
                              <w:trPr>
                                <w:trHeight w:val="900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Indicadores de Estado Financiero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Limite semáforo verde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Resultado 2016</w:t>
                                  </w:r>
                                </w:p>
                              </w:tc>
                            </w:tr>
                            <w:tr w:rsidR="000736B7" w:rsidRPr="00F651D9" w:rsidTr="00F651D9">
                              <w:trPr>
                                <w:trHeight w:val="243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Solvencia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Menor o igual al 40%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15,50%</w:t>
                                  </w:r>
                                </w:p>
                              </w:tc>
                            </w:tr>
                            <w:tr w:rsidR="000736B7" w:rsidRPr="00F651D9" w:rsidTr="00F651D9">
                              <w:trPr>
                                <w:trHeight w:val="392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Sostenibilidad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Menor o igual al 80%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60,33%</w:t>
                                  </w:r>
                                </w:p>
                              </w:tc>
                            </w:tr>
                            <w:tr w:rsidR="000736B7" w:rsidRPr="00F651D9" w:rsidTr="00F651D9">
                              <w:trPr>
                                <w:trHeight w:val="1110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Relación:</w:t>
                                  </w: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16"/>
                                      <w:szCs w:val="16"/>
                                      <w:lang w:eastAsia="es-CO"/>
                                    </w:rPr>
                                    <w:t xml:space="preserve"> Intereses Deuda/Ahorro Operacional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Menor o igual al 40%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15,50%</w:t>
                                  </w:r>
                                </w:p>
                              </w:tc>
                            </w:tr>
                          </w:tbl>
                          <w:p w:rsidR="000736B7" w:rsidRDefault="000736B7" w:rsidP="00073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3598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19.25pt;margin-top:26.2pt;width:191.8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" fillcolor="white [3201]" stroked="f" strokeweight=".5pt">
                <v:textbox>
                  <w:txbxContent>
                    <w:tbl>
                      <w:tblPr>
                        <w:tblW w:w="38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1105"/>
                        <w:gridCol w:w="1288"/>
                      </w:tblGrid>
                      <w:tr w:rsidR="000736B7" w:rsidRPr="00F651D9" w:rsidTr="00F651D9">
                        <w:trPr>
                          <w:trHeight w:val="900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Indicadores de Estado Financiero</w:t>
                            </w:r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Limite semáforo verde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Resultado 2016</w:t>
                            </w:r>
                          </w:p>
                        </w:tc>
                      </w:tr>
                      <w:tr w:rsidR="000736B7" w:rsidRPr="00F651D9" w:rsidTr="00F651D9">
                        <w:trPr>
                          <w:trHeight w:val="243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Solvencia</w:t>
                            </w:r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Menor o igual al 40%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15,50%</w:t>
                            </w:r>
                          </w:p>
                        </w:tc>
                      </w:tr>
                      <w:tr w:rsidR="000736B7" w:rsidRPr="00F651D9" w:rsidTr="00F651D9">
                        <w:trPr>
                          <w:trHeight w:val="392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Sostenibilidad</w:t>
                            </w:r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Menor o igual al 80%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60,33%</w:t>
                            </w:r>
                          </w:p>
                        </w:tc>
                      </w:tr>
                      <w:tr w:rsidR="000736B7" w:rsidRPr="00F651D9" w:rsidTr="00F651D9">
                        <w:trPr>
                          <w:trHeight w:val="1110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Relación:</w:t>
                            </w: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16"/>
                                <w:szCs w:val="16"/>
                                <w:lang w:eastAsia="es-CO"/>
                              </w:rPr>
                              <w:t xml:space="preserve"> Intereses Deuda/Ahorro Operacional</w:t>
                            </w:r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Menor o igual al 40%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15,50%</w:t>
                            </w:r>
                          </w:p>
                        </w:tc>
                      </w:tr>
                    </w:tbl>
                    <w:p w:rsidR="000736B7" w:rsidRDefault="000736B7" w:rsidP="000736B7"/>
                  </w:txbxContent>
                </v:textbox>
              </v:shape>
            </w:pict>
          </mc:Fallback>
        </mc:AlternateContent>
      </w:r>
      <w:r w:rsidRPr="00560905">
        <w:rPr>
          <w:rFonts w:ascii="Trebuchet MS" w:hAnsi="Trebuchet MS"/>
          <w:b/>
          <w:sz w:val="20"/>
          <w:szCs w:val="20"/>
        </w:rPr>
        <w:t>Estado o Calificación de Solvencia:</w:t>
      </w:r>
      <w:r w:rsidRPr="000736B7">
        <w:rPr>
          <w:rFonts w:ascii="Trebuchet MS" w:hAnsi="Trebuchet MS"/>
          <w:sz w:val="20"/>
          <w:szCs w:val="20"/>
        </w:rPr>
        <w:t xml:space="preserve"> Semáforo Verde</w:t>
      </w:r>
    </w:p>
    <w:p w:rsidR="000736B7" w:rsidRPr="000736B7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noProof/>
          <w:sz w:val="20"/>
          <w:szCs w:val="20"/>
          <w:lang w:eastAsia="es-CO"/>
        </w:rPr>
        <w:drawing>
          <wp:anchor distT="0" distB="0" distL="114300" distR="114300" simplePos="0" relativeHeight="251660288" behindDoc="1" locked="0" layoutInCell="1" allowOverlap="1" wp14:anchorId="1E84D151" wp14:editId="685EC9BE">
            <wp:simplePos x="0" y="0"/>
            <wp:positionH relativeFrom="column">
              <wp:posOffset>2366467</wp:posOffset>
            </wp:positionH>
            <wp:positionV relativeFrom="paragraph">
              <wp:posOffset>144602</wp:posOffset>
            </wp:positionV>
            <wp:extent cx="1046074" cy="1731524"/>
            <wp:effectExtent l="0" t="0" r="1905" b="2540"/>
            <wp:wrapNone/>
            <wp:docPr id="7" name="Imagen 7" descr="http://storage.competir.com/post/volcan-popocatepetl/Images/semaforo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orage.competir.com/post/volcan-popocatepetl/Images/semaforo-ver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49" cy="17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560905" w:rsidRDefault="000736B7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560905">
        <w:rPr>
          <w:rFonts w:ascii="Trebuchet MS" w:hAnsi="Trebuchet MS"/>
          <w:b/>
          <w:sz w:val="20"/>
          <w:szCs w:val="20"/>
        </w:rPr>
        <w:t>Situación financier</w:t>
      </w:r>
      <w:r w:rsidR="00560905" w:rsidRPr="00560905">
        <w:rPr>
          <w:rFonts w:ascii="Trebuchet MS" w:hAnsi="Trebuchet MS"/>
          <w:b/>
          <w:sz w:val="20"/>
          <w:szCs w:val="20"/>
        </w:rPr>
        <w:t>a</w:t>
      </w:r>
      <w:r w:rsidRPr="00560905">
        <w:rPr>
          <w:rFonts w:ascii="Trebuchet MS" w:hAnsi="Trebuchet MS"/>
          <w:b/>
          <w:sz w:val="20"/>
          <w:szCs w:val="20"/>
        </w:rPr>
        <w:t xml:space="preserve"> presupuesto 2016</w:t>
      </w:r>
    </w:p>
    <w:tbl>
      <w:tblPr>
        <w:tblW w:w="5148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3"/>
        <w:gridCol w:w="855"/>
      </w:tblGrid>
      <w:tr w:rsidR="000736B7" w:rsidRPr="00F651D9" w:rsidTr="0020729F">
        <w:tc>
          <w:tcPr>
            <w:tcW w:w="5148" w:type="dxa"/>
            <w:gridSpan w:val="2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Año 2016 (millones de pesos)</w:t>
            </w:r>
          </w:p>
        </w:tc>
      </w:tr>
      <w:tr w:rsidR="000736B7" w:rsidRPr="00F651D9" w:rsidTr="0020729F">
        <w:trPr>
          <w:trHeight w:val="97"/>
        </w:trPr>
        <w:tc>
          <w:tcPr>
            <w:tcW w:w="4293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Ingresos</w:t>
            </w:r>
          </w:p>
        </w:tc>
        <w:tc>
          <w:tcPr>
            <w:tcW w:w="855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35.376   </w:t>
            </w:r>
          </w:p>
        </w:tc>
      </w:tr>
      <w:tr w:rsidR="000736B7" w:rsidRPr="00F651D9" w:rsidTr="0020729F">
        <w:trPr>
          <w:trHeight w:val="66"/>
        </w:trPr>
        <w:tc>
          <w:tcPr>
            <w:tcW w:w="4293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Ingresos Tributarios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29.075   </w:t>
            </w:r>
          </w:p>
        </w:tc>
      </w:tr>
      <w:tr w:rsidR="000736B7" w:rsidRPr="00F651D9" w:rsidTr="0020729F">
        <w:tc>
          <w:tcPr>
            <w:tcW w:w="4293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Ingresos No Tributarios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2.727   </w:t>
            </w:r>
          </w:p>
        </w:tc>
      </w:tr>
      <w:tr w:rsidR="000736B7" w:rsidRPr="00F651D9" w:rsidTr="0020729F">
        <w:tc>
          <w:tcPr>
            <w:tcW w:w="4293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SGP (transferencias de la nación)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3.574   </w:t>
            </w:r>
          </w:p>
        </w:tc>
      </w:tr>
      <w:tr w:rsidR="000736B7" w:rsidRPr="00F651D9" w:rsidTr="0020729F">
        <w:tc>
          <w:tcPr>
            <w:tcW w:w="4293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Gastos</w:t>
            </w:r>
          </w:p>
        </w:tc>
        <w:tc>
          <w:tcPr>
            <w:tcW w:w="855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14.239   </w:t>
            </w:r>
          </w:p>
        </w:tc>
      </w:tr>
      <w:tr w:rsidR="000736B7" w:rsidRPr="00F651D9" w:rsidTr="0020729F">
        <w:tc>
          <w:tcPr>
            <w:tcW w:w="4293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Gastos de Personal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8.292   </w:t>
            </w:r>
          </w:p>
        </w:tc>
      </w:tr>
      <w:tr w:rsidR="000736B7" w:rsidRPr="00F651D9" w:rsidTr="0020729F">
        <w:tc>
          <w:tcPr>
            <w:tcW w:w="4293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Gastos Generales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2.782   </w:t>
            </w:r>
          </w:p>
        </w:tc>
      </w:tr>
      <w:tr w:rsidR="000736B7" w:rsidRPr="00F651D9" w:rsidTr="0020729F">
        <w:tc>
          <w:tcPr>
            <w:tcW w:w="4293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Transferencias a entidades municipales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3.165   </w:t>
            </w:r>
          </w:p>
        </w:tc>
      </w:tr>
      <w:tr w:rsidR="000736B7" w:rsidRPr="00F651D9" w:rsidTr="0020729F">
        <w:trPr>
          <w:trHeight w:val="66"/>
        </w:trPr>
        <w:tc>
          <w:tcPr>
            <w:tcW w:w="4293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Servicio a la </w:t>
            </w:r>
            <w:r w:rsidRPr="000736B7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deuda</w:t>
            </w:r>
          </w:p>
        </w:tc>
        <w:tc>
          <w:tcPr>
            <w:tcW w:w="855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3.277   </w:t>
            </w:r>
          </w:p>
        </w:tc>
      </w:tr>
      <w:tr w:rsidR="000736B7" w:rsidRPr="00F651D9" w:rsidTr="0020729F">
        <w:tc>
          <w:tcPr>
            <w:tcW w:w="4293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Inversión (</w:t>
            </w:r>
            <w:proofErr w:type="spellStart"/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aprox</w:t>
            </w:r>
            <w:proofErr w:type="spellEnd"/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, sin créditos)</w:t>
            </w:r>
          </w:p>
        </w:tc>
        <w:tc>
          <w:tcPr>
            <w:tcW w:w="855" w:type="dxa"/>
            <w:shd w:val="clear" w:color="000000" w:fill="00B050"/>
            <w:noWrap/>
            <w:vAlign w:val="bottom"/>
            <w:hideMark/>
          </w:tcPr>
          <w:p w:rsidR="000736B7" w:rsidRPr="00F651D9" w:rsidRDefault="000736B7" w:rsidP="000736B7">
            <w:pPr>
              <w:spacing w:after="0" w:line="276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F651D9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17.860   </w:t>
            </w:r>
          </w:p>
        </w:tc>
      </w:tr>
    </w:tbl>
    <w:p w:rsidR="000736B7" w:rsidRPr="000736B7" w:rsidRDefault="000736B7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0736B7" w:rsidRPr="00560905" w:rsidRDefault="000736B7" w:rsidP="00560905">
      <w:pPr>
        <w:pStyle w:val="Prrafodelista"/>
        <w:numPr>
          <w:ilvl w:val="0"/>
          <w:numId w:val="1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30% de los ingresos se emplean en gastos de funcionamiento</w:t>
      </w:r>
    </w:p>
    <w:p w:rsidR="000736B7" w:rsidRPr="00560905" w:rsidRDefault="000736B7" w:rsidP="00560905">
      <w:pPr>
        <w:pStyle w:val="Prrafodelista"/>
        <w:numPr>
          <w:ilvl w:val="0"/>
          <w:numId w:val="1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7% Servicio a la deuda</w:t>
      </w:r>
    </w:p>
    <w:p w:rsidR="000736B7" w:rsidRPr="00560905" w:rsidRDefault="000736B7" w:rsidP="00560905">
      <w:pPr>
        <w:pStyle w:val="Prrafodelista"/>
        <w:numPr>
          <w:ilvl w:val="0"/>
          <w:numId w:val="1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63% proyectos de inversión</w:t>
      </w:r>
    </w:p>
    <w:p w:rsidR="000736B7" w:rsidRPr="000736B7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0736B7" w:rsidRDefault="000736B7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>Endeudamiento</w:t>
      </w:r>
    </w:p>
    <w:p w:rsidR="00560905" w:rsidRPr="000736B7" w:rsidRDefault="00560905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0736B7" w:rsidRDefault="000736B7" w:rsidP="00560905">
      <w:pPr>
        <w:spacing w:after="0" w:line="276" w:lineRule="auto"/>
        <w:jc w:val="both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Actualmente el Municipio tiene créditos con entidades financieras como Bancolombia, IDEA y Banco Pichincha. Estos llegan a la suma de 17.541 millones, el servicio a la deuda se ha cumplido oportunamente y la tesorería del Municipio goza de buena reputación por su puntualidad en el pago el 70% de estos créditos han sido destinados a compra de predios y el 30% a financiación de vías.</w:t>
      </w:r>
    </w:p>
    <w:p w:rsidR="00560905" w:rsidRPr="000736B7" w:rsidRDefault="00560905" w:rsidP="00560905">
      <w:pPr>
        <w:spacing w:after="0" w:line="276" w:lineRule="auto"/>
        <w:jc w:val="both"/>
        <w:rPr>
          <w:rFonts w:ascii="Trebuchet MS" w:hAnsi="Trebuchet MS"/>
          <w:sz w:val="20"/>
          <w:szCs w:val="20"/>
        </w:rPr>
      </w:pPr>
    </w:p>
    <w:p w:rsidR="000736B7" w:rsidRPr="00560905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Estos créditos han sido concedidos con plazos entre 5 y 12 años con períodos de gracias de 2 años, finalizando sus pagos así:</w:t>
      </w:r>
    </w:p>
    <w:p w:rsidR="000736B7" w:rsidRPr="00560905" w:rsidRDefault="000736B7" w:rsidP="000736B7">
      <w:pPr>
        <w:pStyle w:val="Prrafodelista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Año 2017: 2.000 millones aprox.</w:t>
      </w:r>
    </w:p>
    <w:p w:rsidR="000736B7" w:rsidRPr="00560905" w:rsidRDefault="000736B7" w:rsidP="000736B7">
      <w:pPr>
        <w:pStyle w:val="Prrafodelista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Año 2019: 6.000 millones aprox.</w:t>
      </w:r>
    </w:p>
    <w:p w:rsidR="000736B7" w:rsidRPr="00560905" w:rsidRDefault="000736B7" w:rsidP="000736B7">
      <w:pPr>
        <w:pStyle w:val="Prrafodelista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Año 2025: 5.000 millones aprox.</w:t>
      </w:r>
    </w:p>
    <w:p w:rsidR="000736B7" w:rsidRPr="00560905" w:rsidRDefault="000736B7" w:rsidP="000736B7">
      <w:pPr>
        <w:pStyle w:val="Prrafodelista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Año 2027: 2.000 millones aprox.</w:t>
      </w:r>
    </w:p>
    <w:p w:rsidR="000736B7" w:rsidRPr="00560905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0736B7" w:rsidRPr="00560905" w:rsidRDefault="000736B7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560905">
        <w:rPr>
          <w:rFonts w:ascii="Trebuchet MS" w:hAnsi="Trebuchet MS"/>
          <w:b/>
          <w:sz w:val="20"/>
          <w:szCs w:val="20"/>
        </w:rPr>
        <w:t>Conclusiones</w:t>
      </w:r>
      <w:r w:rsidR="00560905" w:rsidRPr="00560905">
        <w:rPr>
          <w:rFonts w:ascii="Trebuchet MS" w:hAnsi="Trebuchet MS"/>
          <w:b/>
          <w:sz w:val="20"/>
          <w:szCs w:val="20"/>
        </w:rPr>
        <w:t xml:space="preserve"> sobre la viabilidad financiera</w:t>
      </w:r>
      <w:r w:rsidRPr="00560905">
        <w:rPr>
          <w:rFonts w:ascii="Trebuchet MS" w:hAnsi="Trebuchet MS"/>
          <w:b/>
          <w:sz w:val="20"/>
          <w:szCs w:val="20"/>
        </w:rPr>
        <w:t>:</w:t>
      </w:r>
    </w:p>
    <w:p w:rsidR="000736B7" w:rsidRPr="00560905" w:rsidRDefault="000736B7" w:rsidP="0056090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El Municipio presenta unas finanzas sanas y se encuentra en calificación que le permite acceder a endeudamiento.</w:t>
      </w:r>
    </w:p>
    <w:p w:rsidR="000736B7" w:rsidRPr="00560905" w:rsidRDefault="000736B7" w:rsidP="001E7FE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rebuchet MS" w:hAnsi="Trebuchet MS"/>
          <w:b/>
          <w:sz w:val="16"/>
          <w:szCs w:val="20"/>
        </w:rPr>
      </w:pPr>
      <w:r w:rsidRPr="00560905">
        <w:rPr>
          <w:rFonts w:ascii="Trebuchet MS" w:hAnsi="Trebuchet MS"/>
          <w:sz w:val="20"/>
          <w:szCs w:val="20"/>
        </w:rPr>
        <w:lastRenderedPageBreak/>
        <w:t xml:space="preserve">El municipio cumple con los niveles de Solvencia (15.5%) y Sostenibilidad (60.33%), con lo cual el espacio de endeudamiento para el </w:t>
      </w:r>
      <w:r w:rsidR="00560905" w:rsidRPr="00560905">
        <w:rPr>
          <w:rFonts w:ascii="Trebuchet MS" w:hAnsi="Trebuchet MS"/>
          <w:sz w:val="20"/>
          <w:szCs w:val="20"/>
        </w:rPr>
        <w:t>2016 sería</w:t>
      </w:r>
      <w:r w:rsidRPr="00560905">
        <w:rPr>
          <w:rFonts w:ascii="Trebuchet MS" w:hAnsi="Trebuchet MS"/>
          <w:sz w:val="20"/>
          <w:szCs w:val="20"/>
        </w:rPr>
        <w:t xml:space="preserve"> de aproximadamente $11.000 millones (el 40% de los Ingresos Corrientes). </w:t>
      </w:r>
      <w:r w:rsidRPr="00560905">
        <w:rPr>
          <w:rFonts w:ascii="Trebuchet MS" w:hAnsi="Trebuchet MS"/>
          <w:b/>
          <w:sz w:val="16"/>
          <w:szCs w:val="20"/>
        </w:rPr>
        <w:t xml:space="preserve">Fuente: Informe Oswaldo Porras </w:t>
      </w:r>
    </w:p>
    <w:p w:rsidR="000736B7" w:rsidRPr="00560905" w:rsidRDefault="000736B7" w:rsidP="001E7FE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b/>
          <w:sz w:val="20"/>
          <w:szCs w:val="20"/>
        </w:rPr>
        <w:t>Fuente de Pago</w:t>
      </w:r>
      <w:r w:rsidR="00560905">
        <w:rPr>
          <w:rFonts w:ascii="Trebuchet MS" w:hAnsi="Trebuchet MS"/>
          <w:b/>
          <w:sz w:val="20"/>
          <w:szCs w:val="20"/>
        </w:rPr>
        <w:t xml:space="preserve"> y garantía</w:t>
      </w:r>
      <w:r w:rsidRPr="00560905">
        <w:rPr>
          <w:rFonts w:ascii="Trebuchet MS" w:hAnsi="Trebuchet MS"/>
          <w:b/>
          <w:sz w:val="20"/>
          <w:szCs w:val="20"/>
        </w:rPr>
        <w:t>:</w:t>
      </w:r>
      <w:r w:rsidRPr="00560905">
        <w:rPr>
          <w:rFonts w:ascii="Trebuchet MS" w:hAnsi="Trebuchet MS"/>
          <w:sz w:val="20"/>
          <w:szCs w:val="20"/>
        </w:rPr>
        <w:t xml:space="preserve"> Su principal fuente de ingresos es el Impuesto de Industria y Comercio (60% de los ingresos propios), el cual es un recurso de libre destinación y sobre el cual podría apalancarse la garantía de crédito. Sin embargo, para su uso habrá que realizar ajustes al presupuesto y POAI a fin de re-direccionar recursos que están yendo a gastos de funcionamiento hacia inversión.</w:t>
      </w:r>
    </w:p>
    <w:p w:rsidR="000736B7" w:rsidRPr="00560905" w:rsidRDefault="000736B7" w:rsidP="001E7FE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>El Plan de desarrollo en su componente financiero prevé dos créditos cada uno de 2.000 millones para los años 2016 y 2017, lo cual debe tener en cuenta al momento de realizar estimaciones ya que estos descontarían el valor determinado como capacidad de endeudamiento.</w:t>
      </w:r>
    </w:p>
    <w:p w:rsidR="000736B7" w:rsidRPr="00560905" w:rsidRDefault="000736B7" w:rsidP="001E7FE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rebuchet MS" w:hAnsi="Trebuchet MS"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 xml:space="preserve">Es importante tener en cuenta que el Plan de Desarrollo Municipal, tiene una estructura que se desagrega desde las líneas de inversión – componentes – programas - proyectos – e indicadores de producto. Esto tiene una incidencia en la maniobrabilidad que se tiene para impactar los objetivos del plan de desarrollo a través de proyectos de Smart </w:t>
      </w:r>
      <w:proofErr w:type="spellStart"/>
      <w:r w:rsidRPr="00560905">
        <w:rPr>
          <w:rFonts w:ascii="Trebuchet MS" w:hAnsi="Trebuchet MS"/>
          <w:sz w:val="20"/>
          <w:szCs w:val="20"/>
        </w:rPr>
        <w:t>Cities</w:t>
      </w:r>
      <w:proofErr w:type="spellEnd"/>
      <w:r w:rsidRPr="00560905">
        <w:rPr>
          <w:rFonts w:ascii="Trebuchet MS" w:hAnsi="Trebuchet MS"/>
          <w:sz w:val="20"/>
          <w:szCs w:val="20"/>
        </w:rPr>
        <w:t>.</w:t>
      </w:r>
    </w:p>
    <w:p w:rsidR="000736B7" w:rsidRPr="00560905" w:rsidRDefault="000736B7" w:rsidP="001E7FE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Trebuchet MS" w:hAnsi="Trebuchet MS"/>
          <w:b/>
          <w:sz w:val="20"/>
          <w:szCs w:val="20"/>
        </w:rPr>
      </w:pPr>
      <w:r w:rsidRPr="00560905">
        <w:rPr>
          <w:rFonts w:ascii="Trebuchet MS" w:hAnsi="Trebuchet MS"/>
          <w:sz w:val="20"/>
          <w:szCs w:val="20"/>
        </w:rPr>
        <w:t xml:space="preserve">Como estimación inicial, el Municipio podría acceder a créditos por 7.000 millones para apalancar el proyecto Smart </w:t>
      </w:r>
      <w:proofErr w:type="spellStart"/>
      <w:r w:rsidRPr="00560905">
        <w:rPr>
          <w:rFonts w:ascii="Trebuchet MS" w:hAnsi="Trebuchet MS"/>
          <w:sz w:val="20"/>
          <w:szCs w:val="20"/>
        </w:rPr>
        <w:t>Cities</w:t>
      </w:r>
      <w:proofErr w:type="spellEnd"/>
      <w:r w:rsidRPr="00560905">
        <w:rPr>
          <w:rFonts w:ascii="Trebuchet MS" w:hAnsi="Trebuchet MS"/>
          <w:sz w:val="20"/>
          <w:szCs w:val="20"/>
        </w:rPr>
        <w:t xml:space="preserve"> en un plazo de 10 años, con una garantía que se estructuraría con base en la pignoración del 4% aprox. del Impuesto de Industria y Comercio.</w:t>
      </w:r>
    </w:p>
    <w:p w:rsid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560905" w:rsidRP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0736B7" w:rsidRPr="00560905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0736B7" w:rsidRP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</w:p>
    <w:p w:rsidR="00560905" w:rsidRDefault="00560905" w:rsidP="00560905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52"/>
          <w:szCs w:val="20"/>
        </w:rPr>
        <w:sectPr w:rsidR="00560905" w:rsidSect="00560905">
          <w:type w:val="continuous"/>
          <w:pgSz w:w="12240" w:h="15840" w:code="1"/>
          <w:pgMar w:top="720" w:right="720" w:bottom="720" w:left="720" w:header="708" w:footer="708" w:gutter="0"/>
          <w:cols w:num="2" w:space="332"/>
          <w:docGrid w:linePitch="360"/>
        </w:sectPr>
      </w:pPr>
    </w:p>
    <w:p w:rsidR="00560905" w:rsidRDefault="00560905" w:rsidP="00560905"/>
    <w:p w:rsidR="000736B7" w:rsidRPr="00560905" w:rsidRDefault="000736B7" w:rsidP="00560905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52"/>
          <w:szCs w:val="20"/>
        </w:rPr>
      </w:pPr>
      <w:r w:rsidRPr="00560905">
        <w:rPr>
          <w:rFonts w:ascii="Trebuchet MS" w:hAnsi="Trebuchet MS"/>
          <w:b/>
          <w:color w:val="FFFFFF" w:themeColor="background1"/>
          <w:sz w:val="52"/>
          <w:szCs w:val="20"/>
        </w:rPr>
        <w:t>Tipificación</w:t>
      </w: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  <w:sectPr w:rsidR="00560905" w:rsidSect="00560905">
          <w:type w:val="continuous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</w:p>
    <w:p w:rsidR="000736B7" w:rsidRP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</w:p>
    <w:p w:rsidR="007F41AE" w:rsidRPr="000736B7" w:rsidRDefault="007F41AE" w:rsidP="000736B7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0736B7">
        <w:rPr>
          <w:rFonts w:ascii="Trebuchet MS" w:hAnsi="Trebuchet MS"/>
          <w:b/>
          <w:color w:val="FFFFFF" w:themeColor="background1"/>
          <w:sz w:val="20"/>
          <w:szCs w:val="20"/>
        </w:rPr>
        <w:t>Población:</w:t>
      </w:r>
    </w:p>
    <w:p w:rsidR="003055E2" w:rsidRPr="000736B7" w:rsidRDefault="007F41AE" w:rsidP="000736B7">
      <w:pPr>
        <w:pStyle w:val="Prrafodelista"/>
        <w:numPr>
          <w:ilvl w:val="0"/>
          <w:numId w:val="3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Población</w:t>
      </w:r>
      <w:r w:rsidRPr="000736B7">
        <w:rPr>
          <w:rFonts w:ascii="Trebuchet MS" w:hAnsi="Trebuchet MS"/>
          <w:sz w:val="20"/>
          <w:szCs w:val="20"/>
        </w:rPr>
        <w:t xml:space="preserve"> 2015</w:t>
      </w:r>
      <w:r w:rsidRPr="000736B7">
        <w:rPr>
          <w:rFonts w:ascii="Trebuchet MS" w:hAnsi="Trebuchet MS"/>
          <w:sz w:val="20"/>
          <w:szCs w:val="20"/>
        </w:rPr>
        <w:t>:</w:t>
      </w:r>
      <w:r w:rsidRPr="000736B7">
        <w:rPr>
          <w:rFonts w:ascii="Trebuchet MS" w:hAnsi="Trebuchet MS"/>
          <w:sz w:val="20"/>
          <w:szCs w:val="20"/>
        </w:rPr>
        <w:t xml:space="preserve"> 52.240 habitantes</w:t>
      </w:r>
      <w:r w:rsidRPr="000736B7">
        <w:rPr>
          <w:rStyle w:val="Refdenotaalpie"/>
          <w:rFonts w:ascii="Trebuchet MS" w:hAnsi="Trebuchet MS"/>
          <w:sz w:val="20"/>
          <w:szCs w:val="20"/>
        </w:rPr>
        <w:footnoteReference w:id="2"/>
      </w:r>
      <w:r w:rsidRPr="000736B7">
        <w:rPr>
          <w:rFonts w:ascii="Trebuchet MS" w:hAnsi="Trebuchet MS"/>
          <w:sz w:val="20"/>
          <w:szCs w:val="20"/>
        </w:rPr>
        <w:t xml:space="preserve"> Mayoría afrodescendiente. </w:t>
      </w:r>
    </w:p>
    <w:p w:rsidR="003055E2" w:rsidRPr="000736B7" w:rsidRDefault="007F41AE" w:rsidP="000736B7">
      <w:pPr>
        <w:pStyle w:val="Prrafodelista"/>
        <w:numPr>
          <w:ilvl w:val="0"/>
          <w:numId w:val="3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 xml:space="preserve">51% mujeres 49% hombres. </w:t>
      </w:r>
    </w:p>
    <w:p w:rsidR="007F41AE" w:rsidRPr="000736B7" w:rsidRDefault="007F41AE" w:rsidP="000736B7">
      <w:pPr>
        <w:pStyle w:val="Prrafodelista"/>
        <w:numPr>
          <w:ilvl w:val="0"/>
          <w:numId w:val="3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10% de 0-5 años</w:t>
      </w:r>
      <w:r w:rsidR="003055E2" w:rsidRPr="000736B7">
        <w:rPr>
          <w:rFonts w:ascii="Trebuchet MS" w:hAnsi="Trebuchet MS"/>
          <w:sz w:val="20"/>
          <w:szCs w:val="20"/>
        </w:rPr>
        <w:t xml:space="preserve">, niñez </w:t>
      </w:r>
    </w:p>
    <w:p w:rsidR="003055E2" w:rsidRPr="000736B7" w:rsidRDefault="003055E2" w:rsidP="000736B7">
      <w:pPr>
        <w:pStyle w:val="Prrafodelista"/>
        <w:numPr>
          <w:ilvl w:val="0"/>
          <w:numId w:val="3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12% de 6-12 años, infancia</w:t>
      </w:r>
    </w:p>
    <w:p w:rsidR="003055E2" w:rsidRPr="000736B7" w:rsidRDefault="003055E2" w:rsidP="000736B7">
      <w:pPr>
        <w:pStyle w:val="Prrafodelista"/>
        <w:numPr>
          <w:ilvl w:val="0"/>
          <w:numId w:val="3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29% adolescencia y juventud</w:t>
      </w:r>
    </w:p>
    <w:p w:rsidR="003055E2" w:rsidRDefault="003055E2" w:rsidP="000736B7">
      <w:pPr>
        <w:pStyle w:val="Prrafodelista"/>
        <w:numPr>
          <w:ilvl w:val="0"/>
          <w:numId w:val="3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49% adulto y adulto mayor (con tendencia ascendente)</w:t>
      </w:r>
    </w:p>
    <w:p w:rsidR="00560905" w:rsidRPr="00560905" w:rsidRDefault="00560905" w:rsidP="00560905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3055E2" w:rsidRPr="000736B7" w:rsidRDefault="003055E2" w:rsidP="000736B7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0736B7">
        <w:rPr>
          <w:rFonts w:ascii="Trebuchet MS" w:hAnsi="Trebuchet MS"/>
          <w:b/>
          <w:color w:val="FFFFFF" w:themeColor="background1"/>
          <w:sz w:val="20"/>
          <w:szCs w:val="20"/>
        </w:rPr>
        <w:t>Situación Política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 xml:space="preserve">Alcalde: </w:t>
      </w:r>
    </w:p>
    <w:p w:rsidR="003055E2" w:rsidRPr="000736B7" w:rsidRDefault="003D11D0" w:rsidP="000736B7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0736B7">
        <w:rPr>
          <w:rFonts w:ascii="Trebuchet MS" w:hAnsi="Trebuchet MS"/>
          <w:sz w:val="20"/>
          <w:szCs w:val="20"/>
        </w:rPr>
        <w:t>Yan</w:t>
      </w:r>
      <w:proofErr w:type="spellEnd"/>
      <w:r w:rsidRPr="000736B7">
        <w:rPr>
          <w:rFonts w:ascii="Trebuchet MS" w:hAnsi="Trebuchet MS"/>
          <w:sz w:val="20"/>
          <w:szCs w:val="20"/>
        </w:rPr>
        <w:t xml:space="preserve"> Bladimir Jaramillo Garcia</w:t>
      </w:r>
      <w:r w:rsidRPr="000736B7">
        <w:rPr>
          <w:rStyle w:val="Refdenotaalpie"/>
          <w:rFonts w:ascii="Trebuchet MS" w:hAnsi="Trebuchet MS"/>
          <w:sz w:val="20"/>
          <w:szCs w:val="20"/>
          <w:vertAlign w:val="baseline"/>
        </w:rPr>
        <w:t xml:space="preserve"> </w:t>
      </w:r>
      <w:r w:rsidR="003055E2" w:rsidRPr="000736B7">
        <w:rPr>
          <w:rStyle w:val="Refdenotaalpie"/>
          <w:rFonts w:ascii="Trebuchet MS" w:hAnsi="Trebuchet MS"/>
          <w:sz w:val="20"/>
          <w:szCs w:val="20"/>
        </w:rPr>
        <w:footnoteReference w:id="3"/>
      </w:r>
    </w:p>
    <w:p w:rsidR="003D11D0" w:rsidRPr="000736B7" w:rsidRDefault="003D11D0" w:rsidP="000736B7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Servidores públicos: 129 fun</w:t>
      </w:r>
      <w:r w:rsidRPr="000736B7">
        <w:rPr>
          <w:rFonts w:ascii="Trebuchet MS" w:hAnsi="Trebuchet MS"/>
          <w:sz w:val="20"/>
          <w:szCs w:val="20"/>
        </w:rPr>
        <w:t xml:space="preserve">cionarios vinculados </w:t>
      </w:r>
    </w:p>
    <w:p w:rsidR="003D11D0" w:rsidRPr="000736B7" w:rsidRDefault="003D11D0" w:rsidP="000736B7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 xml:space="preserve">Estructura administrativa: 10 </w:t>
      </w:r>
      <w:r w:rsidRPr="000736B7">
        <w:rPr>
          <w:rFonts w:ascii="Trebuchet MS" w:hAnsi="Trebuchet MS"/>
          <w:sz w:val="20"/>
          <w:szCs w:val="20"/>
        </w:rPr>
        <w:t xml:space="preserve">secretarías, </w:t>
      </w:r>
      <w:r w:rsidRPr="000736B7">
        <w:rPr>
          <w:rFonts w:ascii="Trebuchet MS" w:hAnsi="Trebuchet MS"/>
          <w:sz w:val="20"/>
          <w:szCs w:val="20"/>
        </w:rPr>
        <w:t>4</w:t>
      </w:r>
      <w:r w:rsidRPr="000736B7">
        <w:rPr>
          <w:rFonts w:ascii="Trebuchet MS" w:hAnsi="Trebuchet MS"/>
          <w:sz w:val="20"/>
          <w:szCs w:val="20"/>
        </w:rPr>
        <w:t xml:space="preserve">subsecretarías y </w:t>
      </w:r>
      <w:r w:rsidRPr="000736B7">
        <w:rPr>
          <w:rFonts w:ascii="Trebuchet MS" w:hAnsi="Trebuchet MS"/>
          <w:sz w:val="20"/>
          <w:szCs w:val="20"/>
        </w:rPr>
        <w:t xml:space="preserve">2 </w:t>
      </w:r>
      <w:r w:rsidRPr="000736B7">
        <w:rPr>
          <w:rFonts w:ascii="Trebuchet MS" w:hAnsi="Trebuchet MS"/>
          <w:sz w:val="20"/>
          <w:szCs w:val="20"/>
        </w:rPr>
        <w:t xml:space="preserve">entes descentralizados </w:t>
      </w:r>
    </w:p>
    <w:p w:rsidR="003055E2" w:rsidRPr="000736B7" w:rsidRDefault="003055E2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>Concejo Municipal:</w:t>
      </w:r>
    </w:p>
    <w:p w:rsidR="003055E2" w:rsidRPr="000736B7" w:rsidRDefault="003055E2" w:rsidP="000736B7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13 Concejales</w:t>
      </w:r>
    </w:p>
    <w:p w:rsidR="003055E2" w:rsidRDefault="003055E2" w:rsidP="000736B7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Mayorías; Partido de la U y Partido Conservador</w:t>
      </w:r>
    </w:p>
    <w:p w:rsidR="00560905" w:rsidRDefault="00560905" w:rsidP="00560905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560905" w:rsidRDefault="00560905" w:rsidP="00560905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1E7FEE" w:rsidRPr="00560905" w:rsidRDefault="001E7FEE" w:rsidP="00560905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F45D89" w:rsidRPr="000736B7" w:rsidRDefault="00F45D89" w:rsidP="000736B7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0736B7">
        <w:rPr>
          <w:rFonts w:ascii="Trebuchet MS" w:hAnsi="Trebuchet MS"/>
          <w:b/>
          <w:color w:val="FFFFFF" w:themeColor="background1"/>
          <w:sz w:val="20"/>
          <w:szCs w:val="20"/>
        </w:rPr>
        <w:t xml:space="preserve">Ubicación y Geografía </w:t>
      </w:r>
    </w:p>
    <w:p w:rsidR="00F45D89" w:rsidRPr="000736B7" w:rsidRDefault="00E12114" w:rsidP="000736B7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>Sur América – Colombia - Antioquia</w:t>
      </w:r>
    </w:p>
    <w:p w:rsidR="007F41AE" w:rsidRPr="000736B7" w:rsidRDefault="00F45D89" w:rsidP="001E7FEE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noProof/>
          <w:sz w:val="20"/>
          <w:szCs w:val="20"/>
          <w:lang w:eastAsia="es-CO"/>
        </w:rPr>
        <w:drawing>
          <wp:inline distT="0" distB="0" distL="0" distR="0" wp14:anchorId="2174EFC0" wp14:editId="1E1E543F">
            <wp:extent cx="2520000" cy="3048452"/>
            <wp:effectExtent l="114300" t="114300" r="147320" b="152400"/>
            <wp:docPr id="5" name="Imagen 5" descr="https://upload.wikimedia.org/wikipedia/commons/thumb/8/85/Colombia_Antioquia_loc_map.svg/256px-Colombia_Antioquia_loc_map.svg.png?uselang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8/85/Colombia_Antioquia_loc_map.svg/256px-Colombia_Antioquia_loc_map.svg.png?uselang=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0484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2114" w:rsidRPr="000736B7" w:rsidRDefault="00E12114" w:rsidP="000736B7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lastRenderedPageBreak/>
        <w:t>Antioquia</w:t>
      </w:r>
      <w:r w:rsidRPr="000736B7">
        <w:rPr>
          <w:rFonts w:ascii="Trebuchet MS" w:hAnsi="Trebuchet MS"/>
          <w:b/>
          <w:sz w:val="20"/>
          <w:szCs w:val="20"/>
        </w:rPr>
        <w:t xml:space="preserve"> – Municipios - Girardota</w:t>
      </w:r>
    </w:p>
    <w:p w:rsidR="00E12114" w:rsidRPr="000736B7" w:rsidRDefault="00E12114" w:rsidP="000736B7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drawing>
          <wp:inline distT="0" distB="0" distL="0" distR="0" wp14:anchorId="0248552A" wp14:editId="2BF7E162">
            <wp:extent cx="2520000" cy="2266681"/>
            <wp:effectExtent l="133350" t="114300" r="147320" b="153035"/>
            <wp:docPr id="3" name="Imagen 3" descr="C:\Users\Lenovo Z50\Downloads\Girardota,_Antioquia,_Colombia_(ubicació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 Z50\Downloads\Girardota,_Antioquia,_Colombia_(ubicación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666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2114" w:rsidRPr="000736B7" w:rsidRDefault="00E12114" w:rsidP="000736B7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>Girardota – Veredas – Casco Urbano</w:t>
      </w:r>
    </w:p>
    <w:p w:rsidR="00E12114" w:rsidRPr="000736B7" w:rsidRDefault="00E12114" w:rsidP="001E7FEE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noProof/>
          <w:sz w:val="20"/>
          <w:szCs w:val="20"/>
          <w:lang w:eastAsia="es-CO"/>
        </w:rPr>
        <w:drawing>
          <wp:inline distT="0" distB="0" distL="0" distR="0" wp14:anchorId="7A28683A" wp14:editId="7B337D2A">
            <wp:extent cx="2520000" cy="1821098"/>
            <wp:effectExtent l="114300" t="114300" r="147320" b="141605"/>
            <wp:docPr id="2" name="Imagen 2" descr="C:\Users\Lenovo Z50\AppData\Local\Microsoft\Windows\INetCacheContent.Word\Veredas_de_Girardota-Colomb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Z50\AppData\Local\Microsoft\Windows\INetCacheContent.Word\Veredas_de_Girardota-Colombia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10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41AE" w:rsidRPr="000736B7" w:rsidRDefault="00E12114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Su t</w:t>
      </w:r>
      <w:r w:rsidR="007F41AE" w:rsidRPr="000736B7">
        <w:rPr>
          <w:rFonts w:ascii="Trebuchet MS" w:hAnsi="Trebuchet MS"/>
          <w:sz w:val="20"/>
          <w:szCs w:val="20"/>
        </w:rPr>
        <w:t xml:space="preserve">erritorio </w:t>
      </w:r>
      <w:r w:rsidRPr="000736B7">
        <w:rPr>
          <w:rFonts w:ascii="Trebuchet MS" w:hAnsi="Trebuchet MS"/>
          <w:sz w:val="20"/>
          <w:szCs w:val="20"/>
        </w:rPr>
        <w:t xml:space="preserve">es </w:t>
      </w:r>
      <w:r w:rsidR="007F41AE" w:rsidRPr="000736B7">
        <w:rPr>
          <w:rFonts w:ascii="Trebuchet MS" w:hAnsi="Trebuchet MS"/>
          <w:sz w:val="20"/>
          <w:szCs w:val="20"/>
        </w:rPr>
        <w:t>montañoso de cordillera, es atravesado por el rio Medellín.</w:t>
      </w:r>
      <w:r w:rsidRPr="000736B7">
        <w:rPr>
          <w:rFonts w:ascii="Trebuchet MS" w:hAnsi="Trebuchet MS"/>
          <w:sz w:val="20"/>
          <w:szCs w:val="20"/>
        </w:rPr>
        <w:t xml:space="preserve"> Está conformado así:</w:t>
      </w:r>
    </w:p>
    <w:p w:rsidR="007F41AE" w:rsidRPr="000736B7" w:rsidRDefault="007F41AE" w:rsidP="000736B7">
      <w:pPr>
        <w:pStyle w:val="Prrafodelista"/>
        <w:numPr>
          <w:ilvl w:val="0"/>
          <w:numId w:val="5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Zona urbana 17 barrios</w:t>
      </w:r>
    </w:p>
    <w:p w:rsidR="007F41AE" w:rsidRDefault="007F41AE" w:rsidP="000736B7">
      <w:pPr>
        <w:pStyle w:val="Prrafodelista"/>
        <w:numPr>
          <w:ilvl w:val="0"/>
          <w:numId w:val="5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Zona rural 25 veredas</w:t>
      </w:r>
    </w:p>
    <w:p w:rsidR="002D510A" w:rsidRDefault="002D510A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1E7FEE" w:rsidRPr="000736B7" w:rsidRDefault="001E7FEE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7F41AE" w:rsidRPr="001E7FEE" w:rsidRDefault="001E7FEE" w:rsidP="001E7FEE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1E7FEE">
        <w:rPr>
          <w:rFonts w:ascii="Trebuchet MS" w:hAnsi="Trebuchet MS"/>
          <w:b/>
          <w:color w:val="FFFFFF" w:themeColor="background1"/>
          <w:sz w:val="20"/>
          <w:szCs w:val="20"/>
        </w:rPr>
        <w:t xml:space="preserve">Descripción del proceso para obtención del crédito </w:t>
      </w:r>
    </w:p>
    <w:p w:rsidR="001E7FEE" w:rsidRDefault="001E7FE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7F41AE" w:rsidRPr="001E7FEE" w:rsidRDefault="007F41AE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1E7FEE">
        <w:rPr>
          <w:rFonts w:ascii="Trebuchet MS" w:hAnsi="Trebuchet MS"/>
          <w:b/>
          <w:sz w:val="20"/>
          <w:szCs w:val="20"/>
        </w:rPr>
        <w:t xml:space="preserve">Ruta para obtención de garantía </w:t>
      </w:r>
    </w:p>
    <w:p w:rsidR="00AA6D2E" w:rsidRDefault="00AA6D2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Estudio y Consultoría previa, estructuración del proyecto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Estudio técnico del proyecto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 xml:space="preserve">Formulación y modelo de financiación 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Exposición, motivación y justificación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Alcalde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Consejo de Gobierno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0736B7">
        <w:rPr>
          <w:rFonts w:ascii="Trebuchet MS" w:hAnsi="Trebuchet MS"/>
          <w:sz w:val="20"/>
          <w:szCs w:val="20"/>
        </w:rPr>
        <w:t>Confis</w:t>
      </w:r>
      <w:proofErr w:type="spellEnd"/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 xml:space="preserve">Presentación </w:t>
      </w:r>
      <w:bookmarkStart w:id="0" w:name="_GoBack"/>
      <w:bookmarkEnd w:id="0"/>
      <w:r w:rsidRPr="000736B7">
        <w:rPr>
          <w:rFonts w:ascii="Trebuchet MS" w:hAnsi="Trebuchet MS"/>
          <w:sz w:val="20"/>
          <w:szCs w:val="20"/>
        </w:rPr>
        <w:t>ante el Concejo Municipal</w:t>
      </w:r>
    </w:p>
    <w:p w:rsidR="007F41AE" w:rsidRPr="000736B7" w:rsidRDefault="007F41AE" w:rsidP="000736B7">
      <w:pPr>
        <w:pStyle w:val="Prrafodelista"/>
        <w:numPr>
          <w:ilvl w:val="2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Proyecto de acuerdo</w:t>
      </w:r>
    </w:p>
    <w:p w:rsidR="007F41AE" w:rsidRPr="000736B7" w:rsidRDefault="007F41AE" w:rsidP="000736B7">
      <w:pPr>
        <w:pStyle w:val="Prrafodelista"/>
        <w:numPr>
          <w:ilvl w:val="2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Debates y aprobaciones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Aprobación acuerdo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Sanción del acuerdo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 xml:space="preserve">Negociación de condiciones 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Contrato de empréstito</w:t>
      </w:r>
      <w:r w:rsidR="00AA6D2E">
        <w:rPr>
          <w:rFonts w:ascii="Trebuchet MS" w:hAnsi="Trebuchet MS"/>
          <w:sz w:val="20"/>
          <w:szCs w:val="20"/>
        </w:rPr>
        <w:t xml:space="preserve"> y fideicomiso de garantía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Plazo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Tasa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Garantías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Desembolso</w:t>
      </w:r>
    </w:p>
    <w:p w:rsidR="007F41AE" w:rsidRPr="000736B7" w:rsidRDefault="007F41AE" w:rsidP="000736B7">
      <w:pPr>
        <w:pStyle w:val="Prrafodelista"/>
        <w:numPr>
          <w:ilvl w:val="1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Período de gracia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Suscripción de Pagarés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Desembolso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Registro presupuestal</w:t>
      </w:r>
    </w:p>
    <w:p w:rsidR="007F41AE" w:rsidRPr="000736B7" w:rsidRDefault="007F41AE" w:rsidP="000736B7">
      <w:pPr>
        <w:pStyle w:val="Prrafodelista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Servicio a la deuda cuotas e informe del proyecto</w:t>
      </w:r>
    </w:p>
    <w:p w:rsidR="00AA6D2E" w:rsidRDefault="00AA6D2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Elaboración de estudios previos y del sector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Comité de contratación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Certificado de disponibilidad presupuestal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Elaboración proyecto de pliego de condiciones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Publicación del proceso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Observaciones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 xml:space="preserve">Ajustes a los </w:t>
      </w:r>
      <w:r w:rsidR="00AA6D2E" w:rsidRPr="000736B7">
        <w:rPr>
          <w:rFonts w:ascii="Trebuchet MS" w:hAnsi="Trebuchet MS"/>
          <w:sz w:val="20"/>
          <w:szCs w:val="20"/>
        </w:rPr>
        <w:t>pliegos</w:t>
      </w:r>
      <w:r w:rsidRPr="000736B7">
        <w:rPr>
          <w:rFonts w:ascii="Trebuchet MS" w:hAnsi="Trebuchet MS"/>
          <w:sz w:val="20"/>
          <w:szCs w:val="20"/>
        </w:rPr>
        <w:t xml:space="preserve"> de condiciones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Proceso de selección</w:t>
      </w:r>
    </w:p>
    <w:p w:rsidR="007F41AE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>Suscripción del contrato y Acta de inicio</w:t>
      </w:r>
    </w:p>
    <w:p w:rsidR="00AA6D2E" w:rsidRPr="000736B7" w:rsidRDefault="00AA6D2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Operación del proyecto</w:t>
      </w: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sectPr w:rsidR="007F41AE" w:rsidRPr="000736B7" w:rsidSect="00560905">
      <w:type w:val="continuous"/>
      <w:pgSz w:w="12240" w:h="15840" w:code="1"/>
      <w:pgMar w:top="720" w:right="720" w:bottom="720" w:left="72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D9D" w:rsidRDefault="00111D9D" w:rsidP="007F41AE">
      <w:pPr>
        <w:spacing w:after="0" w:line="240" w:lineRule="auto"/>
      </w:pPr>
      <w:r>
        <w:separator/>
      </w:r>
    </w:p>
  </w:endnote>
  <w:endnote w:type="continuationSeparator" w:id="0">
    <w:p w:rsidR="00111D9D" w:rsidRDefault="00111D9D" w:rsidP="007F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EE" w:rsidRDefault="001E7FEE">
    <w:pPr>
      <w:pStyle w:val="Piedepgina"/>
    </w:pPr>
    <w:r>
      <w:rPr>
        <w:noProof/>
        <w:lang w:eastAsia="es-CO"/>
      </w:rPr>
      <w:drawing>
        <wp:inline distT="0" distB="0" distL="0" distR="0" wp14:anchorId="1742EFE9" wp14:editId="3D6B668F">
          <wp:extent cx="6774070" cy="429370"/>
          <wp:effectExtent l="0" t="0" r="8255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1741" t="83528" r="17890" b="9665"/>
                  <a:stretch/>
                </pic:blipFill>
                <pic:spPr bwMode="auto">
                  <a:xfrm>
                    <a:off x="0" y="0"/>
                    <a:ext cx="7102157" cy="4501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D9D" w:rsidRDefault="00111D9D" w:rsidP="007F41AE">
      <w:pPr>
        <w:spacing w:after="0" w:line="240" w:lineRule="auto"/>
      </w:pPr>
      <w:r>
        <w:separator/>
      </w:r>
    </w:p>
  </w:footnote>
  <w:footnote w:type="continuationSeparator" w:id="0">
    <w:p w:rsidR="00111D9D" w:rsidRDefault="00111D9D" w:rsidP="007F41AE">
      <w:pPr>
        <w:spacing w:after="0" w:line="240" w:lineRule="auto"/>
      </w:pPr>
      <w:r>
        <w:continuationSeparator/>
      </w:r>
    </w:p>
  </w:footnote>
  <w:footnote w:id="1">
    <w:p w:rsidR="002D510A" w:rsidRDefault="002D510A">
      <w:pPr>
        <w:pStyle w:val="Textonotapie"/>
      </w:pPr>
      <w:r>
        <w:rPr>
          <w:rStyle w:val="Refdenotaalpie"/>
        </w:rPr>
        <w:footnoteRef/>
      </w:r>
      <w:r>
        <w:t xml:space="preserve"> Código CGN: </w:t>
      </w:r>
      <w:r w:rsidRPr="002D510A">
        <w:t>210805308</w:t>
      </w:r>
    </w:p>
  </w:footnote>
  <w:footnote w:id="2">
    <w:p w:rsidR="007F41AE" w:rsidRDefault="007F41AE">
      <w:pPr>
        <w:pStyle w:val="Textonotapie"/>
      </w:pPr>
      <w:r>
        <w:rPr>
          <w:rStyle w:val="Refdenotaalpie"/>
        </w:rPr>
        <w:footnoteRef/>
      </w:r>
      <w:r>
        <w:t xml:space="preserve"> Fuente </w:t>
      </w:r>
      <w:proofErr w:type="spellStart"/>
      <w:r>
        <w:t>Dane</w:t>
      </w:r>
      <w:proofErr w:type="spellEnd"/>
      <w:r>
        <w:t xml:space="preserve"> 2015</w:t>
      </w:r>
    </w:p>
  </w:footnote>
  <w:footnote w:id="3">
    <w:p w:rsidR="003055E2" w:rsidRDefault="003055E2">
      <w:pPr>
        <w:pStyle w:val="Textonotapie"/>
      </w:pPr>
      <w:r>
        <w:rPr>
          <w:rStyle w:val="Refdenotaalpie"/>
        </w:rPr>
        <w:footnoteRef/>
      </w:r>
      <w:r w:rsidR="003D11D0">
        <w:t xml:space="preserve"> Elección: </w:t>
      </w:r>
      <w:r w:rsidRPr="003055E2">
        <w:t>Partido de la U en coalición con el Partido Liberal Colombiano y en alianza con el Movimiento Alternativo Indígena y Social (</w:t>
      </w:r>
      <w:proofErr w:type="spellStart"/>
      <w:r w:rsidRPr="003055E2">
        <w:t>Mais</w:t>
      </w:r>
      <w:proofErr w:type="spellEnd"/>
      <w:r w:rsidRPr="003055E2">
        <w:t>), Cambio Radical, Partido Alianza Verde y el apoyo de disidentes o matices del Partido Conservador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ADC"/>
    <w:multiLevelType w:val="hybridMultilevel"/>
    <w:tmpl w:val="04AC9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BB2"/>
    <w:multiLevelType w:val="hybridMultilevel"/>
    <w:tmpl w:val="D536F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388A"/>
    <w:multiLevelType w:val="hybridMultilevel"/>
    <w:tmpl w:val="696A8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2EC2"/>
    <w:multiLevelType w:val="hybridMultilevel"/>
    <w:tmpl w:val="108AC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69A"/>
    <w:multiLevelType w:val="hybridMultilevel"/>
    <w:tmpl w:val="00EA5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578FE"/>
    <w:multiLevelType w:val="hybridMultilevel"/>
    <w:tmpl w:val="DE924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3D2D"/>
    <w:multiLevelType w:val="hybridMultilevel"/>
    <w:tmpl w:val="61F2E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81123"/>
    <w:multiLevelType w:val="hybridMultilevel"/>
    <w:tmpl w:val="5A200E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A575C"/>
    <w:multiLevelType w:val="hybridMultilevel"/>
    <w:tmpl w:val="54B2BA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E7BDA"/>
    <w:multiLevelType w:val="hybridMultilevel"/>
    <w:tmpl w:val="70DE6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F0EFD"/>
    <w:multiLevelType w:val="hybridMultilevel"/>
    <w:tmpl w:val="72A80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47131"/>
    <w:multiLevelType w:val="hybridMultilevel"/>
    <w:tmpl w:val="5C442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35"/>
    <w:rsid w:val="000736B7"/>
    <w:rsid w:val="00111D9D"/>
    <w:rsid w:val="001B2547"/>
    <w:rsid w:val="001E7FEE"/>
    <w:rsid w:val="0020753E"/>
    <w:rsid w:val="002D510A"/>
    <w:rsid w:val="003055E2"/>
    <w:rsid w:val="003D11D0"/>
    <w:rsid w:val="00560905"/>
    <w:rsid w:val="007437F4"/>
    <w:rsid w:val="00793635"/>
    <w:rsid w:val="007F41AE"/>
    <w:rsid w:val="00A574BE"/>
    <w:rsid w:val="00AA6D2E"/>
    <w:rsid w:val="00CB1CC2"/>
    <w:rsid w:val="00E12114"/>
    <w:rsid w:val="00E13D28"/>
    <w:rsid w:val="00E542A3"/>
    <w:rsid w:val="00F45D89"/>
    <w:rsid w:val="00F6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FA387"/>
  <w15:chartTrackingRefBased/>
  <w15:docId w15:val="{A97C58C5-8E8C-4CDF-B787-907096C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793635"/>
  </w:style>
  <w:style w:type="character" w:styleId="Hipervnculo">
    <w:name w:val="Hyperlink"/>
    <w:basedOn w:val="Fuentedeprrafopredeter"/>
    <w:uiPriority w:val="99"/>
    <w:semiHidden/>
    <w:unhideWhenUsed/>
    <w:rsid w:val="0079363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41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F41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F41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F41A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E7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FEE"/>
  </w:style>
  <w:style w:type="paragraph" w:styleId="Piedepgina">
    <w:name w:val="footer"/>
    <w:basedOn w:val="Normal"/>
    <w:link w:val="PiedepginaCar"/>
    <w:uiPriority w:val="99"/>
    <w:unhideWhenUsed/>
    <w:rsid w:val="001E7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35891-7563-4776-BB7E-FF2BC217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Eustorgio Rodado</dc:creator>
  <cp:keywords/>
  <dc:description/>
  <cp:lastModifiedBy>Eustorgio Rodado</cp:lastModifiedBy>
  <cp:revision>2</cp:revision>
  <dcterms:created xsi:type="dcterms:W3CDTF">2016-09-02T22:45:00Z</dcterms:created>
  <dcterms:modified xsi:type="dcterms:W3CDTF">2016-09-02T22:45:00Z</dcterms:modified>
</cp:coreProperties>
</file>