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6B7" w:rsidRDefault="001E7FEE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r w:rsidRPr="001E7FEE">
        <w:rPr>
          <w:rFonts w:ascii="Trebuchet MS" w:hAnsi="Trebuchet MS" w:cs="Arial"/>
          <w:b/>
          <w:bCs/>
          <w:color w:val="252525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3976</wp:posOffset>
            </wp:positionH>
            <wp:positionV relativeFrom="paragraph">
              <wp:posOffset>3976</wp:posOffset>
            </wp:positionV>
            <wp:extent cx="3556116" cy="1910542"/>
            <wp:effectExtent l="0" t="0" r="6350" b="0"/>
            <wp:wrapSquare wrapText="bothSides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116" cy="191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  <w:sectPr w:rsidR="00560905" w:rsidSect="00560905">
          <w:footerReference w:type="default" r:id="rId9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560905" w:rsidRPr="001E7FEE" w:rsidRDefault="00560905" w:rsidP="001E7FEE">
      <w:pPr>
        <w:pStyle w:val="NormalWeb"/>
        <w:shd w:val="clear" w:color="auto" w:fill="00B050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FFFFFF" w:themeColor="background1"/>
          <w:sz w:val="40"/>
          <w:szCs w:val="20"/>
        </w:rPr>
      </w:pPr>
      <w:r w:rsidRPr="001E7FEE">
        <w:rPr>
          <w:rFonts w:ascii="Trebuchet MS" w:hAnsi="Trebuchet MS" w:cs="Arial"/>
          <w:b/>
          <w:bCs/>
          <w:color w:val="FFFFFF" w:themeColor="background1"/>
          <w:sz w:val="40"/>
          <w:szCs w:val="20"/>
        </w:rPr>
        <w:t>PERSÉPOLIS</w:t>
      </w:r>
    </w:p>
    <w:p w:rsidR="00D94834" w:rsidRDefault="00D94834" w:rsidP="001E7FEE">
      <w:pPr>
        <w:pStyle w:val="NormalWeb"/>
        <w:shd w:val="clear" w:color="auto" w:fill="FFFFFF"/>
        <w:spacing w:before="0" w:beforeAutospacing="0" w:after="0" w:afterAutospacing="0" w:line="276" w:lineRule="auto"/>
        <w:jc w:val="center"/>
        <w:rPr>
          <w:rFonts w:ascii="Trebuchet MS" w:hAnsi="Trebuchet MS" w:cs="Arial"/>
          <w:bCs/>
          <w:color w:val="252525"/>
          <w:sz w:val="16"/>
          <w:szCs w:val="20"/>
        </w:rPr>
      </w:pPr>
      <w:bookmarkStart w:id="0" w:name="_GoBack"/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Sheet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Analysis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and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Classification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for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financial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viability</w:t>
      </w:r>
      <w:proofErr w:type="spellEnd"/>
      <w:r w:rsidRPr="00D94834">
        <w:rPr>
          <w:rFonts w:ascii="Trebuchet MS" w:hAnsi="Trebuchet MS" w:cs="Arial"/>
          <w:bCs/>
          <w:color w:val="252525"/>
          <w:sz w:val="16"/>
          <w:szCs w:val="20"/>
        </w:rPr>
        <w:t xml:space="preserve"> territorial </w:t>
      </w:r>
      <w:proofErr w:type="spellStart"/>
      <w:r w:rsidRPr="00D94834">
        <w:rPr>
          <w:rFonts w:ascii="Trebuchet MS" w:hAnsi="Trebuchet MS" w:cs="Arial"/>
          <w:bCs/>
          <w:color w:val="252525"/>
          <w:sz w:val="16"/>
          <w:szCs w:val="20"/>
        </w:rPr>
        <w:t>entities</w:t>
      </w:r>
      <w:proofErr w:type="spellEnd"/>
    </w:p>
    <w:bookmarkEnd w:id="0"/>
    <w:p w:rsidR="00D94834" w:rsidRPr="00D94834" w:rsidRDefault="00D94834" w:rsidP="00D94834">
      <w:pPr>
        <w:pStyle w:val="NormalWeb"/>
        <w:shd w:val="clear" w:color="auto" w:fill="FFFFFF"/>
        <w:spacing w:after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proofErr w:type="spellStart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>Entity</w:t>
      </w:r>
      <w:proofErr w:type="spellEnd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 xml:space="preserve"> </w:t>
      </w:r>
      <w:proofErr w:type="spellStart"/>
      <w:proofErr w:type="gramStart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>Type</w:t>
      </w:r>
      <w:proofErr w:type="spellEnd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 xml:space="preserve"> :</w:t>
      </w:r>
      <w:proofErr w:type="gramEnd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 xml:space="preserve"> </w:t>
      </w:r>
      <w:proofErr w:type="spellStart"/>
      <w:r>
        <w:rPr>
          <w:rFonts w:ascii="Trebuchet MS" w:hAnsi="Trebuchet MS" w:cs="Arial"/>
          <w:b/>
          <w:bCs/>
          <w:color w:val="252525"/>
          <w:sz w:val="20"/>
          <w:szCs w:val="20"/>
        </w:rPr>
        <w:t>m</w:t>
      </w:r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>unicipality</w:t>
      </w:r>
      <w:proofErr w:type="spellEnd"/>
    </w:p>
    <w:p w:rsidR="00D94834" w:rsidRDefault="00D94834" w:rsidP="00D9483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 xml:space="preserve">Project: Smart </w:t>
      </w:r>
      <w:proofErr w:type="spellStart"/>
      <w:r w:rsidRPr="00D94834">
        <w:rPr>
          <w:rFonts w:ascii="Trebuchet MS" w:hAnsi="Trebuchet MS" w:cs="Arial"/>
          <w:b/>
          <w:bCs/>
          <w:color w:val="252525"/>
          <w:sz w:val="20"/>
          <w:szCs w:val="20"/>
        </w:rPr>
        <w:t>Cities</w:t>
      </w:r>
      <w:proofErr w:type="spellEnd"/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bCs/>
          <w:color w:val="252525"/>
          <w:sz w:val="20"/>
          <w:szCs w:val="20"/>
        </w:rPr>
      </w:pPr>
    </w:p>
    <w:p w:rsidR="000736B7" w:rsidRPr="000736B7" w:rsidRDefault="0079363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  <w:r w:rsidRPr="000736B7">
        <w:rPr>
          <w:rFonts w:ascii="Trebuchet MS" w:hAnsi="Trebuchet MS" w:cs="Arial"/>
          <w:b/>
          <w:bCs/>
          <w:color w:val="252525"/>
          <w:sz w:val="20"/>
          <w:szCs w:val="20"/>
        </w:rPr>
        <w:t>Girardota</w:t>
      </w:r>
      <w:r w:rsidR="002D510A" w:rsidRPr="000736B7">
        <w:rPr>
          <w:rStyle w:val="Refdenotaalpie"/>
          <w:rFonts w:ascii="Trebuchet MS" w:hAnsi="Trebuchet MS" w:cs="Arial"/>
          <w:b/>
          <w:bCs/>
          <w:color w:val="252525"/>
          <w:sz w:val="20"/>
          <w:szCs w:val="20"/>
        </w:rPr>
        <w:footnoteReference w:id="1"/>
      </w:r>
      <w:r w:rsidRPr="000736B7">
        <w:rPr>
          <w:rStyle w:val="apple-converted-space"/>
          <w:rFonts w:ascii="Trebuchet MS" w:hAnsi="Trebuchet MS" w:cs="Arial"/>
          <w:color w:val="252525"/>
          <w:sz w:val="20"/>
          <w:szCs w:val="20"/>
        </w:rPr>
        <w:t xml:space="preserve">: </w:t>
      </w:r>
      <w:proofErr w:type="spellStart"/>
      <w:r w:rsidR="00D94834">
        <w:rPr>
          <w:rFonts w:ascii="Trebuchet MS" w:hAnsi="Trebuchet MS" w:cs="Arial"/>
          <w:color w:val="252525"/>
          <w:sz w:val="20"/>
          <w:szCs w:val="20"/>
        </w:rPr>
        <w:t>Colombian</w:t>
      </w:r>
      <w:proofErr w:type="spellEnd"/>
      <w:r w:rsid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proofErr w:type="spellStart"/>
      <w:r w:rsidR="00D94834">
        <w:rPr>
          <w:rFonts w:ascii="Trebuchet MS" w:hAnsi="Trebuchet MS" w:cs="Arial"/>
          <w:color w:val="252525"/>
          <w:sz w:val="20"/>
          <w:szCs w:val="20"/>
        </w:rPr>
        <w:t>municipality</w:t>
      </w:r>
      <w:proofErr w:type="spellEnd"/>
      <w:r w:rsidRPr="000736B7">
        <w:rPr>
          <w:rFonts w:ascii="Trebuchet MS" w:hAnsi="Trebuchet MS" w:cs="Arial"/>
          <w:color w:val="252525"/>
          <w:sz w:val="20"/>
          <w:szCs w:val="20"/>
        </w:rPr>
        <w:t xml:space="preserve">, </w:t>
      </w:r>
      <w:proofErr w:type="spellStart"/>
      <w:r w:rsidR="00D94834">
        <w:rPr>
          <w:rFonts w:ascii="Trebuchet MS" w:hAnsi="Trebuchet MS" w:cs="Arial"/>
          <w:color w:val="252525"/>
          <w:sz w:val="20"/>
          <w:szCs w:val="20"/>
        </w:rPr>
        <w:t>l</w:t>
      </w:r>
      <w:r w:rsidR="00D94834" w:rsidRPr="00D94834">
        <w:rPr>
          <w:rFonts w:ascii="Trebuchet MS" w:hAnsi="Trebuchet MS" w:cs="Arial"/>
          <w:color w:val="252525"/>
          <w:sz w:val="20"/>
          <w:szCs w:val="20"/>
        </w:rPr>
        <w:t>ocated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in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the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Valley of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Aburrá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r w:rsidR="00D94834">
        <w:rPr>
          <w:rFonts w:ascii="Trebuchet MS" w:hAnsi="Trebuchet MS" w:cs="Arial"/>
          <w:color w:val="252525"/>
          <w:sz w:val="20"/>
          <w:szCs w:val="20"/>
        </w:rPr>
        <w:t>in</w:t>
      </w:r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the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department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of </w:t>
      </w:r>
      <w:proofErr w:type="gram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Antioquia .</w:t>
      </w:r>
      <w:proofErr w:type="gram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At </w:t>
      </w:r>
      <w:r w:rsidR="00D94834">
        <w:rPr>
          <w:rFonts w:ascii="Trebuchet MS" w:hAnsi="Trebuchet MS" w:cs="Arial"/>
          <w:color w:val="252525"/>
          <w:sz w:val="20"/>
          <w:szCs w:val="20"/>
        </w:rPr>
        <w:t>1</w:t>
      </w:r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6 </w:t>
      </w:r>
      <w:proofErr w:type="gramStart"/>
      <w:r w:rsidR="00D94834">
        <w:rPr>
          <w:rFonts w:ascii="Trebuchet MS" w:hAnsi="Trebuchet MS" w:cs="Arial"/>
          <w:color w:val="252525"/>
          <w:sz w:val="20"/>
          <w:szCs w:val="20"/>
        </w:rPr>
        <w:t xml:space="preserve">miles </w:t>
      </w:r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from</w:t>
      </w:r>
      <w:proofErr w:type="spellEnd"/>
      <w:proofErr w:type="gram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Medellin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30 minutes </w:t>
      </w:r>
      <w:proofErr w:type="spellStart"/>
      <w:r w:rsidR="00D94834" w:rsidRPr="00D94834">
        <w:rPr>
          <w:rFonts w:ascii="Trebuchet MS" w:hAnsi="Trebuchet MS" w:cs="Arial"/>
          <w:color w:val="252525"/>
          <w:sz w:val="20"/>
          <w:szCs w:val="20"/>
        </w:rPr>
        <w:t>by</w:t>
      </w:r>
      <w:proofErr w:type="spellEnd"/>
      <w:r w:rsidR="00D94834" w:rsidRPr="00D94834">
        <w:rPr>
          <w:rFonts w:ascii="Trebuchet MS" w:hAnsi="Trebuchet MS" w:cs="Arial"/>
          <w:color w:val="252525"/>
          <w:sz w:val="20"/>
          <w:szCs w:val="20"/>
        </w:rPr>
        <w:t xml:space="preserve"> car.</w:t>
      </w:r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560905" w:rsidRPr="00D94834" w:rsidRDefault="00D94834" w:rsidP="00D94834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Cs w:val="20"/>
        </w:rPr>
        <w:sectPr w:rsidR="00560905" w:rsidRPr="00D94834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  <w:proofErr w:type="spellStart"/>
      <w:r w:rsidRPr="00D94834">
        <w:rPr>
          <w:rFonts w:ascii="Trebuchet MS" w:hAnsi="Trebuchet MS"/>
          <w:b/>
          <w:color w:val="FFFFFF" w:themeColor="background1"/>
          <w:sz w:val="52"/>
          <w:szCs w:val="20"/>
        </w:rPr>
        <w:t>F</w:t>
      </w:r>
      <w:r w:rsidRPr="00D94834">
        <w:rPr>
          <w:rFonts w:ascii="Trebuchet MS" w:hAnsi="Trebuchet MS"/>
          <w:b/>
          <w:color w:val="FFFFFF" w:themeColor="background1"/>
          <w:szCs w:val="20"/>
        </w:rPr>
        <w:t>inancial</w:t>
      </w:r>
      <w:proofErr w:type="spellEnd"/>
      <w:r w:rsidRPr="00D94834">
        <w:rPr>
          <w:rFonts w:ascii="Trebuchet MS" w:hAnsi="Trebuchet MS"/>
          <w:b/>
          <w:color w:val="FFFFFF" w:themeColor="background1"/>
          <w:sz w:val="52"/>
          <w:szCs w:val="20"/>
        </w:rPr>
        <w:t xml:space="preserve"> </w:t>
      </w:r>
      <w:proofErr w:type="spellStart"/>
      <w:r>
        <w:rPr>
          <w:rFonts w:ascii="Trebuchet MS" w:hAnsi="Trebuchet MS"/>
          <w:b/>
          <w:color w:val="FFFFFF" w:themeColor="background1"/>
          <w:sz w:val="52"/>
          <w:szCs w:val="20"/>
        </w:rPr>
        <w:t>S</w:t>
      </w:r>
      <w:r w:rsidRPr="00D94834">
        <w:rPr>
          <w:rFonts w:ascii="Trebuchet MS" w:hAnsi="Trebuchet MS"/>
          <w:b/>
          <w:color w:val="FFFFFF" w:themeColor="background1"/>
          <w:szCs w:val="20"/>
        </w:rPr>
        <w:t>ituation</w:t>
      </w:r>
      <w:proofErr w:type="spellEnd"/>
    </w:p>
    <w:p w:rsidR="00560905" w:rsidRDefault="00560905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D94834" w:rsidRPr="00D94834" w:rsidRDefault="00D94834" w:rsidP="00D94834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D94834">
        <w:rPr>
          <w:rFonts w:ascii="Trebuchet MS" w:hAnsi="Trebuchet MS"/>
          <w:b/>
          <w:sz w:val="20"/>
          <w:szCs w:val="20"/>
        </w:rPr>
        <w:t xml:space="preserve">Fiscal </w:t>
      </w:r>
      <w:proofErr w:type="spellStart"/>
      <w:r w:rsidRPr="00D94834">
        <w:rPr>
          <w:rFonts w:ascii="Trebuchet MS" w:hAnsi="Trebuchet MS"/>
          <w:b/>
          <w:sz w:val="20"/>
          <w:szCs w:val="20"/>
        </w:rPr>
        <w:t>Category</w:t>
      </w:r>
      <w:proofErr w:type="spellEnd"/>
      <w:r w:rsidRPr="00D94834">
        <w:rPr>
          <w:rFonts w:ascii="Trebuchet MS" w:hAnsi="Trebuchet MS"/>
          <w:b/>
          <w:sz w:val="20"/>
          <w:szCs w:val="20"/>
        </w:rPr>
        <w:t>:</w:t>
      </w:r>
      <w:r w:rsidRPr="00D94834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D94834">
        <w:rPr>
          <w:rFonts w:ascii="Trebuchet MS" w:hAnsi="Trebuchet MS"/>
          <w:sz w:val="20"/>
          <w:szCs w:val="20"/>
        </w:rPr>
        <w:t>Category</w:t>
      </w:r>
      <w:proofErr w:type="spellEnd"/>
      <w:r w:rsidRPr="00D94834">
        <w:rPr>
          <w:rFonts w:ascii="Trebuchet MS" w:hAnsi="Trebuchet MS"/>
          <w:b/>
          <w:sz w:val="20"/>
          <w:szCs w:val="20"/>
        </w:rPr>
        <w:t xml:space="preserve"> </w:t>
      </w:r>
      <w:r w:rsidRPr="00D94834">
        <w:rPr>
          <w:rFonts w:ascii="Trebuchet MS" w:hAnsi="Trebuchet MS"/>
          <w:b/>
          <w:color w:val="00B050"/>
          <w:sz w:val="44"/>
          <w:szCs w:val="20"/>
        </w:rPr>
        <w:t>3</w:t>
      </w:r>
    </w:p>
    <w:p w:rsidR="00D94834" w:rsidRDefault="00C37A11" w:rsidP="00D94834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560905">
        <w:rPr>
          <w:rFonts w:ascii="Trebuchet MS" w:hAnsi="Trebuchet MS"/>
          <w:b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604DD" wp14:editId="21E55CFE">
                <wp:simplePos x="0" y="0"/>
                <wp:positionH relativeFrom="column">
                  <wp:posOffset>-161870</wp:posOffset>
                </wp:positionH>
                <wp:positionV relativeFrom="paragraph">
                  <wp:posOffset>151103</wp:posOffset>
                </wp:positionV>
                <wp:extent cx="2435860" cy="2107096"/>
                <wp:effectExtent l="0" t="0" r="2540" b="762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5860" cy="2107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38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1105"/>
                              <w:gridCol w:w="1288"/>
                            </w:tblGrid>
                            <w:tr w:rsidR="000736B7" w:rsidRPr="00F651D9" w:rsidTr="00F651D9">
                              <w:trPr>
                                <w:trHeight w:val="900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0736B7" w:rsidRPr="00F651D9" w:rsidRDefault="00D94834" w:rsidP="00D9483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I</w:t>
                                  </w:r>
                                  <w:r w:rsidRPr="00D94834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ndicators</w:t>
                                  </w:r>
                                  <w:proofErr w:type="spellEnd"/>
                                  <w:r w:rsidRPr="00D94834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of </w:t>
                                  </w:r>
                                  <w:proofErr w:type="spellStart"/>
                                  <w:r w:rsidRPr="00D94834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Financial</w:t>
                                  </w:r>
                                  <w:proofErr w:type="spellEnd"/>
                                  <w:r w:rsidRPr="00D94834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Status 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Limit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00B050"/>
                                  <w:vAlign w:val="center"/>
                                  <w:hideMark/>
                                </w:tcPr>
                                <w:p w:rsidR="00C37A11" w:rsidRDefault="00C37A11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Result</w:t>
                                  </w:r>
                                  <w:proofErr w:type="spellEnd"/>
                                </w:p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color w:val="FFFFFF"/>
                                      <w:sz w:val="20"/>
                                      <w:szCs w:val="20"/>
                                      <w:lang w:eastAsia="es-CO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243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Solvency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Less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than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or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equal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to</w:t>
                                  </w:r>
                                  <w:r w:rsidR="000736B7"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40%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15,50%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392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C37A11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S</w:t>
                                  </w:r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ustainability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Less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than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or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equal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to</w:t>
                                  </w:r>
                                  <w:r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r w:rsidR="000736B7"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80%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60,33%</w:t>
                                  </w:r>
                                </w:p>
                              </w:tc>
                            </w:tr>
                            <w:tr w:rsidR="000736B7" w:rsidRPr="00F651D9" w:rsidTr="00F651D9">
                              <w:trPr>
                                <w:trHeight w:val="1110"/>
                              </w:trPr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proofErr w:type="spellStart"/>
                                  <w:proofErr w:type="gram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Relationship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:</w:t>
                                  </w:r>
                                  <w:proofErr w:type="gram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Interest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Debt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/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Operating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Savings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C37A11" w:rsidP="00F651D9">
                                  <w:pPr>
                                    <w:spacing w:after="0" w:line="240" w:lineRule="auto"/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</w:pP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Less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than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or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>equal</w:t>
                                  </w:r>
                                  <w:proofErr w:type="spellEnd"/>
                                  <w:r w:rsidRPr="00C37A11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to</w:t>
                                  </w:r>
                                  <w:r w:rsidR="000736B7" w:rsidRPr="00F651D9">
                                    <w:rPr>
                                      <w:rFonts w:ascii="Trebuchet MS" w:eastAsia="Times New Roman" w:hAnsi="Trebuchet MS" w:cs="Arial"/>
                                      <w:sz w:val="18"/>
                                      <w:szCs w:val="18"/>
                                      <w:lang w:eastAsia="es-CO"/>
                                    </w:rPr>
                                    <w:t xml:space="preserve"> 40%</w:t>
                                  </w:r>
                                </w:p>
                              </w:tc>
                              <w:tc>
                                <w:tcPr>
                                  <w:tcW w:w="12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0736B7" w:rsidRPr="00F651D9" w:rsidRDefault="000736B7" w:rsidP="00F651D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</w:pPr>
                                  <w:r w:rsidRPr="00F651D9">
                                    <w:rPr>
                                      <w:rFonts w:ascii="Trebuchet MS" w:eastAsia="Times New Roman" w:hAnsi="Trebuchet MS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s-CO"/>
                                    </w:rPr>
                                    <w:t>15,50%</w:t>
                                  </w:r>
                                </w:p>
                              </w:tc>
                            </w:tr>
                          </w:tbl>
                          <w:p w:rsidR="000736B7" w:rsidRDefault="000736B7" w:rsidP="00073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604DD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12.75pt;margin-top:11.9pt;width:191.8pt;height:16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" fillcolor="white [3201]" stroked="f" strokeweight=".5pt">
                <v:textbox>
                  <w:txbxContent>
                    <w:tbl>
                      <w:tblPr>
                        <w:tblW w:w="38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1105"/>
                        <w:gridCol w:w="1288"/>
                      </w:tblGrid>
                      <w:tr w:rsidR="000736B7" w:rsidRPr="00F651D9" w:rsidTr="00F651D9">
                        <w:trPr>
                          <w:trHeight w:val="900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0736B7" w:rsidRPr="00F651D9" w:rsidRDefault="00D94834" w:rsidP="00D94834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I</w:t>
                            </w:r>
                            <w:r w:rsidRPr="00D94834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ndicators</w:t>
                            </w:r>
                            <w:proofErr w:type="spellEnd"/>
                            <w:r w:rsidRPr="00D94834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 xml:space="preserve">of </w:t>
                            </w:r>
                            <w:proofErr w:type="spellStart"/>
                            <w:r w:rsidRPr="00D94834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Financial</w:t>
                            </w:r>
                            <w:proofErr w:type="spellEnd"/>
                            <w:r w:rsidRPr="00D94834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 xml:space="preserve"> Status </w:t>
                            </w:r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Limit</w:t>
                            </w:r>
                            <w:proofErr w:type="spellEnd"/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00B050"/>
                            <w:vAlign w:val="center"/>
                            <w:hideMark/>
                          </w:tcPr>
                          <w:p w:rsidR="00C37A11" w:rsidRDefault="00C37A11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Result</w:t>
                            </w:r>
                            <w:proofErr w:type="spellEnd"/>
                          </w:p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eastAsia="es-CO"/>
                              </w:rPr>
                              <w:t>2016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243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Solvency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Less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than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or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equal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to</w:t>
                            </w:r>
                            <w:r w:rsidR="000736B7"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40%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15,50%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392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C37A11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r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S</w:t>
                            </w:r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ustainability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Less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than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or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equal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to</w:t>
                            </w:r>
                            <w:r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r w:rsidR="000736B7"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80%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60,33%</w:t>
                            </w:r>
                          </w:p>
                        </w:tc>
                      </w:tr>
                      <w:tr w:rsidR="000736B7" w:rsidRPr="00F651D9" w:rsidTr="00F651D9">
                        <w:trPr>
                          <w:trHeight w:val="1110"/>
                        </w:trPr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proofErr w:type="spellStart"/>
                            <w:proofErr w:type="gram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Relationship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 xml:space="preserve"> :</w:t>
                            </w:r>
                            <w:proofErr w:type="gramEnd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Interest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Debt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 xml:space="preserve"> /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Operating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Savings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C37A11" w:rsidP="00F651D9">
                            <w:pPr>
                              <w:spacing w:after="0" w:line="240" w:lineRule="auto"/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</w:pP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Less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than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or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</w:t>
                            </w:r>
                            <w:proofErr w:type="spellStart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>equal</w:t>
                            </w:r>
                            <w:proofErr w:type="spellEnd"/>
                            <w:r w:rsidRPr="00C37A11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to</w:t>
                            </w:r>
                            <w:r w:rsidR="000736B7" w:rsidRPr="00F651D9">
                              <w:rPr>
                                <w:rFonts w:ascii="Trebuchet MS" w:eastAsia="Times New Roman" w:hAnsi="Trebuchet MS" w:cs="Arial"/>
                                <w:sz w:val="18"/>
                                <w:szCs w:val="18"/>
                                <w:lang w:eastAsia="es-CO"/>
                              </w:rPr>
                              <w:t xml:space="preserve"> 40%</w:t>
                            </w:r>
                          </w:p>
                        </w:tc>
                        <w:tc>
                          <w:tcPr>
                            <w:tcW w:w="12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0736B7" w:rsidRPr="00F651D9" w:rsidRDefault="000736B7" w:rsidP="00F651D9">
                            <w:pPr>
                              <w:spacing w:after="0" w:line="240" w:lineRule="auto"/>
                              <w:jc w:val="center"/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</w:pPr>
                            <w:r w:rsidRPr="00F651D9">
                              <w:rPr>
                                <w:rFonts w:ascii="Trebuchet MS" w:eastAsia="Times New Roman" w:hAnsi="Trebuchet MS" w:cs="Arial"/>
                                <w:b/>
                                <w:bCs/>
                                <w:sz w:val="20"/>
                                <w:szCs w:val="20"/>
                                <w:lang w:eastAsia="es-CO"/>
                              </w:rPr>
                              <w:t>15,50%</w:t>
                            </w:r>
                          </w:p>
                        </w:tc>
                      </w:tr>
                    </w:tbl>
                    <w:p w:rsidR="000736B7" w:rsidRDefault="000736B7" w:rsidP="000736B7"/>
                  </w:txbxContent>
                </v:textbox>
              </v:shape>
            </w:pict>
          </mc:Fallback>
        </mc:AlternateContent>
      </w:r>
      <w:proofErr w:type="spellStart"/>
      <w:r w:rsidR="00D94834" w:rsidRPr="00D94834">
        <w:rPr>
          <w:rFonts w:ascii="Trebuchet MS" w:hAnsi="Trebuchet MS"/>
          <w:b/>
          <w:sz w:val="20"/>
          <w:szCs w:val="20"/>
        </w:rPr>
        <w:t>State</w:t>
      </w:r>
      <w:proofErr w:type="spellEnd"/>
      <w:r w:rsidR="00D94834" w:rsidRPr="00D94834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/>
          <w:b/>
          <w:sz w:val="20"/>
          <w:szCs w:val="20"/>
        </w:rPr>
        <w:t>or</w:t>
      </w:r>
      <w:proofErr w:type="spellEnd"/>
      <w:r w:rsidR="00D94834" w:rsidRPr="00D94834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/>
          <w:b/>
          <w:sz w:val="20"/>
          <w:szCs w:val="20"/>
        </w:rPr>
        <w:t>Solvency</w:t>
      </w:r>
      <w:proofErr w:type="spellEnd"/>
      <w:r w:rsidR="00D94834" w:rsidRPr="00D94834">
        <w:rPr>
          <w:rFonts w:ascii="Trebuchet MS" w:hAnsi="Trebuchet MS"/>
          <w:b/>
          <w:sz w:val="20"/>
          <w:szCs w:val="20"/>
        </w:rPr>
        <w:t xml:space="preserve"> </w:t>
      </w:r>
      <w:proofErr w:type="gramStart"/>
      <w:r w:rsidR="00D94834" w:rsidRPr="00D94834">
        <w:rPr>
          <w:rFonts w:ascii="Trebuchet MS" w:hAnsi="Trebuchet MS"/>
          <w:b/>
          <w:sz w:val="20"/>
          <w:szCs w:val="20"/>
        </w:rPr>
        <w:t>Rating :</w:t>
      </w:r>
      <w:proofErr w:type="gramEnd"/>
      <w:r w:rsidR="00D94834" w:rsidRPr="00D94834">
        <w:rPr>
          <w:rFonts w:ascii="Trebuchet MS" w:hAnsi="Trebuchet MS"/>
          <w:b/>
          <w:sz w:val="20"/>
          <w:szCs w:val="20"/>
        </w:rPr>
        <w:t xml:space="preserve"> </w:t>
      </w:r>
      <w:r w:rsidR="00D94834" w:rsidRPr="00D94834">
        <w:rPr>
          <w:rFonts w:ascii="Trebuchet MS" w:hAnsi="Trebuchet MS"/>
          <w:sz w:val="20"/>
          <w:szCs w:val="20"/>
        </w:rPr>
        <w:t>Green</w:t>
      </w:r>
      <w:r w:rsidR="00D94834" w:rsidRPr="00D94834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D94834" w:rsidRPr="00D94834">
        <w:rPr>
          <w:rFonts w:ascii="Trebuchet MS" w:hAnsi="Trebuchet MS"/>
          <w:sz w:val="20"/>
          <w:szCs w:val="20"/>
        </w:rPr>
        <w:t>Semaphore</w:t>
      </w:r>
      <w:proofErr w:type="spellEnd"/>
    </w:p>
    <w:p w:rsidR="000736B7" w:rsidRPr="000736B7" w:rsidRDefault="000736B7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anchor distT="0" distB="0" distL="114300" distR="114300" simplePos="0" relativeHeight="251660288" behindDoc="1" locked="0" layoutInCell="1" allowOverlap="1" wp14:anchorId="1E84D151" wp14:editId="685EC9BE">
            <wp:simplePos x="0" y="0"/>
            <wp:positionH relativeFrom="column">
              <wp:posOffset>2366467</wp:posOffset>
            </wp:positionH>
            <wp:positionV relativeFrom="paragraph">
              <wp:posOffset>144602</wp:posOffset>
            </wp:positionV>
            <wp:extent cx="1046074" cy="1731524"/>
            <wp:effectExtent l="0" t="0" r="1905" b="2540"/>
            <wp:wrapNone/>
            <wp:docPr id="7" name="Imagen 7" descr="http://storage.competir.com/post/volcan-popocatepetl/Images/semaforo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orage.competir.com/post/volcan-popocatepetl/Images/semaforo-ver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49" cy="17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P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Default="000736B7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560905" w:rsidRDefault="00560905" w:rsidP="000736B7">
      <w:pPr>
        <w:spacing w:after="0" w:line="276" w:lineRule="auto"/>
        <w:jc w:val="right"/>
        <w:rPr>
          <w:rFonts w:ascii="Trebuchet MS" w:hAnsi="Trebuchet MS"/>
          <w:sz w:val="20"/>
          <w:szCs w:val="20"/>
        </w:rPr>
      </w:pPr>
    </w:p>
    <w:p w:rsidR="000736B7" w:rsidRDefault="00C37A11" w:rsidP="00C37A11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proofErr w:type="spellStart"/>
      <w:r w:rsidRPr="00C37A11">
        <w:rPr>
          <w:rFonts w:ascii="Trebuchet MS" w:hAnsi="Trebuchet MS"/>
          <w:b/>
          <w:sz w:val="20"/>
          <w:szCs w:val="20"/>
        </w:rPr>
        <w:t>Financial</w:t>
      </w:r>
      <w:proofErr w:type="spellEnd"/>
      <w:r w:rsidRPr="00C37A11">
        <w:rPr>
          <w:rFonts w:ascii="Trebuchet MS" w:hAnsi="Trebuchet MS"/>
          <w:b/>
          <w:sz w:val="20"/>
          <w:szCs w:val="20"/>
        </w:rPr>
        <w:t xml:space="preserve"> </w:t>
      </w:r>
      <w:proofErr w:type="spellStart"/>
      <w:r w:rsidRPr="00C37A11">
        <w:rPr>
          <w:rFonts w:ascii="Trebuchet MS" w:hAnsi="Trebuchet MS"/>
          <w:b/>
          <w:sz w:val="20"/>
          <w:szCs w:val="20"/>
        </w:rPr>
        <w:t>situation</w:t>
      </w:r>
      <w:proofErr w:type="spellEnd"/>
      <w:r w:rsidRPr="00C37A11">
        <w:rPr>
          <w:rFonts w:ascii="Trebuchet MS" w:hAnsi="Trebuchet MS"/>
          <w:b/>
          <w:sz w:val="20"/>
          <w:szCs w:val="20"/>
        </w:rPr>
        <w:t xml:space="preserve"> 2016 </w:t>
      </w:r>
      <w:proofErr w:type="spellStart"/>
      <w:r w:rsidRPr="00C37A11">
        <w:rPr>
          <w:rFonts w:ascii="Trebuchet MS" w:hAnsi="Trebuchet MS"/>
          <w:b/>
          <w:sz w:val="20"/>
          <w:szCs w:val="20"/>
        </w:rPr>
        <w:t>budget</w:t>
      </w:r>
      <w:proofErr w:type="spellEnd"/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92"/>
        <w:gridCol w:w="1342"/>
      </w:tblGrid>
      <w:tr w:rsidR="00C37A11" w:rsidRPr="00C37A11" w:rsidTr="00C37A11">
        <w:trPr>
          <w:trHeight w:val="300"/>
        </w:trPr>
        <w:tc>
          <w:tcPr>
            <w:tcW w:w="5000" w:type="pct"/>
            <w:gridSpan w:val="2"/>
            <w:shd w:val="clear" w:color="000000" w:fill="00B050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jc w:val="center"/>
              <w:rPr>
                <w:rFonts w:ascii="Trebuchet MS" w:eastAsia="Times New Roman" w:hAnsi="Trebuchet MS" w:cs="Arial"/>
                <w:b/>
                <w:bCs/>
                <w:color w:val="FFFFFF"/>
                <w:sz w:val="18"/>
                <w:szCs w:val="18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18"/>
                <w:szCs w:val="18"/>
                <w:lang w:eastAsia="es-CO"/>
              </w:rPr>
              <w:t>Year</w:t>
            </w:r>
            <w:proofErr w:type="spell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18"/>
                <w:szCs w:val="18"/>
                <w:lang w:eastAsia="es-CO"/>
              </w:rPr>
              <w:t xml:space="preserve"> 2016 (USD)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Income</w:t>
            </w:r>
            <w:proofErr w:type="spellEnd"/>
          </w:p>
        </w:tc>
        <w:tc>
          <w:tcPr>
            <w:tcW w:w="1282" w:type="pct"/>
            <w:shd w:val="clear" w:color="000000" w:fill="00B050"/>
            <w:noWrap/>
            <w:vAlign w:val="bottom"/>
            <w:hideMark/>
          </w:tcPr>
          <w:p w:rsidR="00C37A11" w:rsidRPr="00C37A11" w:rsidRDefault="002E09B3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10.612.8</w:t>
            </w:r>
            <w:r w:rsidR="00C37A11"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Tax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revenue</w:t>
            </w:r>
            <w:proofErr w:type="spellEnd"/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8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7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22.500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No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Income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Tax</w:t>
            </w:r>
            <w:proofErr w:type="spellEnd"/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2E09B3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8</w:t>
            </w:r>
            <w:r w:rsidR="00C37A11"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18</w:t>
            </w:r>
            <w:r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="00C37A11"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100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SGP (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transfers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 of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the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nation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2E09B3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1.072.200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Expenses</w:t>
            </w:r>
          </w:p>
        </w:tc>
        <w:tc>
          <w:tcPr>
            <w:tcW w:w="1282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4</w:t>
            </w:r>
            <w:r w:rsidR="002E09B3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271</w:t>
            </w:r>
            <w:r w:rsidR="002E09B3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700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Personal expenses</w:t>
            </w:r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2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487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600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General expenses</w:t>
            </w:r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834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600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ind w:firstLineChars="200" w:firstLine="400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Transfers</w:t>
            </w:r>
            <w:proofErr w:type="spellEnd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 to municipal </w:t>
            </w:r>
            <w:proofErr w:type="spellStart"/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entities</w:t>
            </w:r>
            <w:proofErr w:type="spellEnd"/>
          </w:p>
        </w:tc>
        <w:tc>
          <w:tcPr>
            <w:tcW w:w="1282" w:type="pct"/>
            <w:shd w:val="clear" w:color="auto" w:fill="auto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949</w:t>
            </w:r>
            <w:r w:rsidR="002E09B3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sz w:val="20"/>
                <w:szCs w:val="20"/>
                <w:lang w:eastAsia="es-CO"/>
              </w:rPr>
              <w:t xml:space="preserve">500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Service</w:t>
            </w:r>
            <w:proofErr w:type="spell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dedua</w:t>
            </w:r>
            <w:proofErr w:type="spellEnd"/>
          </w:p>
        </w:tc>
        <w:tc>
          <w:tcPr>
            <w:tcW w:w="1282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983</w:t>
            </w:r>
            <w:r w:rsidR="002E09B3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100   </w:t>
            </w:r>
          </w:p>
        </w:tc>
      </w:tr>
      <w:tr w:rsidR="00C37A11" w:rsidRPr="00C37A11" w:rsidTr="00C37A11">
        <w:trPr>
          <w:trHeight w:val="300"/>
        </w:trPr>
        <w:tc>
          <w:tcPr>
            <w:tcW w:w="3718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C37A11">
            <w:pPr>
              <w:spacing w:after="0" w:line="240" w:lineRule="auto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Investment</w:t>
            </w:r>
            <w:proofErr w:type="spell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 </w:t>
            </w:r>
            <w:proofErr w:type="gram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( </w:t>
            </w: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approx</w:t>
            </w:r>
            <w:proofErr w:type="spellEnd"/>
            <w:proofErr w:type="gram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without</w:t>
            </w:r>
            <w:proofErr w:type="spell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credits</w:t>
            </w:r>
            <w:proofErr w:type="spellEnd"/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)</w:t>
            </w:r>
          </w:p>
        </w:tc>
        <w:tc>
          <w:tcPr>
            <w:tcW w:w="1282" w:type="pct"/>
            <w:shd w:val="clear" w:color="000000" w:fill="00B050"/>
            <w:noWrap/>
            <w:vAlign w:val="bottom"/>
            <w:hideMark/>
          </w:tcPr>
          <w:p w:rsidR="00C37A11" w:rsidRPr="00C37A11" w:rsidRDefault="00C37A11" w:rsidP="002E09B3">
            <w:pPr>
              <w:spacing w:after="0" w:line="240" w:lineRule="auto"/>
              <w:jc w:val="right"/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5</w:t>
            </w:r>
            <w:r w:rsidR="002E09B3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358</w:t>
            </w:r>
            <w:r w:rsidR="002E09B3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>.</w:t>
            </w:r>
            <w:r w:rsidRPr="00C37A11">
              <w:rPr>
                <w:rFonts w:ascii="Trebuchet MS" w:eastAsia="Times New Roman" w:hAnsi="Trebuchet MS" w:cs="Arial"/>
                <w:b/>
                <w:bCs/>
                <w:color w:val="FFFFFF"/>
                <w:sz w:val="20"/>
                <w:szCs w:val="20"/>
                <w:lang w:eastAsia="es-CO"/>
              </w:rPr>
              <w:t xml:space="preserve">000   </w:t>
            </w:r>
          </w:p>
        </w:tc>
      </w:tr>
    </w:tbl>
    <w:p w:rsidR="00C37A11" w:rsidRDefault="00C37A11" w:rsidP="00C37A11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C37A11" w:rsidRPr="00C37A11" w:rsidRDefault="00C37A11" w:rsidP="00C37A11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C37A11" w:rsidRPr="00C37A11" w:rsidRDefault="00C37A11" w:rsidP="00C37A11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C37A11">
        <w:rPr>
          <w:rFonts w:ascii="Trebuchet MS" w:hAnsi="Trebuchet MS"/>
          <w:sz w:val="20"/>
          <w:szCs w:val="20"/>
        </w:rPr>
        <w:t xml:space="preserve">• 30 % of </w:t>
      </w:r>
      <w:proofErr w:type="spellStart"/>
      <w:r w:rsidRPr="00C37A11">
        <w:rPr>
          <w:rFonts w:ascii="Trebuchet MS" w:hAnsi="Trebuchet MS"/>
          <w:sz w:val="20"/>
          <w:szCs w:val="20"/>
        </w:rPr>
        <w:t>revenues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are </w:t>
      </w:r>
      <w:proofErr w:type="spellStart"/>
      <w:r w:rsidRPr="00C37A11">
        <w:rPr>
          <w:rFonts w:ascii="Trebuchet MS" w:hAnsi="Trebuchet MS"/>
          <w:sz w:val="20"/>
          <w:szCs w:val="20"/>
        </w:rPr>
        <w:t>used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in </w:t>
      </w:r>
      <w:proofErr w:type="spellStart"/>
      <w:r w:rsidRPr="00C37A11">
        <w:rPr>
          <w:rFonts w:ascii="Trebuchet MS" w:hAnsi="Trebuchet MS"/>
          <w:sz w:val="20"/>
          <w:szCs w:val="20"/>
        </w:rPr>
        <w:t>operating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expenses</w:t>
      </w:r>
    </w:p>
    <w:p w:rsidR="00C37A11" w:rsidRPr="00C37A11" w:rsidRDefault="00C37A11" w:rsidP="00C37A11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C37A11">
        <w:rPr>
          <w:rFonts w:ascii="Trebuchet MS" w:hAnsi="Trebuchet MS"/>
          <w:sz w:val="20"/>
          <w:szCs w:val="20"/>
        </w:rPr>
        <w:t xml:space="preserve">• 7% </w:t>
      </w:r>
      <w:proofErr w:type="spellStart"/>
      <w:r w:rsidRPr="00C37A11">
        <w:rPr>
          <w:rFonts w:ascii="Trebuchet MS" w:hAnsi="Trebuchet MS"/>
          <w:sz w:val="20"/>
          <w:szCs w:val="20"/>
        </w:rPr>
        <w:t>Debt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C37A11">
        <w:rPr>
          <w:rFonts w:ascii="Trebuchet MS" w:hAnsi="Trebuchet MS"/>
          <w:sz w:val="20"/>
          <w:szCs w:val="20"/>
        </w:rPr>
        <w:t>Service</w:t>
      </w:r>
      <w:proofErr w:type="spellEnd"/>
    </w:p>
    <w:p w:rsidR="000736B7" w:rsidRPr="000736B7" w:rsidRDefault="00C37A11" w:rsidP="00C37A11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C37A11">
        <w:rPr>
          <w:rFonts w:ascii="Trebuchet MS" w:hAnsi="Trebuchet MS"/>
          <w:sz w:val="20"/>
          <w:szCs w:val="20"/>
        </w:rPr>
        <w:t xml:space="preserve">• 63 % </w:t>
      </w:r>
      <w:proofErr w:type="spellStart"/>
      <w:r w:rsidRPr="00C37A11">
        <w:rPr>
          <w:rFonts w:ascii="Trebuchet MS" w:hAnsi="Trebuchet MS"/>
          <w:sz w:val="20"/>
          <w:szCs w:val="20"/>
        </w:rPr>
        <w:t>Investment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C37A11">
        <w:rPr>
          <w:rFonts w:ascii="Trebuchet MS" w:hAnsi="Trebuchet MS"/>
          <w:sz w:val="20"/>
          <w:szCs w:val="20"/>
        </w:rPr>
        <w:t>Projects</w:t>
      </w:r>
      <w:proofErr w:type="spellEnd"/>
    </w:p>
    <w:p w:rsidR="00560905" w:rsidRDefault="00560905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C37A11" w:rsidRPr="00C37A11" w:rsidRDefault="00C37A11" w:rsidP="00C37A11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C37A11">
        <w:rPr>
          <w:rFonts w:ascii="Trebuchet MS" w:hAnsi="Trebuchet MS"/>
          <w:b/>
          <w:sz w:val="20"/>
          <w:szCs w:val="20"/>
        </w:rPr>
        <w:t>Indebtedness</w:t>
      </w:r>
    </w:p>
    <w:p w:rsidR="00C37A11" w:rsidRPr="00C37A11" w:rsidRDefault="00C37A11" w:rsidP="00C37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C37A11" w:rsidRPr="00C37A11" w:rsidRDefault="00C37A11" w:rsidP="00C37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37A11">
        <w:rPr>
          <w:rFonts w:ascii="Trebuchet MS" w:hAnsi="Trebuchet MS"/>
          <w:sz w:val="20"/>
          <w:szCs w:val="20"/>
        </w:rPr>
        <w:t xml:space="preserve">Currently the municipality has credits with financial institutions such as </w:t>
      </w:r>
      <w:proofErr w:type="spellStart"/>
      <w:proofErr w:type="gramStart"/>
      <w:r w:rsidRPr="00C37A11">
        <w:rPr>
          <w:rFonts w:ascii="Trebuchet MS" w:hAnsi="Trebuchet MS"/>
          <w:sz w:val="20"/>
          <w:szCs w:val="20"/>
        </w:rPr>
        <w:t>Bancolombia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,</w:t>
      </w:r>
      <w:proofErr w:type="gramEnd"/>
      <w:r w:rsidRPr="00C37A11">
        <w:rPr>
          <w:rFonts w:ascii="Trebuchet MS" w:hAnsi="Trebuchet MS"/>
          <w:sz w:val="20"/>
          <w:szCs w:val="20"/>
        </w:rPr>
        <w:t xml:space="preserve"> and Banco Pichincha IDEA . These reach </w:t>
      </w:r>
      <w:proofErr w:type="spellStart"/>
      <w:r w:rsidRPr="00C37A11">
        <w:rPr>
          <w:rFonts w:ascii="Trebuchet MS" w:hAnsi="Trebuchet MS"/>
          <w:sz w:val="20"/>
          <w:szCs w:val="20"/>
        </w:rPr>
        <w:t>the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sum of 52.623.000, </w:t>
      </w:r>
      <w:proofErr w:type="spellStart"/>
      <w:r w:rsidRPr="00C37A11">
        <w:rPr>
          <w:rFonts w:ascii="Trebuchet MS" w:hAnsi="Trebuchet MS"/>
          <w:sz w:val="20"/>
          <w:szCs w:val="20"/>
        </w:rPr>
        <w:t>debt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C37A11">
        <w:rPr>
          <w:rFonts w:ascii="Trebuchet MS" w:hAnsi="Trebuchet MS"/>
          <w:sz w:val="20"/>
          <w:szCs w:val="20"/>
        </w:rPr>
        <w:t>service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has been fulfilled on time and the treasury of the municipality enjoys good reputation for timely payment 70% of these loans have been earmarked for purchase of land and 30% to finance roads.</w:t>
      </w:r>
    </w:p>
    <w:p w:rsidR="00C37A11" w:rsidRPr="00C37A11" w:rsidRDefault="00C37A11" w:rsidP="00C37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hAnsi="Trebuchet MS"/>
          <w:sz w:val="20"/>
          <w:szCs w:val="20"/>
        </w:rPr>
      </w:pPr>
    </w:p>
    <w:p w:rsidR="00C37A11" w:rsidRPr="00C37A11" w:rsidRDefault="00C37A11" w:rsidP="00C37A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rebuchet MS" w:hAnsi="Trebuchet MS"/>
          <w:sz w:val="20"/>
          <w:szCs w:val="20"/>
        </w:rPr>
      </w:pPr>
      <w:r w:rsidRPr="00C37A11">
        <w:rPr>
          <w:rFonts w:ascii="Trebuchet MS" w:hAnsi="Trebuchet MS"/>
          <w:sz w:val="20"/>
          <w:szCs w:val="20"/>
        </w:rPr>
        <w:t xml:space="preserve">These loans have been granted with terms between 5 and 12 </w:t>
      </w:r>
      <w:proofErr w:type="spellStart"/>
      <w:r w:rsidRPr="00C37A11">
        <w:rPr>
          <w:rFonts w:ascii="Trebuchet MS" w:hAnsi="Trebuchet MS"/>
          <w:sz w:val="20"/>
          <w:szCs w:val="20"/>
        </w:rPr>
        <w:t>years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</w:t>
      </w:r>
      <w:proofErr w:type="spellStart"/>
      <w:r w:rsidR="002E09B3">
        <w:rPr>
          <w:rFonts w:ascii="Trebuchet MS" w:hAnsi="Trebuchet MS"/>
          <w:sz w:val="20"/>
          <w:szCs w:val="20"/>
        </w:rPr>
        <w:t>grace</w:t>
      </w:r>
      <w:proofErr w:type="spellEnd"/>
      <w:r w:rsid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C37A11">
        <w:rPr>
          <w:rFonts w:ascii="Trebuchet MS" w:hAnsi="Trebuchet MS"/>
          <w:sz w:val="20"/>
          <w:szCs w:val="20"/>
        </w:rPr>
        <w:t>periods</w:t>
      </w:r>
      <w:proofErr w:type="spellEnd"/>
      <w:r w:rsidRPr="00C37A11">
        <w:rPr>
          <w:rFonts w:ascii="Trebuchet MS" w:hAnsi="Trebuchet MS"/>
          <w:sz w:val="20"/>
          <w:szCs w:val="20"/>
        </w:rPr>
        <w:t xml:space="preserve"> of 2 </w:t>
      </w:r>
      <w:proofErr w:type="spellStart"/>
      <w:r w:rsidRPr="00C37A11">
        <w:rPr>
          <w:rFonts w:ascii="Trebuchet MS" w:hAnsi="Trebuchet MS"/>
          <w:sz w:val="20"/>
          <w:szCs w:val="20"/>
        </w:rPr>
        <w:t>years</w:t>
      </w:r>
      <w:proofErr w:type="spellEnd"/>
      <w:r w:rsidRPr="00C37A11">
        <w:rPr>
          <w:rFonts w:ascii="Trebuchet MS" w:hAnsi="Trebuchet MS"/>
          <w:sz w:val="20"/>
          <w:szCs w:val="20"/>
        </w:rPr>
        <w:t>, ending their payments as follows:</w:t>
      </w:r>
    </w:p>
    <w:p w:rsidR="00C37A11" w:rsidRDefault="00C37A11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</w:p>
    <w:p w:rsidR="002E09B3" w:rsidRPr="002E09B3" w:rsidRDefault="002E09B3" w:rsidP="002E09B3">
      <w:p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T</w:t>
      </w:r>
      <w:r w:rsidRPr="002E09B3">
        <w:rPr>
          <w:rFonts w:ascii="Trebuchet MS" w:hAnsi="Trebuchet MS"/>
          <w:sz w:val="20"/>
          <w:szCs w:val="20"/>
        </w:rPr>
        <w:t>hese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loans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have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been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granted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with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terms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between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5 and 12 </w:t>
      </w:r>
      <w:proofErr w:type="spellStart"/>
      <w:r w:rsidRPr="002E09B3">
        <w:rPr>
          <w:rFonts w:ascii="Trebuchet MS" w:hAnsi="Trebuchet MS"/>
          <w:sz w:val="20"/>
          <w:szCs w:val="20"/>
        </w:rPr>
        <w:t>years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thanks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periods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of 2 </w:t>
      </w:r>
      <w:proofErr w:type="spellStart"/>
      <w:r w:rsidRPr="002E09B3">
        <w:rPr>
          <w:rFonts w:ascii="Trebuchet MS" w:hAnsi="Trebuchet MS"/>
          <w:sz w:val="20"/>
          <w:szCs w:val="20"/>
        </w:rPr>
        <w:t>years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, </w:t>
      </w:r>
      <w:proofErr w:type="spellStart"/>
      <w:r w:rsidRPr="002E09B3">
        <w:rPr>
          <w:rFonts w:ascii="Trebuchet MS" w:hAnsi="Trebuchet MS"/>
          <w:sz w:val="20"/>
          <w:szCs w:val="20"/>
        </w:rPr>
        <w:t>ending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their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payments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as </w:t>
      </w:r>
      <w:proofErr w:type="spellStart"/>
      <w:r w:rsidRPr="002E09B3">
        <w:rPr>
          <w:rFonts w:ascii="Trebuchet MS" w:hAnsi="Trebuchet MS"/>
          <w:sz w:val="20"/>
          <w:szCs w:val="20"/>
        </w:rPr>
        <w:t>follows</w:t>
      </w:r>
      <w:proofErr w:type="spellEnd"/>
      <w:r w:rsidRPr="002E09B3">
        <w:rPr>
          <w:rFonts w:ascii="Trebuchet MS" w:hAnsi="Trebuchet MS"/>
          <w:sz w:val="20"/>
          <w:szCs w:val="20"/>
        </w:rPr>
        <w:t>:</w:t>
      </w:r>
    </w:p>
    <w:p w:rsidR="002E09B3" w:rsidRPr="002E09B3" w:rsidRDefault="002E09B3" w:rsidP="002E09B3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2E09B3">
        <w:rPr>
          <w:rFonts w:ascii="Trebuchet MS" w:hAnsi="Trebuchet MS"/>
          <w:sz w:val="20"/>
          <w:szCs w:val="20"/>
        </w:rPr>
        <w:t>Year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2E09B3">
        <w:rPr>
          <w:rFonts w:ascii="Trebuchet MS" w:hAnsi="Trebuchet MS"/>
          <w:sz w:val="20"/>
          <w:szCs w:val="20"/>
        </w:rPr>
        <w:t>2017 :</w:t>
      </w:r>
      <w:proofErr w:type="gram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approx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6.000.000</w:t>
      </w:r>
    </w:p>
    <w:p w:rsidR="002E09B3" w:rsidRPr="002E09B3" w:rsidRDefault="002E09B3" w:rsidP="002E09B3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2E09B3">
        <w:rPr>
          <w:rFonts w:ascii="Trebuchet MS" w:hAnsi="Trebuchet MS"/>
          <w:sz w:val="20"/>
          <w:szCs w:val="20"/>
        </w:rPr>
        <w:t>Year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2E09B3">
        <w:rPr>
          <w:rFonts w:ascii="Trebuchet MS" w:hAnsi="Trebuchet MS"/>
          <w:sz w:val="20"/>
          <w:szCs w:val="20"/>
        </w:rPr>
        <w:t>2019 :</w:t>
      </w:r>
      <w:proofErr w:type="gram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approx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18.000.000</w:t>
      </w:r>
    </w:p>
    <w:p w:rsidR="002E09B3" w:rsidRPr="002E09B3" w:rsidRDefault="002E09B3" w:rsidP="002E09B3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2E09B3">
        <w:rPr>
          <w:rFonts w:ascii="Trebuchet MS" w:hAnsi="Trebuchet MS"/>
          <w:sz w:val="20"/>
          <w:szCs w:val="20"/>
        </w:rPr>
        <w:t>Year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2E09B3">
        <w:rPr>
          <w:rFonts w:ascii="Trebuchet MS" w:hAnsi="Trebuchet MS"/>
          <w:sz w:val="20"/>
          <w:szCs w:val="20"/>
        </w:rPr>
        <w:t>2025 :</w:t>
      </w:r>
      <w:proofErr w:type="gram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approx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15.000.000</w:t>
      </w:r>
    </w:p>
    <w:p w:rsidR="000736B7" w:rsidRDefault="002E09B3" w:rsidP="002E09B3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2E09B3">
        <w:rPr>
          <w:rFonts w:ascii="Trebuchet MS" w:hAnsi="Trebuchet MS"/>
          <w:sz w:val="20"/>
          <w:szCs w:val="20"/>
        </w:rPr>
        <w:t>Year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2E09B3">
        <w:rPr>
          <w:rFonts w:ascii="Trebuchet MS" w:hAnsi="Trebuchet MS"/>
          <w:sz w:val="20"/>
          <w:szCs w:val="20"/>
        </w:rPr>
        <w:t>2027 :</w:t>
      </w:r>
      <w:proofErr w:type="gramEnd"/>
      <w:r w:rsidRPr="002E09B3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2E09B3">
        <w:rPr>
          <w:rFonts w:ascii="Trebuchet MS" w:hAnsi="Trebuchet MS"/>
          <w:sz w:val="20"/>
          <w:szCs w:val="20"/>
        </w:rPr>
        <w:t>approx</w:t>
      </w:r>
      <w:proofErr w:type="spellEnd"/>
      <w:r w:rsidRPr="002E09B3">
        <w:rPr>
          <w:rFonts w:ascii="Trebuchet MS" w:hAnsi="Trebuchet MS"/>
          <w:sz w:val="20"/>
          <w:szCs w:val="20"/>
        </w:rPr>
        <w:t xml:space="preserve"> </w:t>
      </w:r>
      <w:r>
        <w:rPr>
          <w:rFonts w:ascii="Trebuchet MS" w:hAnsi="Trebuchet MS"/>
          <w:sz w:val="20"/>
          <w:szCs w:val="20"/>
        </w:rPr>
        <w:t>6.000.000</w:t>
      </w:r>
    </w:p>
    <w:p w:rsidR="002E09B3" w:rsidRPr="002E09B3" w:rsidRDefault="002E09B3" w:rsidP="002E09B3">
      <w:pPr>
        <w:pStyle w:val="Prrafodelista"/>
        <w:spacing w:after="0" w:line="276" w:lineRule="auto"/>
        <w:rPr>
          <w:rFonts w:ascii="Trebuchet MS" w:hAnsi="Trebuchet MS"/>
          <w:sz w:val="20"/>
          <w:szCs w:val="20"/>
        </w:rPr>
      </w:pPr>
    </w:p>
    <w:p w:rsidR="002E09B3" w:rsidRPr="002E09B3" w:rsidRDefault="002E09B3" w:rsidP="002E09B3">
      <w:pPr>
        <w:pStyle w:val="NormalWeb"/>
        <w:shd w:val="clear" w:color="auto" w:fill="FFFFFF"/>
        <w:spacing w:after="0" w:line="276" w:lineRule="auto"/>
        <w:rPr>
          <w:rFonts w:ascii="Trebuchet MS" w:eastAsiaTheme="minorHAnsi" w:hAnsi="Trebuchet MS" w:cstheme="minorBidi"/>
          <w:b/>
          <w:sz w:val="20"/>
          <w:szCs w:val="20"/>
          <w:lang w:eastAsia="en-US"/>
        </w:rPr>
      </w:pPr>
    </w:p>
    <w:p w:rsidR="002E09B3" w:rsidRPr="002E09B3" w:rsidRDefault="002E09B3" w:rsidP="002E09B3">
      <w:pPr>
        <w:pStyle w:val="NormalWeb"/>
        <w:shd w:val="clear" w:color="auto" w:fill="FFFFFF"/>
        <w:spacing w:after="0" w:line="276" w:lineRule="auto"/>
        <w:rPr>
          <w:rFonts w:ascii="Trebuchet MS" w:eastAsiaTheme="minorHAnsi" w:hAnsi="Trebuchet MS" w:cstheme="minorBidi"/>
          <w:b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lastRenderedPageBreak/>
        <w:t>Conclusions</w:t>
      </w:r>
      <w:proofErr w:type="spellEnd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>on</w:t>
      </w:r>
      <w:proofErr w:type="spellEnd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>financial</w:t>
      </w:r>
      <w:proofErr w:type="spellEnd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>viability</w:t>
      </w:r>
      <w:proofErr w:type="spellEnd"/>
      <w:r w:rsidRPr="002E09B3">
        <w:rPr>
          <w:rFonts w:ascii="Trebuchet MS" w:eastAsiaTheme="minorHAnsi" w:hAnsi="Trebuchet MS" w:cstheme="minorBidi"/>
          <w:b/>
          <w:sz w:val="20"/>
          <w:szCs w:val="20"/>
          <w:lang w:eastAsia="en-US"/>
        </w:rPr>
        <w:t>:</w:t>
      </w:r>
    </w:p>
    <w:p w:rsidR="002E09B3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Trebuchet MS" w:eastAsiaTheme="minorHAnsi" w:hAnsi="Trebuchet MS" w:cstheme="minorBidi"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Municipality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has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healthy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finances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and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in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qualification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enables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you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access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debt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.</w:t>
      </w:r>
    </w:p>
    <w:p w:rsidR="002E09B3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Trebuchet MS" w:eastAsiaTheme="minorHAnsi" w:hAnsi="Trebuchet MS" w:cstheme="minorBidi"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municipality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meets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solvency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levels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(15.5%) and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Sustainability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(60.33%),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which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space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debt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for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2016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be </w:t>
      </w:r>
      <w:proofErr w:type="spellStart"/>
      <w:proofErr w:type="gram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approximately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r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3.300.000</w:t>
      </w:r>
      <w:proofErr w:type="gramEnd"/>
      <w:r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USD </w:t>
      </w:r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(40% of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current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revenue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).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Source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: Oswaldo Porras</w:t>
      </w:r>
    </w:p>
    <w:p w:rsidR="002E09B3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Trebuchet MS" w:eastAsiaTheme="minorHAnsi" w:hAnsi="Trebuchet MS" w:cstheme="minorBidi"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Source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of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Payment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and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Guarantee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: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Your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main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source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of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income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tax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Industry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and Commerce (60% of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own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revenues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),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which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 free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resource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destination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and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which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leverage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credit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guarantee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.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However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for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use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will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have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make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adjustments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budget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redirect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resources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that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are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going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operating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costs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investment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.</w:t>
      </w:r>
    </w:p>
    <w:p w:rsidR="002E09B3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Trebuchet MS" w:eastAsiaTheme="minorHAnsi" w:hAnsi="Trebuchet MS" w:cstheme="minorBidi"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Development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Plan in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financial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component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provides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for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two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credits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each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r w:rsidR="00F277B0">
        <w:rPr>
          <w:rFonts w:ascii="Trebuchet MS" w:eastAsiaTheme="minorHAnsi" w:hAnsi="Trebuchet MS" w:cstheme="minorBidi"/>
          <w:sz w:val="20"/>
          <w:szCs w:val="20"/>
          <w:lang w:eastAsia="en-US"/>
        </w:rPr>
        <w:t>650.000 USD</w:t>
      </w:r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for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years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2016 and 2017,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which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should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take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into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account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when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making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estimates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as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these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discount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value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determined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as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borrowing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capacity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.</w:t>
      </w:r>
    </w:p>
    <w:p w:rsidR="002E09B3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after="0" w:line="276" w:lineRule="auto"/>
        <w:rPr>
          <w:rFonts w:ascii="Trebuchet MS" w:eastAsiaTheme="minorHAnsi" w:hAnsi="Trebuchet MS" w:cstheme="minorBidi"/>
          <w:sz w:val="20"/>
          <w:szCs w:val="20"/>
          <w:lang w:eastAsia="en-US"/>
        </w:rPr>
      </w:pP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important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to note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that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Municipal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Development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Plan, has a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structure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that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broken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from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investment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lines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-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components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-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programs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-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projects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- and output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indicators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.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This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has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impact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on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handling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prowess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that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has to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impact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objectives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of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development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plan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through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Smart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Cities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projects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.</w:t>
      </w:r>
    </w:p>
    <w:p w:rsidR="000736B7" w:rsidRPr="002E09B3" w:rsidRDefault="002E09B3" w:rsidP="002E09B3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As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initial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estimate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Municipality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access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proofErr w:type="gram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credit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r w:rsidR="00F277B0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at</w:t>
      </w:r>
      <w:proofErr w:type="gramEnd"/>
      <w:r w:rsidR="00F277B0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2.300.000 USD</w:t>
      </w:r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for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Smart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Cities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project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leverage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within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10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years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,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with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guarantee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that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would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be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structured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based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on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the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pledge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of 4%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approx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.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Tax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</w:t>
      </w:r>
      <w:proofErr w:type="spellStart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>Industry</w:t>
      </w:r>
      <w:proofErr w:type="spellEnd"/>
      <w:r w:rsidRPr="002E09B3">
        <w:rPr>
          <w:rFonts w:ascii="Trebuchet MS" w:eastAsiaTheme="minorHAnsi" w:hAnsi="Trebuchet MS" w:cstheme="minorBidi"/>
          <w:sz w:val="20"/>
          <w:szCs w:val="20"/>
          <w:lang w:eastAsia="en-US"/>
        </w:rPr>
        <w:t xml:space="preserve"> and Commerce.</w:t>
      </w: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560905" w:rsidRP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0736B7" w:rsidRPr="00560905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b/>
          <w:color w:val="252525"/>
          <w:sz w:val="20"/>
          <w:szCs w:val="20"/>
        </w:rPr>
      </w:pPr>
    </w:p>
    <w:p w:rsidR="000736B7" w:rsidRP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</w:p>
    <w:p w:rsidR="00560905" w:rsidRDefault="00560905" w:rsidP="00560905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52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num="2" w:space="332"/>
          <w:docGrid w:linePitch="360"/>
        </w:sectPr>
      </w:pPr>
    </w:p>
    <w:p w:rsidR="00560905" w:rsidRDefault="00560905" w:rsidP="00560905"/>
    <w:p w:rsidR="000736B7" w:rsidRPr="00560905" w:rsidRDefault="00F277B0" w:rsidP="00560905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52"/>
          <w:szCs w:val="20"/>
        </w:rPr>
      </w:pPr>
      <w:proofErr w:type="spellStart"/>
      <w:r>
        <w:rPr>
          <w:rFonts w:ascii="Trebuchet MS" w:hAnsi="Trebuchet MS"/>
          <w:b/>
          <w:color w:val="FFFFFF" w:themeColor="background1"/>
          <w:sz w:val="52"/>
          <w:szCs w:val="20"/>
        </w:rPr>
        <w:t>T</w:t>
      </w:r>
      <w:r w:rsidRPr="00F277B0">
        <w:rPr>
          <w:rFonts w:ascii="Trebuchet MS" w:hAnsi="Trebuchet MS"/>
          <w:b/>
          <w:color w:val="FFFFFF" w:themeColor="background1"/>
          <w:sz w:val="52"/>
          <w:szCs w:val="20"/>
        </w:rPr>
        <w:t>yping</w:t>
      </w:r>
      <w:proofErr w:type="spellEnd"/>
    </w:p>
    <w:p w:rsidR="00560905" w:rsidRDefault="00560905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  <w:sectPr w:rsidR="00560905" w:rsidSect="00560905">
          <w:type w:val="continuous"/>
          <w:pgSz w:w="12240" w:h="15840" w:code="1"/>
          <w:pgMar w:top="720" w:right="720" w:bottom="720" w:left="720" w:header="708" w:footer="708" w:gutter="0"/>
          <w:cols w:space="332"/>
          <w:docGrid w:linePitch="360"/>
        </w:sectPr>
      </w:pPr>
    </w:p>
    <w:p w:rsidR="000736B7" w:rsidRPr="000736B7" w:rsidRDefault="000736B7" w:rsidP="000736B7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Trebuchet MS" w:hAnsi="Trebuchet MS" w:cs="Arial"/>
          <w:color w:val="252525"/>
          <w:sz w:val="20"/>
          <w:szCs w:val="20"/>
        </w:rPr>
      </w:pPr>
    </w:p>
    <w:p w:rsidR="007F41AE" w:rsidRPr="000736B7" w:rsidRDefault="00F277B0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proofErr w:type="spellStart"/>
      <w:r w:rsidRPr="00F277B0">
        <w:rPr>
          <w:rFonts w:ascii="Trebuchet MS" w:hAnsi="Trebuchet MS"/>
          <w:b/>
          <w:color w:val="FFFFFF" w:themeColor="background1"/>
          <w:sz w:val="20"/>
          <w:szCs w:val="20"/>
        </w:rPr>
        <w:t>Population</w:t>
      </w:r>
      <w:proofErr w:type="spellEnd"/>
      <w:r w:rsidR="007F41AE" w:rsidRPr="000736B7">
        <w:rPr>
          <w:rFonts w:ascii="Trebuchet MS" w:hAnsi="Trebuchet MS"/>
          <w:b/>
          <w:color w:val="FFFFFF" w:themeColor="background1"/>
          <w:sz w:val="20"/>
          <w:szCs w:val="20"/>
        </w:rPr>
        <w:t>:</w:t>
      </w:r>
    </w:p>
    <w:p w:rsidR="00F277B0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2015 </w:t>
      </w:r>
      <w:proofErr w:type="spellStart"/>
      <w:proofErr w:type="gramStart"/>
      <w:r w:rsidRPr="00F277B0">
        <w:rPr>
          <w:rFonts w:ascii="Trebuchet MS" w:hAnsi="Trebuchet MS"/>
          <w:sz w:val="20"/>
          <w:szCs w:val="20"/>
        </w:rPr>
        <w:t>Population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:</w:t>
      </w:r>
      <w:proofErr w:type="gramEnd"/>
      <w:r w:rsidRPr="00F277B0">
        <w:rPr>
          <w:rFonts w:ascii="Trebuchet MS" w:hAnsi="Trebuchet MS"/>
          <w:sz w:val="20"/>
          <w:szCs w:val="20"/>
        </w:rPr>
        <w:t xml:space="preserve"> 52,240 </w:t>
      </w:r>
      <w:proofErr w:type="spellStart"/>
      <w:r w:rsidRPr="00F277B0">
        <w:rPr>
          <w:rFonts w:ascii="Trebuchet MS" w:hAnsi="Trebuchet MS"/>
          <w:sz w:val="20"/>
          <w:szCs w:val="20"/>
        </w:rPr>
        <w:t>habitants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Most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African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descent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.</w:t>
      </w:r>
    </w:p>
    <w:p w:rsidR="00F277B0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51% </w:t>
      </w:r>
      <w:proofErr w:type="spellStart"/>
      <w:r w:rsidRPr="00F277B0">
        <w:rPr>
          <w:rFonts w:ascii="Trebuchet MS" w:hAnsi="Trebuchet MS"/>
          <w:sz w:val="20"/>
          <w:szCs w:val="20"/>
        </w:rPr>
        <w:t>female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49 % </w:t>
      </w:r>
      <w:proofErr w:type="spellStart"/>
      <w:proofErr w:type="gramStart"/>
      <w:r w:rsidRPr="00F277B0">
        <w:rPr>
          <w:rFonts w:ascii="Trebuchet MS" w:hAnsi="Trebuchet MS"/>
          <w:sz w:val="20"/>
          <w:szCs w:val="20"/>
        </w:rPr>
        <w:t>male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.</w:t>
      </w:r>
      <w:proofErr w:type="gramEnd"/>
    </w:p>
    <w:p w:rsidR="00F277B0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10% of 0-5 </w:t>
      </w:r>
      <w:proofErr w:type="spellStart"/>
      <w:proofErr w:type="gramStart"/>
      <w:r w:rsidRPr="00F277B0">
        <w:rPr>
          <w:rFonts w:ascii="Trebuchet MS" w:hAnsi="Trebuchet MS"/>
          <w:sz w:val="20"/>
          <w:szCs w:val="20"/>
        </w:rPr>
        <w:t>years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,</w:t>
      </w:r>
      <w:proofErr w:type="gram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childhood</w:t>
      </w:r>
      <w:proofErr w:type="spellEnd"/>
    </w:p>
    <w:p w:rsidR="00F277B0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12% of 6-12 </w:t>
      </w:r>
      <w:proofErr w:type="spellStart"/>
      <w:proofErr w:type="gramStart"/>
      <w:r w:rsidRPr="00F277B0">
        <w:rPr>
          <w:rFonts w:ascii="Trebuchet MS" w:hAnsi="Trebuchet MS"/>
          <w:sz w:val="20"/>
          <w:szCs w:val="20"/>
        </w:rPr>
        <w:t>years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,</w:t>
      </w:r>
      <w:proofErr w:type="gram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children</w:t>
      </w:r>
      <w:proofErr w:type="spellEnd"/>
    </w:p>
    <w:p w:rsidR="00F277B0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29 % </w:t>
      </w:r>
      <w:proofErr w:type="spellStart"/>
      <w:r w:rsidRPr="00F277B0">
        <w:rPr>
          <w:rFonts w:ascii="Trebuchet MS" w:hAnsi="Trebuchet MS"/>
          <w:sz w:val="20"/>
          <w:szCs w:val="20"/>
        </w:rPr>
        <w:t>adolescence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F277B0">
        <w:rPr>
          <w:rFonts w:ascii="Trebuchet MS" w:hAnsi="Trebuchet MS"/>
          <w:sz w:val="20"/>
          <w:szCs w:val="20"/>
        </w:rPr>
        <w:t>youth</w:t>
      </w:r>
      <w:proofErr w:type="spellEnd"/>
    </w:p>
    <w:p w:rsidR="00560905" w:rsidRPr="00F277B0" w:rsidRDefault="00F277B0" w:rsidP="00F277B0">
      <w:pPr>
        <w:pStyle w:val="Prrafodelista"/>
        <w:numPr>
          <w:ilvl w:val="0"/>
          <w:numId w:val="1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49 % </w:t>
      </w:r>
      <w:proofErr w:type="spellStart"/>
      <w:r w:rsidRPr="00F277B0">
        <w:rPr>
          <w:rFonts w:ascii="Trebuchet MS" w:hAnsi="Trebuchet MS"/>
          <w:sz w:val="20"/>
          <w:szCs w:val="20"/>
        </w:rPr>
        <w:t>adult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and </w:t>
      </w:r>
      <w:proofErr w:type="spellStart"/>
      <w:r w:rsidRPr="00F277B0">
        <w:rPr>
          <w:rFonts w:ascii="Trebuchet MS" w:hAnsi="Trebuchet MS"/>
          <w:sz w:val="20"/>
          <w:szCs w:val="20"/>
        </w:rPr>
        <w:t>elderly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gramStart"/>
      <w:r w:rsidRPr="00F277B0">
        <w:rPr>
          <w:rFonts w:ascii="Trebuchet MS" w:hAnsi="Trebuchet MS"/>
          <w:sz w:val="20"/>
          <w:szCs w:val="20"/>
        </w:rPr>
        <w:t xml:space="preserve">( </w:t>
      </w:r>
      <w:proofErr w:type="spellStart"/>
      <w:r w:rsidRPr="00F277B0">
        <w:rPr>
          <w:rFonts w:ascii="Trebuchet MS" w:hAnsi="Trebuchet MS"/>
          <w:sz w:val="20"/>
          <w:szCs w:val="20"/>
        </w:rPr>
        <w:t>with</w:t>
      </w:r>
      <w:proofErr w:type="spellEnd"/>
      <w:proofErr w:type="gram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upward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trend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)</w:t>
      </w:r>
    </w:p>
    <w:p w:rsidR="00F277B0" w:rsidRPr="00560905" w:rsidRDefault="00F277B0" w:rsidP="00F277B0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3055E2" w:rsidRPr="000736B7" w:rsidRDefault="003055E2" w:rsidP="000736B7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r w:rsidRPr="000736B7">
        <w:rPr>
          <w:rFonts w:ascii="Trebuchet MS" w:hAnsi="Trebuchet MS"/>
          <w:b/>
          <w:color w:val="FFFFFF" w:themeColor="background1"/>
          <w:sz w:val="20"/>
          <w:szCs w:val="20"/>
        </w:rPr>
        <w:t>Situación Política</w:t>
      </w:r>
    </w:p>
    <w:p w:rsidR="007F41AE" w:rsidRPr="000736B7" w:rsidRDefault="00F277B0" w:rsidP="000736B7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>
        <w:rPr>
          <w:rFonts w:ascii="Trebuchet MS" w:hAnsi="Trebuchet MS"/>
          <w:b/>
          <w:sz w:val="20"/>
          <w:szCs w:val="20"/>
        </w:rPr>
        <w:t>Mayor</w:t>
      </w:r>
      <w:r w:rsidR="007F41AE" w:rsidRPr="000736B7">
        <w:rPr>
          <w:rFonts w:ascii="Trebuchet MS" w:hAnsi="Trebuchet MS"/>
          <w:b/>
          <w:sz w:val="20"/>
          <w:szCs w:val="20"/>
        </w:rPr>
        <w:t xml:space="preserve">: </w:t>
      </w:r>
    </w:p>
    <w:p w:rsidR="003055E2" w:rsidRPr="000736B7" w:rsidRDefault="003D11D0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0736B7">
        <w:rPr>
          <w:rFonts w:ascii="Trebuchet MS" w:hAnsi="Trebuchet MS"/>
          <w:sz w:val="20"/>
          <w:szCs w:val="20"/>
        </w:rPr>
        <w:t>Yan</w:t>
      </w:r>
      <w:proofErr w:type="spellEnd"/>
      <w:r w:rsidRPr="000736B7">
        <w:rPr>
          <w:rFonts w:ascii="Trebuchet MS" w:hAnsi="Trebuchet MS"/>
          <w:sz w:val="20"/>
          <w:szCs w:val="20"/>
        </w:rPr>
        <w:t xml:space="preserve"> Bladimir Jaramillo Garcia</w:t>
      </w:r>
      <w:r w:rsidRPr="000736B7">
        <w:rPr>
          <w:rStyle w:val="Refdenotaalpie"/>
          <w:rFonts w:ascii="Trebuchet MS" w:hAnsi="Trebuchet MS"/>
          <w:sz w:val="20"/>
          <w:szCs w:val="20"/>
          <w:vertAlign w:val="baseline"/>
        </w:rPr>
        <w:t xml:space="preserve"> </w:t>
      </w:r>
      <w:r w:rsidR="003055E2" w:rsidRPr="000736B7">
        <w:rPr>
          <w:rStyle w:val="Refdenotaalpie"/>
          <w:rFonts w:ascii="Trebuchet MS" w:hAnsi="Trebuchet MS"/>
          <w:sz w:val="20"/>
          <w:szCs w:val="20"/>
        </w:rPr>
        <w:footnoteReference w:id="2"/>
      </w:r>
    </w:p>
    <w:p w:rsidR="003D11D0" w:rsidRPr="000736B7" w:rsidRDefault="00F277B0" w:rsidP="00F277B0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Public</w:t>
      </w:r>
      <w:proofErr w:type="spellEnd"/>
      <w:r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Employees</w:t>
      </w:r>
      <w:proofErr w:type="spellEnd"/>
      <w:r w:rsidR="003D11D0" w:rsidRPr="000736B7">
        <w:rPr>
          <w:rFonts w:ascii="Trebuchet MS" w:hAnsi="Trebuchet MS"/>
          <w:sz w:val="20"/>
          <w:szCs w:val="20"/>
        </w:rPr>
        <w:t>: 129 fun</w:t>
      </w:r>
      <w:r w:rsidR="003D11D0" w:rsidRPr="000736B7">
        <w:rPr>
          <w:rFonts w:ascii="Trebuchet MS" w:hAnsi="Trebuchet MS"/>
          <w:sz w:val="20"/>
          <w:szCs w:val="20"/>
        </w:rPr>
        <w:t xml:space="preserve">cionarios vinculados </w:t>
      </w:r>
    </w:p>
    <w:p w:rsidR="00F277B0" w:rsidRPr="00F277B0" w:rsidRDefault="00F277B0" w:rsidP="00706AF3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b/>
          <w:sz w:val="20"/>
          <w:szCs w:val="20"/>
        </w:rPr>
      </w:pPr>
      <w:proofErr w:type="spellStart"/>
      <w:r w:rsidRPr="00F277B0">
        <w:rPr>
          <w:rFonts w:ascii="Trebuchet MS" w:hAnsi="Trebuchet MS"/>
          <w:sz w:val="20"/>
          <w:szCs w:val="20"/>
        </w:rPr>
        <w:t>Administr</w:t>
      </w:r>
      <w:r w:rsidRPr="00F277B0">
        <w:rPr>
          <w:rFonts w:ascii="Trebuchet MS" w:hAnsi="Trebuchet MS"/>
          <w:sz w:val="20"/>
          <w:szCs w:val="20"/>
        </w:rPr>
        <w:t>ative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structure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10 </w:t>
      </w:r>
      <w:proofErr w:type="spellStart"/>
      <w:r w:rsidRPr="00F277B0">
        <w:rPr>
          <w:rFonts w:ascii="Trebuchet MS" w:hAnsi="Trebuchet MS"/>
          <w:sz w:val="20"/>
          <w:szCs w:val="20"/>
        </w:rPr>
        <w:t>secretariats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, </w:t>
      </w:r>
      <w:r w:rsidRPr="00F277B0">
        <w:rPr>
          <w:rFonts w:ascii="Trebuchet MS" w:hAnsi="Trebuchet MS"/>
          <w:sz w:val="20"/>
          <w:szCs w:val="20"/>
        </w:rPr>
        <w:t xml:space="preserve">2 </w:t>
      </w:r>
      <w:proofErr w:type="spellStart"/>
      <w:r w:rsidRPr="00F277B0">
        <w:rPr>
          <w:rFonts w:ascii="Trebuchet MS" w:hAnsi="Trebuchet MS"/>
          <w:sz w:val="20"/>
          <w:szCs w:val="20"/>
        </w:rPr>
        <w:t>decentralized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entities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and 4</w:t>
      </w:r>
      <w:r w:rsidRPr="00F277B0">
        <w:rPr>
          <w:rFonts w:ascii="Trebuchet MS" w:hAnsi="Trebuchet MS"/>
          <w:sz w:val="20"/>
          <w:szCs w:val="20"/>
        </w:rPr>
        <w:t xml:space="preserve"> </w:t>
      </w:r>
      <w:r w:rsidRPr="00F277B0">
        <w:rPr>
          <w:rFonts w:ascii="Trebuchet MS" w:hAnsi="Trebuchet MS"/>
          <w:sz w:val="20"/>
          <w:szCs w:val="20"/>
        </w:rPr>
        <w:t>sub</w:t>
      </w:r>
      <w:r w:rsidRPr="00F277B0">
        <w:rPr>
          <w:rFonts w:ascii="Trebuchet MS" w:hAnsi="Trebuchet MS"/>
          <w:sz w:val="20"/>
          <w:szCs w:val="20"/>
        </w:rPr>
        <w:t xml:space="preserve">- </w:t>
      </w:r>
      <w:proofErr w:type="spellStart"/>
      <w:r w:rsidRPr="00F277B0">
        <w:rPr>
          <w:rFonts w:ascii="Trebuchet MS" w:hAnsi="Trebuchet MS"/>
          <w:sz w:val="20"/>
          <w:szCs w:val="20"/>
        </w:rPr>
        <w:t>secretariats</w:t>
      </w:r>
      <w:proofErr w:type="spellEnd"/>
    </w:p>
    <w:p w:rsidR="003055E2" w:rsidRPr="00F277B0" w:rsidRDefault="00F277B0" w:rsidP="00F277B0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F277B0">
        <w:rPr>
          <w:rFonts w:ascii="Trebuchet MS" w:hAnsi="Trebuchet MS"/>
          <w:b/>
          <w:sz w:val="20"/>
          <w:szCs w:val="20"/>
        </w:rPr>
        <w:t>Town Council:</w:t>
      </w:r>
    </w:p>
    <w:p w:rsidR="003055E2" w:rsidRPr="000736B7" w:rsidRDefault="003055E2" w:rsidP="000736B7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t xml:space="preserve">13 </w:t>
      </w:r>
      <w:proofErr w:type="spellStart"/>
      <w:r w:rsidR="00F277B0">
        <w:rPr>
          <w:rFonts w:ascii="Trebuchet MS" w:hAnsi="Trebuchet MS"/>
          <w:sz w:val="20"/>
          <w:szCs w:val="20"/>
        </w:rPr>
        <w:t>Councils</w:t>
      </w:r>
      <w:proofErr w:type="spellEnd"/>
    </w:p>
    <w:p w:rsidR="003055E2" w:rsidRDefault="00F277B0" w:rsidP="00F277B0">
      <w:pPr>
        <w:pStyle w:val="Prrafodelista"/>
        <w:numPr>
          <w:ilvl w:val="0"/>
          <w:numId w:val="4"/>
        </w:num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F277B0">
        <w:rPr>
          <w:rFonts w:ascii="Trebuchet MS" w:hAnsi="Trebuchet MS"/>
          <w:sz w:val="20"/>
          <w:szCs w:val="20"/>
        </w:rPr>
        <w:t>Majorities</w:t>
      </w:r>
      <w:proofErr w:type="spellEnd"/>
      <w:r w:rsidR="003055E2" w:rsidRPr="000736B7">
        <w:rPr>
          <w:rFonts w:ascii="Trebuchet MS" w:hAnsi="Trebuchet MS"/>
          <w:sz w:val="20"/>
          <w:szCs w:val="20"/>
        </w:rPr>
        <w:t>; Partido de la U y Partido Conservador</w:t>
      </w:r>
    </w:p>
    <w:p w:rsidR="00560905" w:rsidRDefault="00560905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560905" w:rsidRDefault="00560905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1E7FEE" w:rsidRPr="00560905" w:rsidRDefault="001E7FEE" w:rsidP="00560905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F45D89" w:rsidRPr="000736B7" w:rsidRDefault="00F277B0" w:rsidP="00F277B0">
      <w:pPr>
        <w:shd w:val="clear" w:color="auto" w:fill="538135" w:themeFill="accent6" w:themeFillShade="BF"/>
        <w:spacing w:after="0" w:line="276" w:lineRule="auto"/>
        <w:rPr>
          <w:rFonts w:ascii="Trebuchet MS" w:hAnsi="Trebuchet MS"/>
          <w:b/>
          <w:color w:val="FFFFFF" w:themeColor="background1"/>
          <w:sz w:val="20"/>
          <w:szCs w:val="20"/>
        </w:rPr>
      </w:pPr>
      <w:proofErr w:type="spellStart"/>
      <w:r>
        <w:rPr>
          <w:rFonts w:ascii="Trebuchet MS" w:hAnsi="Trebuchet MS"/>
          <w:b/>
          <w:color w:val="FFFFFF" w:themeColor="background1"/>
          <w:sz w:val="20"/>
          <w:szCs w:val="20"/>
        </w:rPr>
        <w:t>Location</w:t>
      </w:r>
      <w:proofErr w:type="spellEnd"/>
      <w:r>
        <w:rPr>
          <w:rFonts w:ascii="Trebuchet MS" w:hAnsi="Trebuchet MS"/>
          <w:b/>
          <w:color w:val="FFFFFF" w:themeColor="background1"/>
          <w:sz w:val="20"/>
          <w:szCs w:val="20"/>
        </w:rPr>
        <w:t xml:space="preserve"> and </w:t>
      </w:r>
      <w:proofErr w:type="spellStart"/>
      <w:r>
        <w:rPr>
          <w:rFonts w:ascii="Trebuchet MS" w:hAnsi="Trebuchet MS"/>
          <w:b/>
          <w:color w:val="FFFFFF" w:themeColor="background1"/>
          <w:sz w:val="20"/>
          <w:szCs w:val="20"/>
        </w:rPr>
        <w:t>Geography</w:t>
      </w:r>
      <w:proofErr w:type="spellEnd"/>
      <w:r>
        <w:rPr>
          <w:rFonts w:ascii="Trebuchet MS" w:hAnsi="Trebuchet MS"/>
          <w:b/>
          <w:color w:val="FFFFFF" w:themeColor="background1"/>
          <w:sz w:val="20"/>
          <w:szCs w:val="20"/>
        </w:rPr>
        <w:t xml:space="preserve"> </w:t>
      </w:r>
      <w:r w:rsidR="00F45D89" w:rsidRPr="000736B7">
        <w:rPr>
          <w:rFonts w:ascii="Trebuchet MS" w:hAnsi="Trebuchet MS"/>
          <w:b/>
          <w:color w:val="FFFFFF" w:themeColor="background1"/>
          <w:sz w:val="20"/>
          <w:szCs w:val="20"/>
        </w:rPr>
        <w:t xml:space="preserve"> </w:t>
      </w:r>
    </w:p>
    <w:p w:rsidR="00F45D89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S</w:t>
      </w:r>
      <w:r w:rsidR="00F277B0">
        <w:rPr>
          <w:rFonts w:ascii="Trebuchet MS" w:hAnsi="Trebuchet MS"/>
          <w:b/>
          <w:sz w:val="20"/>
          <w:szCs w:val="20"/>
        </w:rPr>
        <w:t>outh</w:t>
      </w:r>
      <w:r w:rsidRPr="000736B7">
        <w:rPr>
          <w:rFonts w:ascii="Trebuchet MS" w:hAnsi="Trebuchet MS"/>
          <w:b/>
          <w:sz w:val="20"/>
          <w:szCs w:val="20"/>
        </w:rPr>
        <w:t xml:space="preserve"> América – Colombia - Antioquia</w:t>
      </w:r>
    </w:p>
    <w:p w:rsidR="007F41AE" w:rsidRPr="000736B7" w:rsidRDefault="00F45D89" w:rsidP="001E7FEE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inline distT="0" distB="0" distL="0" distR="0" wp14:anchorId="2174EFC0" wp14:editId="1E1E543F">
            <wp:extent cx="2520000" cy="3048452"/>
            <wp:effectExtent l="114300" t="114300" r="147320" b="152400"/>
            <wp:docPr id="5" name="Imagen 5" descr="https://upload.wikimedia.org/wikipedia/commons/thumb/8/85/Colombia_Antioquia_loc_map.svg/256px-Colombia_Antioquia_loc_map.svg.pn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8/85/Colombia_Antioquia_loc_map.svg/256px-Colombia_Antioquia_loc_map.svg.png?uselang=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30484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Antioquia</w:t>
      </w:r>
      <w:r w:rsidRPr="000736B7">
        <w:rPr>
          <w:rFonts w:ascii="Trebuchet MS" w:hAnsi="Trebuchet MS"/>
          <w:b/>
          <w:sz w:val="20"/>
          <w:szCs w:val="20"/>
        </w:rPr>
        <w:t xml:space="preserve"> – Municipios - Girardota</w:t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sz w:val="20"/>
          <w:szCs w:val="20"/>
        </w:rPr>
      </w:pPr>
      <w:r w:rsidRPr="000736B7">
        <w:rPr>
          <w:rFonts w:ascii="Trebuchet MS" w:hAnsi="Trebuchet MS"/>
          <w:sz w:val="20"/>
          <w:szCs w:val="20"/>
        </w:rPr>
        <w:lastRenderedPageBreak/>
        <w:drawing>
          <wp:inline distT="0" distB="0" distL="0" distR="0" wp14:anchorId="0248552A" wp14:editId="2BF7E162">
            <wp:extent cx="2520000" cy="2266681"/>
            <wp:effectExtent l="133350" t="114300" r="147320" b="153035"/>
            <wp:docPr id="3" name="Imagen 3" descr="C:\Users\Lenovo Z50\Downloads\Girardota,_Antioquia,_Colombia_(ubicació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 Z50\Downloads\Girardota,_Antioquia,_Colombia_(ubicación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26668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12114" w:rsidRPr="000736B7" w:rsidRDefault="00E12114" w:rsidP="000736B7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b/>
          <w:sz w:val="20"/>
          <w:szCs w:val="20"/>
        </w:rPr>
        <w:t>Girardota – Veredas – Casco Urbano</w:t>
      </w:r>
    </w:p>
    <w:p w:rsidR="00E12114" w:rsidRPr="000736B7" w:rsidRDefault="00E12114" w:rsidP="001E7FEE">
      <w:pPr>
        <w:spacing w:after="0" w:line="276" w:lineRule="auto"/>
        <w:jc w:val="center"/>
        <w:rPr>
          <w:rFonts w:ascii="Trebuchet MS" w:hAnsi="Trebuchet MS"/>
          <w:b/>
          <w:sz w:val="20"/>
          <w:szCs w:val="20"/>
        </w:rPr>
      </w:pPr>
      <w:r w:rsidRPr="000736B7">
        <w:rPr>
          <w:rFonts w:ascii="Trebuchet MS" w:hAnsi="Trebuchet MS"/>
          <w:noProof/>
          <w:sz w:val="20"/>
          <w:szCs w:val="20"/>
          <w:lang w:eastAsia="es-CO"/>
        </w:rPr>
        <w:drawing>
          <wp:inline distT="0" distB="0" distL="0" distR="0" wp14:anchorId="7A28683A" wp14:editId="7B337D2A">
            <wp:extent cx="2520000" cy="1821098"/>
            <wp:effectExtent l="114300" t="114300" r="147320" b="141605"/>
            <wp:docPr id="2" name="Imagen 2" descr="C:\Users\Lenovo Z50\AppData\Local\Microsoft\Windows\INetCacheContent.Word\Veredas_de_Girardota-Colombi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 Z50\AppData\Local\Microsoft\Windows\INetCacheContent.Word\Veredas_de_Girardota-Colombia.sv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210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277B0" w:rsidRPr="00F277B0" w:rsidRDefault="00F277B0" w:rsidP="00F277B0">
      <w:pPr>
        <w:spacing w:after="0" w:line="276" w:lineRule="auto"/>
        <w:rPr>
          <w:rFonts w:ascii="Trebuchet MS" w:hAnsi="Trebuchet MS"/>
          <w:sz w:val="20"/>
          <w:szCs w:val="20"/>
        </w:rPr>
      </w:pPr>
    </w:p>
    <w:p w:rsidR="00F277B0" w:rsidRPr="00F277B0" w:rsidRDefault="00F277B0" w:rsidP="00F277B0">
      <w:pPr>
        <w:spacing w:after="0" w:line="276" w:lineRule="auto"/>
        <w:rPr>
          <w:rFonts w:ascii="Trebuchet MS" w:hAnsi="Trebuchet MS"/>
          <w:sz w:val="20"/>
          <w:szCs w:val="20"/>
        </w:rPr>
      </w:pPr>
      <w:proofErr w:type="spellStart"/>
      <w:r w:rsidRPr="00F277B0">
        <w:rPr>
          <w:rFonts w:ascii="Trebuchet MS" w:hAnsi="Trebuchet MS"/>
          <w:sz w:val="20"/>
          <w:szCs w:val="20"/>
        </w:rPr>
        <w:t>Its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territory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is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mountainous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Cordillera </w:t>
      </w:r>
      <w:proofErr w:type="spellStart"/>
      <w:r w:rsidRPr="00F277B0">
        <w:rPr>
          <w:rFonts w:ascii="Trebuchet MS" w:hAnsi="Trebuchet MS"/>
          <w:sz w:val="20"/>
          <w:szCs w:val="20"/>
        </w:rPr>
        <w:t>is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crossed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by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the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Medellín </w:t>
      </w:r>
      <w:proofErr w:type="spellStart"/>
      <w:proofErr w:type="gramStart"/>
      <w:r w:rsidRPr="00F277B0">
        <w:rPr>
          <w:rFonts w:ascii="Trebuchet MS" w:hAnsi="Trebuchet MS"/>
          <w:sz w:val="20"/>
          <w:szCs w:val="20"/>
        </w:rPr>
        <w:t>river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.</w:t>
      </w:r>
      <w:proofErr w:type="gram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It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is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</w:t>
      </w:r>
      <w:proofErr w:type="spellStart"/>
      <w:r w:rsidRPr="00F277B0">
        <w:rPr>
          <w:rFonts w:ascii="Trebuchet MS" w:hAnsi="Trebuchet MS"/>
          <w:sz w:val="20"/>
          <w:szCs w:val="20"/>
        </w:rPr>
        <w:t>composed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as </w:t>
      </w:r>
      <w:proofErr w:type="spellStart"/>
      <w:r w:rsidRPr="00F277B0">
        <w:rPr>
          <w:rFonts w:ascii="Trebuchet MS" w:hAnsi="Trebuchet MS"/>
          <w:sz w:val="20"/>
          <w:szCs w:val="20"/>
        </w:rPr>
        <w:t>follows</w:t>
      </w:r>
      <w:proofErr w:type="spellEnd"/>
      <w:r w:rsidRPr="00F277B0">
        <w:rPr>
          <w:rFonts w:ascii="Trebuchet MS" w:hAnsi="Trebuchet MS"/>
          <w:sz w:val="20"/>
          <w:szCs w:val="20"/>
        </w:rPr>
        <w:t>:</w:t>
      </w:r>
    </w:p>
    <w:p w:rsidR="00F277B0" w:rsidRPr="00F277B0" w:rsidRDefault="00F277B0" w:rsidP="00F277B0">
      <w:pPr>
        <w:spacing w:after="0" w:line="276" w:lineRule="auto"/>
        <w:rPr>
          <w:rFonts w:ascii="Trebuchet MS" w:hAnsi="Trebuchet MS"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• </w:t>
      </w:r>
      <w:proofErr w:type="spellStart"/>
      <w:r w:rsidRPr="00F277B0">
        <w:rPr>
          <w:rFonts w:ascii="Trebuchet MS" w:hAnsi="Trebuchet MS"/>
          <w:sz w:val="20"/>
          <w:szCs w:val="20"/>
        </w:rPr>
        <w:t>District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17 </w:t>
      </w:r>
      <w:proofErr w:type="spellStart"/>
      <w:r w:rsidRPr="00F277B0">
        <w:rPr>
          <w:rFonts w:ascii="Trebuchet MS" w:hAnsi="Trebuchet MS"/>
          <w:sz w:val="20"/>
          <w:szCs w:val="20"/>
        </w:rPr>
        <w:t>neighborhoods</w:t>
      </w:r>
      <w:proofErr w:type="spellEnd"/>
    </w:p>
    <w:p w:rsidR="002D510A" w:rsidRDefault="00F277B0" w:rsidP="00F277B0">
      <w:pPr>
        <w:spacing w:after="0" w:line="276" w:lineRule="auto"/>
        <w:rPr>
          <w:rFonts w:ascii="Trebuchet MS" w:hAnsi="Trebuchet MS"/>
          <w:b/>
          <w:sz w:val="20"/>
          <w:szCs w:val="20"/>
        </w:rPr>
      </w:pPr>
      <w:r w:rsidRPr="00F277B0">
        <w:rPr>
          <w:rFonts w:ascii="Trebuchet MS" w:hAnsi="Trebuchet MS"/>
          <w:sz w:val="20"/>
          <w:szCs w:val="20"/>
        </w:rPr>
        <w:t xml:space="preserve">• </w:t>
      </w:r>
      <w:proofErr w:type="spellStart"/>
      <w:r w:rsidRPr="00F277B0">
        <w:rPr>
          <w:rFonts w:ascii="Trebuchet MS" w:hAnsi="Trebuchet MS"/>
          <w:sz w:val="20"/>
          <w:szCs w:val="20"/>
        </w:rPr>
        <w:t>Zone</w:t>
      </w:r>
      <w:proofErr w:type="spellEnd"/>
      <w:r w:rsidRPr="00F277B0">
        <w:rPr>
          <w:rFonts w:ascii="Trebuchet MS" w:hAnsi="Trebuchet MS"/>
          <w:sz w:val="20"/>
          <w:szCs w:val="20"/>
        </w:rPr>
        <w:t xml:space="preserve"> 25 rural </w:t>
      </w:r>
      <w:proofErr w:type="spellStart"/>
      <w:r w:rsidRPr="00F277B0">
        <w:rPr>
          <w:rFonts w:ascii="Trebuchet MS" w:hAnsi="Trebuchet MS"/>
          <w:sz w:val="20"/>
          <w:szCs w:val="20"/>
        </w:rPr>
        <w:t>villages</w:t>
      </w:r>
      <w:proofErr w:type="spellEnd"/>
    </w:p>
    <w:p w:rsidR="007F41AE" w:rsidRPr="000736B7" w:rsidRDefault="007F41AE" w:rsidP="000736B7">
      <w:pPr>
        <w:spacing w:after="0" w:line="276" w:lineRule="auto"/>
        <w:rPr>
          <w:rFonts w:ascii="Trebuchet MS" w:hAnsi="Trebuchet MS"/>
          <w:sz w:val="20"/>
          <w:szCs w:val="20"/>
        </w:rPr>
      </w:pPr>
    </w:p>
    <w:sectPr w:rsidR="007F41AE" w:rsidRPr="000736B7" w:rsidSect="00560905">
      <w:type w:val="continuous"/>
      <w:pgSz w:w="12240" w:h="15840" w:code="1"/>
      <w:pgMar w:top="720" w:right="720" w:bottom="720" w:left="720" w:header="708" w:footer="708" w:gutter="0"/>
      <w:cols w:num="2" w:space="3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708" w:rsidRDefault="00F63708" w:rsidP="007F41AE">
      <w:pPr>
        <w:spacing w:after="0" w:line="240" w:lineRule="auto"/>
      </w:pPr>
      <w:r>
        <w:separator/>
      </w:r>
    </w:p>
  </w:endnote>
  <w:endnote w:type="continuationSeparator" w:id="0">
    <w:p w:rsidR="00F63708" w:rsidRDefault="00F63708" w:rsidP="007F4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7FEE" w:rsidRDefault="001E7FEE">
    <w:pPr>
      <w:pStyle w:val="Piedepgina"/>
    </w:pPr>
    <w:r>
      <w:rPr>
        <w:noProof/>
        <w:lang w:eastAsia="es-CO"/>
      </w:rPr>
      <w:drawing>
        <wp:inline distT="0" distB="0" distL="0" distR="0" wp14:anchorId="1742EFE9" wp14:editId="3D6B668F">
          <wp:extent cx="6774070" cy="429370"/>
          <wp:effectExtent l="0" t="0" r="8255" b="889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21741" t="83528" r="17890" b="9665"/>
                  <a:stretch/>
                </pic:blipFill>
                <pic:spPr bwMode="auto">
                  <a:xfrm>
                    <a:off x="0" y="0"/>
                    <a:ext cx="7102157" cy="45016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708" w:rsidRDefault="00F63708" w:rsidP="007F41AE">
      <w:pPr>
        <w:spacing w:after="0" w:line="240" w:lineRule="auto"/>
      </w:pPr>
      <w:r>
        <w:separator/>
      </w:r>
    </w:p>
  </w:footnote>
  <w:footnote w:type="continuationSeparator" w:id="0">
    <w:p w:rsidR="00F63708" w:rsidRDefault="00F63708" w:rsidP="007F41AE">
      <w:pPr>
        <w:spacing w:after="0" w:line="240" w:lineRule="auto"/>
      </w:pPr>
      <w:r>
        <w:continuationSeparator/>
      </w:r>
    </w:p>
  </w:footnote>
  <w:footnote w:id="1">
    <w:p w:rsidR="002D510A" w:rsidRDefault="002D510A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C</w:t>
      </w:r>
      <w:r w:rsidR="00C37A11">
        <w:t>ode</w:t>
      </w:r>
      <w:proofErr w:type="spellEnd"/>
      <w:r>
        <w:t xml:space="preserve"> CGN: </w:t>
      </w:r>
      <w:r w:rsidRPr="002D510A">
        <w:t>210805308</w:t>
      </w:r>
    </w:p>
  </w:footnote>
  <w:footnote w:id="2">
    <w:p w:rsidR="003055E2" w:rsidRDefault="003055E2">
      <w:pPr>
        <w:pStyle w:val="Textonotapie"/>
      </w:pPr>
      <w:r>
        <w:rPr>
          <w:rStyle w:val="Refdenotaalpie"/>
        </w:rPr>
        <w:footnoteRef/>
      </w:r>
      <w:r w:rsidR="003D11D0">
        <w:t xml:space="preserve"> Elección: </w:t>
      </w:r>
      <w:r w:rsidRPr="003055E2">
        <w:t>Partido de la U en coalición con el Partido Liberal Colombiano y en alianza con el Movimiento Alternativo Indígena y Social (</w:t>
      </w:r>
      <w:proofErr w:type="spellStart"/>
      <w:r w:rsidRPr="003055E2">
        <w:t>Mais</w:t>
      </w:r>
      <w:proofErr w:type="spellEnd"/>
      <w:r w:rsidRPr="003055E2">
        <w:t>), Cambio Radical, Partido Alianza Verde y el apoyo de disidentes o matices del Partido Conservador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ADC"/>
    <w:multiLevelType w:val="hybridMultilevel"/>
    <w:tmpl w:val="04AC9E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0BB2"/>
    <w:multiLevelType w:val="hybridMultilevel"/>
    <w:tmpl w:val="D536F5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0388A"/>
    <w:multiLevelType w:val="hybridMultilevel"/>
    <w:tmpl w:val="696A8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2EC2"/>
    <w:multiLevelType w:val="hybridMultilevel"/>
    <w:tmpl w:val="108AC2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F769A"/>
    <w:multiLevelType w:val="hybridMultilevel"/>
    <w:tmpl w:val="00EA5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578FE"/>
    <w:multiLevelType w:val="hybridMultilevel"/>
    <w:tmpl w:val="DE9240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D2D"/>
    <w:multiLevelType w:val="hybridMultilevel"/>
    <w:tmpl w:val="61F2EF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15742"/>
    <w:multiLevelType w:val="hybridMultilevel"/>
    <w:tmpl w:val="C548124A"/>
    <w:lvl w:ilvl="0" w:tplc="7CDA1478">
      <w:start w:val="13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81123"/>
    <w:multiLevelType w:val="hybridMultilevel"/>
    <w:tmpl w:val="5A200E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7A575C"/>
    <w:multiLevelType w:val="hybridMultilevel"/>
    <w:tmpl w:val="54B2BA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B7667"/>
    <w:multiLevelType w:val="hybridMultilevel"/>
    <w:tmpl w:val="52CA68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57522"/>
    <w:multiLevelType w:val="hybridMultilevel"/>
    <w:tmpl w:val="CA1C0B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901B0E"/>
    <w:multiLevelType w:val="hybridMultilevel"/>
    <w:tmpl w:val="E320C7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E7BDA"/>
    <w:multiLevelType w:val="hybridMultilevel"/>
    <w:tmpl w:val="70DE62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F0EFD"/>
    <w:multiLevelType w:val="hybridMultilevel"/>
    <w:tmpl w:val="72A80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47131"/>
    <w:multiLevelType w:val="hybridMultilevel"/>
    <w:tmpl w:val="5C4429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54CF"/>
    <w:multiLevelType w:val="hybridMultilevel"/>
    <w:tmpl w:val="B07AC8CC"/>
    <w:lvl w:ilvl="0" w:tplc="7CDA1478">
      <w:start w:val="13"/>
      <w:numFmt w:val="bullet"/>
      <w:lvlText w:val="•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4"/>
  </w:num>
  <w:num w:numId="5">
    <w:abstractNumId w:val="8"/>
  </w:num>
  <w:num w:numId="6">
    <w:abstractNumId w:val="1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  <w:num w:numId="12">
    <w:abstractNumId w:val="6"/>
  </w:num>
  <w:num w:numId="13">
    <w:abstractNumId w:val="10"/>
  </w:num>
  <w:num w:numId="14">
    <w:abstractNumId w:val="7"/>
  </w:num>
  <w:num w:numId="15">
    <w:abstractNumId w:val="1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635"/>
    <w:rsid w:val="000736B7"/>
    <w:rsid w:val="001B2547"/>
    <w:rsid w:val="001E7FEE"/>
    <w:rsid w:val="0020753E"/>
    <w:rsid w:val="002D510A"/>
    <w:rsid w:val="002E09B3"/>
    <w:rsid w:val="003055E2"/>
    <w:rsid w:val="003D11D0"/>
    <w:rsid w:val="00560905"/>
    <w:rsid w:val="007437F4"/>
    <w:rsid w:val="00793635"/>
    <w:rsid w:val="007F41AE"/>
    <w:rsid w:val="00A574BE"/>
    <w:rsid w:val="00AA6D2E"/>
    <w:rsid w:val="00C37A11"/>
    <w:rsid w:val="00CB1CC2"/>
    <w:rsid w:val="00D94834"/>
    <w:rsid w:val="00E12114"/>
    <w:rsid w:val="00E13D28"/>
    <w:rsid w:val="00E542A3"/>
    <w:rsid w:val="00F277B0"/>
    <w:rsid w:val="00F45D89"/>
    <w:rsid w:val="00F63708"/>
    <w:rsid w:val="00F6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FA387"/>
  <w15:chartTrackingRefBased/>
  <w15:docId w15:val="{A97C58C5-8E8C-4CDF-B787-907096C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793635"/>
  </w:style>
  <w:style w:type="character" w:styleId="Hipervnculo">
    <w:name w:val="Hyperlink"/>
    <w:basedOn w:val="Fuentedeprrafopredeter"/>
    <w:uiPriority w:val="99"/>
    <w:semiHidden/>
    <w:unhideWhenUsed/>
    <w:rsid w:val="0079363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1A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F41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F41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F41A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E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FEE"/>
  </w:style>
  <w:style w:type="paragraph" w:styleId="Piedepgina">
    <w:name w:val="footer"/>
    <w:basedOn w:val="Normal"/>
    <w:link w:val="PiedepginaCar"/>
    <w:uiPriority w:val="99"/>
    <w:unhideWhenUsed/>
    <w:rsid w:val="001E7F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FE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7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7A11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F4578-3E98-4BE6-843F-D4ADC1C05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Eustorgio Rodado</dc:creator>
  <cp:keywords/>
  <dc:description/>
  <cp:lastModifiedBy>Eustorgio Rodado</cp:lastModifiedBy>
  <cp:revision>2</cp:revision>
  <cp:lastPrinted>2016-09-02T22:45:00Z</cp:lastPrinted>
  <dcterms:created xsi:type="dcterms:W3CDTF">2016-09-02T23:21:00Z</dcterms:created>
  <dcterms:modified xsi:type="dcterms:W3CDTF">2016-09-02T23:21:00Z</dcterms:modified>
</cp:coreProperties>
</file>