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293"/>
        <w:gridCol w:w="1850"/>
        <w:gridCol w:w="1849"/>
        <w:gridCol w:w="802"/>
        <w:gridCol w:w="2897"/>
      </w:tblGrid>
      <w:tr w:rsidR="008A0717" w:rsidTr="008A0717">
        <w:tc>
          <w:tcPr>
            <w:tcW w:w="2405" w:type="dxa"/>
            <w:shd w:val="clear" w:color="auto" w:fill="009999"/>
          </w:tcPr>
          <w:p w:rsidR="008A0717" w:rsidRPr="008A0717" w:rsidRDefault="00476501" w:rsidP="008A0717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A0717">
              <w:rPr>
                <w:b/>
                <w:color w:val="FFFFFF" w:themeColor="background1"/>
              </w:rPr>
              <w:t>Número</w:t>
            </w:r>
            <w:r w:rsidR="008A0717" w:rsidRPr="008A0717">
              <w:rPr>
                <w:b/>
                <w:color w:val="FFFFFF" w:themeColor="background1"/>
              </w:rPr>
              <w:t xml:space="preserve"> del Indicador</w:t>
            </w:r>
          </w:p>
        </w:tc>
        <w:tc>
          <w:tcPr>
            <w:tcW w:w="3143" w:type="dxa"/>
            <w:gridSpan w:val="2"/>
          </w:tcPr>
          <w:p w:rsidR="008A0717" w:rsidRPr="008A0717" w:rsidRDefault="008A0717" w:rsidP="008A0717">
            <w:pPr>
              <w:spacing w:after="0" w:line="240" w:lineRule="auto"/>
              <w:jc w:val="center"/>
              <w:rPr>
                <w:b/>
              </w:rPr>
            </w:pPr>
            <w:r w:rsidRPr="008A0717">
              <w:rPr>
                <w:b/>
              </w:rPr>
              <w:t>PER-001</w:t>
            </w:r>
          </w:p>
        </w:tc>
        <w:tc>
          <w:tcPr>
            <w:tcW w:w="2651" w:type="dxa"/>
            <w:gridSpan w:val="2"/>
            <w:shd w:val="clear" w:color="auto" w:fill="009999"/>
          </w:tcPr>
          <w:p w:rsidR="008A0717" w:rsidRPr="008A0717" w:rsidRDefault="008A0717" w:rsidP="008A0717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A0717">
              <w:rPr>
                <w:b/>
                <w:color w:val="FFFFFF" w:themeColor="background1"/>
              </w:rPr>
              <w:t>Fecha de aprobación</w:t>
            </w:r>
          </w:p>
        </w:tc>
        <w:tc>
          <w:tcPr>
            <w:tcW w:w="2897" w:type="dxa"/>
          </w:tcPr>
          <w:p w:rsidR="008A0717" w:rsidRPr="008A0717" w:rsidRDefault="008A0717" w:rsidP="008A0717">
            <w:pPr>
              <w:spacing w:after="0" w:line="240" w:lineRule="auto"/>
              <w:jc w:val="center"/>
              <w:rPr>
                <w:b/>
              </w:rPr>
            </w:pPr>
            <w:r w:rsidRPr="008A0717">
              <w:rPr>
                <w:b/>
              </w:rPr>
              <w:t>25-11-2016</w:t>
            </w:r>
          </w:p>
        </w:tc>
      </w:tr>
      <w:tr w:rsidR="008A0717" w:rsidTr="00EA6960">
        <w:tc>
          <w:tcPr>
            <w:tcW w:w="2405" w:type="dxa"/>
            <w:shd w:val="clear" w:color="auto" w:fill="009999"/>
          </w:tcPr>
          <w:p w:rsidR="008A0717" w:rsidRPr="008A0717" w:rsidRDefault="008A0717" w:rsidP="00EA6960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8A0717">
              <w:rPr>
                <w:b/>
                <w:color w:val="FFFFFF" w:themeColor="background1"/>
              </w:rPr>
              <w:t>Nombre del Indicador</w:t>
            </w:r>
          </w:p>
        </w:tc>
        <w:tc>
          <w:tcPr>
            <w:tcW w:w="8691" w:type="dxa"/>
            <w:gridSpan w:val="5"/>
          </w:tcPr>
          <w:p w:rsidR="008A0717" w:rsidRPr="00476501" w:rsidRDefault="008A0717" w:rsidP="00EA6960">
            <w:pPr>
              <w:spacing w:after="0" w:line="240" w:lineRule="auto"/>
              <w:rPr>
                <w:b/>
                <w:sz w:val="28"/>
              </w:rPr>
            </w:pPr>
            <w:r w:rsidRPr="00476501">
              <w:rPr>
                <w:b/>
                <w:sz w:val="28"/>
              </w:rPr>
              <w:t>INDICE DE FINANCIABILIDAD</w:t>
            </w:r>
          </w:p>
        </w:tc>
      </w:tr>
      <w:tr w:rsidR="00476501" w:rsidTr="00EA6960">
        <w:tc>
          <w:tcPr>
            <w:tcW w:w="2405" w:type="dxa"/>
            <w:shd w:val="clear" w:color="auto" w:fill="009999"/>
            <w:vAlign w:val="center"/>
          </w:tcPr>
          <w:p w:rsidR="00476501" w:rsidRPr="008A0717" w:rsidRDefault="00476501" w:rsidP="00EA6960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8691" w:type="dxa"/>
            <w:gridSpan w:val="5"/>
          </w:tcPr>
          <w:p w:rsidR="00476501" w:rsidRPr="008A0717" w:rsidRDefault="00476501" w:rsidP="00EA6960">
            <w:pPr>
              <w:spacing w:after="0" w:line="240" w:lineRule="auto"/>
              <w:jc w:val="both"/>
            </w:pPr>
            <w:r w:rsidRPr="008A0717">
              <w:t>Este indicador busca determinar dentro del rango establecido que tan atractivo puede ser un cliente potencial tipo</w:t>
            </w:r>
            <w:r w:rsidR="009B5943">
              <w:t xml:space="preserve"> entidad territorial (municipio/</w:t>
            </w:r>
            <w:r w:rsidRPr="008A0717">
              <w:t>departamento</w:t>
            </w:r>
            <w:r w:rsidR="009B5943">
              <w:t xml:space="preserve"> </w:t>
            </w:r>
            <w:r w:rsidR="009B5943" w:rsidRPr="008A0717">
              <w:t>(s)</w:t>
            </w:r>
            <w:r w:rsidRPr="008A0717">
              <w:t>). Con este rango se puede apoyar la toma de decisiones relacionadas con el avance en la gestión comercial, la prioridad del cliente, cuantía del proyecto y sus posibilidades de crecimiento y el enfoque de financiación. Este es un indicador de evaluación externa que mide la situación financiera en relación a la tipología y características de las fuentes de financiación, el nivel de compromiso de los ingresos y las posibilidades de acceso a recursos la cuantía de los ingresos de libre destinación. Para ello combina varias fuentes de financiación y analiza sus resultados condensándolos y posteriormente ponderándolos.</w:t>
            </w:r>
          </w:p>
        </w:tc>
      </w:tr>
      <w:tr w:rsidR="00F824BF" w:rsidRPr="00476501" w:rsidTr="00EA6960">
        <w:tc>
          <w:tcPr>
            <w:tcW w:w="3698" w:type="dxa"/>
            <w:gridSpan w:val="2"/>
            <w:shd w:val="clear" w:color="auto" w:fill="009999"/>
          </w:tcPr>
          <w:p w:rsidR="00F824BF" w:rsidRPr="00476501" w:rsidRDefault="00F824BF" w:rsidP="00EA696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Rango 1</w:t>
            </w:r>
          </w:p>
        </w:tc>
        <w:tc>
          <w:tcPr>
            <w:tcW w:w="3699" w:type="dxa"/>
            <w:gridSpan w:val="2"/>
            <w:shd w:val="clear" w:color="auto" w:fill="009999"/>
          </w:tcPr>
          <w:p w:rsidR="00F824BF" w:rsidRPr="00476501" w:rsidRDefault="00F824BF" w:rsidP="00EA696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Rango 2</w:t>
            </w:r>
          </w:p>
        </w:tc>
        <w:tc>
          <w:tcPr>
            <w:tcW w:w="3699" w:type="dxa"/>
            <w:gridSpan w:val="2"/>
            <w:shd w:val="clear" w:color="auto" w:fill="009999"/>
          </w:tcPr>
          <w:p w:rsidR="00F824BF" w:rsidRPr="00476501" w:rsidRDefault="00F824BF" w:rsidP="00EA696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Rango 3</w:t>
            </w:r>
          </w:p>
        </w:tc>
      </w:tr>
      <w:tr w:rsidR="00F824BF" w:rsidRPr="009F5772" w:rsidTr="009F5772">
        <w:tc>
          <w:tcPr>
            <w:tcW w:w="3698" w:type="dxa"/>
            <w:gridSpan w:val="2"/>
            <w:shd w:val="clear" w:color="auto" w:fill="00B050"/>
          </w:tcPr>
          <w:p w:rsidR="00F824BF" w:rsidRPr="009F5772" w:rsidRDefault="00F824BF" w:rsidP="009F577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9F5772">
              <w:rPr>
                <w:b/>
                <w:color w:val="FFFFFF" w:themeColor="background1"/>
              </w:rPr>
              <w:t>VERDE</w:t>
            </w:r>
          </w:p>
        </w:tc>
        <w:tc>
          <w:tcPr>
            <w:tcW w:w="3699" w:type="dxa"/>
            <w:gridSpan w:val="2"/>
            <w:shd w:val="clear" w:color="auto" w:fill="FFFF00"/>
          </w:tcPr>
          <w:p w:rsidR="00F824BF" w:rsidRPr="009F5772" w:rsidRDefault="00F824BF" w:rsidP="009F5772">
            <w:pPr>
              <w:spacing w:after="0" w:line="240" w:lineRule="auto"/>
              <w:jc w:val="center"/>
              <w:rPr>
                <w:b/>
              </w:rPr>
            </w:pPr>
            <w:r w:rsidRPr="009F5772">
              <w:rPr>
                <w:b/>
              </w:rPr>
              <w:t>AMARILLO</w:t>
            </w:r>
          </w:p>
        </w:tc>
        <w:tc>
          <w:tcPr>
            <w:tcW w:w="3699" w:type="dxa"/>
            <w:gridSpan w:val="2"/>
            <w:shd w:val="clear" w:color="auto" w:fill="FF0000"/>
          </w:tcPr>
          <w:p w:rsidR="00F824BF" w:rsidRPr="009F5772" w:rsidRDefault="00F824BF" w:rsidP="009F577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9F5772">
              <w:rPr>
                <w:b/>
                <w:color w:val="FFFFFF" w:themeColor="background1"/>
              </w:rPr>
              <w:t>ROJO</w:t>
            </w:r>
          </w:p>
        </w:tc>
      </w:tr>
      <w:tr w:rsidR="00F824BF" w:rsidTr="00AB4CB7">
        <w:tc>
          <w:tcPr>
            <w:tcW w:w="3698" w:type="dxa"/>
            <w:gridSpan w:val="2"/>
            <w:vAlign w:val="center"/>
          </w:tcPr>
          <w:p w:rsidR="00F824BF" w:rsidRDefault="00F824BF" w:rsidP="00AB4CB7">
            <w:pPr>
              <w:spacing w:after="0" w:line="240" w:lineRule="auto"/>
            </w:pPr>
            <w:r>
              <w:t>Corresponde al resultado de la ponderación de todas las variables de acuerdo a su ponderación / peso, cuando se encuentren en un rango entre el 60% y el 100%</w:t>
            </w:r>
          </w:p>
        </w:tc>
        <w:tc>
          <w:tcPr>
            <w:tcW w:w="3699" w:type="dxa"/>
            <w:gridSpan w:val="2"/>
            <w:vAlign w:val="center"/>
          </w:tcPr>
          <w:p w:rsidR="00F824BF" w:rsidRDefault="00F824BF" w:rsidP="00AB4CB7">
            <w:pPr>
              <w:spacing w:after="0" w:line="240" w:lineRule="auto"/>
            </w:pPr>
            <w:r>
              <w:t>Corresponde al resultado de la ponderación de todas las variables de acuerdo a su ponderación / peso, cuando se encuentren en un rango entre el 35% y el 59%</w:t>
            </w:r>
          </w:p>
        </w:tc>
        <w:tc>
          <w:tcPr>
            <w:tcW w:w="3699" w:type="dxa"/>
            <w:gridSpan w:val="2"/>
            <w:vAlign w:val="center"/>
          </w:tcPr>
          <w:p w:rsidR="00F824BF" w:rsidRDefault="00F824BF" w:rsidP="00AB4CB7">
            <w:pPr>
              <w:spacing w:after="0" w:line="240" w:lineRule="auto"/>
            </w:pPr>
            <w:r>
              <w:t xml:space="preserve">Corresponde al resultado de la ponderación de todas las variables de acuerdo a su ponderación / peso, cuando se encuentren en un rango </w:t>
            </w:r>
            <w:r w:rsidR="00593CDB">
              <w:t>menor al 35%</w:t>
            </w:r>
          </w:p>
        </w:tc>
      </w:tr>
      <w:tr w:rsidR="00AB4CB7" w:rsidTr="00AB4CB7">
        <w:tc>
          <w:tcPr>
            <w:tcW w:w="3698" w:type="dxa"/>
            <w:gridSpan w:val="2"/>
            <w:vAlign w:val="center"/>
          </w:tcPr>
          <w:p w:rsidR="00AB4CB7" w:rsidRDefault="00AB4CB7" w:rsidP="00AB4CB7">
            <w:pPr>
              <w:spacing w:after="0" w:line="240" w:lineRule="auto"/>
            </w:pPr>
            <w:r>
              <w:t>Si el indicador se encuentra en este rango el cliente es muy interesante y deberá ser prioritario su gestión comercial.</w:t>
            </w:r>
          </w:p>
        </w:tc>
        <w:tc>
          <w:tcPr>
            <w:tcW w:w="3699" w:type="dxa"/>
            <w:gridSpan w:val="2"/>
            <w:vAlign w:val="center"/>
          </w:tcPr>
          <w:p w:rsidR="00AB4CB7" w:rsidRDefault="00AB4CB7" w:rsidP="00AB4CB7">
            <w:pPr>
              <w:spacing w:after="0" w:line="240" w:lineRule="auto"/>
            </w:pPr>
            <w:r>
              <w:t>Si el indicador se encuentra en este ran</w:t>
            </w:r>
            <w:r w:rsidR="00A21BA1">
              <w:t xml:space="preserve">go el cliente es interesante y </w:t>
            </w:r>
            <w:r>
              <w:t>debe continuar su gestión comercial, informando al área financiera para que profundice en los mecanismos de financiación.</w:t>
            </w:r>
          </w:p>
        </w:tc>
        <w:tc>
          <w:tcPr>
            <w:tcW w:w="3699" w:type="dxa"/>
            <w:gridSpan w:val="2"/>
            <w:vAlign w:val="center"/>
          </w:tcPr>
          <w:p w:rsidR="00AB4CB7" w:rsidRDefault="00AB4CB7" w:rsidP="00AB4CB7">
            <w:pPr>
              <w:spacing w:after="0" w:line="240" w:lineRule="auto"/>
            </w:pPr>
            <w:r>
              <w:t xml:space="preserve">Si el indicador se encuentra </w:t>
            </w:r>
            <w:r w:rsidR="00A21BA1">
              <w:t xml:space="preserve">en este rango el cliente es no </w:t>
            </w:r>
            <w:r>
              <w:t>interesante y deberá pasar a clasificación de pendiente dando prioridad a otros. En caso que este cliente se pueda asociar con otro o cuente con fuentes especiales que aseguren financiación, se continuara su gestión comercial y debe ser informado al área financiera.</w:t>
            </w:r>
          </w:p>
        </w:tc>
      </w:tr>
      <w:tr w:rsidR="00223A1A" w:rsidTr="00EA6960">
        <w:tc>
          <w:tcPr>
            <w:tcW w:w="2405" w:type="dxa"/>
            <w:shd w:val="clear" w:color="auto" w:fill="009999"/>
            <w:vAlign w:val="center"/>
          </w:tcPr>
          <w:p w:rsidR="00223A1A" w:rsidRPr="008A0717" w:rsidRDefault="00223A1A" w:rsidP="00EA6960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Formula</w:t>
            </w:r>
          </w:p>
        </w:tc>
        <w:tc>
          <w:tcPr>
            <w:tcW w:w="8691" w:type="dxa"/>
            <w:gridSpan w:val="5"/>
          </w:tcPr>
          <w:p w:rsidR="00223A1A" w:rsidRPr="008A0717" w:rsidRDefault="00223A1A" w:rsidP="00EA6960">
            <w:pPr>
              <w:spacing w:after="0" w:line="240" w:lineRule="auto"/>
              <w:jc w:val="both"/>
            </w:pPr>
            <w:r>
              <w:t>Corresponde la sumatoria de porcentajes de cada variable de acuerdo con el peso o ponderación asignada a cada uno y su resultado es un porcentaje entre 0% y 100%.</w:t>
            </w:r>
          </w:p>
        </w:tc>
      </w:tr>
      <w:tr w:rsidR="00AB4CB7" w:rsidTr="008A0717">
        <w:tc>
          <w:tcPr>
            <w:tcW w:w="2405" w:type="dxa"/>
            <w:shd w:val="clear" w:color="auto" w:fill="009999"/>
            <w:vAlign w:val="center"/>
          </w:tcPr>
          <w:p w:rsidR="00AB4CB7" w:rsidRPr="008A0717" w:rsidRDefault="00AB4CB7" w:rsidP="00AB4CB7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Periodicidad</w:t>
            </w:r>
          </w:p>
        </w:tc>
        <w:tc>
          <w:tcPr>
            <w:tcW w:w="8691" w:type="dxa"/>
            <w:gridSpan w:val="5"/>
          </w:tcPr>
          <w:p w:rsidR="00AB4CB7" w:rsidRPr="008A0717" w:rsidRDefault="00AB4CB7" w:rsidP="00AB4CB7">
            <w:pPr>
              <w:spacing w:after="0" w:line="240" w:lineRule="auto"/>
              <w:jc w:val="both"/>
            </w:pPr>
            <w:r>
              <w:t>Anual y/o cuando se cada análisis de viabilidad comercial de un proyecto, las cifras e insumos de información deberán tener el mismo corte, por lo general se debe tomar e cierre de la vigencia del año anterior.</w:t>
            </w:r>
          </w:p>
        </w:tc>
      </w:tr>
    </w:tbl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6"/>
        <w:gridCol w:w="5897"/>
        <w:gridCol w:w="973"/>
      </w:tblGrid>
      <w:tr w:rsidR="00222EE9" w:rsidRPr="00222EE9" w:rsidTr="00222EE9">
        <w:trPr>
          <w:trHeight w:val="300"/>
        </w:trPr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222EE9">
              <w:rPr>
                <w:rFonts w:eastAsia="Times New Roman" w:cs="Calibri"/>
                <w:b/>
                <w:bCs/>
                <w:color w:val="FFFFFF" w:themeColor="background1"/>
                <w:sz w:val="20"/>
                <w:lang w:eastAsia="es-CO"/>
              </w:rPr>
              <w:t>Ámbito de acción / Variables</w:t>
            </w:r>
          </w:p>
        </w:tc>
        <w:tc>
          <w:tcPr>
            <w:tcW w:w="2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222EE9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s-CO"/>
              </w:rPr>
              <w:t xml:space="preserve">Explicación de la </w:t>
            </w:r>
            <w:r w:rsidR="00A21BA1" w:rsidRPr="00222EE9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s-CO"/>
              </w:rPr>
              <w:t>fórmula</w:t>
            </w:r>
            <w:bookmarkStart w:id="0" w:name="_GoBack"/>
            <w:bookmarkEnd w:id="0"/>
            <w:r w:rsidRPr="00222EE9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s-CO"/>
              </w:rPr>
              <w:t xml:space="preserve"> de cálculo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99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222EE9"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eastAsia="es-CO"/>
              </w:rPr>
              <w:t>Resultado</w:t>
            </w:r>
          </w:p>
        </w:tc>
      </w:tr>
      <w:tr w:rsidR="00222EE9" w:rsidRPr="00222EE9" w:rsidTr="00222EE9">
        <w:trPr>
          <w:trHeight w:val="300"/>
        </w:trPr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Rango del proyecto en COP</w:t>
            </w:r>
          </w:p>
        </w:tc>
        <w:tc>
          <w:tcPr>
            <w:tcW w:w="2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Si el proyecto total tiene un monto superior a 5.000M, se asigna el 7%.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7%</w:t>
            </w:r>
          </w:p>
        </w:tc>
      </w:tr>
      <w:tr w:rsidR="00222EE9" w:rsidRPr="00222EE9" w:rsidTr="00222EE9">
        <w:trPr>
          <w:trHeight w:val="600"/>
        </w:trPr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Período total del proyecto desde la fase de financiación hasta el cierre del mismo.</w:t>
            </w:r>
          </w:p>
        </w:tc>
        <w:tc>
          <w:tcPr>
            <w:tcW w:w="2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 xml:space="preserve">Si el proyecto es menor de 1 año, el puntaje asignado será 0%, si es </w:t>
            </w:r>
            <w:proofErr w:type="spellStart"/>
            <w:r w:rsidRPr="00222EE9">
              <w:rPr>
                <w:rFonts w:eastAsia="Times New Roman" w:cs="Calibri"/>
                <w:color w:val="000000"/>
                <w:lang w:eastAsia="es-CO"/>
              </w:rPr>
              <w:t>mas</w:t>
            </w:r>
            <w:proofErr w:type="spellEnd"/>
            <w:r w:rsidRPr="00222EE9">
              <w:rPr>
                <w:rFonts w:eastAsia="Times New Roman" w:cs="Calibri"/>
                <w:color w:val="000000"/>
                <w:lang w:eastAsia="es-CO"/>
              </w:rPr>
              <w:t xml:space="preserve"> de 1 año se asignara 5%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5%</w:t>
            </w:r>
          </w:p>
        </w:tc>
      </w:tr>
      <w:tr w:rsidR="00222EE9" w:rsidRPr="00222EE9" w:rsidTr="00222EE9">
        <w:trPr>
          <w:trHeight w:val="600"/>
        </w:trPr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Fuentes de recursos propios</w:t>
            </w:r>
          </w:p>
        </w:tc>
        <w:tc>
          <w:tcPr>
            <w:tcW w:w="2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Si el proyecto se financiar</w:t>
            </w:r>
            <w:r>
              <w:rPr>
                <w:rFonts w:eastAsia="Times New Roman" w:cs="Calibri"/>
                <w:color w:val="000000"/>
                <w:lang w:eastAsia="es-CO"/>
              </w:rPr>
              <w:t>á</w:t>
            </w:r>
            <w:r w:rsidRPr="00222EE9">
              <w:rPr>
                <w:rFonts w:eastAsia="Times New Roman" w:cs="Calibri"/>
                <w:color w:val="000000"/>
                <w:lang w:eastAsia="es-CO"/>
              </w:rPr>
              <w:t xml:space="preserve"> con recursos propios de la entidad, sin crédito y sin d</w:t>
            </w:r>
            <w:r>
              <w:rPr>
                <w:rFonts w:eastAsia="Times New Roman" w:cs="Calibri"/>
                <w:color w:val="000000"/>
                <w:lang w:eastAsia="es-CO"/>
              </w:rPr>
              <w:t>e</w:t>
            </w:r>
            <w:r w:rsidRPr="00222EE9">
              <w:rPr>
                <w:rFonts w:eastAsia="Times New Roman" w:cs="Calibri"/>
                <w:color w:val="000000"/>
                <w:lang w:eastAsia="es-CO"/>
              </w:rPr>
              <w:t>pender de transferencias de otras entidades se asignará 13%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13%</w:t>
            </w:r>
          </w:p>
        </w:tc>
      </w:tr>
      <w:tr w:rsidR="00222EE9" w:rsidRPr="00222EE9" w:rsidTr="00222EE9">
        <w:trPr>
          <w:trHeight w:val="300"/>
        </w:trPr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Fuentes de recursos por transferencias</w:t>
            </w:r>
          </w:p>
        </w:tc>
        <w:tc>
          <w:tcPr>
            <w:tcW w:w="2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Si el proyecto se financiará con transferencias de terceros se asignará un 8%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8%</w:t>
            </w:r>
          </w:p>
        </w:tc>
      </w:tr>
      <w:tr w:rsidR="00222EE9" w:rsidRPr="00222EE9" w:rsidTr="00222EE9">
        <w:trPr>
          <w:trHeight w:val="1200"/>
        </w:trPr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b/>
                <w:bCs/>
                <w:color w:val="000000"/>
                <w:lang w:eastAsia="es-CO"/>
              </w:rPr>
              <w:lastRenderedPageBreak/>
              <w:t>Solvencia: Intereses Deuda/Ahorro Operacional (sin deuda nueva)</w:t>
            </w:r>
            <w:r w:rsidRPr="00222EE9">
              <w:rPr>
                <w:rFonts w:eastAsia="Times New Roman" w:cs="Calibri"/>
                <w:b/>
                <w:bCs/>
                <w:color w:val="000000"/>
                <w:lang w:eastAsia="es-CO"/>
              </w:rPr>
              <w:br/>
              <w:t>Menor o igual al 40% = Verde</w:t>
            </w:r>
            <w:r w:rsidRPr="00222EE9">
              <w:rPr>
                <w:rFonts w:eastAsia="Times New Roman" w:cs="Calibri"/>
                <w:b/>
                <w:bCs/>
                <w:color w:val="000000"/>
                <w:lang w:eastAsia="es-CO"/>
              </w:rPr>
              <w:br/>
              <w:t>Menor o igual al 60% = Amarillo</w:t>
            </w:r>
            <w:r w:rsidRPr="00222EE9">
              <w:rPr>
                <w:rFonts w:eastAsia="Times New Roman" w:cs="Calibri"/>
                <w:b/>
                <w:bCs/>
                <w:color w:val="000000"/>
                <w:lang w:eastAsia="es-CO"/>
              </w:rPr>
              <w:br/>
              <w:t>Mayor del 60% = Rojo</w:t>
            </w:r>
          </w:p>
        </w:tc>
        <w:tc>
          <w:tcPr>
            <w:tcW w:w="2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Si el resultado es menor o igual al 40%, entonces se asigna el 15%, si el resultado es menor o igual al 60% se asignara 8%, si el resultado es mayor al 60% se asignara 0%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15%</w:t>
            </w:r>
          </w:p>
        </w:tc>
      </w:tr>
      <w:tr w:rsidR="00222EE9" w:rsidRPr="00222EE9" w:rsidTr="00222EE9">
        <w:trPr>
          <w:trHeight w:val="600"/>
        </w:trPr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Sostenibilidad</w:t>
            </w:r>
          </w:p>
        </w:tc>
        <w:tc>
          <w:tcPr>
            <w:tcW w:w="2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Si el resultado es menor al 80% de endeudamiento se asignara el puntaje del 15%, si es mayor no se asigna puntaje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15%</w:t>
            </w:r>
          </w:p>
        </w:tc>
      </w:tr>
      <w:tr w:rsidR="00222EE9" w:rsidRPr="00222EE9" w:rsidTr="00222EE9">
        <w:trPr>
          <w:trHeight w:val="600"/>
        </w:trPr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Acceso al crédito</w:t>
            </w:r>
          </w:p>
        </w:tc>
        <w:tc>
          <w:tcPr>
            <w:tcW w:w="2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Si tiene calificación de riesgo o no requiere se asigna 10%, si requiere la calificación se asigna 0%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10%</w:t>
            </w:r>
          </w:p>
        </w:tc>
      </w:tr>
      <w:tr w:rsidR="00222EE9" w:rsidRPr="00222EE9" w:rsidTr="00222EE9">
        <w:trPr>
          <w:trHeight w:val="600"/>
        </w:trPr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Autorización de Endeudamiento COMFIS[1]</w:t>
            </w:r>
          </w:p>
        </w:tc>
        <w:tc>
          <w:tcPr>
            <w:tcW w:w="2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Si no requiere autorización del Concejo se asigna el resultado del 2%, si requiere se asigna 0%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2%</w:t>
            </w:r>
          </w:p>
        </w:tc>
      </w:tr>
      <w:tr w:rsidR="00222EE9" w:rsidRPr="00222EE9" w:rsidTr="00222EE9">
        <w:trPr>
          <w:trHeight w:val="600"/>
        </w:trPr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Autorización de Endeudamiento por parte del Concejo Municipal</w:t>
            </w:r>
          </w:p>
        </w:tc>
        <w:tc>
          <w:tcPr>
            <w:tcW w:w="2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Si no requiere autorización del Concejo Municipal se asigna el resultado del 8%, si requiere se asigna 0%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8%</w:t>
            </w:r>
          </w:p>
        </w:tc>
      </w:tr>
      <w:tr w:rsidR="00222EE9" w:rsidRPr="00222EE9" w:rsidTr="00222EE9">
        <w:trPr>
          <w:trHeight w:val="600"/>
        </w:trPr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Autorización de Endeudamiento por parte Ministerio de Hacienda</w:t>
            </w:r>
          </w:p>
        </w:tc>
        <w:tc>
          <w:tcPr>
            <w:tcW w:w="2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Si no requiere autorización del Ministerio de Hacienda se asigna el resultado del 12%, si requiere se asigna 0%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12%</w:t>
            </w:r>
          </w:p>
        </w:tc>
      </w:tr>
      <w:tr w:rsidR="00222EE9" w:rsidRPr="00222EE9" w:rsidTr="00222EE9">
        <w:trPr>
          <w:trHeight w:val="900"/>
        </w:trPr>
        <w:tc>
          <w:tcPr>
            <w:tcW w:w="1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Acceso a cofinanciación o recursos externos a su presupuesto.</w:t>
            </w:r>
          </w:p>
        </w:tc>
        <w:tc>
          <w:tcPr>
            <w:tcW w:w="2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EE9" w:rsidRPr="00222EE9" w:rsidRDefault="00222EE9" w:rsidP="00222EE9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Si hay acceso a cofinanciación o recursos externos a su presupuesto, en un porcentaje superior al 50%, entonces se asignara el 5%, si es entre 10% y 49%, se asignará el 2,5%,  si es entre 1% y 9%, se asignará el 1%, y si es cero no se asignará puntaje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2EE9" w:rsidRPr="00222EE9" w:rsidRDefault="00222EE9" w:rsidP="00222EE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CO"/>
              </w:rPr>
            </w:pPr>
            <w:r w:rsidRPr="00222EE9">
              <w:rPr>
                <w:rFonts w:eastAsia="Times New Roman" w:cs="Calibri"/>
                <w:color w:val="000000"/>
                <w:lang w:eastAsia="es-CO"/>
              </w:rPr>
              <w:t>5%</w:t>
            </w:r>
          </w:p>
        </w:tc>
      </w:tr>
    </w:tbl>
    <w:p w:rsidR="008A0717" w:rsidRDefault="008A0717" w:rsidP="008A0717">
      <w:pPr>
        <w:spacing w:after="0" w:line="240" w:lineRule="auto"/>
        <w:jc w:val="both"/>
      </w:pPr>
    </w:p>
    <w:sectPr w:rsidR="008A0717" w:rsidSect="00817E1E">
      <w:headerReference w:type="default" r:id="rId7"/>
      <w:footerReference w:type="default" r:id="rId8"/>
      <w:pgSz w:w="12240" w:h="15840" w:code="1"/>
      <w:pgMar w:top="1523" w:right="567" w:bottom="142" w:left="567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156" w:rsidRDefault="008D0156" w:rsidP="00A45141">
      <w:pPr>
        <w:spacing w:after="0" w:line="240" w:lineRule="auto"/>
      </w:pPr>
      <w:r>
        <w:separator/>
      </w:r>
    </w:p>
  </w:endnote>
  <w:endnote w:type="continuationSeparator" w:id="0">
    <w:p w:rsidR="008D0156" w:rsidRDefault="008D0156" w:rsidP="00A4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8A9" w:rsidRPr="00CD78A9" w:rsidRDefault="00CD78A9" w:rsidP="00CD78A9">
    <w:pPr>
      <w:pStyle w:val="Piedepgina"/>
      <w:jc w:val="center"/>
      <w:rPr>
        <w:rFonts w:ascii="Arial" w:hAnsi="Arial" w:cs="Arial"/>
        <w:sz w:val="16"/>
        <w:szCs w:val="16"/>
        <w:lang w:val="es-MX"/>
      </w:rPr>
    </w:pPr>
    <w:r w:rsidRPr="00CD78A9">
      <w:rPr>
        <w:rFonts w:ascii="Arial" w:hAnsi="Arial" w:cs="Arial"/>
        <w:sz w:val="16"/>
        <w:szCs w:val="16"/>
        <w:lang w:val="es-MX"/>
      </w:rPr>
      <w:t>Calle 93 B No 11 A 44 Oficina 301, Teléfono + 57 1 6912971</w:t>
    </w:r>
  </w:p>
  <w:p w:rsidR="00CD78A9" w:rsidRPr="00CD78A9" w:rsidRDefault="00CD78A9" w:rsidP="00CD78A9">
    <w:pPr>
      <w:pStyle w:val="Piedepgina"/>
      <w:jc w:val="center"/>
      <w:rPr>
        <w:rFonts w:ascii="Arial" w:hAnsi="Arial" w:cs="Arial"/>
        <w:sz w:val="16"/>
        <w:szCs w:val="16"/>
        <w:lang w:val="es-MX"/>
      </w:rPr>
    </w:pPr>
    <w:r w:rsidRPr="00CD78A9">
      <w:rPr>
        <w:rFonts w:ascii="Arial" w:hAnsi="Arial" w:cs="Arial"/>
        <w:sz w:val="16"/>
        <w:szCs w:val="16"/>
        <w:lang w:val="es-MX"/>
      </w:rPr>
      <w:t xml:space="preserve">BOGOTÁ D.C., COLOMBIA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156" w:rsidRDefault="008D0156" w:rsidP="00A45141">
      <w:pPr>
        <w:spacing w:after="0" w:line="240" w:lineRule="auto"/>
      </w:pPr>
      <w:r>
        <w:separator/>
      </w:r>
    </w:p>
  </w:footnote>
  <w:footnote w:type="continuationSeparator" w:id="0">
    <w:p w:rsidR="008D0156" w:rsidRDefault="008D0156" w:rsidP="00A45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98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552"/>
      <w:gridCol w:w="5354"/>
      <w:gridCol w:w="2792"/>
    </w:tblGrid>
    <w:tr w:rsidR="00C87974" w:rsidRPr="00F55FF2" w:rsidTr="00496320">
      <w:trPr>
        <w:trHeight w:val="323"/>
      </w:trPr>
      <w:tc>
        <w:tcPr>
          <w:tcW w:w="2552" w:type="dxa"/>
          <w:vMerge w:val="restart"/>
          <w:vAlign w:val="center"/>
        </w:tcPr>
        <w:p w:rsidR="00C87974" w:rsidRDefault="00C87974" w:rsidP="008A0717">
          <w:pPr>
            <w:pStyle w:val="Encabezado"/>
            <w:ind w:right="360"/>
            <w:rPr>
              <w:rFonts w:ascii="Arial" w:hAnsi="Arial" w:cs="Arial"/>
              <w:b/>
              <w:sz w:val="20"/>
              <w:szCs w:val="20"/>
            </w:rPr>
          </w:pPr>
          <w:r w:rsidRPr="00C76B79">
            <w:rPr>
              <w:rFonts w:ascii="Arial" w:hAnsi="Arial" w:cs="Arial"/>
              <w:b/>
              <w:sz w:val="20"/>
              <w:szCs w:val="20"/>
            </w:rPr>
            <w:t xml:space="preserve">Código: </w:t>
          </w:r>
        </w:p>
        <w:p w:rsidR="00C87974" w:rsidRPr="004B689B" w:rsidRDefault="004B689B" w:rsidP="00C76B79">
          <w:pPr>
            <w:pStyle w:val="Encabezado"/>
            <w:ind w:right="360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4B689B">
            <w:rPr>
              <w:rFonts w:ascii="Arial" w:hAnsi="Arial" w:cs="Arial"/>
              <w:b/>
              <w:sz w:val="18"/>
              <w:szCs w:val="18"/>
            </w:rPr>
            <w:t>Fecha: Noviembre 2016</w:t>
          </w:r>
        </w:p>
      </w:tc>
      <w:tc>
        <w:tcPr>
          <w:tcW w:w="5354" w:type="dxa"/>
          <w:vMerge w:val="restart"/>
          <w:vAlign w:val="center"/>
        </w:tcPr>
        <w:p w:rsidR="00C87974" w:rsidRPr="00561901" w:rsidRDefault="008A0717" w:rsidP="00C76B7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eastAsia="es-CO"/>
            </w:rPr>
            <w:drawing>
              <wp:inline distT="0" distB="0" distL="0" distR="0">
                <wp:extent cx="1641058" cy="888735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BC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609" t="8055" r="2620" b="12784"/>
                        <a:stretch/>
                      </pic:blipFill>
                      <pic:spPr bwMode="auto">
                        <a:xfrm>
                          <a:off x="0" y="0"/>
                          <a:ext cx="1642898" cy="8897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dxa"/>
          <w:vAlign w:val="center"/>
        </w:tcPr>
        <w:p w:rsidR="00C87974" w:rsidRPr="00561901" w:rsidRDefault="004B689B" w:rsidP="002736C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Versión: 0</w:t>
          </w:r>
        </w:p>
      </w:tc>
    </w:tr>
    <w:tr w:rsidR="00C87974" w:rsidRPr="00F55FF2" w:rsidTr="00C76B79">
      <w:tblPrEx>
        <w:tblCellMar>
          <w:left w:w="108" w:type="dxa"/>
          <w:right w:w="108" w:type="dxa"/>
        </w:tblCellMar>
      </w:tblPrEx>
      <w:trPr>
        <w:trHeight w:val="230"/>
      </w:trPr>
      <w:tc>
        <w:tcPr>
          <w:tcW w:w="2552" w:type="dxa"/>
          <w:vMerge/>
        </w:tcPr>
        <w:p w:rsidR="00C87974" w:rsidRPr="00C76B79" w:rsidRDefault="00C87974" w:rsidP="00C76B7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54" w:type="dxa"/>
          <w:vMerge/>
          <w:vAlign w:val="center"/>
        </w:tcPr>
        <w:p w:rsidR="00C87974" w:rsidRPr="00561901" w:rsidRDefault="00C87974" w:rsidP="002736C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792" w:type="dxa"/>
          <w:vMerge w:val="restart"/>
          <w:vAlign w:val="center"/>
        </w:tcPr>
        <w:p w:rsidR="00C87974" w:rsidRPr="00561901" w:rsidRDefault="00C87974" w:rsidP="00934D3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61901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Pr="00561901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61901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561901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A21BA1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561901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61901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0E6B28" w:rsidRPr="00F55FF2" w:rsidTr="00C76B79">
      <w:tblPrEx>
        <w:tblCellMar>
          <w:left w:w="108" w:type="dxa"/>
          <w:right w:w="108" w:type="dxa"/>
        </w:tblCellMar>
      </w:tblPrEx>
      <w:trPr>
        <w:trHeight w:val="270"/>
      </w:trPr>
      <w:tc>
        <w:tcPr>
          <w:tcW w:w="2552" w:type="dxa"/>
        </w:tcPr>
        <w:p w:rsidR="000E6B28" w:rsidRPr="00C76B79" w:rsidRDefault="000E6B28" w:rsidP="00C76B7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76B79">
            <w:rPr>
              <w:rFonts w:ascii="Arial" w:hAnsi="Arial" w:cs="Arial"/>
              <w:b/>
              <w:sz w:val="20"/>
              <w:szCs w:val="20"/>
            </w:rPr>
            <w:t xml:space="preserve">No Controlado </w:t>
          </w:r>
        </w:p>
      </w:tc>
      <w:tc>
        <w:tcPr>
          <w:tcW w:w="5354" w:type="dxa"/>
          <w:vAlign w:val="center"/>
        </w:tcPr>
        <w:p w:rsidR="000E6B28" w:rsidRPr="00561901" w:rsidRDefault="008A0717" w:rsidP="00C76B7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FICHA TÉCNICA DE INDICADORES</w:t>
          </w:r>
        </w:p>
      </w:tc>
      <w:tc>
        <w:tcPr>
          <w:tcW w:w="2792" w:type="dxa"/>
          <w:vMerge/>
          <w:vAlign w:val="center"/>
        </w:tcPr>
        <w:p w:rsidR="000E6B28" w:rsidRPr="00561901" w:rsidRDefault="000E6B28" w:rsidP="007E3A9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:rsidR="00A45141" w:rsidRPr="00CD78A9" w:rsidRDefault="00A45141" w:rsidP="00817E1E">
    <w:pPr>
      <w:pStyle w:val="Encabezado"/>
      <w:ind w:right="193"/>
      <w:jc w:val="right"/>
      <w:rPr>
        <w:rFonts w:ascii="Calibri Light" w:hAnsi="Calibri Light" w:cs="Calibri Light"/>
        <w:b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E2"/>
    <w:rsid w:val="000126F3"/>
    <w:rsid w:val="000372D4"/>
    <w:rsid w:val="000377C7"/>
    <w:rsid w:val="00040C0E"/>
    <w:rsid w:val="000805E1"/>
    <w:rsid w:val="000E6B28"/>
    <w:rsid w:val="00101B9E"/>
    <w:rsid w:val="00153112"/>
    <w:rsid w:val="001A5C75"/>
    <w:rsid w:val="001D0061"/>
    <w:rsid w:val="0020457A"/>
    <w:rsid w:val="002123CC"/>
    <w:rsid w:val="00222EE9"/>
    <w:rsid w:val="00223A1A"/>
    <w:rsid w:val="00286BC5"/>
    <w:rsid w:val="002956F3"/>
    <w:rsid w:val="002E5EC3"/>
    <w:rsid w:val="002F7F80"/>
    <w:rsid w:val="00314B41"/>
    <w:rsid w:val="00346EA2"/>
    <w:rsid w:val="00352CD8"/>
    <w:rsid w:val="00366421"/>
    <w:rsid w:val="0036782E"/>
    <w:rsid w:val="003934E0"/>
    <w:rsid w:val="003A0B77"/>
    <w:rsid w:val="00400B3D"/>
    <w:rsid w:val="004424B3"/>
    <w:rsid w:val="00476501"/>
    <w:rsid w:val="004A4354"/>
    <w:rsid w:val="004B689B"/>
    <w:rsid w:val="005207AA"/>
    <w:rsid w:val="00525E0D"/>
    <w:rsid w:val="00593CDB"/>
    <w:rsid w:val="00597046"/>
    <w:rsid w:val="005B0062"/>
    <w:rsid w:val="005D4E4A"/>
    <w:rsid w:val="005D5E0E"/>
    <w:rsid w:val="00631A06"/>
    <w:rsid w:val="00660F2B"/>
    <w:rsid w:val="00662DE7"/>
    <w:rsid w:val="006A1C29"/>
    <w:rsid w:val="006A56B3"/>
    <w:rsid w:val="006D103A"/>
    <w:rsid w:val="006D136A"/>
    <w:rsid w:val="0070762B"/>
    <w:rsid w:val="00736637"/>
    <w:rsid w:val="00776892"/>
    <w:rsid w:val="007C03BA"/>
    <w:rsid w:val="007D4CE2"/>
    <w:rsid w:val="007E3A92"/>
    <w:rsid w:val="00817E1E"/>
    <w:rsid w:val="00837D31"/>
    <w:rsid w:val="00883448"/>
    <w:rsid w:val="008A0717"/>
    <w:rsid w:val="008C7491"/>
    <w:rsid w:val="008C796A"/>
    <w:rsid w:val="008D0156"/>
    <w:rsid w:val="008D0806"/>
    <w:rsid w:val="008D1DFC"/>
    <w:rsid w:val="009044A5"/>
    <w:rsid w:val="0091214C"/>
    <w:rsid w:val="00934D36"/>
    <w:rsid w:val="00937563"/>
    <w:rsid w:val="00973F06"/>
    <w:rsid w:val="009B5943"/>
    <w:rsid w:val="009D7098"/>
    <w:rsid w:val="009D7B44"/>
    <w:rsid w:val="009F5772"/>
    <w:rsid w:val="00A11A46"/>
    <w:rsid w:val="00A21BA1"/>
    <w:rsid w:val="00A45141"/>
    <w:rsid w:val="00A83CE2"/>
    <w:rsid w:val="00A92DC9"/>
    <w:rsid w:val="00AB4CB7"/>
    <w:rsid w:val="00AD727E"/>
    <w:rsid w:val="00B40ECC"/>
    <w:rsid w:val="00B94581"/>
    <w:rsid w:val="00B94DA3"/>
    <w:rsid w:val="00BB025B"/>
    <w:rsid w:val="00C160E1"/>
    <w:rsid w:val="00C20A53"/>
    <w:rsid w:val="00C33693"/>
    <w:rsid w:val="00C46001"/>
    <w:rsid w:val="00C658AE"/>
    <w:rsid w:val="00C76B79"/>
    <w:rsid w:val="00C8556E"/>
    <w:rsid w:val="00C87974"/>
    <w:rsid w:val="00CD5322"/>
    <w:rsid w:val="00CD78A9"/>
    <w:rsid w:val="00D162D2"/>
    <w:rsid w:val="00D32E49"/>
    <w:rsid w:val="00D84F5A"/>
    <w:rsid w:val="00D90FA6"/>
    <w:rsid w:val="00D928E3"/>
    <w:rsid w:val="00DE4DAB"/>
    <w:rsid w:val="00E11C4F"/>
    <w:rsid w:val="00E31082"/>
    <w:rsid w:val="00E54F75"/>
    <w:rsid w:val="00EE4C13"/>
    <w:rsid w:val="00F554DF"/>
    <w:rsid w:val="00F7608C"/>
    <w:rsid w:val="00F824BF"/>
    <w:rsid w:val="00F830AA"/>
    <w:rsid w:val="00F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5B6FA3-6A6D-4068-8223-590F939A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82E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4C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aliases w:val="encabezado,Encabezado Car Car,Encabezado Car Car Car Car Car,Encabezado Car Car Car,Encabezado1,Tablas,h,Header Bold,TENDER,Encabezado2,Encabezado Linea 1,Haut de page"/>
    <w:basedOn w:val="Normal"/>
    <w:link w:val="EncabezadoCar"/>
    <w:uiPriority w:val="99"/>
    <w:unhideWhenUsed/>
    <w:qFormat/>
    <w:rsid w:val="00A451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 Car Car Car1,Encabezado Car Car Car Car Car Car,Encabezado Car Car Car Car,Encabezado1 Car,Tablas Car,h Car,Header Bold Car,TENDER Car,Encabezado2 Car,Encabezado Linea 1 Car,Haut de page Car"/>
    <w:basedOn w:val="Fuentedeprrafopredeter"/>
    <w:link w:val="Encabezado"/>
    <w:uiPriority w:val="99"/>
    <w:rsid w:val="00A45141"/>
  </w:style>
  <w:style w:type="paragraph" w:styleId="Piedepgina">
    <w:name w:val="footer"/>
    <w:basedOn w:val="Normal"/>
    <w:link w:val="PiedepginaCar"/>
    <w:uiPriority w:val="99"/>
    <w:unhideWhenUsed/>
    <w:rsid w:val="00A451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141"/>
  </w:style>
  <w:style w:type="paragraph" w:styleId="Textodeglobo">
    <w:name w:val="Balloon Text"/>
    <w:basedOn w:val="Normal"/>
    <w:link w:val="TextodegloboCar"/>
    <w:uiPriority w:val="99"/>
    <w:semiHidden/>
    <w:unhideWhenUsed/>
    <w:rsid w:val="00A4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45141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4E4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4E4A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5D4E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0CCDC-26F4-42FA-9EB3-63230CFA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693</Words>
  <Characters>3817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Solano D.</dc:creator>
  <cp:lastModifiedBy>Harry Alfredo Wong Molina</cp:lastModifiedBy>
  <cp:revision>4</cp:revision>
  <cp:lastPrinted>2011-02-01T19:59:00Z</cp:lastPrinted>
  <dcterms:created xsi:type="dcterms:W3CDTF">2016-11-27T05:33:00Z</dcterms:created>
  <dcterms:modified xsi:type="dcterms:W3CDTF">2016-11-28T19:58:00Z</dcterms:modified>
</cp:coreProperties>
</file>