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409" w:rsidRDefault="00814409" w:rsidP="00814409">
      <w:pPr>
        <w:jc w:val="center"/>
        <w:rPr>
          <w:b/>
          <w:sz w:val="24"/>
          <w:szCs w:val="24"/>
        </w:rPr>
      </w:pPr>
      <w:bookmarkStart w:id="0" w:name="_GoBack"/>
      <w:r>
        <w:rPr>
          <w:b/>
          <w:sz w:val="24"/>
          <w:szCs w:val="24"/>
        </w:rPr>
        <w:t>Vertical de Desarrollo Urbano</w:t>
      </w:r>
    </w:p>
    <w:p w:rsidR="004C6A0A" w:rsidRPr="005C1FE9" w:rsidRDefault="00814409" w:rsidP="00814409">
      <w:pPr>
        <w:jc w:val="center"/>
        <w:rPr>
          <w:b/>
          <w:sz w:val="24"/>
          <w:szCs w:val="24"/>
        </w:rPr>
      </w:pPr>
      <w:r w:rsidRPr="005C1FE9">
        <w:rPr>
          <w:b/>
          <w:sz w:val="24"/>
          <w:szCs w:val="24"/>
        </w:rPr>
        <w:t>FUENTES DE FINANCIAMIENTO</w:t>
      </w:r>
    </w:p>
    <w:bookmarkEnd w:id="0"/>
    <w:p w:rsidR="004C6A0A" w:rsidRDefault="004C6A0A"/>
    <w:p w:rsidR="004C6A0A" w:rsidRDefault="004C6A0A">
      <w:r>
        <w:t xml:space="preserve">En los últimos años el gobierno ha tenido una descentralización administrativa por lo que los fondos para la financiación local se han incrementado. Los mayores ingresos de los municipios sin embargo provienen de las transferencias nacionales mayormente del sistema general de participaciones e impuestos (DNP, 2012). Los ingresos municipales de las ciudades medianas </w:t>
      </w:r>
      <w:proofErr w:type="spellStart"/>
      <w:r>
        <w:t>haN</w:t>
      </w:r>
      <w:proofErr w:type="spellEnd"/>
      <w:r>
        <w:t xml:space="preserve"> crecido constantemente desde 1996, representando en la actualidad más del 1% del PIB Nacional (DNP 2012). El sistema de Regalías es una media importante de financiamiento municipal y están siendo direccionadas a financias inversiones prioritarias. Pese a la descentralización administrativa de financiación en municipios, las transferencias nacionales siguen representando más del 50% de los ingresos de los municipios pequeños y medianos según datos del DNP. Entre los ingresos tributarios, es importante que las ciudades pequeñas y medianas fortalezcan la información predial para regularizar los impuestos y así aumentar sus ingresos directos dentro de los sistemas tarifarios. Otras opciones de financiamiento se subscriben en la inversión de asociaciones público-privada desarrollado ampliamente en ciudades grandes y con un gran potencial de replicarse en municipios pequeños y medianos. En este marco es necesario que los municipios amplíen sus mercados de crédito y bonos, y establezcan intermediarios financieros (DNP 2012). Otras alternativas de financiamiento se ilustran continuación:</w:t>
      </w:r>
    </w:p>
    <w:p w:rsidR="004C6A0A" w:rsidRDefault="004C6A0A">
      <w:r>
        <w:t xml:space="preserve"> </w:t>
      </w:r>
      <w:r>
        <w:sym w:font="Symbol" w:char="F0B7"/>
      </w:r>
      <w:r>
        <w:t xml:space="preserve"> Financiamiento FINDETER: FINDETER es una entidad gubernamental creada para financiar proyectos de infraestructura urbana. Los departamentos son dueños de aproximadamente 7.5% de la compañía (DNP 2012). Esta institución recibe financiamiento de bancos y organizaciones multilaterales </w:t>
      </w:r>
    </w:p>
    <w:p w:rsidR="004C6A0A" w:rsidRDefault="004C6A0A">
      <w:r>
        <w:sym w:font="Symbol" w:char="F0B7"/>
      </w:r>
      <w:r>
        <w:t xml:space="preserve"> Participación Plusvalía: Financiamiento a partir del valor incrementado en los cambios de uso del suelo. </w:t>
      </w:r>
    </w:p>
    <w:p w:rsidR="004C6A0A" w:rsidRDefault="004C6A0A">
      <w:r>
        <w:sym w:font="Symbol" w:char="F0B7"/>
      </w:r>
      <w:r>
        <w:t xml:space="preserve"> Contribución de la valorización: La Contribución de Valorización de la propiedad inmobiliaria es el principal y más tradicional instrumento del desarrollo urbano. Esta se relaciona con los costos de una obra pública en distribución al mayor valor de la propiedad tras el desarrollo urbanístico. </w:t>
      </w:r>
    </w:p>
    <w:p w:rsidR="004C6A0A" w:rsidRDefault="004C6A0A">
      <w:r>
        <w:sym w:font="Symbol" w:char="F0B7"/>
      </w:r>
      <w:r>
        <w:t xml:space="preserve"> Financiamiento incremento de impuestos: Según el estudio de Sistema de Ciudades del Banco Mundial, el financiamiento por incremento de impuestos es una herramienta que podría </w:t>
      </w:r>
      <w:proofErr w:type="spellStart"/>
      <w:r>
        <w:t>se</w:t>
      </w:r>
      <w:proofErr w:type="spellEnd"/>
      <w:r>
        <w:t xml:space="preserve"> útil para el gobierno y los municipios; El Financiamiento por el Incremento de Impuestos (FII) se ha usado especialmente en Estados Unidos, donde surgió en los años cincuenta como una manera de ofrecer fondos de contrapartida para los programas federales de renovación urbana (DNP,2012 p. 42). En los casos exitosos, la herramienta exige relaciones cercanas y construcción de confianza, pues los mecanismos de rendición de cuentas suelen ser difusos y el proceso de toma de decisiones, subjetivo (DNP, 2012 p. 42).. En tal medida, conviene que a) las contrapartidas y sus intereses sean identificados y b) las políticas públicas sean claramente explicadas (DNP, 2012 p. </w:t>
      </w:r>
      <w:r>
        <w:lastRenderedPageBreak/>
        <w:t xml:space="preserve">42). Es de resaltar a la importancia de este instrumento, su contextualización con los marcos del plan de desarrollo general de cada municipio. </w:t>
      </w:r>
    </w:p>
    <w:p w:rsidR="00875FF8" w:rsidRDefault="004C6A0A">
      <w:r>
        <w:sym w:font="Symbol" w:char="F0B7"/>
      </w:r>
      <w:r>
        <w:t xml:space="preserve"> Transferencia de derechos de construcción y desarrollo (TDCD) Esta es una herramienta basada en el mercado para preservar espacios abiertos y agrícolas, incluso edificios patrimoniales con el objeto de incrementar la rehabilitación de áreas. Existen varias ventajas sobre este instrumento de financiamiento para los municipios como compensación a propietarios en base a reglamentos de zonificación, pero también el uso del mercado para el pago por conservación de bienes públicos. Este es otro instrumento que se usa en Estados Unidos y según el estudio del Banco Mundial y el DNP hay dos ventajas claras con el uso de esta herramienta de financiamiento: a) garantiza la preservación de los terrenos al vincular a los desarrolladores con los propietarios y al hacer que el mercado pague por el desarrollo, y b) facilita los procesos de zonificación y permite regular mejor el uso que se le da a los terrenos al entregarles compensaciones a los propietarios: los gobiernos locales usan la Transferencia de Derechos de Construcción y Desarrollo (TDCD) para mitigar el impacto económico de las regulaciones sobre el uso de los terrenos, específicamente para compensar a los propietarios por las recaudaciones percibidas (DNP, 2012).</w:t>
      </w:r>
    </w:p>
    <w:p w:rsidR="005C1FE9" w:rsidRDefault="005C1FE9"/>
    <w:p w:rsidR="005C1FE9" w:rsidRPr="00785B37" w:rsidRDefault="005C1FE9">
      <w:pPr>
        <w:rPr>
          <w:i/>
        </w:rPr>
      </w:pPr>
      <w:r w:rsidRPr="00785B37">
        <w:rPr>
          <w:i/>
        </w:rPr>
        <w:t>Los Fondos de Inversión en el Clima (CIF) se establecieron en 2008 y están administrados por el Banco Mundial en colaboración con bancos regionales de desarrollo como el Banco Africano de Desarrollo, el Banco Asiático de Desarrollo, el Banco Europeo de Reconstrucción y Fomento y el Banco Interamericano de Desarrollo. Los CIF financian intervenciones programáticas en ciertos países en desarrollo, con el objetivo de aumentar el entendimiento sobre la mejor manera de movilizar el financiamiento público a gran escala para ayudar a transfor</w:t>
      </w:r>
      <w:r w:rsidR="00785B37">
        <w:rPr>
          <w:i/>
        </w:rPr>
        <w:t>mar los procesos de desarrollo.</w:t>
      </w:r>
      <w:r w:rsidR="00205571">
        <w:rPr>
          <w:i/>
        </w:rPr>
        <w:t xml:space="preserve"> Algunos de estos bancos de cooperación y fondos en donde se realizan mediciones de mitigación de impacto ambiental a continuación: </w:t>
      </w:r>
    </w:p>
    <w:p w:rsidR="005C1FE9" w:rsidRDefault="005C1FE9">
      <w:pPr>
        <w:contextualSpacing/>
      </w:pPr>
    </w:p>
    <w:p w:rsidR="00FA686A" w:rsidRDefault="00FA686A">
      <w:pPr>
        <w:contextualSpacing/>
      </w:pPr>
    </w:p>
    <w:p w:rsidR="005C1FE9" w:rsidRDefault="005C1FE9" w:rsidP="002278BA">
      <w:pPr>
        <w:pStyle w:val="Prrafodelista"/>
        <w:numPr>
          <w:ilvl w:val="0"/>
          <w:numId w:val="1"/>
        </w:numPr>
      </w:pPr>
      <w:r>
        <w:t xml:space="preserve">Agencia Francesa para el Desarrollo </w:t>
      </w:r>
    </w:p>
    <w:p w:rsidR="005C1FE9" w:rsidRDefault="005C1FE9" w:rsidP="002278BA">
      <w:pPr>
        <w:pStyle w:val="Prrafodelista"/>
        <w:numPr>
          <w:ilvl w:val="0"/>
          <w:numId w:val="1"/>
        </w:numPr>
      </w:pPr>
      <w:proofErr w:type="spellStart"/>
      <w:r>
        <w:t>BAfD</w:t>
      </w:r>
      <w:proofErr w:type="spellEnd"/>
      <w:r>
        <w:t xml:space="preserve"> Banco Africano de Desarrollo </w:t>
      </w:r>
    </w:p>
    <w:p w:rsidR="005C1FE9" w:rsidRDefault="005C1FE9" w:rsidP="002278BA">
      <w:pPr>
        <w:pStyle w:val="Prrafodelista"/>
        <w:numPr>
          <w:ilvl w:val="0"/>
          <w:numId w:val="1"/>
        </w:numPr>
      </w:pPr>
      <w:proofErr w:type="spellStart"/>
      <w:r>
        <w:t>BAsD</w:t>
      </w:r>
      <w:proofErr w:type="spellEnd"/>
      <w:r>
        <w:t xml:space="preserve"> Banco Asiático de Desarrollo</w:t>
      </w:r>
    </w:p>
    <w:p w:rsidR="005C1FE9" w:rsidRDefault="005C1FE9" w:rsidP="002278BA">
      <w:pPr>
        <w:pStyle w:val="Prrafodelista"/>
        <w:numPr>
          <w:ilvl w:val="0"/>
          <w:numId w:val="1"/>
        </w:numPr>
      </w:pPr>
      <w:r>
        <w:t xml:space="preserve">BEI Banco Europeo de Inversiones </w:t>
      </w:r>
    </w:p>
    <w:p w:rsidR="005C1FE9" w:rsidRDefault="005C1FE9" w:rsidP="002278BA">
      <w:pPr>
        <w:pStyle w:val="Prrafodelista"/>
        <w:numPr>
          <w:ilvl w:val="0"/>
          <w:numId w:val="1"/>
        </w:numPr>
      </w:pPr>
      <w:r>
        <w:t xml:space="preserve">BERF Banco Europeo de Reconstrucción y Fomento </w:t>
      </w:r>
    </w:p>
    <w:p w:rsidR="005C1FE9" w:rsidRDefault="005C1FE9" w:rsidP="002278BA">
      <w:pPr>
        <w:pStyle w:val="Prrafodelista"/>
        <w:numPr>
          <w:ilvl w:val="0"/>
          <w:numId w:val="1"/>
        </w:numPr>
      </w:pPr>
      <w:r>
        <w:t xml:space="preserve">BID Banco Interamericano de Desarrollo </w:t>
      </w:r>
    </w:p>
    <w:p w:rsidR="005C1FE9" w:rsidRDefault="005C1FE9" w:rsidP="002278BA">
      <w:pPr>
        <w:pStyle w:val="Prrafodelista"/>
        <w:numPr>
          <w:ilvl w:val="0"/>
          <w:numId w:val="1"/>
        </w:numPr>
      </w:pPr>
      <w:r>
        <w:t xml:space="preserve">BM Banco Mundial </w:t>
      </w:r>
    </w:p>
    <w:p w:rsidR="005C1FE9" w:rsidRDefault="005C1FE9" w:rsidP="002278BA">
      <w:pPr>
        <w:pStyle w:val="Prrafodelista"/>
        <w:numPr>
          <w:ilvl w:val="0"/>
          <w:numId w:val="1"/>
        </w:numPr>
      </w:pPr>
      <w:r>
        <w:t xml:space="preserve">BMZ Ministerio Federal para la Cooperación y el Desarrollo Económicos de Alemania </w:t>
      </w:r>
    </w:p>
    <w:p w:rsidR="005C1FE9" w:rsidRDefault="005C1FE9" w:rsidP="002278BA">
      <w:pPr>
        <w:pStyle w:val="Prrafodelista"/>
        <w:numPr>
          <w:ilvl w:val="0"/>
          <w:numId w:val="1"/>
        </w:numPr>
      </w:pPr>
      <w:r>
        <w:t xml:space="preserve">CIDA Organismo Canadiense de Desarrollo Internacional (Canadian International </w:t>
      </w:r>
      <w:proofErr w:type="spellStart"/>
      <w:r>
        <w:t>Development</w:t>
      </w:r>
      <w:proofErr w:type="spellEnd"/>
      <w:r>
        <w:t xml:space="preserve"> Agency) </w:t>
      </w:r>
    </w:p>
    <w:p w:rsidR="005C1FE9" w:rsidRDefault="005C1FE9" w:rsidP="002278BA">
      <w:pPr>
        <w:pStyle w:val="Prrafodelista"/>
        <w:numPr>
          <w:ilvl w:val="0"/>
          <w:numId w:val="1"/>
        </w:numPr>
      </w:pPr>
      <w:r>
        <w:t xml:space="preserve">DECC Departamento de Energía y Cambio Climático </w:t>
      </w:r>
    </w:p>
    <w:p w:rsidR="005C1FE9" w:rsidRDefault="005C1FE9" w:rsidP="002278BA">
      <w:pPr>
        <w:pStyle w:val="Prrafodelista"/>
        <w:numPr>
          <w:ilvl w:val="0"/>
          <w:numId w:val="1"/>
        </w:numPr>
      </w:pPr>
      <w:r>
        <w:t xml:space="preserve">DEFRA Departamento de Medio Ambiente, Alimentación y Cuestiones Rurales </w:t>
      </w:r>
    </w:p>
    <w:p w:rsidR="005C1FE9" w:rsidRDefault="005C1FE9" w:rsidP="002278BA">
      <w:pPr>
        <w:pStyle w:val="Prrafodelista"/>
        <w:numPr>
          <w:ilvl w:val="0"/>
          <w:numId w:val="1"/>
        </w:numPr>
      </w:pPr>
      <w:r>
        <w:lastRenderedPageBreak/>
        <w:t xml:space="preserve">DFID Departamento para el Desarrollo Internacional del Reino Unido </w:t>
      </w:r>
    </w:p>
    <w:p w:rsidR="005C1FE9" w:rsidRDefault="005C1FE9" w:rsidP="002278BA">
      <w:pPr>
        <w:pStyle w:val="Prrafodelista"/>
        <w:numPr>
          <w:ilvl w:val="0"/>
          <w:numId w:val="1"/>
        </w:numPr>
      </w:pPr>
      <w:r>
        <w:t>DREC Departamento de Relaciones Exteriores y Comercio Ex-</w:t>
      </w:r>
      <w:proofErr w:type="spellStart"/>
      <w:r>
        <w:t>Im</w:t>
      </w:r>
      <w:proofErr w:type="spellEnd"/>
      <w:r>
        <w:t xml:space="preserve"> Banco de Exportación e Importaciones de Estados Unidos </w:t>
      </w:r>
    </w:p>
    <w:p w:rsidR="005C1FE9" w:rsidRDefault="005C1FE9" w:rsidP="002278BA">
      <w:pPr>
        <w:pStyle w:val="Prrafodelista"/>
        <w:numPr>
          <w:ilvl w:val="0"/>
          <w:numId w:val="1"/>
        </w:numPr>
      </w:pPr>
      <w:r>
        <w:t xml:space="preserve">FAO Organización de las Naciones Unidas para la Agricultura y la Alimentación </w:t>
      </w:r>
    </w:p>
    <w:p w:rsidR="005C1FE9" w:rsidRDefault="005C1FE9" w:rsidP="002278BA">
      <w:pPr>
        <w:pStyle w:val="Prrafodelista"/>
        <w:numPr>
          <w:ilvl w:val="0"/>
          <w:numId w:val="1"/>
        </w:numPr>
      </w:pPr>
      <w:r>
        <w:t xml:space="preserve">FFEM Mecanismo Francés para el Medio Ambiente Mundial </w:t>
      </w:r>
    </w:p>
    <w:p w:rsidR="005C1FE9" w:rsidRDefault="005C1FE9" w:rsidP="002278BA">
      <w:pPr>
        <w:pStyle w:val="Prrafodelista"/>
        <w:numPr>
          <w:ilvl w:val="0"/>
          <w:numId w:val="1"/>
        </w:numPr>
      </w:pPr>
      <w:r>
        <w:t xml:space="preserve">GIZ Cooperación Técnica Alemana </w:t>
      </w:r>
    </w:p>
    <w:p w:rsidR="005C1FE9" w:rsidRDefault="005C1FE9" w:rsidP="002278BA">
      <w:pPr>
        <w:pStyle w:val="Prrafodelista"/>
        <w:numPr>
          <w:ilvl w:val="0"/>
          <w:numId w:val="1"/>
        </w:numPr>
      </w:pPr>
      <w:r>
        <w:t xml:space="preserve">JBIC Banco Japonés de Cooperación Internacional </w:t>
      </w:r>
    </w:p>
    <w:p w:rsidR="005C1FE9" w:rsidRDefault="005C1FE9" w:rsidP="002278BA">
      <w:pPr>
        <w:pStyle w:val="Prrafodelista"/>
        <w:numPr>
          <w:ilvl w:val="0"/>
          <w:numId w:val="1"/>
        </w:numPr>
      </w:pPr>
      <w:r>
        <w:t xml:space="preserve">JICA Agencia Internacional de Cooperación de Japón </w:t>
      </w:r>
    </w:p>
    <w:p w:rsidR="005C1FE9" w:rsidRDefault="005C1FE9" w:rsidP="002278BA">
      <w:pPr>
        <w:pStyle w:val="Prrafodelista"/>
        <w:numPr>
          <w:ilvl w:val="0"/>
          <w:numId w:val="1"/>
        </w:numPr>
      </w:pPr>
      <w:proofErr w:type="spellStart"/>
      <w:r>
        <w:t>KfW</w:t>
      </w:r>
      <w:proofErr w:type="spellEnd"/>
      <w:r>
        <w:t xml:space="preserve"> Banco Alemán de Desarrollo </w:t>
      </w:r>
    </w:p>
    <w:p w:rsidR="005C1FE9" w:rsidRDefault="005C1FE9" w:rsidP="002278BA">
      <w:pPr>
        <w:pStyle w:val="Prrafodelista"/>
        <w:numPr>
          <w:ilvl w:val="0"/>
          <w:numId w:val="1"/>
        </w:numPr>
      </w:pPr>
      <w:r>
        <w:t xml:space="preserve">MIES Grupo de Trabajo Interministerial sobre Cambio Climático de Francia </w:t>
      </w:r>
    </w:p>
    <w:p w:rsidR="005C1FE9" w:rsidRDefault="005C1FE9" w:rsidP="002278BA">
      <w:pPr>
        <w:pStyle w:val="Prrafodelista"/>
        <w:numPr>
          <w:ilvl w:val="0"/>
          <w:numId w:val="1"/>
        </w:numPr>
      </w:pPr>
      <w:r>
        <w:t xml:space="preserve">MME Ministerio de Relaciones Exteriores </w:t>
      </w:r>
    </w:p>
    <w:p w:rsidR="005C1FE9" w:rsidRDefault="005C1FE9" w:rsidP="002278BA">
      <w:pPr>
        <w:pStyle w:val="Prrafodelista"/>
        <w:numPr>
          <w:ilvl w:val="0"/>
          <w:numId w:val="1"/>
        </w:numPr>
      </w:pPr>
      <w:r>
        <w:t>NORAD Organismo Noruego de Cooperación para el Desarrollo (</w:t>
      </w:r>
      <w:proofErr w:type="spellStart"/>
      <w:r>
        <w:t>Norwegian</w:t>
      </w:r>
      <w:proofErr w:type="spellEnd"/>
      <w:r>
        <w:t xml:space="preserve"> Agency </w:t>
      </w:r>
      <w:proofErr w:type="spellStart"/>
      <w:r>
        <w:t>for</w:t>
      </w:r>
      <w:proofErr w:type="spellEnd"/>
      <w:r>
        <w:t xml:space="preserve"> </w:t>
      </w:r>
      <w:proofErr w:type="spellStart"/>
      <w:r>
        <w:t>Development</w:t>
      </w:r>
      <w:proofErr w:type="spellEnd"/>
      <w:r>
        <w:t xml:space="preserve"> </w:t>
      </w:r>
      <w:proofErr w:type="spellStart"/>
      <w:r>
        <w:t>Cooperation</w:t>
      </w:r>
      <w:proofErr w:type="spellEnd"/>
      <w:r>
        <w:t xml:space="preserve">) </w:t>
      </w:r>
    </w:p>
    <w:p w:rsidR="005C1FE9" w:rsidRDefault="005C1FE9" w:rsidP="002278BA">
      <w:pPr>
        <w:pStyle w:val="Prrafodelista"/>
        <w:numPr>
          <w:ilvl w:val="0"/>
          <w:numId w:val="1"/>
        </w:numPr>
      </w:pPr>
      <w:r>
        <w:t xml:space="preserve">ODIN Gestión Independiente de Fondos de los Países Nórdicos OPIC </w:t>
      </w:r>
      <w:proofErr w:type="spellStart"/>
      <w:r>
        <w:t>Overseas</w:t>
      </w:r>
      <w:proofErr w:type="spellEnd"/>
      <w:r>
        <w:t xml:space="preserve"> </w:t>
      </w:r>
      <w:proofErr w:type="spellStart"/>
      <w:r>
        <w:t>Private</w:t>
      </w:r>
      <w:proofErr w:type="spellEnd"/>
      <w:r>
        <w:t xml:space="preserve"> </w:t>
      </w:r>
      <w:proofErr w:type="spellStart"/>
      <w:r>
        <w:t>Investment</w:t>
      </w:r>
      <w:proofErr w:type="spellEnd"/>
      <w:r>
        <w:t xml:space="preserve"> </w:t>
      </w:r>
      <w:proofErr w:type="spellStart"/>
      <w:r>
        <w:t>Corporation</w:t>
      </w:r>
      <w:proofErr w:type="spellEnd"/>
      <w:r>
        <w:t xml:space="preserve"> </w:t>
      </w:r>
    </w:p>
    <w:p w:rsidR="005C1FE9" w:rsidRDefault="005C1FE9" w:rsidP="002278BA">
      <w:pPr>
        <w:pStyle w:val="Prrafodelista"/>
        <w:numPr>
          <w:ilvl w:val="0"/>
          <w:numId w:val="1"/>
        </w:numPr>
      </w:pPr>
      <w:r>
        <w:t xml:space="preserve">PNUB Programa de las Naciones Unidas para el Desarrollo </w:t>
      </w:r>
    </w:p>
    <w:p w:rsidR="005C1FE9" w:rsidRDefault="005C1FE9" w:rsidP="002278BA">
      <w:pPr>
        <w:pStyle w:val="Prrafodelista"/>
        <w:numPr>
          <w:ilvl w:val="0"/>
          <w:numId w:val="1"/>
        </w:numPr>
      </w:pPr>
      <w:r>
        <w:t>PNUMA Programa de las Naciones Unidas para el Medio Ambiente USAID Agencia de Desarrollo Internacional de Estados Unidos</w:t>
      </w:r>
    </w:p>
    <w:p w:rsidR="005C1FE9" w:rsidRDefault="005C1FE9">
      <w:pPr>
        <w:contextualSpacing/>
      </w:pPr>
    </w:p>
    <w:p w:rsidR="005C1FE9" w:rsidRPr="00FA686A" w:rsidRDefault="005C1FE9">
      <w:pPr>
        <w:rPr>
          <w:b/>
        </w:rPr>
      </w:pPr>
      <w:r w:rsidRPr="00FA686A">
        <w:rPr>
          <w:b/>
        </w:rPr>
        <w:t xml:space="preserve">Fondos e iniciativas multilaterales </w:t>
      </w:r>
    </w:p>
    <w:p w:rsidR="005C1FE9" w:rsidRDefault="005C1FE9"/>
    <w:p w:rsidR="002278BA" w:rsidRDefault="005C1FE9" w:rsidP="00FA686A">
      <w:pPr>
        <w:pStyle w:val="Prrafodelista"/>
        <w:numPr>
          <w:ilvl w:val="0"/>
          <w:numId w:val="2"/>
        </w:numPr>
      </w:pPr>
      <w:r>
        <w:t xml:space="preserve">ACCF Fondo contra el Cambio Climático en África </w:t>
      </w:r>
    </w:p>
    <w:p w:rsidR="002278BA" w:rsidRDefault="005C1FE9" w:rsidP="00FA686A">
      <w:pPr>
        <w:pStyle w:val="Prrafodelista"/>
        <w:numPr>
          <w:ilvl w:val="0"/>
          <w:numId w:val="2"/>
        </w:numPr>
      </w:pPr>
      <w:r>
        <w:t xml:space="preserve">AMCC Alianza Mundial sobre el Cambio Climático </w:t>
      </w:r>
    </w:p>
    <w:p w:rsidR="002278BA" w:rsidRDefault="005C1FE9" w:rsidP="00FA686A">
      <w:pPr>
        <w:pStyle w:val="Prrafodelista"/>
        <w:numPr>
          <w:ilvl w:val="0"/>
          <w:numId w:val="2"/>
        </w:numPr>
      </w:pPr>
      <w:r>
        <w:t xml:space="preserve">APM Asociación para la Preparación del Mercado CIF Fondos de Inversión en el Clima (implementados a través del Banco Mundial, </w:t>
      </w:r>
      <w:proofErr w:type="spellStart"/>
      <w:r>
        <w:t>BAsD</w:t>
      </w:r>
      <w:proofErr w:type="spellEnd"/>
      <w:r>
        <w:t xml:space="preserve">, </w:t>
      </w:r>
      <w:proofErr w:type="spellStart"/>
      <w:r>
        <w:t>BAfD</w:t>
      </w:r>
      <w:proofErr w:type="spellEnd"/>
      <w:r>
        <w:t xml:space="preserve">, BERF y BID) </w:t>
      </w:r>
    </w:p>
    <w:p w:rsidR="002278BA" w:rsidRDefault="005C1FE9" w:rsidP="00FA686A">
      <w:pPr>
        <w:pStyle w:val="Prrafodelista"/>
        <w:numPr>
          <w:ilvl w:val="0"/>
          <w:numId w:val="2"/>
        </w:numPr>
      </w:pPr>
      <w:r>
        <w:t xml:space="preserve">CTF Fondo para una Tecnología Limpia (implementado a través del Banco Mundial, </w:t>
      </w:r>
    </w:p>
    <w:p w:rsidR="002278BA" w:rsidRPr="00814409" w:rsidRDefault="005C1FE9" w:rsidP="00FA686A">
      <w:pPr>
        <w:pStyle w:val="Prrafodelista"/>
        <w:numPr>
          <w:ilvl w:val="0"/>
          <w:numId w:val="2"/>
        </w:numPr>
        <w:rPr>
          <w:lang w:val="en-US"/>
        </w:rPr>
      </w:pPr>
      <w:proofErr w:type="spellStart"/>
      <w:r w:rsidRPr="00814409">
        <w:rPr>
          <w:lang w:val="en-US"/>
        </w:rPr>
        <w:t>BAsD</w:t>
      </w:r>
      <w:proofErr w:type="spellEnd"/>
      <w:r w:rsidRPr="00814409">
        <w:rPr>
          <w:lang w:val="en-US"/>
        </w:rPr>
        <w:t xml:space="preserve">, </w:t>
      </w:r>
      <w:proofErr w:type="spellStart"/>
      <w:r w:rsidRPr="00814409">
        <w:rPr>
          <w:lang w:val="en-US"/>
        </w:rPr>
        <w:t>BAfD</w:t>
      </w:r>
      <w:proofErr w:type="spellEnd"/>
      <w:r w:rsidRPr="00814409">
        <w:rPr>
          <w:lang w:val="en-US"/>
        </w:rPr>
        <w:t xml:space="preserve">, BERF y BID) </w:t>
      </w:r>
    </w:p>
    <w:p w:rsidR="002278BA" w:rsidRDefault="005C1FE9" w:rsidP="00FA686A">
      <w:pPr>
        <w:pStyle w:val="Prrafodelista"/>
        <w:numPr>
          <w:ilvl w:val="0"/>
          <w:numId w:val="2"/>
        </w:numPr>
      </w:pPr>
      <w:r>
        <w:t xml:space="preserve">FA Fondo para la Adaptación </w:t>
      </w:r>
    </w:p>
    <w:p w:rsidR="002278BA" w:rsidRDefault="005C1FE9" w:rsidP="00FA686A">
      <w:pPr>
        <w:pStyle w:val="Prrafodelista"/>
        <w:numPr>
          <w:ilvl w:val="0"/>
          <w:numId w:val="2"/>
        </w:numPr>
      </w:pPr>
      <w:r>
        <w:t xml:space="preserve">(el FMAM ejerce de secretaría y el Banco Mundial de administrador fiduciario) </w:t>
      </w:r>
    </w:p>
    <w:p w:rsidR="00FA686A" w:rsidRDefault="005C1FE9" w:rsidP="00FA686A">
      <w:pPr>
        <w:pStyle w:val="Prrafodelista"/>
        <w:numPr>
          <w:ilvl w:val="0"/>
          <w:numId w:val="2"/>
        </w:numPr>
      </w:pPr>
      <w:r>
        <w:t xml:space="preserve">FCPF Fondo para Reducir las Emisiones de Carbono mediante la Protección de los Bosques </w:t>
      </w:r>
    </w:p>
    <w:p w:rsidR="00FA686A" w:rsidRDefault="005C1FE9" w:rsidP="00FA686A">
      <w:pPr>
        <w:pStyle w:val="Prrafodelista"/>
        <w:numPr>
          <w:ilvl w:val="0"/>
          <w:numId w:val="2"/>
        </w:numPr>
      </w:pPr>
      <w:r>
        <w:t xml:space="preserve">FECC Fondo Especial para el Cambio Climático (en la sede del FMAM) </w:t>
      </w:r>
    </w:p>
    <w:p w:rsidR="00FA686A" w:rsidRDefault="005C1FE9" w:rsidP="00FA686A">
      <w:pPr>
        <w:pStyle w:val="Prrafodelista"/>
        <w:numPr>
          <w:ilvl w:val="0"/>
          <w:numId w:val="2"/>
        </w:numPr>
      </w:pPr>
      <w:r>
        <w:t xml:space="preserve">FFCC Fondo Forestal de la Cuenca del Congo (en la sede del </w:t>
      </w:r>
      <w:proofErr w:type="spellStart"/>
      <w:r>
        <w:t>BAfD</w:t>
      </w:r>
      <w:proofErr w:type="spellEnd"/>
      <w:r>
        <w:t xml:space="preserve">) </w:t>
      </w:r>
    </w:p>
    <w:p w:rsidR="00FA686A" w:rsidRDefault="005C1FE9" w:rsidP="00FA686A">
      <w:pPr>
        <w:pStyle w:val="Prrafodelista"/>
        <w:numPr>
          <w:ilvl w:val="0"/>
          <w:numId w:val="2"/>
        </w:numPr>
      </w:pPr>
      <w:r>
        <w:t xml:space="preserve">FIP Programa de Inversión Forestal (implementado a través del Banco Mundial, </w:t>
      </w:r>
      <w:proofErr w:type="spellStart"/>
      <w:r>
        <w:t>BAsD</w:t>
      </w:r>
      <w:proofErr w:type="spellEnd"/>
      <w:r>
        <w:t xml:space="preserve">, </w:t>
      </w:r>
      <w:proofErr w:type="spellStart"/>
      <w:r>
        <w:t>BAfD</w:t>
      </w:r>
      <w:proofErr w:type="spellEnd"/>
      <w:r>
        <w:t xml:space="preserve">, BERF y BID) </w:t>
      </w:r>
    </w:p>
    <w:p w:rsidR="00FA686A" w:rsidRDefault="005C1FE9" w:rsidP="00FA686A">
      <w:pPr>
        <w:pStyle w:val="Prrafodelista"/>
        <w:numPr>
          <w:ilvl w:val="0"/>
          <w:numId w:val="2"/>
        </w:numPr>
      </w:pPr>
      <w:r>
        <w:t xml:space="preserve">FMAM Fondo para el Medio Ambiente Mundial </w:t>
      </w:r>
    </w:p>
    <w:p w:rsidR="00FA686A" w:rsidRDefault="005C1FE9" w:rsidP="00FA686A">
      <w:pPr>
        <w:pStyle w:val="Prrafodelista"/>
        <w:numPr>
          <w:ilvl w:val="0"/>
          <w:numId w:val="2"/>
        </w:numPr>
      </w:pPr>
      <w:r>
        <w:t xml:space="preserve">FPMA Fondo para los Países Menos Adelantados (en la sede del FMAM) </w:t>
      </w:r>
    </w:p>
    <w:p w:rsidR="00FA686A" w:rsidRDefault="005C1FE9" w:rsidP="00FA686A">
      <w:pPr>
        <w:pStyle w:val="Prrafodelista"/>
        <w:numPr>
          <w:ilvl w:val="0"/>
          <w:numId w:val="2"/>
        </w:numPr>
      </w:pPr>
      <w:r>
        <w:t xml:space="preserve">FVC Fondo Verde para el Clima </w:t>
      </w:r>
    </w:p>
    <w:p w:rsidR="00FA686A" w:rsidRDefault="005C1FE9" w:rsidP="00FA686A">
      <w:pPr>
        <w:pStyle w:val="Prrafodelista"/>
        <w:numPr>
          <w:ilvl w:val="0"/>
          <w:numId w:val="2"/>
        </w:numPr>
      </w:pPr>
      <w:r>
        <w:t xml:space="preserve">GEEREF Fondo mundial para la eficiencia energética y las energías renovables (en la sede del BEI) IC Implementación Conjunta (implementado en el marco del Protocolo de </w:t>
      </w:r>
      <w:proofErr w:type="spellStart"/>
      <w:r>
        <w:t>Kyoto</w:t>
      </w:r>
      <w:proofErr w:type="spellEnd"/>
      <w:r>
        <w:t xml:space="preserve">) </w:t>
      </w:r>
    </w:p>
    <w:p w:rsidR="00FA686A" w:rsidRDefault="005C1FE9" w:rsidP="00FA686A">
      <w:pPr>
        <w:pStyle w:val="Prrafodelista"/>
        <w:numPr>
          <w:ilvl w:val="0"/>
          <w:numId w:val="2"/>
        </w:numPr>
      </w:pPr>
      <w:r>
        <w:lastRenderedPageBreak/>
        <w:t xml:space="preserve">MDL Mecanismo para el Desarrollo Limpio (implementado en el marco del Protocolo de </w:t>
      </w:r>
      <w:proofErr w:type="spellStart"/>
      <w:r>
        <w:t>Kyoto</w:t>
      </w:r>
      <w:proofErr w:type="spellEnd"/>
      <w:r>
        <w:t xml:space="preserve">) </w:t>
      </w:r>
    </w:p>
    <w:p w:rsidR="00FA686A" w:rsidRDefault="005C1FE9" w:rsidP="00FA686A">
      <w:pPr>
        <w:pStyle w:val="Prrafodelista"/>
        <w:numPr>
          <w:ilvl w:val="0"/>
          <w:numId w:val="2"/>
        </w:numPr>
      </w:pPr>
      <w:r>
        <w:t xml:space="preserve">PAPA Programa de Adaptación para Pequeños Agricultores </w:t>
      </w:r>
    </w:p>
    <w:p w:rsidR="00FA686A" w:rsidRDefault="005C1FE9" w:rsidP="00FA686A">
      <w:pPr>
        <w:pStyle w:val="Prrafodelista"/>
        <w:numPr>
          <w:ilvl w:val="0"/>
          <w:numId w:val="2"/>
        </w:numPr>
      </w:pPr>
      <w:r>
        <w:t xml:space="preserve">PPCR Programa Piloto sobre la Capacidad de Adaptación al Cambio Climático (implementado a través del Banco Mundial, </w:t>
      </w:r>
      <w:proofErr w:type="spellStart"/>
      <w:r>
        <w:t>BAsD</w:t>
      </w:r>
      <w:proofErr w:type="spellEnd"/>
      <w:r>
        <w:t xml:space="preserve">, </w:t>
      </w:r>
      <w:proofErr w:type="spellStart"/>
      <w:r>
        <w:t>BAfD</w:t>
      </w:r>
      <w:proofErr w:type="spellEnd"/>
      <w:r>
        <w:t xml:space="preserve">, BERF y BID) </w:t>
      </w:r>
    </w:p>
    <w:p w:rsidR="00FA686A" w:rsidRDefault="005C1FE9" w:rsidP="00FA686A">
      <w:pPr>
        <w:pStyle w:val="Prrafodelista"/>
        <w:numPr>
          <w:ilvl w:val="0"/>
          <w:numId w:val="2"/>
        </w:numPr>
      </w:pPr>
      <w:r>
        <w:t xml:space="preserve">SCF Fondo Estratégico sobre el Clima (implementado a través del Banco Mundial, </w:t>
      </w:r>
      <w:proofErr w:type="spellStart"/>
      <w:r>
        <w:t>BAsD</w:t>
      </w:r>
      <w:proofErr w:type="spellEnd"/>
      <w:r>
        <w:t xml:space="preserve">, </w:t>
      </w:r>
      <w:proofErr w:type="spellStart"/>
      <w:r>
        <w:t>BAfD</w:t>
      </w:r>
      <w:proofErr w:type="spellEnd"/>
      <w:r>
        <w:t xml:space="preserve">, BERF y BID) </w:t>
      </w:r>
    </w:p>
    <w:p w:rsidR="00FA686A" w:rsidRDefault="005C1FE9" w:rsidP="00FA686A">
      <w:pPr>
        <w:pStyle w:val="Prrafodelista"/>
        <w:numPr>
          <w:ilvl w:val="0"/>
          <w:numId w:val="2"/>
        </w:numPr>
      </w:pPr>
      <w:r>
        <w:t xml:space="preserve">SREP Programa para el Aumento del Aprovechamiento de Fuentes Renovables de Energía en los Países de Ingreso Bajo (implementado a través del Banco Mundial, </w:t>
      </w:r>
      <w:proofErr w:type="spellStart"/>
      <w:r>
        <w:t>BAsD</w:t>
      </w:r>
      <w:proofErr w:type="spellEnd"/>
      <w:r>
        <w:t xml:space="preserve">, </w:t>
      </w:r>
      <w:proofErr w:type="spellStart"/>
      <w:r>
        <w:t>BAfD</w:t>
      </w:r>
      <w:proofErr w:type="spellEnd"/>
      <w:r>
        <w:t xml:space="preserve">, BERF y BID) </w:t>
      </w:r>
    </w:p>
    <w:p w:rsidR="00FA686A" w:rsidRDefault="005C1FE9" w:rsidP="00FA686A">
      <w:pPr>
        <w:pStyle w:val="Prrafodelista"/>
        <w:numPr>
          <w:ilvl w:val="0"/>
          <w:numId w:val="2"/>
        </w:numPr>
      </w:pPr>
      <w:r>
        <w:t xml:space="preserve">UNREDD Deforestación y la Degradación de los Bosques Fondos e iniciativas bilaterales Fondo </w:t>
      </w:r>
    </w:p>
    <w:p w:rsidR="00FA686A" w:rsidRDefault="005C1FE9" w:rsidP="00FA686A">
      <w:pPr>
        <w:pStyle w:val="Prrafodelista"/>
        <w:numPr>
          <w:ilvl w:val="0"/>
          <w:numId w:val="2"/>
        </w:numPr>
      </w:pPr>
      <w:r>
        <w:t xml:space="preserve">NAMA Fondo para las medidas de mitigación apropiadas a cada país (Reino Unido y Alemania) </w:t>
      </w:r>
    </w:p>
    <w:p w:rsidR="00FA686A" w:rsidRDefault="005C1FE9" w:rsidP="00FA686A">
      <w:pPr>
        <w:pStyle w:val="Prrafodelista"/>
        <w:numPr>
          <w:ilvl w:val="0"/>
          <w:numId w:val="2"/>
        </w:numPr>
      </w:pPr>
      <w:r>
        <w:t xml:space="preserve">GCCI Iniciativa Global sobre el Cambio Climático (Estados Unidos) </w:t>
      </w:r>
    </w:p>
    <w:p w:rsidR="00FA686A" w:rsidRDefault="005C1FE9" w:rsidP="00FA686A">
      <w:pPr>
        <w:pStyle w:val="Prrafodelista"/>
        <w:numPr>
          <w:ilvl w:val="0"/>
          <w:numId w:val="2"/>
        </w:numPr>
      </w:pPr>
      <w:r>
        <w:t xml:space="preserve">ICF Fondo Internacional para el Clima (Reino Unido) </w:t>
      </w:r>
    </w:p>
    <w:p w:rsidR="00FA686A" w:rsidRDefault="005C1FE9" w:rsidP="00FA686A">
      <w:pPr>
        <w:pStyle w:val="Prrafodelista"/>
        <w:numPr>
          <w:ilvl w:val="0"/>
          <w:numId w:val="2"/>
        </w:numPr>
      </w:pPr>
      <w:r>
        <w:t xml:space="preserve">ICFI Iniciativa Internacional sobre Bosques y Clima (Noruega) </w:t>
      </w:r>
    </w:p>
    <w:p w:rsidR="005C1FE9" w:rsidRDefault="005C1FE9" w:rsidP="00FA686A">
      <w:pPr>
        <w:pStyle w:val="Prrafodelista"/>
        <w:numPr>
          <w:ilvl w:val="0"/>
          <w:numId w:val="2"/>
        </w:numPr>
      </w:pPr>
      <w:r>
        <w:t>ICI Iniciativa Internacional sobre el Clima (Alemania)</w:t>
      </w:r>
    </w:p>
    <w:p w:rsidR="00FA686A" w:rsidRDefault="00FA686A" w:rsidP="00FA686A"/>
    <w:sectPr w:rsidR="00FA6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D5C6C"/>
    <w:multiLevelType w:val="hybridMultilevel"/>
    <w:tmpl w:val="D1589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4E150A4"/>
    <w:multiLevelType w:val="hybridMultilevel"/>
    <w:tmpl w:val="F9B2A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0A"/>
    <w:rsid w:val="00205571"/>
    <w:rsid w:val="002278BA"/>
    <w:rsid w:val="004C6A0A"/>
    <w:rsid w:val="005C1FE9"/>
    <w:rsid w:val="006B64BB"/>
    <w:rsid w:val="00706CAD"/>
    <w:rsid w:val="00785B37"/>
    <w:rsid w:val="00814409"/>
    <w:rsid w:val="00992D72"/>
    <w:rsid w:val="009D43B7"/>
    <w:rsid w:val="00FA6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E977"/>
  <w15:docId w15:val="{28F132E1-CB2D-4816-A54C-8C2462D6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78BA"/>
    <w:pPr>
      <w:ind w:left="720"/>
      <w:contextualSpacing/>
    </w:pPr>
  </w:style>
  <w:style w:type="paragraph" w:styleId="Textodeglobo">
    <w:name w:val="Balloon Text"/>
    <w:basedOn w:val="Normal"/>
    <w:link w:val="TextodegloboCar"/>
    <w:uiPriority w:val="99"/>
    <w:semiHidden/>
    <w:unhideWhenUsed/>
    <w:rsid w:val="00FA68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8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73293">
      <w:bodyDiv w:val="1"/>
      <w:marLeft w:val="0"/>
      <w:marRight w:val="0"/>
      <w:marTop w:val="0"/>
      <w:marBottom w:val="0"/>
      <w:divBdr>
        <w:top w:val="none" w:sz="0" w:space="0" w:color="auto"/>
        <w:left w:val="none" w:sz="0" w:space="0" w:color="auto"/>
        <w:bottom w:val="none" w:sz="0" w:space="0" w:color="auto"/>
        <w:right w:val="none" w:sz="0" w:space="0" w:color="auto"/>
      </w:divBdr>
    </w:div>
    <w:div w:id="100690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1358</Words>
  <Characters>7472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ARLARIN</dc:creator>
  <cp:lastModifiedBy>Eustorgio Rodado</cp:lastModifiedBy>
  <cp:revision>2</cp:revision>
  <dcterms:created xsi:type="dcterms:W3CDTF">2016-12-26T13:49:00Z</dcterms:created>
  <dcterms:modified xsi:type="dcterms:W3CDTF">2016-12-26T13:49:00Z</dcterms:modified>
</cp:coreProperties>
</file>