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B73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Ind w:w="26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445E9D">
        <w:tc>
          <w:tcPr>
            <w:tcW w:w="1701" w:type="dxa"/>
          </w:tcPr>
          <w:p w:rsidR="00445E9D" w:rsidRPr="000326B8" w:rsidRDefault="00445E9D" w:rsidP="00B128C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0</w:t>
            </w:r>
            <w:r w:rsidR="0086716C">
              <w:rPr>
                <w:rFonts w:ascii="Arial" w:hAnsi="Arial" w:cs="Arial"/>
                <w:sz w:val="22"/>
                <w:szCs w:val="22"/>
              </w:rPr>
              <w:t>09</w:t>
            </w:r>
          </w:p>
        </w:tc>
        <w:tc>
          <w:tcPr>
            <w:tcW w:w="2693" w:type="dxa"/>
          </w:tcPr>
          <w:p w:rsidR="00445E9D" w:rsidRPr="000326B8" w:rsidRDefault="00445E9D" w:rsidP="00C91764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6716C">
              <w:rPr>
                <w:rFonts w:ascii="Arial" w:hAnsi="Arial" w:cs="Arial"/>
                <w:sz w:val="22"/>
                <w:szCs w:val="22"/>
              </w:rPr>
              <w:t>27</w:t>
            </w:r>
            <w:r w:rsidR="00B128CD">
              <w:rPr>
                <w:rFonts w:ascii="Arial" w:hAnsi="Arial" w:cs="Arial"/>
                <w:sz w:val="22"/>
                <w:szCs w:val="22"/>
              </w:rPr>
              <w:t>-01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>-201</w:t>
            </w:r>
            <w:r w:rsidR="00B128CD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:rsidR="00445E9D" w:rsidRPr="000326B8" w:rsidRDefault="00445E9D" w:rsidP="000F1F7E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80521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0F1F7E" w:rsidRPr="000F1F7E">
              <w:rPr>
                <w:rFonts w:ascii="Arial" w:hAnsi="Arial" w:cs="Arial"/>
                <w:sz w:val="22"/>
                <w:szCs w:val="22"/>
              </w:rPr>
              <w:t>9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805212" w:rsidRPr="00805212">
              <w:rPr>
                <w:rFonts w:ascii="Arial" w:hAnsi="Arial" w:cs="Arial"/>
                <w:sz w:val="22"/>
                <w:szCs w:val="22"/>
              </w:rPr>
              <w:t xml:space="preserve"> OyG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 Persépolis</w:t>
            </w:r>
          </w:p>
        </w:tc>
      </w:tr>
      <w:tr w:rsidR="00805212" w:rsidRPr="000326B8" w:rsidTr="00837C7A">
        <w:tc>
          <w:tcPr>
            <w:tcW w:w="4361" w:type="dxa"/>
          </w:tcPr>
          <w:p w:rsidR="00805212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Alexander Corredor</w:t>
            </w:r>
          </w:p>
        </w:tc>
        <w:tc>
          <w:tcPr>
            <w:tcW w:w="5103" w:type="dxa"/>
          </w:tcPr>
          <w:p w:rsidR="00805212" w:rsidRDefault="00805212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Gerente de Proyectos</w:t>
            </w:r>
          </w:p>
        </w:tc>
      </w:tr>
      <w:tr w:rsidR="0086716C" w:rsidRPr="000326B8" w:rsidTr="00837C7A">
        <w:tc>
          <w:tcPr>
            <w:tcW w:w="4361" w:type="dxa"/>
          </w:tcPr>
          <w:p w:rsidR="0086716C" w:rsidRDefault="0086716C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Luis Parodi</w:t>
            </w:r>
          </w:p>
        </w:tc>
        <w:tc>
          <w:tcPr>
            <w:tcW w:w="5103" w:type="dxa"/>
          </w:tcPr>
          <w:p w:rsidR="0086716C" w:rsidRDefault="0086716C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Parodi Solutions</w:t>
            </w:r>
          </w:p>
        </w:tc>
      </w:tr>
      <w:tr w:rsidR="0086716C" w:rsidRPr="000326B8" w:rsidTr="00837C7A">
        <w:tc>
          <w:tcPr>
            <w:tcW w:w="4361" w:type="dxa"/>
          </w:tcPr>
          <w:p w:rsidR="0086716C" w:rsidRDefault="0086716C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Uzkategui</w:t>
            </w:r>
            <w:proofErr w:type="spellEnd"/>
          </w:p>
        </w:tc>
        <w:tc>
          <w:tcPr>
            <w:tcW w:w="5103" w:type="dxa"/>
          </w:tcPr>
          <w:p w:rsidR="0086716C" w:rsidRDefault="0086716C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 Persépolis</w:t>
            </w:r>
          </w:p>
        </w:tc>
      </w:tr>
      <w:tr w:rsidR="0086716C" w:rsidRPr="000326B8" w:rsidTr="00837C7A">
        <w:tc>
          <w:tcPr>
            <w:tcW w:w="4361" w:type="dxa"/>
          </w:tcPr>
          <w:p w:rsidR="0086716C" w:rsidRDefault="0086716C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86716C" w:rsidRDefault="0086716C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805212" w:rsidRDefault="009575D6" w:rsidP="0080521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Hacer </w:t>
            </w:r>
            <w:r w:rsidR="0086716C">
              <w:rPr>
                <w:rFonts w:ascii="Arial" w:hAnsi="Arial" w:cs="Arial"/>
                <w:sz w:val="22"/>
                <w:szCs w:val="22"/>
              </w:rPr>
              <w:t>acuerdos y definiciones para avance del Demo</w:t>
            </w: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9575D6">
        <w:trPr>
          <w:trHeight w:val="411"/>
        </w:trPr>
        <w:tc>
          <w:tcPr>
            <w:tcW w:w="9464" w:type="dxa"/>
          </w:tcPr>
          <w:p w:rsidR="004F0B65" w:rsidRDefault="004F0B65" w:rsidP="004F0B65">
            <w:pPr>
              <w:pStyle w:val="Prrafodelista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F0B65" w:rsidRPr="004F0B65" w:rsidRDefault="003015FB" w:rsidP="004F0B6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Consideraciones 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>importante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>gilidad</w:t>
            </w:r>
          </w:p>
          <w:p w:rsidR="004F0B65" w:rsidRPr="004F0B65" w:rsidRDefault="003015FB" w:rsidP="004F0B6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Novedades en el 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 xml:space="preserve">Alcance: </w:t>
            </w:r>
            <w:r>
              <w:rPr>
                <w:rFonts w:ascii="Arial" w:hAnsi="Arial" w:cs="Arial"/>
                <w:sz w:val="22"/>
                <w:szCs w:val="22"/>
              </w:rPr>
              <w:t>G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>estión pública (</w:t>
            </w:r>
            <w:r>
              <w:rPr>
                <w:rFonts w:ascii="Arial" w:hAnsi="Arial" w:cs="Arial"/>
                <w:sz w:val="22"/>
                <w:szCs w:val="22"/>
              </w:rPr>
              <w:t xml:space="preserve">con 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>verticales</w:t>
            </w:r>
            <w:r>
              <w:rPr>
                <w:rFonts w:ascii="Arial" w:hAnsi="Arial" w:cs="Arial"/>
                <w:sz w:val="22"/>
                <w:szCs w:val="22"/>
              </w:rPr>
              <w:t xml:space="preserve"> salud y seguridad</w:t>
            </w:r>
            <w:r w:rsidR="004F0B65" w:rsidRPr="004F0B6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4F0B65" w:rsidRPr="004F0B65" w:rsidRDefault="003015FB" w:rsidP="004F0B6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Novedades en las actividades: No reunión con especialistas</w:t>
            </w:r>
          </w:p>
          <w:p w:rsidR="004F0B65" w:rsidRPr="004F0B65" w:rsidRDefault="004F0B65" w:rsidP="004F0B6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0B65">
              <w:rPr>
                <w:rFonts w:ascii="Arial" w:hAnsi="Arial" w:cs="Arial"/>
                <w:sz w:val="22"/>
                <w:szCs w:val="22"/>
              </w:rPr>
              <w:t>Repartición de las definiciones</w:t>
            </w:r>
            <w:r w:rsidR="003015FB">
              <w:rPr>
                <w:rFonts w:ascii="Arial" w:hAnsi="Arial" w:cs="Arial"/>
                <w:sz w:val="22"/>
                <w:szCs w:val="22"/>
              </w:rPr>
              <w:t>/responsabilidades: Proveedor y Equipo Base</w:t>
            </w:r>
          </w:p>
          <w:p w:rsidR="004F0B65" w:rsidRPr="004F0B65" w:rsidRDefault="004F0B65" w:rsidP="004F0B6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F0B65">
              <w:rPr>
                <w:rFonts w:ascii="Arial" w:hAnsi="Arial" w:cs="Arial"/>
                <w:sz w:val="22"/>
                <w:szCs w:val="22"/>
              </w:rPr>
              <w:t>Presupuesto</w:t>
            </w:r>
          </w:p>
          <w:p w:rsidR="004F0B65" w:rsidRDefault="003015FB" w:rsidP="004F0B65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Entregas</w:t>
            </w:r>
          </w:p>
          <w:p w:rsidR="004F0B65" w:rsidRPr="004F0B65" w:rsidRDefault="004F0B65" w:rsidP="004F0B65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4B316C" w:rsidRPr="00543370" w:rsidRDefault="004B316C" w:rsidP="00543370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385FD8" w:rsidRPr="000326B8" w:rsidTr="00837C7A">
        <w:trPr>
          <w:trHeight w:val="260"/>
        </w:trPr>
        <w:tc>
          <w:tcPr>
            <w:tcW w:w="9464" w:type="dxa"/>
          </w:tcPr>
          <w:p w:rsidR="00385FD8" w:rsidRPr="000326B8" w:rsidRDefault="00385FD8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lastRenderedPageBreak/>
              <w:t>Desarrollo de la reunión</w:t>
            </w:r>
          </w:p>
        </w:tc>
      </w:tr>
      <w:tr w:rsidR="00385FD8" w:rsidRPr="000326B8" w:rsidTr="00837C7A">
        <w:trPr>
          <w:trHeight w:val="1212"/>
        </w:trPr>
        <w:tc>
          <w:tcPr>
            <w:tcW w:w="9464" w:type="dxa"/>
          </w:tcPr>
          <w:p w:rsidR="003E3FFC" w:rsidRDefault="003E3FFC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A253FE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DA7F0A">
              <w:rPr>
                <w:rFonts w:ascii="Arial" w:hAnsi="Arial" w:cs="Arial"/>
                <w:sz w:val="22"/>
                <w:szCs w:val="22"/>
              </w:rPr>
              <w:t>. C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onsideraciones 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 xml:space="preserve">importante: </w:t>
            </w:r>
            <w:r w:rsidR="003015FB">
              <w:rPr>
                <w:rFonts w:ascii="Arial" w:hAnsi="Arial" w:cs="Arial"/>
                <w:sz w:val="22"/>
                <w:szCs w:val="22"/>
              </w:rPr>
              <w:t>A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>gilidad</w:t>
            </w:r>
          </w:p>
          <w:p w:rsidR="00DA7F0A" w:rsidRDefault="00A253FE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Para 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materializar </w:t>
            </w:r>
            <w:r>
              <w:rPr>
                <w:rFonts w:ascii="Arial" w:hAnsi="Arial" w:cs="Arial"/>
                <w:sz w:val="22"/>
                <w:szCs w:val="22"/>
              </w:rPr>
              <w:t xml:space="preserve">el Demo se opta por 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aplicar </w:t>
            </w:r>
            <w:r>
              <w:rPr>
                <w:rFonts w:ascii="Arial" w:hAnsi="Arial" w:cs="Arial"/>
                <w:sz w:val="22"/>
                <w:szCs w:val="22"/>
              </w:rPr>
              <w:t xml:space="preserve">agilidad </w:t>
            </w:r>
            <w:r w:rsidR="00DA7F0A">
              <w:rPr>
                <w:rFonts w:ascii="Arial" w:hAnsi="Arial" w:cs="Arial"/>
                <w:sz w:val="22"/>
                <w:szCs w:val="22"/>
              </w:rPr>
              <w:t xml:space="preserve">sobre </w:t>
            </w:r>
            <w:r>
              <w:rPr>
                <w:rFonts w:ascii="Arial" w:hAnsi="Arial" w:cs="Arial"/>
                <w:sz w:val="22"/>
                <w:szCs w:val="22"/>
              </w:rPr>
              <w:t>todas las decisiones que están por tomarse. Por ejemp</w:t>
            </w:r>
            <w:r w:rsidR="00DA7F0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DA7F0A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definición del </w:t>
            </w:r>
            <w:r w:rsidR="00DA7F0A">
              <w:rPr>
                <w:rFonts w:ascii="Arial" w:hAnsi="Arial" w:cs="Arial"/>
                <w:sz w:val="22"/>
                <w:szCs w:val="22"/>
              </w:rPr>
              <w:t xml:space="preserve">alcance, historias, visualización, etc.. Todas estas decisiones se concretan en los </w:t>
            </w:r>
            <w:r w:rsidR="003015FB">
              <w:rPr>
                <w:rFonts w:ascii="Arial" w:hAnsi="Arial" w:cs="Arial"/>
                <w:sz w:val="22"/>
                <w:szCs w:val="22"/>
              </w:rPr>
              <w:t>siguientes puntos de la reunión acogiéndose al principio de avanzar a la brevedad posible.</w:t>
            </w:r>
          </w:p>
          <w:p w:rsidR="003015FB" w:rsidRDefault="003015FB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253FE" w:rsidRPr="005D0F9D" w:rsidRDefault="00A253FE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DA7F0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Novedades en el </w:t>
            </w:r>
            <w:r w:rsidR="003015FB" w:rsidRPr="004F0B65">
              <w:rPr>
                <w:rFonts w:ascii="Arial" w:hAnsi="Arial" w:cs="Arial"/>
                <w:sz w:val="22"/>
                <w:szCs w:val="22"/>
              </w:rPr>
              <w:t xml:space="preserve">Alcance: </w:t>
            </w:r>
            <w:r w:rsidR="003015FB">
              <w:rPr>
                <w:rFonts w:ascii="Arial" w:hAnsi="Arial" w:cs="Arial"/>
                <w:sz w:val="22"/>
                <w:szCs w:val="22"/>
              </w:rPr>
              <w:t>G</w:t>
            </w:r>
            <w:r w:rsidR="003015FB" w:rsidRPr="004F0B65">
              <w:rPr>
                <w:rFonts w:ascii="Arial" w:hAnsi="Arial" w:cs="Arial"/>
                <w:sz w:val="22"/>
                <w:szCs w:val="22"/>
              </w:rPr>
              <w:t>estión pública (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con </w:t>
            </w:r>
            <w:r w:rsidR="003015FB" w:rsidRPr="004F0B65">
              <w:rPr>
                <w:rFonts w:ascii="Arial" w:hAnsi="Arial" w:cs="Arial"/>
                <w:sz w:val="22"/>
                <w:szCs w:val="22"/>
              </w:rPr>
              <w:t>verticales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 salud y seguridad</w:t>
            </w:r>
            <w:r w:rsidR="003015FB" w:rsidRPr="004F0B65">
              <w:rPr>
                <w:rFonts w:ascii="Arial" w:hAnsi="Arial" w:cs="Arial"/>
                <w:sz w:val="22"/>
                <w:szCs w:val="22"/>
              </w:rPr>
              <w:t>)</w:t>
            </w:r>
          </w:p>
          <w:p w:rsidR="00DA7F0A" w:rsidRDefault="00DA7F0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definió que el alcance para esta primera parte del Demo </w:t>
            </w:r>
            <w:r w:rsidR="003015FB">
              <w:rPr>
                <w:rFonts w:ascii="Arial" w:hAnsi="Arial" w:cs="Arial"/>
                <w:sz w:val="22"/>
                <w:szCs w:val="22"/>
              </w:rPr>
              <w:t>llega hasta el primero de los grupos funcionales antes definidos (ver el Documento de Trabajo del Demo): M</w:t>
            </w:r>
            <w:r>
              <w:rPr>
                <w:rFonts w:ascii="Arial" w:hAnsi="Arial" w:cs="Arial"/>
                <w:sz w:val="22"/>
                <w:szCs w:val="22"/>
              </w:rPr>
              <w:t xml:space="preserve">edición de Gestión </w:t>
            </w:r>
            <w:r w:rsidR="00B11D56">
              <w:rPr>
                <w:rFonts w:ascii="Arial" w:hAnsi="Arial" w:cs="Arial"/>
                <w:sz w:val="22"/>
                <w:szCs w:val="22"/>
              </w:rPr>
              <w:t>Pública</w:t>
            </w:r>
            <w:r w:rsidR="003015FB">
              <w:rPr>
                <w:rFonts w:ascii="Arial" w:hAnsi="Arial" w:cs="Arial"/>
                <w:sz w:val="22"/>
                <w:szCs w:val="22"/>
              </w:rPr>
              <w:t>. Este grupo de informaci</w:t>
            </w:r>
            <w:r w:rsidR="003A1B8F">
              <w:rPr>
                <w:rFonts w:ascii="Arial" w:hAnsi="Arial" w:cs="Arial"/>
                <w:sz w:val="22"/>
                <w:szCs w:val="22"/>
              </w:rPr>
              <w:t>ón se compone</w:t>
            </w:r>
            <w:r w:rsidR="003015FB">
              <w:rPr>
                <w:rFonts w:ascii="Arial" w:hAnsi="Arial" w:cs="Arial"/>
                <w:sz w:val="22"/>
                <w:szCs w:val="22"/>
              </w:rPr>
              <w:t xml:space="preserve"> de las verticales de Persépolis. Su estructura de información y las historias que presentará las define el proveedor como se acuerda más adelante.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DA7F0A" w:rsidRDefault="00DA7F0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A7F0A" w:rsidRPr="005D0F9D" w:rsidRDefault="00DA7F0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DA7F0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>.</w:t>
            </w:r>
            <w:r w:rsidR="00B45CD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45CDA">
              <w:rPr>
                <w:rFonts w:ascii="Arial" w:hAnsi="Arial" w:cs="Arial"/>
                <w:sz w:val="22"/>
                <w:szCs w:val="22"/>
              </w:rPr>
              <w:t>Novedades en las actividades</w:t>
            </w:r>
            <w:r w:rsidR="00B45CDA">
              <w:rPr>
                <w:rFonts w:ascii="Arial" w:hAnsi="Arial" w:cs="Arial"/>
                <w:sz w:val="22"/>
                <w:szCs w:val="22"/>
              </w:rPr>
              <w:t xml:space="preserve"> del plan</w:t>
            </w:r>
            <w:r w:rsidR="00B45CDA">
              <w:rPr>
                <w:rFonts w:ascii="Arial" w:hAnsi="Arial" w:cs="Arial"/>
                <w:sz w:val="22"/>
                <w:szCs w:val="22"/>
              </w:rPr>
              <w:t>: No reunión con especialistas</w:t>
            </w:r>
          </w:p>
          <w:p w:rsidR="005D0F9D" w:rsidRDefault="00B74E55" w:rsidP="00B45CD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Dado que las decisiones de definición funcional y de contenido (historias) se están tomando por los involucrados directos del Demo</w:t>
            </w:r>
            <w:r w:rsidR="00B45CDA">
              <w:rPr>
                <w:rFonts w:ascii="Arial" w:hAnsi="Arial" w:cs="Arial"/>
                <w:sz w:val="22"/>
                <w:szCs w:val="22"/>
              </w:rPr>
              <w:t xml:space="preserve">, y acogiendo la iniciativa del proveedor y su comprensión del </w:t>
            </w:r>
            <w:r w:rsidR="00B45CDA">
              <w:rPr>
                <w:rFonts w:ascii="Arial" w:hAnsi="Arial" w:cs="Arial"/>
                <w:sz w:val="22"/>
                <w:szCs w:val="22"/>
              </w:rPr>
              <w:t>sector Salud</w:t>
            </w:r>
            <w:r w:rsidR="00B45CDA">
              <w:rPr>
                <w:rFonts w:ascii="Arial" w:hAnsi="Arial" w:cs="Arial"/>
                <w:sz w:val="22"/>
                <w:szCs w:val="22"/>
              </w:rPr>
              <w:t xml:space="preserve">, se determina que 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 xml:space="preserve">no </w:t>
            </w:r>
            <w:r w:rsidR="00B45CDA">
              <w:rPr>
                <w:rFonts w:ascii="Arial" w:hAnsi="Arial" w:cs="Arial"/>
                <w:sz w:val="22"/>
                <w:szCs w:val="22"/>
              </w:rPr>
              <w:t xml:space="preserve">es necesaria la reunión con 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>los especialistas para la</w:t>
            </w:r>
            <w:r w:rsidR="00987A5A">
              <w:rPr>
                <w:rFonts w:ascii="Arial" w:hAnsi="Arial" w:cs="Arial"/>
                <w:sz w:val="22"/>
                <w:szCs w:val="22"/>
              </w:rPr>
              <w:t xml:space="preserve"> selección de historias del grupo de información Gestión Pública requerido por el alcance del Demo.</w:t>
            </w:r>
          </w:p>
          <w:p w:rsidR="00B74E55" w:rsidRDefault="00B74E55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74E55" w:rsidRPr="005D0F9D" w:rsidRDefault="00B74E55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B74E55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 xml:space="preserve">. </w:t>
            </w:r>
            <w:r w:rsidR="00131F40" w:rsidRPr="004F0B65">
              <w:rPr>
                <w:rFonts w:ascii="Arial" w:hAnsi="Arial" w:cs="Arial"/>
                <w:sz w:val="22"/>
                <w:szCs w:val="22"/>
              </w:rPr>
              <w:t>Repartición de las definiciones</w:t>
            </w:r>
            <w:r w:rsidR="00131F40">
              <w:rPr>
                <w:rFonts w:ascii="Arial" w:hAnsi="Arial" w:cs="Arial"/>
                <w:sz w:val="22"/>
                <w:szCs w:val="22"/>
              </w:rPr>
              <w:t>/responsabilidades: Proveedor y Equipo Base</w:t>
            </w:r>
          </w:p>
          <w:p w:rsidR="00393C4A" w:rsidRDefault="00393C4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Para agilizar la construcción del Demo quedan </w:t>
            </w:r>
            <w:r w:rsidR="007F4B93">
              <w:rPr>
                <w:rFonts w:ascii="Arial" w:hAnsi="Arial" w:cs="Arial"/>
                <w:sz w:val="22"/>
                <w:szCs w:val="22"/>
              </w:rPr>
              <w:t>distribuidas</w:t>
            </w:r>
            <w:r>
              <w:rPr>
                <w:rFonts w:ascii="Arial" w:hAnsi="Arial" w:cs="Arial"/>
                <w:sz w:val="22"/>
                <w:szCs w:val="22"/>
              </w:rPr>
              <w:t xml:space="preserve"> l</w:t>
            </w:r>
            <w:r w:rsidR="00131F40">
              <w:rPr>
                <w:rFonts w:ascii="Arial" w:hAnsi="Arial" w:cs="Arial"/>
                <w:sz w:val="22"/>
                <w:szCs w:val="22"/>
              </w:rPr>
              <w:t>as responsabilidades entre el Proveedor Parodi Solutions y el equipo de trabajo del Demo de Persépolis como sigue:</w:t>
            </w:r>
          </w:p>
          <w:p w:rsidR="00131F40" w:rsidRPr="005D0F9D" w:rsidRDefault="00131F40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5A24" w:rsidRDefault="00393C4A" w:rsidP="00393C4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</w:t>
            </w:r>
            <w:r w:rsidRPr="00393C4A">
              <w:rPr>
                <w:rFonts w:ascii="Arial" w:hAnsi="Arial" w:cs="Arial"/>
                <w:sz w:val="22"/>
                <w:szCs w:val="22"/>
              </w:rPr>
              <w:t xml:space="preserve">as decisiones del </w:t>
            </w:r>
            <w:r w:rsidR="005D0F9D" w:rsidRPr="00393C4A">
              <w:rPr>
                <w:rFonts w:ascii="Arial" w:hAnsi="Arial" w:cs="Arial"/>
                <w:sz w:val="22"/>
                <w:szCs w:val="22"/>
              </w:rPr>
              <w:t>producto</w:t>
            </w:r>
            <w:r w:rsidRPr="00393C4A">
              <w:rPr>
                <w:rFonts w:ascii="Arial" w:hAnsi="Arial" w:cs="Arial"/>
                <w:sz w:val="22"/>
                <w:szCs w:val="22"/>
              </w:rPr>
              <w:t xml:space="preserve">, esto es, </w:t>
            </w:r>
            <w:r w:rsidR="00FA5A24">
              <w:rPr>
                <w:rFonts w:ascii="Arial" w:hAnsi="Arial" w:cs="Arial"/>
                <w:sz w:val="22"/>
                <w:szCs w:val="22"/>
              </w:rPr>
              <w:t xml:space="preserve">las </w:t>
            </w:r>
            <w:r w:rsidR="00046F28">
              <w:rPr>
                <w:rFonts w:ascii="Arial" w:hAnsi="Arial" w:cs="Arial"/>
                <w:sz w:val="22"/>
                <w:szCs w:val="22"/>
              </w:rPr>
              <w:t>definiciones</w:t>
            </w:r>
            <w:r w:rsidR="00FA5A24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5D0F9D" w:rsidRPr="00393C4A">
              <w:rPr>
                <w:rFonts w:ascii="Arial" w:hAnsi="Arial" w:cs="Arial"/>
                <w:sz w:val="22"/>
                <w:szCs w:val="22"/>
              </w:rPr>
              <w:t xml:space="preserve">tecnología y funcionalidad </w:t>
            </w:r>
            <w:r w:rsidR="00EA7242">
              <w:rPr>
                <w:rFonts w:ascii="Arial" w:hAnsi="Arial" w:cs="Arial"/>
                <w:sz w:val="22"/>
                <w:szCs w:val="22"/>
              </w:rPr>
              <w:t>del Demo Persépolis</w:t>
            </w:r>
            <w:r w:rsidR="00FA5A24">
              <w:rPr>
                <w:rFonts w:ascii="Arial" w:hAnsi="Arial" w:cs="Arial"/>
                <w:sz w:val="22"/>
                <w:szCs w:val="22"/>
              </w:rPr>
              <w:t>,</w:t>
            </w:r>
            <w:r w:rsidR="00EA724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93C4A">
              <w:rPr>
                <w:rFonts w:ascii="Arial" w:hAnsi="Arial" w:cs="Arial"/>
                <w:sz w:val="22"/>
                <w:szCs w:val="22"/>
              </w:rPr>
              <w:t>quedan del lado del prov</w:t>
            </w:r>
            <w:r w:rsidR="00EA7242">
              <w:rPr>
                <w:rFonts w:ascii="Arial" w:hAnsi="Arial" w:cs="Arial"/>
                <w:sz w:val="22"/>
                <w:szCs w:val="22"/>
              </w:rPr>
              <w:t>eedor Parodi Solutions</w:t>
            </w:r>
            <w:r w:rsidRPr="00393C4A">
              <w:rPr>
                <w:rFonts w:ascii="Arial" w:hAnsi="Arial" w:cs="Arial"/>
                <w:sz w:val="22"/>
                <w:szCs w:val="22"/>
              </w:rPr>
              <w:t>.</w:t>
            </w:r>
            <w:r w:rsidR="00FA5A2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FA5A24" w:rsidRDefault="00FA5A24" w:rsidP="00FA5A24">
            <w:pPr>
              <w:ind w:left="70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FA5A24" w:rsidP="00FA5A24">
            <w:pPr>
              <w:ind w:left="705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A5A24">
              <w:rPr>
                <w:rFonts w:ascii="Arial" w:hAnsi="Arial" w:cs="Arial"/>
                <w:sz w:val="22"/>
                <w:szCs w:val="22"/>
              </w:rPr>
              <w:t xml:space="preserve">Las </w:t>
            </w:r>
            <w:r w:rsidR="00046F28">
              <w:rPr>
                <w:rFonts w:ascii="Arial" w:hAnsi="Arial" w:cs="Arial"/>
                <w:sz w:val="22"/>
                <w:szCs w:val="22"/>
              </w:rPr>
              <w:t xml:space="preserve">definiciones </w:t>
            </w:r>
            <w:r w:rsidRPr="00FA5A24">
              <w:rPr>
                <w:rFonts w:ascii="Arial" w:hAnsi="Arial" w:cs="Arial"/>
                <w:sz w:val="22"/>
                <w:szCs w:val="22"/>
              </w:rPr>
              <w:t>de tecnología incluyen definiciones del tipo herramientas de software, pre-requisitos de instalación, librerías de terceros, conexión de red, repositorio de datos, y demás ítems de configuración necesarias para la ejecución del Demo.</w:t>
            </w:r>
          </w:p>
          <w:p w:rsidR="00FA5A24" w:rsidRDefault="00FA5A24" w:rsidP="00FA5A24">
            <w:pPr>
              <w:ind w:left="70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FA5A24" w:rsidRPr="00FA5A24" w:rsidRDefault="00FA5A24" w:rsidP="00FA5A24">
            <w:pPr>
              <w:ind w:left="70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Las </w:t>
            </w:r>
            <w:r w:rsidR="00046F28">
              <w:rPr>
                <w:rFonts w:ascii="Arial" w:hAnsi="Arial" w:cs="Arial"/>
                <w:sz w:val="22"/>
                <w:szCs w:val="22"/>
              </w:rPr>
              <w:t xml:space="preserve">definiciones </w:t>
            </w:r>
            <w:r>
              <w:rPr>
                <w:rFonts w:ascii="Arial" w:hAnsi="Arial" w:cs="Arial"/>
                <w:sz w:val="22"/>
                <w:szCs w:val="22"/>
              </w:rPr>
              <w:t xml:space="preserve">de funcionalidad incluyen definiciones del tipo navegación entre pantallas, el contenido y disposición de los elementos en </w:t>
            </w:r>
            <w:r w:rsidR="00046F28">
              <w:rPr>
                <w:rFonts w:ascii="Arial" w:hAnsi="Arial" w:cs="Arial"/>
                <w:sz w:val="22"/>
                <w:szCs w:val="22"/>
              </w:rPr>
              <w:t>cada</w:t>
            </w:r>
            <w:r>
              <w:rPr>
                <w:rFonts w:ascii="Arial" w:hAnsi="Arial" w:cs="Arial"/>
                <w:sz w:val="22"/>
                <w:szCs w:val="22"/>
              </w:rPr>
              <w:t xml:space="preserve"> pantalla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, y los resultados que cada </w:t>
            </w:r>
            <w:r w:rsidR="00046F28">
              <w:rPr>
                <w:rFonts w:ascii="Arial" w:hAnsi="Arial" w:cs="Arial"/>
                <w:sz w:val="22"/>
                <w:szCs w:val="22"/>
              </w:rPr>
              <w:t xml:space="preserve">pantalla </w:t>
            </w:r>
            <w:r>
              <w:rPr>
                <w:rFonts w:ascii="Arial" w:hAnsi="Arial" w:cs="Arial"/>
                <w:sz w:val="22"/>
                <w:szCs w:val="22"/>
              </w:rPr>
              <w:t>entrega al usuario.</w:t>
            </w:r>
          </w:p>
          <w:p w:rsidR="00FA5A24" w:rsidRPr="00FA5A24" w:rsidRDefault="00FA5A24" w:rsidP="00FA5A24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F53F28" w:rsidP="00393C4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Las decisiones del contenido del Demo, es decir, las </w:t>
            </w:r>
            <w:r w:rsidR="005D0F9D" w:rsidRPr="00393C4A">
              <w:rPr>
                <w:rFonts w:ascii="Arial" w:hAnsi="Arial" w:cs="Arial"/>
                <w:sz w:val="22"/>
                <w:szCs w:val="22"/>
              </w:rPr>
              <w:t>estructura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5D0F9D" w:rsidRPr="00393C4A">
              <w:rPr>
                <w:rFonts w:ascii="Arial" w:hAnsi="Arial" w:cs="Arial"/>
                <w:sz w:val="22"/>
                <w:szCs w:val="22"/>
              </w:rPr>
              <w:t xml:space="preserve"> de información </w:t>
            </w:r>
            <w:r w:rsidR="00EA7242">
              <w:rPr>
                <w:rFonts w:ascii="Arial" w:hAnsi="Arial" w:cs="Arial"/>
                <w:sz w:val="22"/>
                <w:szCs w:val="22"/>
              </w:rPr>
              <w:t>sobre las que se calculan los resultados del cuadro de mando del Demo Pers</w:t>
            </w:r>
            <w:r w:rsidR="007F4B93">
              <w:rPr>
                <w:rFonts w:ascii="Arial" w:hAnsi="Arial" w:cs="Arial"/>
                <w:sz w:val="22"/>
                <w:szCs w:val="22"/>
              </w:rPr>
              <w:t xml:space="preserve">épolis. </w:t>
            </w:r>
            <w:r w:rsidR="00EA7242" w:rsidRPr="00393C4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A7242">
              <w:rPr>
                <w:rFonts w:ascii="Arial" w:hAnsi="Arial" w:cs="Arial"/>
                <w:sz w:val="22"/>
                <w:szCs w:val="22"/>
              </w:rPr>
              <w:t xml:space="preserve">quedan del lado del </w:t>
            </w:r>
            <w:r w:rsidR="00EA7242" w:rsidRPr="00393C4A">
              <w:rPr>
                <w:rFonts w:ascii="Arial" w:hAnsi="Arial" w:cs="Arial"/>
                <w:sz w:val="22"/>
                <w:szCs w:val="22"/>
              </w:rPr>
              <w:t>prov</w:t>
            </w:r>
            <w:r w:rsidR="00EA7242">
              <w:rPr>
                <w:rFonts w:ascii="Arial" w:hAnsi="Arial" w:cs="Arial"/>
                <w:sz w:val="22"/>
                <w:szCs w:val="22"/>
              </w:rPr>
              <w:t>eedor Parodi Solutions.</w:t>
            </w:r>
          </w:p>
          <w:p w:rsidR="00E6647A" w:rsidRDefault="00E6647A" w:rsidP="00E6647A">
            <w:pPr>
              <w:ind w:left="705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6647A" w:rsidRPr="00E6647A" w:rsidRDefault="00E6647A" w:rsidP="00E6647A">
            <w:pPr>
              <w:ind w:left="705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 estructuras de información son las que definen las agrupaciones y las jerarquía de los datos que usan las funcionalidades del Demo.</w:t>
            </w:r>
          </w:p>
          <w:p w:rsidR="00E6647A" w:rsidRPr="00E6647A" w:rsidRDefault="00E6647A" w:rsidP="00E6647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E6647A" w:rsidRPr="00E6647A" w:rsidRDefault="00E6647A" w:rsidP="00E6647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7F4B93" w:rsidP="00393C4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</w:t>
            </w:r>
            <w:r w:rsidR="005D0F9D" w:rsidRPr="00393C4A">
              <w:rPr>
                <w:rFonts w:ascii="Arial" w:hAnsi="Arial" w:cs="Arial"/>
                <w:sz w:val="22"/>
                <w:szCs w:val="22"/>
              </w:rPr>
              <w:t xml:space="preserve">specto visual </w:t>
            </w:r>
            <w:r>
              <w:rPr>
                <w:rFonts w:ascii="Arial" w:hAnsi="Arial" w:cs="Arial"/>
                <w:sz w:val="22"/>
                <w:szCs w:val="22"/>
              </w:rPr>
              <w:t>del Demo, esto es, la creación y montaje de los ítems gráficos, como íconos, paleta de colores, y demás, deben acogerse al manual de marca de Persépolis, y estarán a cargo del proveedor Parodi Solutions.</w:t>
            </w:r>
          </w:p>
          <w:p w:rsidR="00E6713A" w:rsidRPr="00E6713A" w:rsidRDefault="00E6713A" w:rsidP="00E6713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Pr="00393C4A" w:rsidRDefault="00DA7199" w:rsidP="00393C4A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Selección y definición de datos de trabajo, como </w:t>
            </w:r>
            <w:r w:rsidR="005D0F9D" w:rsidRPr="00393C4A">
              <w:rPr>
                <w:rFonts w:ascii="Arial" w:hAnsi="Arial" w:cs="Arial"/>
                <w:sz w:val="22"/>
                <w:szCs w:val="22"/>
              </w:rPr>
              <w:t xml:space="preserve">índices y </w:t>
            </w:r>
            <w:r>
              <w:rPr>
                <w:rFonts w:ascii="Arial" w:hAnsi="Arial" w:cs="Arial"/>
                <w:sz w:val="22"/>
                <w:szCs w:val="22"/>
              </w:rPr>
              <w:t xml:space="preserve">fuentes de datos primarias o secundarias, utilizados para alimentar la estructura de datos </w:t>
            </w:r>
            <w:r w:rsidR="00E6713A">
              <w:rPr>
                <w:rFonts w:ascii="Arial" w:hAnsi="Arial" w:cs="Arial"/>
                <w:sz w:val="22"/>
                <w:szCs w:val="22"/>
              </w:rPr>
              <w:t>que el proveedor manejará</w:t>
            </w:r>
            <w:r w:rsidR="001A0175">
              <w:rPr>
                <w:rFonts w:ascii="Arial" w:hAnsi="Arial" w:cs="Arial"/>
                <w:sz w:val="22"/>
                <w:szCs w:val="22"/>
              </w:rPr>
              <w:t xml:space="preserve"> queda a cargo del CTO del equipo </w:t>
            </w:r>
            <w:r>
              <w:rPr>
                <w:rFonts w:ascii="Arial" w:hAnsi="Arial" w:cs="Arial"/>
                <w:sz w:val="22"/>
                <w:szCs w:val="22"/>
              </w:rPr>
              <w:t>del Demo: CTO.</w:t>
            </w:r>
          </w:p>
          <w:p w:rsidR="00393C4A" w:rsidRDefault="00393C4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393C4A" w:rsidRDefault="00393C4A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5D0F9D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0F9D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DA7199">
              <w:rPr>
                <w:rFonts w:ascii="Arial" w:hAnsi="Arial" w:cs="Arial"/>
                <w:sz w:val="22"/>
                <w:szCs w:val="22"/>
              </w:rPr>
              <w:t>P</w:t>
            </w:r>
            <w:r w:rsidRPr="005D0F9D">
              <w:rPr>
                <w:rFonts w:ascii="Arial" w:hAnsi="Arial" w:cs="Arial"/>
                <w:sz w:val="22"/>
                <w:szCs w:val="22"/>
              </w:rPr>
              <w:t>resupuesto</w:t>
            </w:r>
          </w:p>
          <w:p w:rsidR="00DA7199" w:rsidRDefault="00DA7199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Basado en las decisiones consignadas en esta reunión el </w:t>
            </w:r>
            <w:r w:rsidRPr="00393C4A">
              <w:rPr>
                <w:rFonts w:ascii="Arial" w:hAnsi="Arial" w:cs="Arial"/>
                <w:sz w:val="22"/>
                <w:szCs w:val="22"/>
              </w:rPr>
              <w:t>prov</w:t>
            </w:r>
            <w:r>
              <w:rPr>
                <w:rFonts w:ascii="Arial" w:hAnsi="Arial" w:cs="Arial"/>
                <w:sz w:val="22"/>
                <w:szCs w:val="22"/>
              </w:rPr>
              <w:t xml:space="preserve">eedor Parodi Solutions entregará una cotización de la construcción del Demo acogiendo </w:t>
            </w:r>
            <w:r w:rsidR="002758CE">
              <w:rPr>
                <w:rFonts w:ascii="Arial" w:hAnsi="Arial" w:cs="Arial"/>
                <w:sz w:val="22"/>
                <w:szCs w:val="22"/>
              </w:rPr>
              <w:t>todos los términos anteriores.</w:t>
            </w:r>
          </w:p>
          <w:p w:rsidR="00DA7199" w:rsidRDefault="00DA7199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A7199" w:rsidRPr="005D0F9D" w:rsidRDefault="00DA7199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DA7199" w:rsidRDefault="005D0F9D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0F9D">
              <w:rPr>
                <w:rFonts w:ascii="Arial" w:hAnsi="Arial" w:cs="Arial"/>
                <w:sz w:val="22"/>
                <w:szCs w:val="22"/>
              </w:rPr>
              <w:t xml:space="preserve">4. </w:t>
            </w:r>
            <w:r w:rsidR="00DA7199">
              <w:rPr>
                <w:rFonts w:ascii="Arial" w:hAnsi="Arial" w:cs="Arial"/>
                <w:sz w:val="22"/>
                <w:szCs w:val="22"/>
              </w:rPr>
              <w:t>Primera entrega formal</w:t>
            </w:r>
          </w:p>
          <w:p w:rsidR="005D0F9D" w:rsidRDefault="00DA7199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Basado en las decisiones consignadas en esta reunión el </w:t>
            </w:r>
            <w:r w:rsidRPr="00393C4A">
              <w:rPr>
                <w:rFonts w:ascii="Arial" w:hAnsi="Arial" w:cs="Arial"/>
                <w:sz w:val="22"/>
                <w:szCs w:val="22"/>
              </w:rPr>
              <w:t>prov</w:t>
            </w:r>
            <w:r>
              <w:rPr>
                <w:rFonts w:ascii="Arial" w:hAnsi="Arial" w:cs="Arial"/>
                <w:sz w:val="22"/>
                <w:szCs w:val="22"/>
              </w:rPr>
              <w:t xml:space="preserve">eedor Parodi Solutions realizará una primera entrega para evaluación el 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>martes 31</w:t>
            </w:r>
            <w:r w:rsidR="002758C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0F9D" w:rsidRPr="005D0F9D">
              <w:rPr>
                <w:rFonts w:ascii="Arial" w:hAnsi="Arial" w:cs="Arial"/>
                <w:sz w:val="22"/>
                <w:szCs w:val="22"/>
              </w:rPr>
              <w:t>enero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A7199" w:rsidRDefault="00DA7199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Default="005D0F9D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5D0F9D" w:rsidRPr="005D0F9D" w:rsidRDefault="005D0F9D" w:rsidP="005D0F9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3510"/>
        <w:gridCol w:w="2022"/>
        <w:gridCol w:w="1697"/>
        <w:gridCol w:w="2349"/>
      </w:tblGrid>
      <w:tr w:rsidR="000B1C26" w:rsidRPr="000E0156" w:rsidTr="00445E9D">
        <w:tc>
          <w:tcPr>
            <w:tcW w:w="10112" w:type="dxa"/>
            <w:gridSpan w:val="5"/>
          </w:tcPr>
          <w:p w:rsidR="000B1C26" w:rsidRPr="000E0156" w:rsidRDefault="00C91764" w:rsidP="000B1C26">
            <w:pPr>
              <w:jc w:val="center"/>
              <w:rPr>
                <w:rFonts w:ascii="Arial" w:hAnsi="Arial" w:cs="Arial"/>
                <w:b/>
                <w:szCs w:val="22"/>
              </w:rPr>
            </w:pPr>
            <w:r>
              <w:br w:type="page"/>
            </w:r>
            <w:r w:rsidR="00C65C57" w:rsidRPr="000E0156">
              <w:br w:type="page"/>
            </w:r>
            <w:r w:rsidR="000B1C26" w:rsidRPr="000E0156">
              <w:rPr>
                <w:rFonts w:ascii="Arial" w:hAnsi="Arial" w:cs="Arial"/>
                <w:b/>
                <w:szCs w:val="22"/>
              </w:rPr>
              <w:t>Planes de acción y/o actividades</w:t>
            </w:r>
          </w:p>
        </w:tc>
      </w:tr>
      <w:tr w:rsidR="000B1C26" w:rsidRPr="000E0156" w:rsidTr="00313950">
        <w:tc>
          <w:tcPr>
            <w:tcW w:w="534" w:type="dxa"/>
            <w:vAlign w:val="center"/>
          </w:tcPr>
          <w:p w:rsidR="000B1C26" w:rsidRPr="000E0156" w:rsidRDefault="000B1C26" w:rsidP="00313950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0E0156">
              <w:rPr>
                <w:rFonts w:ascii="Arial" w:hAnsi="Arial" w:cs="Arial"/>
                <w:b/>
                <w:szCs w:val="22"/>
              </w:rPr>
              <w:t>N°</w:t>
            </w:r>
          </w:p>
        </w:tc>
        <w:tc>
          <w:tcPr>
            <w:tcW w:w="3510" w:type="dxa"/>
            <w:vAlign w:val="center"/>
          </w:tcPr>
          <w:p w:rsidR="000B1C26" w:rsidRPr="000E0156" w:rsidRDefault="000B1C26" w:rsidP="00313950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0E0156">
              <w:rPr>
                <w:rFonts w:ascii="Arial" w:hAnsi="Arial" w:cs="Arial"/>
                <w:b/>
                <w:szCs w:val="22"/>
              </w:rPr>
              <w:t>Acción</w:t>
            </w:r>
          </w:p>
        </w:tc>
        <w:tc>
          <w:tcPr>
            <w:tcW w:w="2022" w:type="dxa"/>
            <w:vAlign w:val="center"/>
          </w:tcPr>
          <w:p w:rsidR="000B1C26" w:rsidRPr="000E0156" w:rsidRDefault="000B1C26" w:rsidP="00313950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0E0156">
              <w:rPr>
                <w:rFonts w:ascii="Arial" w:hAnsi="Arial" w:cs="Arial"/>
                <w:b/>
                <w:szCs w:val="22"/>
              </w:rPr>
              <w:t>Responsable(s)</w:t>
            </w:r>
          </w:p>
        </w:tc>
        <w:tc>
          <w:tcPr>
            <w:tcW w:w="1697" w:type="dxa"/>
            <w:vAlign w:val="center"/>
          </w:tcPr>
          <w:p w:rsidR="000B1C26" w:rsidRPr="000E0156" w:rsidRDefault="000B1C26" w:rsidP="00313950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0E0156">
              <w:rPr>
                <w:rFonts w:ascii="Arial" w:hAnsi="Arial" w:cs="Arial"/>
                <w:b/>
                <w:szCs w:val="22"/>
              </w:rPr>
              <w:t>Fecha compromiso</w:t>
            </w:r>
          </w:p>
        </w:tc>
        <w:tc>
          <w:tcPr>
            <w:tcW w:w="2349" w:type="dxa"/>
            <w:vAlign w:val="center"/>
          </w:tcPr>
          <w:p w:rsidR="000B1C26" w:rsidRPr="000E0156" w:rsidRDefault="000B1C26" w:rsidP="00313950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0E0156">
              <w:rPr>
                <w:rFonts w:ascii="Arial" w:hAnsi="Arial" w:cs="Arial"/>
                <w:b/>
                <w:szCs w:val="22"/>
              </w:rPr>
              <w:t>Observaciones</w:t>
            </w:r>
          </w:p>
        </w:tc>
      </w:tr>
      <w:tr w:rsidR="000B1C26" w:rsidRPr="000E0156" w:rsidTr="00BD6C1D">
        <w:tc>
          <w:tcPr>
            <w:tcW w:w="534" w:type="dxa"/>
            <w:vAlign w:val="center"/>
          </w:tcPr>
          <w:p w:rsidR="000B1C26" w:rsidRPr="000E0156" w:rsidRDefault="000B1C26" w:rsidP="00B930A4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510" w:type="dxa"/>
            <w:vAlign w:val="center"/>
          </w:tcPr>
          <w:p w:rsidR="000B1C26" w:rsidRPr="000E0156" w:rsidRDefault="000B1C26" w:rsidP="001A6064">
            <w:pPr>
              <w:jc w:val="both"/>
              <w:rPr>
                <w:rFonts w:ascii="Arial" w:hAnsi="Arial" w:cs="Arial"/>
                <w:szCs w:val="22"/>
                <w:lang w:val="es-CO"/>
              </w:rPr>
            </w:pPr>
          </w:p>
        </w:tc>
        <w:tc>
          <w:tcPr>
            <w:tcW w:w="2022" w:type="dxa"/>
            <w:vAlign w:val="center"/>
          </w:tcPr>
          <w:p w:rsidR="000B1C26" w:rsidRPr="000E0156" w:rsidRDefault="000B1C26" w:rsidP="001A6064">
            <w:pPr>
              <w:jc w:val="center"/>
              <w:rPr>
                <w:rFonts w:ascii="Arial" w:hAnsi="Arial" w:cs="Arial"/>
                <w:szCs w:val="22"/>
                <w:lang w:val="es-CO"/>
              </w:rPr>
            </w:pPr>
          </w:p>
        </w:tc>
        <w:tc>
          <w:tcPr>
            <w:tcW w:w="1697" w:type="dxa"/>
            <w:vAlign w:val="center"/>
          </w:tcPr>
          <w:p w:rsidR="000B1C26" w:rsidRPr="000E0156" w:rsidRDefault="000B1C26" w:rsidP="001A6064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49" w:type="dxa"/>
            <w:vAlign w:val="center"/>
          </w:tcPr>
          <w:p w:rsidR="000B1C26" w:rsidRPr="000E0156" w:rsidRDefault="000B1C26" w:rsidP="00BD6C1D">
            <w:pPr>
              <w:rPr>
                <w:rFonts w:ascii="Arial" w:hAnsi="Arial" w:cs="Arial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4F0362" w:rsidRDefault="004F036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445E9D">
        <w:tc>
          <w:tcPr>
            <w:tcW w:w="9942" w:type="dxa"/>
            <w:gridSpan w:val="7"/>
          </w:tcPr>
          <w:p w:rsidR="00445E9D" w:rsidRPr="000326B8" w:rsidRDefault="004F0B65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br w:type="page"/>
            </w:r>
            <w:r w:rsidR="00CD428F">
              <w:rPr>
                <w:rFonts w:ascii="Arial" w:hAnsi="Arial" w:cs="Arial"/>
                <w:b/>
                <w:sz w:val="22"/>
                <w:szCs w:val="22"/>
              </w:rPr>
              <w:t>Finalización de la R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>eunión</w:t>
            </w:r>
          </w:p>
        </w:tc>
      </w:tr>
      <w:tr w:rsidR="00445E9D" w:rsidRPr="000326B8" w:rsidTr="00445E9D">
        <w:tc>
          <w:tcPr>
            <w:tcW w:w="5121" w:type="dxa"/>
            <w:gridSpan w:val="6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BA343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0F9D">
              <w:rPr>
                <w:rFonts w:ascii="Arial" w:hAnsi="Arial" w:cs="Arial"/>
                <w:sz w:val="22"/>
                <w:szCs w:val="22"/>
              </w:rPr>
              <w:t>27</w:t>
            </w:r>
            <w:r w:rsidR="00BA343F">
              <w:rPr>
                <w:rFonts w:ascii="Arial" w:hAnsi="Arial" w:cs="Arial"/>
                <w:sz w:val="22"/>
                <w:szCs w:val="22"/>
              </w:rPr>
              <w:t>-01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>-201</w:t>
            </w:r>
            <w:r w:rsidR="00BA343F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4821" w:type="dxa"/>
          </w:tcPr>
          <w:p w:rsidR="00445E9D" w:rsidRPr="000326B8" w:rsidRDefault="00445E9D" w:rsidP="00BF05A9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2855B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F0362" w:rsidRPr="004F0362">
              <w:rPr>
                <w:rFonts w:ascii="Arial" w:hAnsi="Arial" w:cs="Arial"/>
                <w:sz w:val="22"/>
                <w:szCs w:val="22"/>
              </w:rPr>
              <w:t>9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>:</w:t>
            </w:r>
            <w:r w:rsidR="00BA343F">
              <w:rPr>
                <w:rFonts w:ascii="Arial" w:hAnsi="Arial" w:cs="Arial"/>
                <w:sz w:val="22"/>
                <w:szCs w:val="22"/>
              </w:rPr>
              <w:t>00</w:t>
            </w:r>
            <w:r w:rsidR="002855BF" w:rsidRPr="002855BF">
              <w:rPr>
                <w:rFonts w:ascii="Arial" w:hAnsi="Arial" w:cs="Arial"/>
                <w:sz w:val="22"/>
                <w:szCs w:val="22"/>
              </w:rPr>
              <w:t xml:space="preserve"> am</w:t>
            </w:r>
          </w:p>
        </w:tc>
      </w:tr>
      <w:tr w:rsidR="00445E9D" w:rsidRPr="000326B8" w:rsidTr="00163F1E"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6838" w:type="dxa"/>
            <w:gridSpan w:val="2"/>
          </w:tcPr>
          <w:p w:rsidR="00445E9D" w:rsidRPr="000326B8" w:rsidRDefault="00163F1E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Cuales:</w:t>
            </w:r>
          </w:p>
        </w:tc>
      </w:tr>
    </w:tbl>
    <w:p w:rsidR="00445E9D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F0B65" w:rsidRDefault="004F0B65" w:rsidP="009D53C1">
      <w:pPr>
        <w:rPr>
          <w:rFonts w:ascii="Arial" w:hAnsi="Arial" w:cs="Arial"/>
          <w:b/>
          <w:sz w:val="22"/>
          <w:szCs w:val="22"/>
        </w:rPr>
      </w:pPr>
    </w:p>
    <w:p w:rsidR="004F0B65" w:rsidRPr="000326B8" w:rsidRDefault="004F0B65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5D0F9D" w:rsidRPr="005D0F9D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5D0F9D" w:rsidRPr="005D0F9D">
              <w:rPr>
                <w:rFonts w:ascii="Arial" w:hAnsi="Arial" w:cs="Arial"/>
                <w:sz w:val="22"/>
                <w:szCs w:val="22"/>
                <w:lang w:eastAsia="ar-SA"/>
              </w:rPr>
              <w:t>CTO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BA343F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2855BF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5D0F9D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27</w:t>
            </w:r>
            <w:r w:rsidR="00BA343F">
              <w:rPr>
                <w:rFonts w:ascii="Arial" w:hAnsi="Arial" w:cs="Arial"/>
                <w:sz w:val="22"/>
                <w:szCs w:val="22"/>
                <w:lang w:eastAsia="ar-SA"/>
              </w:rPr>
              <w:t>-01</w:t>
            </w:r>
            <w:r w:rsidR="002855BF" w:rsidRPr="002855BF">
              <w:rPr>
                <w:rFonts w:ascii="Arial" w:hAnsi="Arial" w:cs="Arial"/>
                <w:sz w:val="22"/>
                <w:szCs w:val="22"/>
                <w:lang w:eastAsia="ar-SA"/>
              </w:rPr>
              <w:t>-201</w:t>
            </w:r>
            <w:r w:rsidR="00BA343F">
              <w:rPr>
                <w:rFonts w:ascii="Arial" w:hAnsi="Arial" w:cs="Arial"/>
                <w:sz w:val="22"/>
                <w:szCs w:val="22"/>
                <w:lang w:eastAsia="ar-SA"/>
              </w:rPr>
              <w:t>7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>En constancia firman (si se requiere):</w:t>
      </w:r>
    </w:p>
    <w:p w:rsidR="007803C0" w:rsidRPr="000326B8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7803C0" w:rsidRPr="000326B8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32" w:rsidRDefault="00666932">
      <w:r>
        <w:separator/>
      </w:r>
    </w:p>
  </w:endnote>
  <w:endnote w:type="continuationSeparator" w:id="0">
    <w:p w:rsidR="00666932" w:rsidRDefault="00666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32" w:rsidRDefault="00666932">
      <w:r>
        <w:separator/>
      </w:r>
    </w:p>
  </w:footnote>
  <w:footnote w:type="continuationSeparator" w:id="0">
    <w:p w:rsidR="00666932" w:rsidRDefault="00666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70"/>
      <w:gridCol w:w="5688"/>
      <w:gridCol w:w="2526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n-US" w:eastAsia="en-US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A0175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1A0175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13E1"/>
    <w:multiLevelType w:val="hybridMultilevel"/>
    <w:tmpl w:val="938C04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6C4"/>
    <w:multiLevelType w:val="hybridMultilevel"/>
    <w:tmpl w:val="341680F6"/>
    <w:lvl w:ilvl="0" w:tplc="E18C6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35" w:hanging="360"/>
      </w:pPr>
    </w:lvl>
    <w:lvl w:ilvl="2" w:tplc="0409001B" w:tentative="1">
      <w:start w:val="1"/>
      <w:numFmt w:val="lowerRoman"/>
      <w:lvlText w:val="%3."/>
      <w:lvlJc w:val="right"/>
      <w:pPr>
        <w:ind w:left="1455" w:hanging="180"/>
      </w:pPr>
    </w:lvl>
    <w:lvl w:ilvl="3" w:tplc="0409000F" w:tentative="1">
      <w:start w:val="1"/>
      <w:numFmt w:val="decimal"/>
      <w:lvlText w:val="%4."/>
      <w:lvlJc w:val="left"/>
      <w:pPr>
        <w:ind w:left="2175" w:hanging="360"/>
      </w:pPr>
    </w:lvl>
    <w:lvl w:ilvl="4" w:tplc="04090019" w:tentative="1">
      <w:start w:val="1"/>
      <w:numFmt w:val="lowerLetter"/>
      <w:lvlText w:val="%5."/>
      <w:lvlJc w:val="left"/>
      <w:pPr>
        <w:ind w:left="2895" w:hanging="360"/>
      </w:pPr>
    </w:lvl>
    <w:lvl w:ilvl="5" w:tplc="0409001B" w:tentative="1">
      <w:start w:val="1"/>
      <w:numFmt w:val="lowerRoman"/>
      <w:lvlText w:val="%6."/>
      <w:lvlJc w:val="right"/>
      <w:pPr>
        <w:ind w:left="3615" w:hanging="180"/>
      </w:pPr>
    </w:lvl>
    <w:lvl w:ilvl="6" w:tplc="0409000F" w:tentative="1">
      <w:start w:val="1"/>
      <w:numFmt w:val="decimal"/>
      <w:lvlText w:val="%7."/>
      <w:lvlJc w:val="left"/>
      <w:pPr>
        <w:ind w:left="4335" w:hanging="360"/>
      </w:pPr>
    </w:lvl>
    <w:lvl w:ilvl="7" w:tplc="04090019" w:tentative="1">
      <w:start w:val="1"/>
      <w:numFmt w:val="lowerLetter"/>
      <w:lvlText w:val="%8."/>
      <w:lvlJc w:val="left"/>
      <w:pPr>
        <w:ind w:left="5055" w:hanging="360"/>
      </w:pPr>
    </w:lvl>
    <w:lvl w:ilvl="8" w:tplc="0409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2" w15:restartNumberingAfterBreak="0">
    <w:nsid w:val="08AF475F"/>
    <w:multiLevelType w:val="hybridMultilevel"/>
    <w:tmpl w:val="B2ECB5CC"/>
    <w:lvl w:ilvl="0" w:tplc="E18C67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9CA465A"/>
    <w:multiLevelType w:val="hybridMultilevel"/>
    <w:tmpl w:val="716A9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85186"/>
    <w:multiLevelType w:val="hybridMultilevel"/>
    <w:tmpl w:val="FEA24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D306B"/>
    <w:multiLevelType w:val="hybridMultilevel"/>
    <w:tmpl w:val="462EC2B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89B76E5"/>
    <w:multiLevelType w:val="hybridMultilevel"/>
    <w:tmpl w:val="DCAE8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C5785"/>
    <w:multiLevelType w:val="hybridMultilevel"/>
    <w:tmpl w:val="D2046536"/>
    <w:lvl w:ilvl="0" w:tplc="FB209C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78E7463"/>
    <w:multiLevelType w:val="hybridMultilevel"/>
    <w:tmpl w:val="FC6C7752"/>
    <w:lvl w:ilvl="0" w:tplc="B5784C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F380B78"/>
    <w:multiLevelType w:val="hybridMultilevel"/>
    <w:tmpl w:val="657EFF8C"/>
    <w:lvl w:ilvl="0" w:tplc="2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335C44"/>
    <w:multiLevelType w:val="hybridMultilevel"/>
    <w:tmpl w:val="C2D28B6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59277C4D"/>
    <w:multiLevelType w:val="hybridMultilevel"/>
    <w:tmpl w:val="5EAAF6B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B905A70"/>
    <w:multiLevelType w:val="hybridMultilevel"/>
    <w:tmpl w:val="6EECEFBC"/>
    <w:lvl w:ilvl="0" w:tplc="E18C67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9B5FB7"/>
    <w:multiLevelType w:val="hybridMultilevel"/>
    <w:tmpl w:val="73FE7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865C15"/>
    <w:multiLevelType w:val="hybridMultilevel"/>
    <w:tmpl w:val="ACE8AFAC"/>
    <w:lvl w:ilvl="0" w:tplc="E18C67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10"/>
  </w:num>
  <w:num w:numId="5">
    <w:abstractNumId w:val="5"/>
  </w:num>
  <w:num w:numId="6">
    <w:abstractNumId w:val="9"/>
  </w:num>
  <w:num w:numId="7">
    <w:abstractNumId w:val="14"/>
  </w:num>
  <w:num w:numId="8">
    <w:abstractNumId w:val="3"/>
  </w:num>
  <w:num w:numId="9">
    <w:abstractNumId w:val="4"/>
  </w:num>
  <w:num w:numId="10">
    <w:abstractNumId w:val="8"/>
  </w:num>
  <w:num w:numId="11">
    <w:abstractNumId w:val="7"/>
  </w:num>
  <w:num w:numId="12">
    <w:abstractNumId w:val="2"/>
  </w:num>
  <w:num w:numId="13">
    <w:abstractNumId w:val="13"/>
  </w:num>
  <w:num w:numId="14">
    <w:abstractNumId w:val="1"/>
  </w:num>
  <w:num w:numId="15">
    <w:abstractNumId w:val="6"/>
  </w:num>
  <w:num w:numId="16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FD9"/>
    <w:rsid w:val="0000770F"/>
    <w:rsid w:val="00007C6B"/>
    <w:rsid w:val="000159D7"/>
    <w:rsid w:val="00020359"/>
    <w:rsid w:val="000326B8"/>
    <w:rsid w:val="00046F28"/>
    <w:rsid w:val="00053087"/>
    <w:rsid w:val="00063830"/>
    <w:rsid w:val="0006445C"/>
    <w:rsid w:val="000A24B2"/>
    <w:rsid w:val="000A33D8"/>
    <w:rsid w:val="000A49A9"/>
    <w:rsid w:val="000B1C26"/>
    <w:rsid w:val="000C2263"/>
    <w:rsid w:val="000D2E29"/>
    <w:rsid w:val="000E0156"/>
    <w:rsid w:val="000E62AE"/>
    <w:rsid w:val="000F1F7E"/>
    <w:rsid w:val="00102DA8"/>
    <w:rsid w:val="00112242"/>
    <w:rsid w:val="0011719C"/>
    <w:rsid w:val="001319A8"/>
    <w:rsid w:val="00131F40"/>
    <w:rsid w:val="00132871"/>
    <w:rsid w:val="00135153"/>
    <w:rsid w:val="00163E84"/>
    <w:rsid w:val="00163F1E"/>
    <w:rsid w:val="0016523F"/>
    <w:rsid w:val="00172B8D"/>
    <w:rsid w:val="00177881"/>
    <w:rsid w:val="00180970"/>
    <w:rsid w:val="00186260"/>
    <w:rsid w:val="001904B5"/>
    <w:rsid w:val="00190BDF"/>
    <w:rsid w:val="001954FB"/>
    <w:rsid w:val="00196E94"/>
    <w:rsid w:val="001A0175"/>
    <w:rsid w:val="001A14D8"/>
    <w:rsid w:val="001A6064"/>
    <w:rsid w:val="001B1A4A"/>
    <w:rsid w:val="001B2378"/>
    <w:rsid w:val="001C18A3"/>
    <w:rsid w:val="001C327B"/>
    <w:rsid w:val="001C616A"/>
    <w:rsid w:val="001C78C6"/>
    <w:rsid w:val="001E3154"/>
    <w:rsid w:val="001E75FB"/>
    <w:rsid w:val="001F34CA"/>
    <w:rsid w:val="00202873"/>
    <w:rsid w:val="0021752B"/>
    <w:rsid w:val="0022053A"/>
    <w:rsid w:val="00231F84"/>
    <w:rsid w:val="0024399A"/>
    <w:rsid w:val="002503FB"/>
    <w:rsid w:val="00253281"/>
    <w:rsid w:val="00256B73"/>
    <w:rsid w:val="00262ACA"/>
    <w:rsid w:val="002654BF"/>
    <w:rsid w:val="002677F6"/>
    <w:rsid w:val="0026798F"/>
    <w:rsid w:val="00270525"/>
    <w:rsid w:val="002758CE"/>
    <w:rsid w:val="00280EA9"/>
    <w:rsid w:val="002855BF"/>
    <w:rsid w:val="002A4EA5"/>
    <w:rsid w:val="002A75C0"/>
    <w:rsid w:val="002B6B04"/>
    <w:rsid w:val="002B77EC"/>
    <w:rsid w:val="002D6387"/>
    <w:rsid w:val="002E3A71"/>
    <w:rsid w:val="002E6DFE"/>
    <w:rsid w:val="002F266D"/>
    <w:rsid w:val="002F4CD1"/>
    <w:rsid w:val="003015FB"/>
    <w:rsid w:val="003119DA"/>
    <w:rsid w:val="00313950"/>
    <w:rsid w:val="003242DC"/>
    <w:rsid w:val="00331135"/>
    <w:rsid w:val="00331963"/>
    <w:rsid w:val="0034157A"/>
    <w:rsid w:val="003437FB"/>
    <w:rsid w:val="00363BCA"/>
    <w:rsid w:val="003768BC"/>
    <w:rsid w:val="003820DC"/>
    <w:rsid w:val="00384530"/>
    <w:rsid w:val="00384DD8"/>
    <w:rsid w:val="00385FD8"/>
    <w:rsid w:val="00386934"/>
    <w:rsid w:val="00393C4A"/>
    <w:rsid w:val="003A1B8F"/>
    <w:rsid w:val="003B6CB1"/>
    <w:rsid w:val="003C2606"/>
    <w:rsid w:val="003D544A"/>
    <w:rsid w:val="003E3FFC"/>
    <w:rsid w:val="003E6D3B"/>
    <w:rsid w:val="003E704B"/>
    <w:rsid w:val="003F4642"/>
    <w:rsid w:val="003F6926"/>
    <w:rsid w:val="00424777"/>
    <w:rsid w:val="00425668"/>
    <w:rsid w:val="00425C6F"/>
    <w:rsid w:val="00434FA7"/>
    <w:rsid w:val="00445E9D"/>
    <w:rsid w:val="004474BB"/>
    <w:rsid w:val="00450475"/>
    <w:rsid w:val="004610F2"/>
    <w:rsid w:val="004625CB"/>
    <w:rsid w:val="00465FC5"/>
    <w:rsid w:val="00467F3F"/>
    <w:rsid w:val="00470D14"/>
    <w:rsid w:val="00470DA0"/>
    <w:rsid w:val="00471D93"/>
    <w:rsid w:val="00481439"/>
    <w:rsid w:val="00483391"/>
    <w:rsid w:val="004866D1"/>
    <w:rsid w:val="00486776"/>
    <w:rsid w:val="00490CD0"/>
    <w:rsid w:val="004A7B94"/>
    <w:rsid w:val="004B316C"/>
    <w:rsid w:val="004C0815"/>
    <w:rsid w:val="004C30CA"/>
    <w:rsid w:val="004C40D2"/>
    <w:rsid w:val="004C6E85"/>
    <w:rsid w:val="004D447F"/>
    <w:rsid w:val="004E100E"/>
    <w:rsid w:val="004F0362"/>
    <w:rsid w:val="004F0B65"/>
    <w:rsid w:val="004F5C35"/>
    <w:rsid w:val="004F68CF"/>
    <w:rsid w:val="00501A05"/>
    <w:rsid w:val="005174A1"/>
    <w:rsid w:val="00531F3B"/>
    <w:rsid w:val="00543370"/>
    <w:rsid w:val="00545172"/>
    <w:rsid w:val="00551BCD"/>
    <w:rsid w:val="00552C63"/>
    <w:rsid w:val="00557AF3"/>
    <w:rsid w:val="00564542"/>
    <w:rsid w:val="00564CA0"/>
    <w:rsid w:val="00566CC6"/>
    <w:rsid w:val="00567DA9"/>
    <w:rsid w:val="00581370"/>
    <w:rsid w:val="00590479"/>
    <w:rsid w:val="005B11A7"/>
    <w:rsid w:val="005B24BD"/>
    <w:rsid w:val="005B5607"/>
    <w:rsid w:val="005B76D1"/>
    <w:rsid w:val="005C752B"/>
    <w:rsid w:val="005D0F9D"/>
    <w:rsid w:val="005E418C"/>
    <w:rsid w:val="005F0D38"/>
    <w:rsid w:val="005F50A2"/>
    <w:rsid w:val="005F6A18"/>
    <w:rsid w:val="005F7BC8"/>
    <w:rsid w:val="00605F88"/>
    <w:rsid w:val="00615AC0"/>
    <w:rsid w:val="00624D95"/>
    <w:rsid w:val="0063368F"/>
    <w:rsid w:val="0063501C"/>
    <w:rsid w:val="0065229B"/>
    <w:rsid w:val="00657382"/>
    <w:rsid w:val="006632C3"/>
    <w:rsid w:val="00666932"/>
    <w:rsid w:val="00675E46"/>
    <w:rsid w:val="006812F5"/>
    <w:rsid w:val="00684B73"/>
    <w:rsid w:val="00686610"/>
    <w:rsid w:val="0069034E"/>
    <w:rsid w:val="0069418D"/>
    <w:rsid w:val="00694B51"/>
    <w:rsid w:val="006B5F39"/>
    <w:rsid w:val="006C2B04"/>
    <w:rsid w:val="006D784A"/>
    <w:rsid w:val="006E18F2"/>
    <w:rsid w:val="006E1A09"/>
    <w:rsid w:val="006E1D2A"/>
    <w:rsid w:val="006E36F0"/>
    <w:rsid w:val="006F55A3"/>
    <w:rsid w:val="006F6FCE"/>
    <w:rsid w:val="007003A9"/>
    <w:rsid w:val="007120A6"/>
    <w:rsid w:val="00717553"/>
    <w:rsid w:val="00720D3B"/>
    <w:rsid w:val="007216C2"/>
    <w:rsid w:val="00761733"/>
    <w:rsid w:val="007774AB"/>
    <w:rsid w:val="007803C0"/>
    <w:rsid w:val="00783DF7"/>
    <w:rsid w:val="00785D19"/>
    <w:rsid w:val="007864A3"/>
    <w:rsid w:val="007A0142"/>
    <w:rsid w:val="007B0B5D"/>
    <w:rsid w:val="007B4B6D"/>
    <w:rsid w:val="007C4BB8"/>
    <w:rsid w:val="007D0275"/>
    <w:rsid w:val="007D1335"/>
    <w:rsid w:val="007D3E1B"/>
    <w:rsid w:val="007D44B9"/>
    <w:rsid w:val="007F3B06"/>
    <w:rsid w:val="007F4B93"/>
    <w:rsid w:val="00805212"/>
    <w:rsid w:val="0080572F"/>
    <w:rsid w:val="008145A7"/>
    <w:rsid w:val="008149ED"/>
    <w:rsid w:val="00816E08"/>
    <w:rsid w:val="00823518"/>
    <w:rsid w:val="00832F59"/>
    <w:rsid w:val="00841795"/>
    <w:rsid w:val="0084418B"/>
    <w:rsid w:val="00845043"/>
    <w:rsid w:val="0084572F"/>
    <w:rsid w:val="008625B0"/>
    <w:rsid w:val="00866D49"/>
    <w:rsid w:val="0086716C"/>
    <w:rsid w:val="008755E9"/>
    <w:rsid w:val="008775ED"/>
    <w:rsid w:val="008921B1"/>
    <w:rsid w:val="00892926"/>
    <w:rsid w:val="008B09D2"/>
    <w:rsid w:val="008B657B"/>
    <w:rsid w:val="008B762B"/>
    <w:rsid w:val="008C0E95"/>
    <w:rsid w:val="008D371D"/>
    <w:rsid w:val="008E14E5"/>
    <w:rsid w:val="008E1F2D"/>
    <w:rsid w:val="00906D2D"/>
    <w:rsid w:val="00907BB3"/>
    <w:rsid w:val="0091074D"/>
    <w:rsid w:val="0091125E"/>
    <w:rsid w:val="00920115"/>
    <w:rsid w:val="009352E3"/>
    <w:rsid w:val="0093715C"/>
    <w:rsid w:val="0093739A"/>
    <w:rsid w:val="00944695"/>
    <w:rsid w:val="009501ED"/>
    <w:rsid w:val="00953883"/>
    <w:rsid w:val="009563A4"/>
    <w:rsid w:val="009575D6"/>
    <w:rsid w:val="00962D55"/>
    <w:rsid w:val="00963901"/>
    <w:rsid w:val="00974B81"/>
    <w:rsid w:val="009770CB"/>
    <w:rsid w:val="00977FD9"/>
    <w:rsid w:val="00987A5A"/>
    <w:rsid w:val="009B1682"/>
    <w:rsid w:val="009B76DB"/>
    <w:rsid w:val="009B7C75"/>
    <w:rsid w:val="009D4D4E"/>
    <w:rsid w:val="009D53C1"/>
    <w:rsid w:val="009D5C3C"/>
    <w:rsid w:val="009F1EF5"/>
    <w:rsid w:val="00A04BE6"/>
    <w:rsid w:val="00A05702"/>
    <w:rsid w:val="00A253FE"/>
    <w:rsid w:val="00A37DBC"/>
    <w:rsid w:val="00A4048B"/>
    <w:rsid w:val="00A532A6"/>
    <w:rsid w:val="00A55301"/>
    <w:rsid w:val="00A70015"/>
    <w:rsid w:val="00A93103"/>
    <w:rsid w:val="00AA0263"/>
    <w:rsid w:val="00AA4775"/>
    <w:rsid w:val="00AA718A"/>
    <w:rsid w:val="00AB439C"/>
    <w:rsid w:val="00AC03F7"/>
    <w:rsid w:val="00AC2308"/>
    <w:rsid w:val="00AD0C97"/>
    <w:rsid w:val="00AD3827"/>
    <w:rsid w:val="00AD3D0E"/>
    <w:rsid w:val="00AD768F"/>
    <w:rsid w:val="00AE011E"/>
    <w:rsid w:val="00B05E82"/>
    <w:rsid w:val="00B067AA"/>
    <w:rsid w:val="00B11D56"/>
    <w:rsid w:val="00B128CD"/>
    <w:rsid w:val="00B12CDB"/>
    <w:rsid w:val="00B360B6"/>
    <w:rsid w:val="00B4566D"/>
    <w:rsid w:val="00B45CDA"/>
    <w:rsid w:val="00B47FC2"/>
    <w:rsid w:val="00B54511"/>
    <w:rsid w:val="00B63638"/>
    <w:rsid w:val="00B74E55"/>
    <w:rsid w:val="00B76489"/>
    <w:rsid w:val="00B843F7"/>
    <w:rsid w:val="00B865EE"/>
    <w:rsid w:val="00B930A4"/>
    <w:rsid w:val="00B93E2C"/>
    <w:rsid w:val="00BA067A"/>
    <w:rsid w:val="00BA343F"/>
    <w:rsid w:val="00BA3BB4"/>
    <w:rsid w:val="00BB5ED4"/>
    <w:rsid w:val="00BB64F8"/>
    <w:rsid w:val="00BB6FA3"/>
    <w:rsid w:val="00BB7AAD"/>
    <w:rsid w:val="00BC22B8"/>
    <w:rsid w:val="00BC3F52"/>
    <w:rsid w:val="00BC6B22"/>
    <w:rsid w:val="00BD1370"/>
    <w:rsid w:val="00BD39C8"/>
    <w:rsid w:val="00BD6C1D"/>
    <w:rsid w:val="00BF05A9"/>
    <w:rsid w:val="00BF75B6"/>
    <w:rsid w:val="00C14E5A"/>
    <w:rsid w:val="00C24B1D"/>
    <w:rsid w:val="00C32169"/>
    <w:rsid w:val="00C35351"/>
    <w:rsid w:val="00C37BE0"/>
    <w:rsid w:val="00C472EF"/>
    <w:rsid w:val="00C6296B"/>
    <w:rsid w:val="00C65C57"/>
    <w:rsid w:val="00C6619F"/>
    <w:rsid w:val="00C72DAE"/>
    <w:rsid w:val="00C8132A"/>
    <w:rsid w:val="00C86B7D"/>
    <w:rsid w:val="00C91764"/>
    <w:rsid w:val="00C91B70"/>
    <w:rsid w:val="00C97222"/>
    <w:rsid w:val="00CA0C9E"/>
    <w:rsid w:val="00CA2DDB"/>
    <w:rsid w:val="00CC0B2A"/>
    <w:rsid w:val="00CD428F"/>
    <w:rsid w:val="00CE7045"/>
    <w:rsid w:val="00CF0AA3"/>
    <w:rsid w:val="00CF120B"/>
    <w:rsid w:val="00D05AF4"/>
    <w:rsid w:val="00D07E6F"/>
    <w:rsid w:val="00D1337B"/>
    <w:rsid w:val="00D30394"/>
    <w:rsid w:val="00D353A7"/>
    <w:rsid w:val="00D35671"/>
    <w:rsid w:val="00D35C63"/>
    <w:rsid w:val="00D45ABE"/>
    <w:rsid w:val="00D51448"/>
    <w:rsid w:val="00D5255A"/>
    <w:rsid w:val="00D91E1E"/>
    <w:rsid w:val="00DA161F"/>
    <w:rsid w:val="00DA7199"/>
    <w:rsid w:val="00DA7F0A"/>
    <w:rsid w:val="00DB45A3"/>
    <w:rsid w:val="00DC65E3"/>
    <w:rsid w:val="00DD5879"/>
    <w:rsid w:val="00DD5FC2"/>
    <w:rsid w:val="00DE5871"/>
    <w:rsid w:val="00DF76A9"/>
    <w:rsid w:val="00DF7950"/>
    <w:rsid w:val="00E00F38"/>
    <w:rsid w:val="00E0129E"/>
    <w:rsid w:val="00E11CF2"/>
    <w:rsid w:val="00E13A8A"/>
    <w:rsid w:val="00E148F8"/>
    <w:rsid w:val="00E24E5D"/>
    <w:rsid w:val="00E314F2"/>
    <w:rsid w:val="00E60193"/>
    <w:rsid w:val="00E6647A"/>
    <w:rsid w:val="00E6713A"/>
    <w:rsid w:val="00E8337E"/>
    <w:rsid w:val="00E84954"/>
    <w:rsid w:val="00E90B60"/>
    <w:rsid w:val="00EA2343"/>
    <w:rsid w:val="00EA7242"/>
    <w:rsid w:val="00EA78C4"/>
    <w:rsid w:val="00EA7E7B"/>
    <w:rsid w:val="00EB2D3A"/>
    <w:rsid w:val="00EB46EF"/>
    <w:rsid w:val="00EC2061"/>
    <w:rsid w:val="00EC79EB"/>
    <w:rsid w:val="00ED2E8C"/>
    <w:rsid w:val="00ED4DCC"/>
    <w:rsid w:val="00EE29E5"/>
    <w:rsid w:val="00EF000A"/>
    <w:rsid w:val="00EF10D1"/>
    <w:rsid w:val="00EF12AF"/>
    <w:rsid w:val="00EF1D4B"/>
    <w:rsid w:val="00EF2584"/>
    <w:rsid w:val="00EF274B"/>
    <w:rsid w:val="00F17998"/>
    <w:rsid w:val="00F23F5D"/>
    <w:rsid w:val="00F42F21"/>
    <w:rsid w:val="00F438E4"/>
    <w:rsid w:val="00F44596"/>
    <w:rsid w:val="00F53F28"/>
    <w:rsid w:val="00F71568"/>
    <w:rsid w:val="00F74DF5"/>
    <w:rsid w:val="00F87122"/>
    <w:rsid w:val="00F90E88"/>
    <w:rsid w:val="00F916CF"/>
    <w:rsid w:val="00F95427"/>
    <w:rsid w:val="00F95508"/>
    <w:rsid w:val="00FA3DF9"/>
    <w:rsid w:val="00FA5558"/>
    <w:rsid w:val="00FA5A24"/>
    <w:rsid w:val="00FB5BF0"/>
    <w:rsid w:val="00FC1718"/>
    <w:rsid w:val="00FC75D8"/>
    <w:rsid w:val="00FD2D50"/>
    <w:rsid w:val="00FD7022"/>
    <w:rsid w:val="00FF3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249EF8"/>
  <w15:docId w15:val="{5CDACD48-D126-449C-A16B-0717F130B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05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5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6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50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196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90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1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8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8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80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1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08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1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6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5182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997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2359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9438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927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D79C3-3DBD-492B-AF9F-191F72A03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155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59</cp:revision>
  <cp:lastPrinted>2009-05-05T15:34:00Z</cp:lastPrinted>
  <dcterms:created xsi:type="dcterms:W3CDTF">2017-01-13T19:42:00Z</dcterms:created>
  <dcterms:modified xsi:type="dcterms:W3CDTF">2017-01-30T14:26:00Z</dcterms:modified>
</cp:coreProperties>
</file>