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 Display" w:hAnsi="Aptos Display" w:eastAsia="Aptos Display"/>
          <w:b/>
          <w:color w:val="17365D"/>
          <w:sz w:val="44"/>
        </w:rPr>
        <w:t>Домашние задания по статистике в PSPP</w:t>
      </w:r>
    </w:p>
    <w:p>
      <w:pPr>
        <w:spacing w:after="240"/>
        <w:jc w:val="center"/>
      </w:pPr>
      <w:r>
        <w:rPr>
          <w:rFonts w:ascii="Aptos" w:hAnsi="Aptos" w:eastAsia="Aptos"/>
          <w:color w:val="44546A"/>
          <w:sz w:val="23"/>
        </w:rPr>
        <w:t>Комплект преподавателя • медицинский факультет • 42 задания и 20 вариантов</w:t>
      </w:r>
    </w:p>
    <w:p>
      <w:r>
        <w:rPr>
          <w:b/>
        </w:rPr>
        <w:t xml:space="preserve">Назначение. </w:t>
      </w:r>
      <w:r>
        <w:t>Комплект предназначен для домашней работы по базовым методам статистического анализа. Обычные задания сведены к короткому выводу PSPP и нескольким предложениям; развернутый отчет нужен только в итоговом исследовательском блоке.</w:t>
      </w:r>
    </w:p>
    <w:p>
      <w:pPr>
        <w:pStyle w:val="Heading1"/>
      </w:pPr>
      <w:r>
        <w:t>Как выполнить и сдать</w:t>
      </w:r>
    </w:p>
    <w:p>
      <w:pPr>
        <w:pStyle w:val="ListBullet"/>
        <w:spacing w:after="30"/>
      </w:pPr>
      <w:r>
        <w:t>Работайте с копией файла данных. Не удаляйте строки; вычисляемые переменные добавляйте в копию.</w:t>
      </w:r>
    </w:p>
    <w:p>
      <w:pPr>
        <w:pStyle w:val="ListBullet"/>
        <w:spacing w:after="30"/>
      </w:pPr>
      <w:r>
        <w:t>Для каждого обычного задания приложите требуемые таблицы/графики из окна вывода PSPP и напишите 2–4 предложения: что сравнивали, ключевое число и содержательный вывод.</w:t>
      </w:r>
    </w:p>
    <w:p>
      <w:pPr>
        <w:pStyle w:val="ListBullet"/>
        <w:spacing w:after="30"/>
      </w:pPr>
      <w:r>
        <w:t>Если предусмотрен размер эффекта, покажите формулу и подстановку. PSPP может не рассчитывать его автоматически.</w:t>
      </w:r>
    </w:p>
    <w:p>
      <w:pPr>
        <w:pStyle w:val="ListBullet"/>
        <w:spacing w:after="30"/>
      </w:pPr>
      <w:r>
        <w:t>Можно сдать один DOCX/PDF с отобранным выводом и текстом; полный экспорт окна вывода PSPP (PDF/HTML/ODT) приложите отдельным файлом либо в конце отчета — по указанию преподавателя.</w:t>
      </w:r>
    </w:p>
    <w:p>
      <w:pPr>
        <w:pStyle w:val="ListBullet"/>
        <w:spacing w:after="30"/>
      </w:pPr>
      <w:r>
        <w:t>Только задание из блока 7 требует связного отчета объемом 1–2 страницы. Остальные ответы намеренно короткие.</w:t>
      </w:r>
    </w:p>
    <w:p>
      <w:pPr>
        <w:pStyle w:val="ListBullet"/>
        <w:spacing w:after="30"/>
      </w:pPr>
      <w:r>
        <w:t>Точные названия пунктов меню могут различаться в русской и английской версиях PSPP.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17365D"/>
                <w:sz w:val="20"/>
              </w:rPr>
              <w:t>Минимальный шаблон короткого вывода</w:t>
            </w:r>
          </w:p>
          <w:p>
            <w:pPr>
              <w:pStyle w:val="ListBullet"/>
              <w:spacing w:after="20"/>
            </w:pPr>
            <w:r>
              <w:rPr>
                <w:rFonts w:ascii="Aptos" w:hAnsi="Aptos" w:eastAsia="Aptos"/>
                <w:color w:val="000000"/>
                <w:sz w:val="18"/>
              </w:rPr>
              <w:t xml:space="preserve">«Сравнивались/оценивались … с помощью …». </w:t>
            </w:r>
          </w:p>
          <w:p>
            <w:pPr>
              <w:pStyle w:val="ListBullet"/>
              <w:spacing w:after="20"/>
            </w:pPr>
            <w:r>
              <w:rPr>
                <w:rFonts w:ascii="Aptos" w:hAnsi="Aptos" w:eastAsia="Aptos"/>
                <w:color w:val="000000"/>
                <w:sz w:val="18"/>
              </w:rPr>
              <w:t xml:space="preserve">«Получено: M = …, SD = …; статистика = …; p = …; размер эффекта = …». </w:t>
            </w:r>
          </w:p>
          <w:p>
            <w:pPr>
              <w:pStyle w:val="ListBullet"/>
              <w:spacing w:after="20"/>
            </w:pPr>
            <w:r>
              <w:rPr>
                <w:rFonts w:ascii="Aptos" w:hAnsi="Aptos" w:eastAsia="Aptos"/>
                <w:color w:val="000000"/>
                <w:sz w:val="18"/>
              </w:rPr>
              <w:t>«Следовательно, в этой выборке …». При p ≥ 0,05 пишите: «недостаточно оснований отвергнуть H0».</w:t>
            </w:r>
          </w:p>
        </w:tc>
      </w:tr>
    </w:tbl>
    <w:p>
      <w:pPr>
        <w:spacing w:after="0"/>
      </w:pPr>
    </w:p>
    <w:p>
      <w:pPr>
        <w:pStyle w:val="Heading1"/>
      </w:pPr>
      <w:r>
        <w:t>Описание данных</w:t>
      </w:r>
    </w:p>
    <w:p>
      <w:r>
        <w:rPr>
          <w:b/>
        </w:rPr>
        <w:t xml:space="preserve">Файл: </w:t>
      </w:r>
      <w:r>
        <w:t>Language_migrants_behav(2).sav. В наборе 100 участников: 50 rus и 50 yak; одна строка соответствует одному участнику, name — идентификатор.</w:t>
      </w:r>
    </w:p>
    <w:p>
      <w:pPr>
        <w:pStyle w:val="ListBullet"/>
        <w:spacing w:after="30"/>
      </w:pPr>
      <w:r>
        <w:t>group — языковая группа; genotype_STin2_cor и genotype_trans_cor — категориальные генотипические признаки; gender полностью пуст и в заданиях не используется.</w:t>
      </w:r>
    </w:p>
    <w:p>
      <w:pPr>
        <w:pStyle w:val="ListBullet"/>
        <w:spacing w:after="30"/>
      </w:pPr>
      <w:r>
        <w:t>Префиксы: Ob — нейтральное содержание, Me — собственная эмоция, Ot — эмоция другого человека, Anx — страх, Agr — агрессия.</w:t>
      </w:r>
    </w:p>
    <w:p>
      <w:pPr>
        <w:pStyle w:val="ListBullet"/>
        <w:spacing w:after="30"/>
      </w:pPr>
      <w:r>
        <w:t>Corr/Err описывает предложение: корректное или содержащее ошибку. Это не правильность ответа участника.</w:t>
      </w:r>
    </w:p>
    <w:p>
      <w:pPr>
        <w:pStyle w:val="ListBullet"/>
        <w:spacing w:after="30"/>
      </w:pPr>
      <w:r>
        <w:t>Суффиксы: Acc — точность ответа, %; lat_mean — среднее время ответа; lat_std — внутрииндивидуальная вариабельность времени.</w:t>
      </w:r>
    </w:p>
    <w:p>
      <w:pPr>
        <w:pStyle w:val="ListBullet"/>
        <w:spacing w:after="30"/>
      </w:pPr>
      <w:r>
        <w:t>Поля времени OtAnxCorr_lat_mean и OtAnxErr_lat_mean не применяются в содержательных сравнениях: у всех участников rus они совпадают. OtAnx не включен в задания.</w:t>
      </w:r>
    </w:p>
    <w:p>
      <w:pPr>
        <w:pStyle w:val="Heading2"/>
      </w:pPr>
      <w:r>
        <w:t>Структура экспериментальных полей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Часть имени</w:t>
            </w:r>
          </w:p>
        </w:tc>
        <w:tc>
          <w:tcPr>
            <w:tcW w:type="dxa" w:w="254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254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Пример</w:t>
            </w:r>
          </w:p>
        </w:tc>
        <w:tc>
          <w:tcPr>
            <w:tcW w:type="dxa" w:w="254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Единицы/тип</w:t>
            </w:r>
          </w:p>
        </w:tc>
      </w:tr>
      <w:tr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Ob / MeAnx / MeAgr / OtAgr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категория содержания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MeAgrCorr_Acc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категория</w:t>
            </w:r>
          </w:p>
        </w:tc>
      </w:tr>
      <w:tr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Corr / Err</w:t>
            </w:r>
          </w:p>
        </w:tc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наличие ошибки в предложении</w:t>
            </w:r>
          </w:p>
        </w:tc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ObErr_lat_mean</w:t>
            </w:r>
          </w:p>
        </w:tc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условие</w:t>
            </w:r>
          </w:p>
        </w:tc>
      </w:tr>
      <w:tr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Acc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точность ответов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OtAgrCorr_Acc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%</w:t>
            </w:r>
          </w:p>
        </w:tc>
      </w:tr>
      <w:tr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lat_mean</w:t>
            </w:r>
          </w:p>
        </w:tc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среднее время ответа</w:t>
            </w:r>
          </w:p>
        </w:tc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ObCorr_lat_mean</w:t>
            </w:r>
          </w:p>
        </w:tc>
        <w:tc>
          <w:tcPr>
            <w:tcW w:type="dxa" w:w="254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время, как в исходном файле</w:t>
            </w:r>
          </w:p>
        </w:tc>
      </w:tr>
      <w:tr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lat_std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вариабельность времени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MeAnxErr_lat_std</w:t>
            </w:r>
          </w:p>
        </w:tc>
        <w:tc>
          <w:tcPr>
            <w:tcW w:type="dxa" w:w="254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время, как в исходном файле</w:t>
            </w:r>
          </w:p>
        </w:tc>
      </w:tr>
    </w:tbl>
    <w:p>
      <w:pPr>
        <w:pStyle w:val="Heading1"/>
      </w:pPr>
      <w:r>
        <w:t>Формулы размера эффекта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Анализ</w:t>
            </w:r>
          </w:p>
        </w:tc>
        <w:tc>
          <w:tcPr>
            <w:tcW w:type="dxa" w:w="3389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Формула</w:t>
            </w:r>
          </w:p>
        </w:tc>
        <w:tc>
          <w:tcPr>
            <w:tcW w:type="dxa" w:w="3389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8"/>
              </w:rPr>
              <w:t>Данные из PSPP</w:t>
            </w:r>
          </w:p>
        </w:tc>
      </w:tr>
      <w:tr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Парный t-тест</w:t>
            </w:r>
          </w:p>
        </w:tc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d_z = t / √n</w:t>
            </w:r>
          </w:p>
        </w:tc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t; n = df + 1</w:t>
            </w:r>
          </w:p>
        </w:tc>
      </w:tr>
      <w:tr>
        <w:tc>
          <w:tcPr>
            <w:tcW w:type="dxa" w:w="3389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Независимый t-тест</w:t>
            </w:r>
          </w:p>
        </w:tc>
        <w:tc>
          <w:tcPr>
            <w:tcW w:type="dxa" w:w="3389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d = (M₁ − M₂) / SD_pooled</w:t>
            </w:r>
          </w:p>
        </w:tc>
        <w:tc>
          <w:tcPr>
            <w:tcW w:type="dxa" w:w="3389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n, M и SD обеих групп</w:t>
            </w:r>
          </w:p>
        </w:tc>
      </w:tr>
      <w:tr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ANOVA</w:t>
            </w:r>
          </w:p>
        </w:tc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η² = SS_between / SS_total</w:t>
            </w:r>
          </w:p>
        </w:tc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суммы квадратов</w:t>
            </w:r>
          </w:p>
        </w:tc>
      </w:tr>
      <w:tr>
        <w:tc>
          <w:tcPr>
            <w:tcW w:type="dxa" w:w="3389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Таблица сопряженности</w:t>
            </w:r>
          </w:p>
        </w:tc>
        <w:tc>
          <w:tcPr>
            <w:tcW w:type="dxa" w:w="3389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V = √[χ² / (n × (k − 1))]</w:t>
            </w:r>
          </w:p>
        </w:tc>
        <w:tc>
          <w:tcPr>
            <w:tcW w:type="dxa" w:w="3389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χ², n, меньшее k</w:t>
            </w:r>
          </w:p>
        </w:tc>
      </w:tr>
      <w:tr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Корреляция</w:t>
            </w:r>
          </w:p>
        </w:tc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размер эффекта: |r|</w:t>
            </w:r>
          </w:p>
        </w:tc>
        <w:tc>
          <w:tcPr>
            <w:tcW w:type="dxa" w:w="3389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rFonts w:ascii="Aptos" w:hAnsi="Aptos" w:eastAsia="Aptos"/>
                <w:color w:val="000000"/>
                <w:sz w:val="17"/>
              </w:rPr>
              <w:t>Pearson r или Spearman ρ</w:t>
            </w:r>
          </w:p>
        </w:tc>
      </w:tr>
    </w:tbl>
    <w:p>
      <w:r>
        <w:t>SD_pooled = √[((n₁−1)SD₁² + (n₂−1)SD₂²) / (n₁+n₂−2)]. Ориентиры для d и |r| используйте только как приблизительные; сначала сообщайте само значение.</w:t>
      </w:r>
    </w:p>
    <w:p>
      <w:pPr>
        <w:pStyle w:val="Heading1"/>
        <w:pageBreakBefore/>
      </w:pPr>
      <w:r>
        <w:t>Проверка структуры и выполнимости</w:t>
      </w:r>
    </w:p>
    <w:p>
      <w:pPr>
        <w:pStyle w:val="ListBullet"/>
        <w:spacing w:after="30"/>
      </w:pPr>
      <w:r>
        <w:t>Блоки 1–6 выровнены по трудоемкости: внутри каждого блока одинаковый тип анализа и сопоставимый объем вывода.</w:t>
      </w:r>
    </w:p>
    <w:p>
      <w:pPr>
        <w:pStyle w:val="ListBullet"/>
        <w:spacing w:after="30"/>
      </w:pPr>
      <w:r>
        <w:t>Все операции доступны в PSPP. Ручные расчеты нужны только для размеров эффекта и поправки Бонферрони.</w:t>
      </w:r>
    </w:p>
    <w:p>
      <w:pPr>
        <w:pStyle w:val="ListBullet"/>
        <w:spacing w:after="30"/>
      </w:pPr>
      <w:r>
        <w:t>Строковые генотипы перед ANOVA нужно автоматически перекодировать. Для χ² перекодирование не требуется.</w:t>
      </w:r>
    </w:p>
    <w:p>
      <w:pPr>
        <w:pStyle w:val="ListBullet"/>
        <w:spacing w:after="30"/>
      </w:pPr>
      <w:r>
        <w:t>Corr/Err — свойство предложения, поэтому задания не формулируются как сравнение правильных и неправильных ответов участника.</w:t>
      </w:r>
    </w:p>
    <w:p>
      <w:pPr>
        <w:pStyle w:val="ListBullet"/>
        <w:spacing w:after="30"/>
      </w:pPr>
      <w:r>
        <w:t>OtAnx исключен из заданий из-за систематического совпадения двух полей времени в группе rus.</w:t>
      </w:r>
    </w:p>
    <w:p>
      <w:pPr>
        <w:pStyle w:val="Heading1"/>
        <w:pageBreakBefore/>
      </w:pPr>
      <w:r>
        <w:t>Блок 1. Описательная статистика</w:t>
      </w:r>
    </w:p>
    <w:p>
      <w:pPr>
        <w:pStyle w:val="Heading2"/>
        <w:keepNext/>
      </w:pPr>
      <w:r>
        <w:t>Задание 1. Состав языковых групп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Определите численность и долю участников в группах rus и yak.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Описательная статистика → Частоты; столбчатая диаграмма.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частот и диаграмма из PSPP; 2–3 предложения с N и процентами.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2. Распределение генотипов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Опишите распределение вариантов двух генотипических признаков.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genotype_STin2_cor, genotype_trans_cor.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Частоты; отдельная таблица для каждого поля.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Две таблицы частот из PSPP; 2–3 предложения о наиболее частых и редких категориях.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3. Время ответа: нейтральные корректные предложения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Опишите центр, разброс и форму распределения времени ответа.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Описательная статистика → Исследовать; гистограмма и boxplot.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Таблица, гистограмма и boxplot из PSPP; 2–4 предложения о центре, разбросе и выбросах.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4. Время ответа: собственный страх и ошибка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Опишите центр, разброс и форму распределения времени ответа.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MeAnxErr_lat_mean.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Исследовать; гистограмма и boxplot.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Таблица, гистограмма и boxplot из PSPP; 2–4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5. Точность и потолочный эффект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Проверьте, сосредоточены ли значения точности около 100%.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ObCorr_Acc.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Частоты с показателями центра; гистограмма.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и гистограмма из PSPP; 2–4 предложения о наличии или отсутствии потолочного эффекта.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6. Вариабельность времени ответа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Опишите распределение внутрииндивидуальной вариабельности времени.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OtAgrErr_lat_std.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Исследовать; гистограмма и boxplot.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Таблица, гистограмма и boxplot из PSPP; 2–4 предложения о разбросе и выбросах.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1"/>
        <w:pageBreakBefore/>
      </w:pPr>
      <w:r>
        <w:t>Блок 2. Парные сравнения</w:t>
      </w:r>
    </w:p>
    <w:p>
      <w:pPr>
        <w:pStyle w:val="Heading2"/>
        <w:keepNext/>
      </w:pPr>
      <w:r>
        <w:t>Задание 7. Ошибка и время в нейтральных предложениях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время ответа на корректные нейтральные предложения и нейтральные предложения с ошибкой.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ObCorr_lat_mean, ObErr_lat_mean.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Сравнение средних →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Таблицы парного t-теста из PSPP, d_z = t/√n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8. Ошибка и точность в нейтральных предложениях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точность в двух условиях.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ObCorr_Acc, ObErr_Acc.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разность средних в процентных пунктах,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9. Ошибка и время при собственном страхе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время ответа в двух условиях.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MeAnxCorr_lat_mean, MeAnxErr_lat_mean.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d_z и 3–4 предложения с направлением различия.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10. Ошибка и точность при собственной агрессии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точность в двух условиях.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MeAgrCorr_Acc, MeAgrErr_Acc.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разность в процентных пунктах,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11. Собственная и чужая агрессия: время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время ответа на корректные предложения о собственной и чужой агрессии.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MeAgrCorr_lat_mean, OtAgrCorr_lat_mean.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12. Ошибка и точность при чужой агрессии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точность в корректных предложениях и предложениях с ошибкой.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OtAgrCorr_Acc, OtAgrErr_Acc.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разность в процентных пунктах,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1"/>
        <w:pageBreakBefore/>
      </w:pPr>
      <w:r>
        <w:t>Блок 3. Сравнение содержания предложений</w:t>
      </w:r>
    </w:p>
    <w:p>
      <w:pPr>
        <w:pStyle w:val="Heading2"/>
        <w:keepNext/>
      </w:pPr>
      <w:r>
        <w:t>Задание 13. Нейтральное содержание и собственный страх: время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среднее время ответа для двух категорий независимо от наличия ошибки.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Lat_Ob = MEAN(ObCorr_lat_mean, ObErr_lat_mean); Lat_Anx = MEAN(MeAnxCorr_lat_mean, MeAnxErr_lat_mean).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Преобразовать → Вычислить переменную; затем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Формулы, вывод PSPP,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14. Собственный страх и собственная агрессия: время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среднее время ответа для двух категорий.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Lat_Anx = MEAN(MeAnxCorr_lat_mean, MeAnxErr_lat_mean); Lat_Agr = MEAN(MeAgrCorr_lat_mean, MeAgrErr_lat_mean).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две переменные;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Формулы, вывод PSPP,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15. Нейтральное содержание и собственный страх: точность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среднюю точность для двух категорий.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Acc_Ob = MEAN(ObCorr_Acc, ObErr_Acc); Acc_Anx = MEAN(MeAnxCorr_Acc, MeAnxErr_Acc).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две переменные;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Формулы, вывод PSPP, разность в процентных пунктах,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16. Собственный страх и собственная агрессия: точность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среднюю точность для двух категорий.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Acc_Anx = MEAN(MeAnxCorr_Acc, MeAnxErr_Acc); Acc_Agr = MEAN(MeAgrCorr_Acc, MeAgrErr_Acc).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две переменные;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Формулы, вывод PSPP, разность в процентных пунктах,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17. Собственная и чужая агрессия: среднее время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категории независимо от наличия ошибки.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MeAgr_Lat = MEAN(MeAgrCorr_lat_mean, MeAgrErr_lat_mean); OtAgr_Lat = MEAN(OtAgrCorr_lat_mean, OtAgrErr_lat_mean).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две переменные;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Формулы, вывод PSPP,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18. Собственная и чужая агрессия: средняя точность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категории независимо от наличия ошибки.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MeAgr_Acc = MEAN(MeAgrCorr_Acc, MeAgrErr_Acc); OtAgr_Acc = MEAN(OtAgrCorr_Acc, OtAgrErr_Acc).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две переменные;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Формулы, вывод PSPP, разность в процентных пунктах, d_z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1"/>
        <w:pageBreakBefore/>
      </w:pPr>
      <w:r>
        <w:t>Блок 4. Сравнение групп</w:t>
      </w:r>
    </w:p>
    <w:p>
      <w:pPr>
        <w:pStyle w:val="Heading2"/>
        <w:keepNext/>
      </w:pPr>
      <w:r>
        <w:t>Задание 19. Группы и время нейтральных предложений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группы rus и yak по времени ответа.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ObCorr_lat_mean.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Сравнение средних → Независимый t-критерий; группирующая переменная 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Cohen d по формуле и 3–4 предложения с учетом теста Ливена.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20. Группы и время при собственном страхе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группы rus и yak по времени ответа.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MeAnxErr_lat_mean.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Независимый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Cohen d и 3–4 предложения с учетом теста Ливена.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21. Группы и среднее время при собственной агрессии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группы rus и yak.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MeAgr_Lat = MEAN(MeAgrCorr_lat_mean, MeAgrErr_lat_mean); 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MeAgr_Lat; независимый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Формула переменной, вывод PSPP, Cohen d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22. Группы и средняя точность при чужой агрессии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группы rus и yak.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OtAgr_Acc = MEAN(OtAgrCorr_Acc, OtAgrErr_Acc); 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OtAgr_Acc; независимый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Формула переменной, вывод PSPP, Cohen d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23. Группы и изменение времени из-за ошибки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группы по индивидуальному изменению времени.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DeltaLat_Ob = ObCorr_lat_mean - ObErr_lat_mean; 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DeltaLat_Ob; независимый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Формула и направление разности, вывод PSPP, Cohen d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24. Группы и изменение точности из-за ошибки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группы по индивидуальному изменению точности.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DeltaAcc_MeAgr = MeAgrCorr_Acc - MeAgrErr_Acc; 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Вычислить DeltaAcc_MeAgr; независимый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Формула и направление разности, вывод PSPP, Cohen d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1"/>
        <w:pageBreakBefore/>
      </w:pPr>
      <w:r>
        <w:t>Блок 5. Корреляционный анализ</w:t>
      </w:r>
    </w:p>
    <w:p>
      <w:pPr>
        <w:pStyle w:val="Heading2"/>
        <w:keepNext/>
      </w:pPr>
      <w:r>
        <w:t>Задание 25. Точность и время: нейтральные предложения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точности и времени ответа.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ObCorr_Acc, ObCorr_lat_mean.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Корреляция → Двумерная: Pearson; диаграмма рассеяния.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Матрица и график PSPP; r, p, N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26. Точность и время: собственный страх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точности и времени ответа.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MeAnxErr_Acc, MeAnxErr_lat_mean.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Корреляция Pearson; диаграмма рассеяния.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Матрица и график PSPP; r, p, N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27. Среднее время и его вариабельность: собственная агрессия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среднего времени с его внутрииндивидуальной вариабельностью.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MeAgrCorr_lat_mean, MeAgrCorr_lat_std.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Корреляция Pearson; диаграмма рассеяния.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Матрица и график PSPP; r, p, N и 3–4 предложения о связи и выбросах.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28. Среднее время и его вариабельность: чужая агрессия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среднего времени с его вариабельностью.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OtAgrErr_lat_mean, OtAgrErr_lat_std.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Корреляция Pearson; диаграмма рассеяния.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Матрица и график PSPP; r, p, N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29. Вариабельность времени и точность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оценки связи Pearson и Spearman.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ObCorr_lat_std, ObCorr_Acc.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Двумерная корреляция: одновременно Pearson и Spearman; диаграмма рассеяния.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Оба коэффициента, p и график PSPP; 3–4 предложения о возможном различии.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30. Точность и время при чужой агрессии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оценки связи Pearson и Spearman.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OtAgrCorr_Acc, OtAgrCorr_lat_mean.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Pearson и Spearman; диаграмма рассеяния.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Оба коэффициента, p и график PSPP;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1"/>
        <w:pageBreakBefore/>
      </w:pPr>
      <w:r>
        <w:t>Блок 6. Анализ генотипов</w:t>
      </w:r>
    </w:p>
    <w:p>
      <w:pPr>
        <w:pStyle w:val="Heading2"/>
        <w:keepNext/>
      </w:pPr>
      <w:r>
        <w:t>Задание 31. STin2 и языковая группа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варианта генотипа с группой участника.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genotype_STin2_cor.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Описательная статистика → Таблицы сопряженности; χ² и проценты по строкам.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и χ² из PSPP, V Крамера по формуле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32. trans и языковая группа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варианта генотипа с группой участника.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genotype_trans_cor.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Таблицы сопряженности; χ² и проценты по строкам.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и χ² из PSPP, V Крамера и 3–4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33. trans и время в нейтральных предложениях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показатель между вариантами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ObErr_lat_mean и числовая копия genotype_trans_cor.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Преобразовать → Автоматическое перекодирование; затем однофакторный ANOVA с описательными статистиками.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кодов и вывод ANOVA из PSPP, η² по формуле и 3–4 осторожных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 после автоматического перекодирования строкового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Риск. </w:t>
      </w:r>
      <w:r>
        <w:rPr>
          <w:rFonts w:ascii="Aptos" w:hAnsi="Aptos" w:eastAsia="Aptos"/>
          <w:color w:val="000000"/>
          <w:sz w:val="18"/>
        </w:rPr>
        <w:t>Генотипы неравномерно распределены между rus и yak; нельзя делать причинный вывод.</w:t>
      </w:r>
    </w:p>
    <w:p>
      <w:pPr>
        <w:spacing w:after="40"/>
      </w:pPr>
    </w:p>
    <w:p>
      <w:pPr>
        <w:pStyle w:val="Heading2"/>
        <w:keepNext/>
      </w:pPr>
      <w:r>
        <w:t>Задание 34. trans и время при собственном страхе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показатель между вариантами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MeAnxCorr_lat_mean и числовая копия genotype_trans_cor.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Преобразовать → Автоматическое перекодирование; затем однофакторный ANOVA с описательными статистиками.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кодов и вывод ANOVA из PSPP, η² по формуле и 3–4 осторожных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 после автоматического перекодирования строкового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Риск. </w:t>
      </w:r>
      <w:r>
        <w:rPr>
          <w:rFonts w:ascii="Aptos" w:hAnsi="Aptos" w:eastAsia="Aptos"/>
          <w:color w:val="000000"/>
          <w:sz w:val="18"/>
        </w:rPr>
        <w:t>Генотипы неравномерно распределены между rus и yak; нельзя делать причинный вывод.</w:t>
      </w:r>
    </w:p>
    <w:p>
      <w:pPr>
        <w:spacing w:after="40"/>
      </w:pPr>
    </w:p>
    <w:p>
      <w:pPr>
        <w:pStyle w:val="Heading2"/>
        <w:keepNext/>
      </w:pPr>
      <w:r>
        <w:t>Задание 35. STin2 и точность нейтральных предложений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показатель между вариантами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ObCorr_Acc и числовая копия genotype_STin2_cor.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Преобразовать → Автоматическое перекодирование; затем однофакторный ANOVA с описательными статистиками.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кодов и вывод ANOVA из PSPP, η² по формуле и 3–4 осторожных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 после автоматического перекодирования строкового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Риск. </w:t>
      </w:r>
      <w:r>
        <w:rPr>
          <w:rFonts w:ascii="Aptos" w:hAnsi="Aptos" w:eastAsia="Aptos"/>
          <w:color w:val="000000"/>
          <w:sz w:val="18"/>
        </w:rPr>
        <w:t>Генотипы неравномерно распределены между rus и yak; нельзя делать причинный вывод.</w:t>
      </w:r>
    </w:p>
    <w:p>
      <w:pPr>
        <w:spacing w:after="40"/>
      </w:pPr>
    </w:p>
    <w:p>
      <w:pPr>
        <w:pStyle w:val="Heading2"/>
        <w:keepNext/>
      </w:pPr>
      <w:r>
        <w:t>Задание 36. STin2 и время при собственной агрессии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показатель между вариантами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MeAgrCorr_lat_mean и числовая копия genotype_STin2_cor.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Преобразовать → Автоматическое перекодирование; затем однофакторный ANOVA с описательными статистиками.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Таблица кодов и вывод ANOVA из PSPP, η² по формуле и 3–4 осторожных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 после автоматического перекодирования строкового генотипа.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Риск. </w:t>
      </w:r>
      <w:r>
        <w:rPr>
          <w:rFonts w:ascii="Aptos" w:hAnsi="Aptos" w:eastAsia="Aptos"/>
          <w:color w:val="000000"/>
          <w:sz w:val="18"/>
        </w:rPr>
        <w:t>Генотипы неравномерно распределены между rus и yak; нельзя делать причинный вывод.</w:t>
      </w:r>
    </w:p>
    <w:p>
      <w:pPr>
        <w:spacing w:after="40"/>
      </w:pPr>
    </w:p>
    <w:p>
      <w:pPr>
        <w:pStyle w:val="Heading1"/>
        <w:pageBreakBefore/>
      </w:pPr>
      <w:r>
        <w:t>Блок 7. Итоговые исследовательские задания</w:t>
      </w:r>
    </w:p>
    <w:p>
      <w:pPr>
        <w:pStyle w:val="Heading2"/>
        <w:keepNext/>
      </w:pPr>
      <w:r>
        <w:t>Задание 37. Полный анализ группового различия времени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Исследуйте различие между rus и yak по времени ответа на корректные нейтральные предложения.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ObCorr_lat_mean.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Описательные статистики, гистограмма/boxplot, независимый t-критерий, тест Ливена.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 и отчет 1–2 страницы: вопрос, метод, ключевые числа, Cohen d, интерпретация и одно ограничение.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38. Полный анализ парного различия точности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Исследуйте изменение точности между корректными и ошибочными предложениями о чужой агрессии.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OtAgrCorr_Acc, OtAgrErr_Acc.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Описательные статистики, график разностей, парный t-критерий.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 и отчет 1–2 страницы: вопрос, метод, ключевые числа, d_z, интерпретация и ограничение.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 в PSPP.</w:t>
      </w:r>
    </w:p>
    <w:p>
      <w:pPr>
        <w:spacing w:after="40"/>
      </w:pPr>
    </w:p>
    <w:p>
      <w:pPr>
        <w:pStyle w:val="Heading2"/>
        <w:keepNext/>
      </w:pPr>
      <w:r>
        <w:t>Задание 39. Точность и время в нескольких условиях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 связь точности и времени в четырех условиях и учтите множественные проверки.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ObCorr, ObErr, MeAgrCorr, MeAgrErr: для каждого условия поля Acc и 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Четыре корреляции Pearson и четыре scatterplot; Bonferroni α = 0,05/4 = 0,0125.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PSPP, сводная таблица r и p и отчет 1–2 страницы с выводом до и после поправки.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Полностью выполнимо; сводная таблица и поправка оформляются вручную.</w:t>
      </w:r>
    </w:p>
    <w:p>
      <w:pPr>
        <w:spacing w:after="40"/>
      </w:pPr>
    </w:p>
    <w:p>
      <w:pPr>
        <w:pStyle w:val="Heading2"/>
        <w:keepNext/>
      </w:pPr>
      <w:r>
        <w:t>Задание 40. Чувствительность группового сравнения к выбросам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Сравните групповой анализ времени с выбросами и без них.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OtAgrCorr_lat_mean; name для идентификации наблюдений.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Исследовать и boxplot; независимый t-критерий; затем фильтр по заранее указанному правилу и повтор теста. Работайте в копии файла.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Два вывода PSPP и отчет 1–2 страницы: правило фильтрации, исключенные ID, сравнение результатов и обоснование основного анализа.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Выполнимо, но фильтрация требует внимания; строки удалять нельзя.</w:t>
      </w:r>
    </w:p>
    <w:p>
      <w:pPr>
        <w:spacing w:after="40"/>
      </w:pPr>
    </w:p>
    <w:p>
      <w:pPr>
        <w:pStyle w:val="Heading2"/>
        <w:keepNext/>
      </w:pPr>
      <w:r>
        <w:t>Задание 41. Генотип и смешивающий фактор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Проверьте, может ли связь генотипа с временем объясняться составом языковых групп.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group, genotype_trans_cor, ObErr_lat_mean.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Таблица group × genotype_trans_cor с χ²; автоматическое перекодирование; средние и ANOVA во всей выборке и после Данные → Разделить файл по group.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 и отчет 1–2 страницы: распределение генотипа, результаты до/после разделения и объяснение смешения.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Выполнимо, но это многошаговое задание; после анализа нужно отключить Split File.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Риск. </w:t>
      </w:r>
      <w:r>
        <w:rPr>
          <w:rFonts w:ascii="Aptos" w:hAnsi="Aptos" w:eastAsia="Aptos"/>
          <w:color w:val="000000"/>
          <w:sz w:val="18"/>
        </w:rPr>
        <w:t>В отдельных ячейках мало наблюдений; оценивается логика, а не достижение p &lt; 0,05.</w:t>
      </w:r>
    </w:p>
    <w:p>
      <w:pPr>
        <w:spacing w:after="40"/>
      </w:pPr>
    </w:p>
    <w:p>
      <w:pPr>
        <w:pStyle w:val="Heading2"/>
        <w:keepNext/>
      </w:pPr>
      <w:r>
        <w:t>Задание 42. Разведочный факторный анализ времени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сделать. </w:t>
      </w:r>
      <w:r>
        <w:rPr>
          <w:rFonts w:ascii="Aptos" w:hAnsi="Aptos" w:eastAsia="Aptos"/>
          <w:color w:val="000000"/>
          <w:sz w:val="20"/>
        </w:rPr>
        <w:t>Проверьте, можно ли выделить общие компоненты времени обработки предложений.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Поля. </w:t>
      </w:r>
      <w:r>
        <w:rPr>
          <w:rFonts w:ascii="Aptos" w:hAnsi="Aptos" w:eastAsia="Aptos"/>
          <w:color w:val="000000"/>
          <w:sz w:val="20"/>
        </w:rPr>
        <w:t>Восемь lat_mean: Ob, MeAnx, MeAgr и OtAgr, отдельно Corr и Err. OtAnx не включать.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Инструменты PSPP. </w:t>
      </w:r>
      <w:r>
        <w:rPr>
          <w:rFonts w:ascii="Aptos" w:hAnsi="Aptos" w:eastAsia="Aptos"/>
          <w:color w:val="000000"/>
          <w:sz w:val="20"/>
        </w:rPr>
        <w:t>Анализ → Факторный анализ; корреляционная матрица, scree plot, извлечение главных компонент или доступный метод, Varimax. KMO/Bartlett — если доступны.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20"/>
        </w:rPr>
        <w:t xml:space="preserve">Что сдать. </w:t>
      </w:r>
      <w:r>
        <w:rPr>
          <w:rFonts w:ascii="Aptos" w:hAnsi="Aptos" w:eastAsia="Aptos"/>
          <w:color w:val="000000"/>
          <w:sz w:val="20"/>
        </w:rPr>
        <w:t>Вывод PSPP и отчет 1–2 страницы: число компонентов, нагрузки, осторожные названия и ограничения.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Выполнимость. </w:t>
      </w:r>
      <w:r>
        <w:rPr>
          <w:rFonts w:ascii="Aptos" w:hAnsi="Aptos" w:eastAsia="Aptos"/>
          <w:color w:val="000000"/>
          <w:sz w:val="18"/>
        </w:rPr>
        <w:t>Выполнимо в PSPP, но набор опций зависит от версии; отсутствие KMO/Bartlett не штрафовать.</w:t>
      </w:r>
    </w:p>
    <w:p>
      <w:pPr>
        <w:ind w:left="202" w:hanging="202"/>
      </w:pPr>
      <w:r>
        <w:rPr>
          <w:rFonts w:ascii="Aptos" w:hAnsi="Aptos" w:eastAsia="Aptos"/>
          <w:b/>
          <w:color w:val="17365D"/>
          <w:sz w:val="18"/>
        </w:rPr>
        <w:t xml:space="preserve">Риск. </w:t>
      </w:r>
      <w:r>
        <w:rPr>
          <w:rFonts w:ascii="Aptos" w:hAnsi="Aptos" w:eastAsia="Aptos"/>
          <w:color w:val="000000"/>
          <w:sz w:val="18"/>
        </w:rPr>
        <w:t>Анализ разведочный; не интерпретировать компоненты как установленные клинические конструкты.</w:t>
      </w:r>
    </w:p>
    <w:p>
      <w:pPr>
        <w:spacing w:after="40"/>
      </w:pPr>
    </w:p>
    <w:p>
      <w:pPr>
        <w:pStyle w:val="Heading1"/>
        <w:pageBreakBefore/>
      </w:pPr>
      <w:r>
        <w:t>Распределение заданий по 20 вариантам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Вариант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1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2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3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4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5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6</w:t>
            </w:r>
          </w:p>
        </w:tc>
        <w:tc>
          <w:tcPr>
            <w:tcW w:type="dxa" w:w="1271"/>
            <w:shd w:fill="1F4E78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Блок 7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8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22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36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38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9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23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31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39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10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24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32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40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11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19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33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41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12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20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34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42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7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21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35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37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39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40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41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42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37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38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10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22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34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40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11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23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35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41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12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24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36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42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7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19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31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37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8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17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20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32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38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9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18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21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33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39</w:t>
            </w:r>
          </w:p>
        </w:tc>
      </w:tr>
      <w:tr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11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15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29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33</w:t>
            </w:r>
          </w:p>
        </w:tc>
        <w:tc>
          <w:tcPr>
            <w:tcW w:type="dxa" w:w="1271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41</w:t>
            </w:r>
          </w:p>
        </w:tc>
      </w:tr>
      <w:tr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12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16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20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30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34</w:t>
            </w:r>
          </w:p>
        </w:tc>
        <w:tc>
          <w:tcPr>
            <w:tcW w:type="dxa" w:w="1271"/>
            <w:shd w:fill="F5F8FC"/>
            <w:tcBorders>
              <w:top w:val="single" w:sz="5" w:color="D9E2F3"/>
              <w:left w:val="single" w:sz="5" w:color="D9E2F3"/>
              <w:bottom w:val="single" w:sz="5" w:color="D9E2F3"/>
              <w:right w:val="single" w:sz="5" w:color="D9E2F3"/>
              <w:insideH w:val="single" w:sz="5" w:color="D9E2F3"/>
              <w:insideV w:val="single" w:sz="5" w:color="D9E2F3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000000"/>
                <w:sz w:val="16"/>
              </w:rPr>
              <w:t>42</w:t>
            </w:r>
          </w:p>
        </w:tc>
      </w:tr>
    </w:tbl>
    <w:p>
      <w:pPr>
        <w:pStyle w:val="Heading1"/>
      </w:pPr>
      <w:r>
        <w:t>Потенциальные затруднения и проверка</w:t>
      </w:r>
    </w:p>
    <w:p>
      <w:pPr>
        <w:pStyle w:val="ListBullet"/>
        <w:spacing w:after="30"/>
      </w:pPr>
      <w:r>
        <w:t>Версии PSPP различаются названиями меню и набором опций графиков. Оценивайте полученный анализ, а не буквальное совпадение пути по меню.</w:t>
      </w:r>
    </w:p>
    <w:p>
      <w:pPr>
        <w:pStyle w:val="ListBullet"/>
        <w:spacing w:after="30"/>
      </w:pPr>
      <w:r>
        <w:t>Для точности характерен потолочный эффект, а для времени — выбросы и асимметрия. Не требуйте значимости; оценивайте корректность метода и осторожность вывода.</w:t>
      </w:r>
    </w:p>
    <w:p>
      <w:pPr>
        <w:pStyle w:val="ListBullet"/>
        <w:spacing w:after="30"/>
      </w:pPr>
      <w:r>
        <w:t>Генотипические подгруппы малы и связаны с group. В генотипических заданиях запрещайте причинные клинические выводы.</w:t>
      </w:r>
    </w:p>
    <w:p>
      <w:pPr>
        <w:pStyle w:val="ListBullet"/>
        <w:spacing w:after="30"/>
      </w:pPr>
      <w:r>
        <w:t>Частые ошибки: перепутаны парный и независимый t-тест, знак вычисленной разности, проценты и процентные пункты, строка t-теста после Ливена.</w:t>
      </w:r>
    </w:p>
    <w:p>
      <w:pPr>
        <w:pStyle w:val="ListBullet"/>
        <w:spacing w:after="30"/>
      </w:pPr>
      <w:r>
        <w:t>Для быстрой проверки используйте номер задания в заголовке, матрицу вариантов выше и единый критерий: корректные поля/метод, читаемый вывод PSPP, размер эффекта, краткая интерпретация.</w:t>
      </w:r>
    </w:p>
    <w:p>
      <w:pPr>
        <w:pStyle w:val="ListBullet"/>
        <w:spacing w:after="30"/>
      </w:pPr>
      <w:r>
        <w:t>В заданиях 40–42 возможны различия вывода между версиями PSPP; оценивать следует прозрачность решений и ограничения, а не единственный набор таблиц.</w:t>
      </w:r>
    </w:p>
    <w:sectPr w:rsidR="00FC693F" w:rsidRPr="0006063C" w:rsidSect="00034616">
      <w:footerReference w:type="default" r:id="rId9"/>
      <w:pgSz w:w="12240" w:h="15840"/>
      <w:pgMar w:top="893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6B7280"/>
        <w:sz w:val="16"/>
      </w:rPr>
      <w:t xml:space="preserve">Медицинская информатика • PSPP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