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  <w:jc w:val="right"/>
        <w:bidi w:val="1"/>
      </w:pPr>
    </w:p>
    <w:p>
      <w:pPr>
        <w:spacing w:before="0" w:after="160"/>
        <w:jc w:val="right"/>
        <w:bidi w:val="1"/>
      </w:pPr>
      <w:r>
        <w:rPr>
          <w:b/>
          <w:color w:val="1E3A8A"/>
          <w:sz w:val="48"/>
          <w:rtl w:val="1"/>
          <w:rFonts w:ascii="Segoe UI" w:hAnsi="Segoe UI" w:cs="Vazirmatn" w:eastAsia="Vazirmatn"/>
        </w:rPr>
        <w:t>طرح پیشنهادی مدرن‌سازی شبکه و امنیت اطلاعات</w:t>
      </w:r>
    </w:p>
    <w:p>
      <w:pPr>
        <w:spacing w:before="0" w:after="240"/>
        <w:jc w:val="right"/>
        <w:bidi w:val="1"/>
      </w:pPr>
      <w:r>
        <w:rPr>
          <w:color w:val="3B82F6"/>
          <w:sz w:val="28"/>
          <w:rtl w:val="1"/>
          <w:rFonts w:ascii="Segoe UI" w:hAnsi="Segoe UI" w:cs="Vazirmatn" w:eastAsia="Vazirmatn"/>
        </w:rPr>
        <w:t>نسخه ۱.۴ - اسفند ۱۴۰۴</w:t>
      </w:r>
    </w:p>
    <w:p>
      <w:pPr>
        <w:spacing w:before="0" w:after="400"/>
        <w:jc w:val="right"/>
        <w:bidi w:val="1"/>
      </w:pPr>
      <w:r>
        <w:rPr>
          <w:color w:val="64748B"/>
          <w:sz w:val="20"/>
          <w:rtl w:val="1"/>
          <w:rFonts w:ascii="Segoe UI" w:hAnsi="Segoe UI" w:cs="Vazirmatn" w:eastAsia="Vazirmatn"/>
        </w:rPr>
        <w:t>نویسنده / تدوین: مهندس پارسا رضایی | تاریخ: ۱۴۰۴/۱۲/۰۱</w:t>
      </w:r>
    </w:p>
    <w:p>
      <w:pPr>
        <w:spacing w:before="120" w:after="160"/>
        <w:pBdr>
          <w:bottom w:val="single" w:sz="12" w:space="1" w:color="3B82F6"/>
        </w:pBdr>
      </w:pPr>
    </w:p>
    <w:p>
      <w:pPr>
        <w:spacing w:before="360" w:after="120"/>
        <w:jc w:val="right"/>
        <w:keepNext/>
        <w:bidi w:val="1"/>
      </w:pPr>
      <w:r>
        <w:rPr>
          <w:b/>
          <w:color w:val="1E3A8A"/>
          <w:sz w:val="36"/>
          <w:rtl w:val="1"/>
          <w:rFonts w:ascii="Segoe UI" w:hAnsi="Segoe UI" w:cs="Vazirmatn" w:eastAsia="Vazirmatn"/>
        </w:rPr>
        <w:t>۱. خلاصه مدیریتی و اهداف کلان</w:t>
      </w:r>
    </w:p>
    <w:p>
      <w:pPr>
        <w:spacing w:line="312" w:lineRule="auto" w:before="0" w:after="120"/>
        <w:jc w:val="both"/>
        <w:bidi w:val="1"/>
      </w:pPr>
      <w:r>
        <w:rPr>
          <w:color w:val="1E293B"/>
          <w:sz w:val="23"/>
          <w:rtl w:val="1"/>
          <w:rFonts w:ascii="Segoe UI" w:hAnsi="Segoe UI" w:cs="Vazirmatn" w:eastAsia="Vazirmatn"/>
        </w:rPr>
        <w:t>هدف از تدوین این سند، ارائه نقشه راه جامع جهت به‌روزرسانی زیرساخت‌های فناوری اطلاعات سازمان، افزایش پایداری سرویس‌ها و پیاده‌سازی سازوکارهای نوین امنیتی بر مبنای استاندارد ISO/IEC 27001 می‌باشد. اجرای این پروژه سبب کاهش ۷۰ درصدی زمان توقف ناخواسته سیستم‌ها خواهد شد.</w:t>
      </w:r>
    </w:p>
    <w:tbl>
      <w:tblPr>
        <w:tblW w:type="auto" w:w="0"/>
        <w:jc w:val="center"/>
        <w:tblLook w:firstColumn="1" w:firstRow="1" w:lastColumn="0" w:lastRow="0" w:noHBand="0" w:noVBand="1" w:val="04A0"/>
        <w:tblBidi w:val="1"/>
      </w:tblPr>
      <w:tblGrid>
        <w:gridCol w:w="9072"/>
      </w:tblGrid>
      <w:tr>
        <w:tc>
          <w:tcPr>
            <w:tcW w:type="dxa" w:w="9071"/>
            <w:shd w:fill="DCFCE7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right w:val="single" w:sz="24" w:space="0" w:color="10B981"/>
              <w:top w:val="none"/>
              <w:left w:val="none"/>
              <w:bottom w:val="none"/>
            </w:tcBorders>
          </w:tcPr>
          <w:p>
            <w:pPr>
              <w:spacing w:line="312" w:lineRule="auto" w:before="0" w:after="40"/>
              <w:jc w:val="right"/>
              <w:bidi w:val="1"/>
            </w:pPr>
            <w:r>
              <w:rPr>
                <w:b/>
                <w:color w:val="10B981"/>
                <w:sz w:val="22"/>
                <w:rtl w:val="1"/>
                <w:rFonts w:ascii="Segoe UI" w:hAnsi="Segoe UI" w:cs="Vazirmatn" w:eastAsia="Vazirmatn"/>
              </w:rPr>
              <w:t>✅ تعهد عدم ایجاد وقفه در عملیات</w:t>
              <w:br/>
            </w:r>
            <w:r>
              <w:rPr>
                <w:color w:val="1E293B"/>
                <w:sz w:val="21"/>
                <w:rtl w:val="1"/>
                <w:rFonts w:ascii="Segoe UI" w:hAnsi="Segoe UI" w:cs="Vazirmatn" w:eastAsia="Vazirmatn"/>
              </w:rPr>
              <w:t>تمامی اقدامات اجرایی در ساعات خارج از اداری و تعطیلات پایان هفته انجام خواهد شد تا خللی در ارائه خدمات روزمره به مشتریان ایجاد نشود.</w:t>
            </w:r>
          </w:p>
        </w:tc>
      </w:tr>
    </w:tbl>
    <w:p>
      <w:pPr>
        <w:spacing w:before="0" w:after="80"/>
      </w:pPr>
    </w:p>
    <w:p>
      <w:pPr>
        <w:spacing w:before="280" w:after="80"/>
        <w:jc w:val="right"/>
        <w:keepNext/>
        <w:bidi w:val="1"/>
      </w:pPr>
      <w:r>
        <w:rPr>
          <w:b/>
          <w:color w:val="3B82F6"/>
          <w:sz w:val="30"/>
          <w:rtl w:val="1"/>
          <w:rFonts w:ascii="Segoe UI" w:hAnsi="Segoe UI" w:cs="Vazirmatn" w:eastAsia="Vazirmatn"/>
        </w:rPr>
        <w:t>۲. مشخصات فنی فازهای پیاده‌سازی</w:t>
      </w:r>
    </w:p>
    <w:tbl>
      <w:tblPr>
        <w:tblW w:type="auto" w:w="0"/>
        <w:jc w:val="center"/>
        <w:tblLook w:firstColumn="1" w:firstRow="1" w:lastColumn="0" w:lastRow="0" w:noHBand="0" w:noVBand="1" w:val="04A0"/>
        <w:tblBidi w:val="1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spacing w:before="0" w:after="0"/>
              <w:jc w:val="center"/>
              <w:bidi w:val="1"/>
            </w:pPr>
            <w:r>
              <w:rPr>
                <w:b/>
                <w:color w:val="FFFFFF"/>
                <w:sz w:val="21"/>
                <w:rtl w:val="1"/>
                <w:rFonts w:ascii="Segoe UI" w:hAnsi="Segoe UI" w:cs="Vazirmatn" w:eastAsia="Vazirmatn"/>
              </w:rPr>
              <w:t>فاز</w:t>
            </w:r>
          </w:p>
        </w:tc>
        <w:tc>
          <w:tcPr>
            <w:tcW w:type="dxa" w:w="3402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spacing w:before="0" w:after="0"/>
              <w:jc w:val="center"/>
              <w:bidi w:val="1"/>
            </w:pPr>
            <w:r>
              <w:rPr>
                <w:b/>
                <w:color w:val="FFFFFF"/>
                <w:sz w:val="21"/>
                <w:rtl w:val="1"/>
                <w:rFonts w:ascii="Segoe UI" w:hAnsi="Segoe UI" w:cs="Vazirmatn" w:eastAsia="Vazirmatn"/>
              </w:rPr>
              <w:t>عنوان فاز</w:t>
            </w:r>
          </w:p>
        </w:tc>
        <w:tc>
          <w:tcPr>
            <w:tcW w:type="dxa" w:w="1417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spacing w:before="0" w:after="0"/>
              <w:jc w:val="center"/>
              <w:bidi w:val="1"/>
            </w:pPr>
            <w:r>
              <w:rPr>
                <w:b/>
                <w:color w:val="FFFFFF"/>
                <w:sz w:val="21"/>
                <w:rtl w:val="1"/>
                <w:rFonts w:ascii="Segoe UI" w:hAnsi="Segoe UI" w:cs="Vazirmatn" w:eastAsia="Vazirmatn"/>
              </w:rPr>
              <w:t>مدت زمان</w:t>
            </w:r>
          </w:p>
        </w:tc>
        <w:tc>
          <w:tcPr>
            <w:tcW w:type="dxa" w:w="1701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spacing w:before="0" w:after="0"/>
              <w:jc w:val="center"/>
              <w:bidi w:val="1"/>
            </w:pPr>
            <w:r>
              <w:rPr>
                <w:b/>
                <w:color w:val="FFFFFF"/>
                <w:sz w:val="21"/>
                <w:rtl w:val="1"/>
                <w:rFonts w:ascii="Segoe UI" w:hAnsi="Segoe UI" w:cs="Vazirmatn" w:eastAsia="Vazirmatn"/>
              </w:rPr>
              <w:t>پیش‌نیاز</w:t>
            </w:r>
          </w:p>
        </w:tc>
        <w:tc>
          <w:tcPr>
            <w:tcW w:type="dxa" w:w="1984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spacing w:before="0" w:after="0"/>
              <w:jc w:val="center"/>
              <w:bidi w:val="1"/>
            </w:pPr>
            <w:r>
              <w:rPr>
                <w:b/>
                <w:color w:val="FFFFFF"/>
                <w:sz w:val="21"/>
                <w:rtl w:val="1"/>
                <w:rFonts w:ascii="Segoe UI" w:hAnsi="Segoe UI" w:cs="Vazirmatn" w:eastAsia="Vazirmatn"/>
              </w:rPr>
              <w:t>هزینه تخمینی (میلیون تومان)</w:t>
            </w:r>
          </w:p>
        </w:tc>
      </w:tr>
      <w:tr>
        <w:tc>
          <w:tcPr>
            <w:tcW w:type="dxa" w:w="85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  <w:bidi w:val="1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فاز ۱</w:t>
            </w:r>
          </w:p>
        </w:tc>
        <w:tc>
          <w:tcPr>
            <w:tcW w:type="dxa" w:w="340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right"/>
              <w:bidi w:val="1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ارزیابی امنیتی و اسکن آسیب‌پذیری‌ها</w:t>
            </w:r>
          </w:p>
        </w:tc>
        <w:tc>
          <w:tcPr>
            <w:tcW w:type="dxa" w:w="141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  <w:bidi w:val="1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۲ هفته</w:t>
            </w:r>
          </w:p>
        </w:tc>
        <w:tc>
          <w:tcPr>
            <w:tcW w:type="dxa" w:w="1701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right"/>
              <w:bidi w:val="1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دسترسی به تجهیزات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  <w:bidi w:val="1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۴۵</w:t>
            </w:r>
          </w:p>
        </w:tc>
      </w:tr>
      <w:tr>
        <w:tc>
          <w:tcPr>
            <w:tcW w:type="dxa" w:w="850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  <w:bidi w:val="1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فاز ۲</w:t>
            </w:r>
          </w:p>
        </w:tc>
        <w:tc>
          <w:tcPr>
            <w:tcW w:type="dxa" w:w="3402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right"/>
              <w:bidi w:val="1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ارتقای هسته سوییچینگ و فایروال</w:t>
            </w:r>
          </w:p>
        </w:tc>
        <w:tc>
          <w:tcPr>
            <w:tcW w:type="dxa" w:w="1417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  <w:bidi w:val="1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۳ هفته</w:t>
            </w:r>
          </w:p>
        </w:tc>
        <w:tc>
          <w:tcPr>
            <w:tcW w:type="dxa" w:w="1701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  <w:bidi w:val="1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فاز ۱</w:t>
            </w:r>
          </w:p>
        </w:tc>
        <w:tc>
          <w:tcPr>
            <w:tcW w:type="dxa" w:w="1984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  <w:bidi w:val="1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۱۲۰</w:t>
            </w:r>
          </w:p>
        </w:tc>
      </w:tr>
      <w:tr>
        <w:tc>
          <w:tcPr>
            <w:tcW w:type="dxa" w:w="85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  <w:bidi w:val="1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فاز ۳</w:t>
            </w:r>
          </w:p>
        </w:tc>
        <w:tc>
          <w:tcPr>
            <w:tcW w:type="dxa" w:w="340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right"/>
              <w:bidi w:val="1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راه‌اندازی پشتیبان‌گیری خودکار ابری</w:t>
            </w:r>
          </w:p>
        </w:tc>
        <w:tc>
          <w:tcPr>
            <w:tcW w:type="dxa" w:w="141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  <w:bidi w:val="1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۲ هفته</w:t>
            </w:r>
          </w:p>
        </w:tc>
        <w:tc>
          <w:tcPr>
            <w:tcW w:type="dxa" w:w="1701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  <w:bidi w:val="1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فاز ۲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  <w:bidi w:val="1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۶۰</w:t>
            </w:r>
          </w:p>
        </w:tc>
      </w:tr>
      <w:tr>
        <w:tc>
          <w:tcPr>
            <w:tcW w:type="dxa" w:w="850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  <w:bidi w:val="1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فاز ۴</w:t>
            </w:r>
          </w:p>
        </w:tc>
        <w:tc>
          <w:tcPr>
            <w:tcW w:type="dxa" w:w="3402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right"/>
              <w:bidi w:val="1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آزمون نفوذ و آموزش پرسنل</w:t>
            </w:r>
          </w:p>
        </w:tc>
        <w:tc>
          <w:tcPr>
            <w:tcW w:type="dxa" w:w="1417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  <w:bidi w:val="1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۱ هفته</w:t>
            </w:r>
          </w:p>
        </w:tc>
        <w:tc>
          <w:tcPr>
            <w:tcW w:type="dxa" w:w="1701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  <w:bidi w:val="1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فاز ۳</w:t>
            </w:r>
          </w:p>
        </w:tc>
        <w:tc>
          <w:tcPr>
            <w:tcW w:type="dxa" w:w="1984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  <w:bidi w:val="1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۳۵</w:t>
            </w:r>
          </w:p>
        </w:tc>
      </w:tr>
    </w:tbl>
    <w:p>
      <w:pPr>
        <w:spacing w:before="0" w:after="120"/>
      </w:pPr>
    </w:p>
    <w:p>
      <w:pPr>
        <w:spacing w:before="280" w:after="80"/>
        <w:jc w:val="right"/>
        <w:keepNext/>
        <w:bidi w:val="1"/>
      </w:pPr>
      <w:r>
        <w:rPr>
          <w:b/>
          <w:color w:val="3B82F6"/>
          <w:sz w:val="30"/>
          <w:rtl w:val="1"/>
          <w:rFonts w:ascii="Segoe UI" w:hAnsi="Segoe UI" w:cs="Vazirmatn" w:eastAsia="Vazirmatn"/>
        </w:rPr>
        <w:t>۳. نیازمندی‌ها و الزامات کلیدی</w:t>
      </w:r>
    </w:p>
    <w:p>
      <w:pPr>
        <w:spacing w:line="300" w:lineRule="auto" w:before="40" w:after="60"/>
        <w:ind w:right="340"/>
        <w:jc w:val="right"/>
        <w:bidi w:val="1"/>
      </w:pPr>
      <w:r>
        <w:rPr>
          <w:color w:val="3B82F6"/>
          <w:sz w:val="20"/>
          <w:rtl w:val="1"/>
          <w:rFonts w:ascii="Segoe UI" w:hAnsi="Segoe UI" w:cs="Vazirmatn" w:eastAsia="Vazirmatn"/>
        </w:rPr>
        <w:t xml:space="preserve">▪  </w:t>
      </w:r>
      <w:r>
        <w:rPr>
          <w:b/>
          <w:color w:val="1E293B"/>
          <w:sz w:val="22"/>
          <w:rtl w:val="1"/>
          <w:rFonts w:ascii="Segoe UI" w:hAnsi="Segoe UI" w:cs="Vazirmatn" w:eastAsia="Vazirmatn"/>
        </w:rPr>
        <w:t xml:space="preserve">ارتباطات شبکه: </w:t>
      </w:r>
      <w:r>
        <w:rPr>
          <w:color w:val="1E293B"/>
          <w:sz w:val="22"/>
          <w:rtl w:val="1"/>
          <w:rFonts w:ascii="Segoe UI" w:hAnsi="Segoe UI" w:cs="Vazirmatn" w:eastAsia="Vazirmatn"/>
        </w:rPr>
        <w:t>تأمین پهنای باند اختصاصی حداقل ۱۰۰ مگابیت بر ثانیه</w:t>
      </w:r>
    </w:p>
    <w:p>
      <w:pPr>
        <w:spacing w:line="300" w:lineRule="auto" w:before="40" w:after="60"/>
        <w:ind w:right="340"/>
        <w:jc w:val="right"/>
        <w:bidi w:val="1"/>
      </w:pPr>
      <w:r>
        <w:rPr>
          <w:color w:val="3B82F6"/>
          <w:sz w:val="20"/>
          <w:rtl w:val="1"/>
          <w:rFonts w:ascii="Segoe UI" w:hAnsi="Segoe UI" w:cs="Vazirmatn" w:eastAsia="Vazirmatn"/>
        </w:rPr>
        <w:t xml:space="preserve">▪  </w:t>
      </w:r>
      <w:r>
        <w:rPr>
          <w:b/>
          <w:color w:val="1E293B"/>
          <w:sz w:val="22"/>
          <w:rtl w:val="1"/>
          <w:rFonts w:ascii="Segoe UI" w:hAnsi="Segoe UI" w:cs="Vazirmatn" w:eastAsia="Vazirmatn"/>
        </w:rPr>
        <w:t xml:space="preserve">زیرساخت فیزیکی: </w:t>
      </w:r>
      <w:r>
        <w:rPr>
          <w:color w:val="1E293B"/>
          <w:sz w:val="22"/>
          <w:rtl w:val="1"/>
          <w:rFonts w:ascii="Segoe UI" w:hAnsi="Segoe UI" w:cs="Vazirmatn" w:eastAsia="Vazirmatn"/>
        </w:rPr>
        <w:t>تخصیص فضای دیتاسنتر با سرمایش استاندارد و برق اضطراری (UPS)</w:t>
      </w:r>
    </w:p>
    <w:p>
      <w:pPr>
        <w:spacing w:line="300" w:lineRule="auto" w:before="40" w:after="60"/>
        <w:ind w:right="340"/>
        <w:jc w:val="right"/>
        <w:bidi w:val="1"/>
      </w:pPr>
      <w:r>
        <w:rPr>
          <w:color w:val="3B82F6"/>
          <w:sz w:val="20"/>
          <w:rtl w:val="1"/>
          <w:rFonts w:ascii="Segoe UI" w:hAnsi="Segoe UI" w:cs="Vazirmatn" w:eastAsia="Vazirmatn"/>
        </w:rPr>
        <w:t xml:space="preserve">▪  </w:t>
      </w:r>
      <w:r>
        <w:rPr>
          <w:b/>
          <w:color w:val="1E293B"/>
          <w:sz w:val="22"/>
          <w:rtl w:val="1"/>
          <w:rFonts w:ascii="Segoe UI" w:hAnsi="Segoe UI" w:cs="Vazirmatn" w:eastAsia="Vazirmatn"/>
        </w:rPr>
        <w:t xml:space="preserve">تیم کارفرما: </w:t>
      </w:r>
      <w:r>
        <w:rPr>
          <w:color w:val="1E293B"/>
          <w:sz w:val="22"/>
          <w:rtl w:val="1"/>
          <w:rFonts w:ascii="Segoe UI" w:hAnsi="Segoe UI" w:cs="Vazirmatn" w:eastAsia="Vazirmatn"/>
        </w:rPr>
        <w:t>معرفی رابط فنی از سوی کارفرما جهت هماهنگی‌های دسترسی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  <w:bidi w:val="1"/>
    </w:pPr>
    <w:r>
      <w:rPr>
        <w:color w:val="64748B"/>
        <w:sz w:val="18"/>
        <w:rtl w:val="1"/>
        <w:rFonts w:ascii="Segoe UI" w:hAnsi="Segoe UI" w:cs="Vazirmatn" w:eastAsia="Vazirmatn"/>
      </w:rPr>
      <w:t>صفحه ۱ | شرکت فناوران داده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color w:val="64748B"/>
        <w:sz w:val="18"/>
        <w:rtl w:val="1"/>
        <w:rFonts w:ascii="Segoe UI" w:hAnsi="Segoe UI" w:cs="Vazirmatn" w:eastAsia="Vazirmatn"/>
      </w:rPr>
      <w:t>طرح توجیهی ارتقای زیرساخت سازمانی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E293B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