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right"/>
        <w:bidi w:val="1"/>
      </w:pPr>
    </w:p>
    <w:p>
      <w:pPr>
        <w:spacing w:before="0" w:after="160"/>
        <w:jc w:val="right"/>
        <w:bidi w:val="1"/>
      </w:pPr>
      <w:r>
        <w:rPr>
          <w:b/>
          <w:color w:val="065F46"/>
          <w:sz w:val="48"/>
          <w:rtl w:val="1"/>
          <w:rFonts w:ascii="Segoe UI" w:hAnsi="Segoe UI" w:cs="Vazirmatn" w:eastAsia="Vazirmatn"/>
        </w:rPr>
        <w:t>گزارش سالانه پایداری و مسئولیت اجتماعی</w:t>
      </w:r>
    </w:p>
    <w:p>
      <w:pPr>
        <w:spacing w:before="0" w:after="240"/>
        <w:jc w:val="right"/>
        <w:bidi w:val="1"/>
      </w:pPr>
      <w:r>
        <w:rPr>
          <w:color w:val="10B981"/>
          <w:sz w:val="28"/>
          <w:rtl w:val="1"/>
          <w:rFonts w:ascii="Segoe UI" w:hAnsi="Segoe UI" w:cs="Vazirmatn" w:eastAsia="Vazirmatn"/>
        </w:rPr>
        <w:t>بررسی شاخص‌های ESG و بازدهی سرمایه‌گذاری سبز</w:t>
      </w:r>
    </w:p>
    <w:p>
      <w:pPr>
        <w:spacing w:before="0" w:after="400"/>
        <w:jc w:val="right"/>
        <w:bidi w:val="1"/>
      </w:pPr>
      <w:r>
        <w:rPr>
          <w:color w:val="6B7280"/>
          <w:sz w:val="20"/>
          <w:rtl w:val="1"/>
          <w:rFonts w:ascii="Segoe UI" w:hAnsi="Segoe UI" w:cs="Vazirmatn" w:eastAsia="Vazirmatn"/>
        </w:rPr>
        <w:t>نویسنده / تدوین: دپارتمان سرمایه‌گذاری سبز | تاریخ: ۱۴۰۴/۱۲/۰۱</w:t>
      </w:r>
    </w:p>
    <w:p>
      <w:pPr>
        <w:spacing w:before="120" w:after="160"/>
        <w:pBdr>
          <w:bottom w:val="single" w:sz="12" w:space="1" w:color="10B981"/>
        </w:pBdr>
      </w:pPr>
    </w:p>
    <w:p>
      <w:pPr>
        <w:spacing w:before="360" w:after="120"/>
        <w:jc w:val="right"/>
        <w:keepNext/>
        <w:bidi w:val="1"/>
      </w:pPr>
      <w:r>
        <w:rPr>
          <w:b/>
          <w:color w:val="065F46"/>
          <w:sz w:val="36"/>
          <w:rtl w:val="1"/>
          <w:rFonts w:ascii="Segoe UI" w:hAnsi="Segoe UI" w:cs="Vazirmatn" w:eastAsia="Vazirmatn"/>
        </w:rPr>
        <w:t>۱. بیانیه مسئولیت زیست‌محیطی</w:t>
      </w:r>
    </w:p>
    <w:p>
      <w:pPr>
        <w:spacing w:line="312" w:lineRule="auto" w:before="0" w:after="120"/>
        <w:jc w:val="both"/>
        <w:bidi w:val="1"/>
      </w:pPr>
      <w:r>
        <w:rPr>
          <w:color w:val="132E27"/>
          <w:sz w:val="23"/>
          <w:rtl w:val="1"/>
          <w:rFonts w:ascii="Segoe UI" w:hAnsi="Segoe UI" w:cs="Vazirmatn" w:eastAsia="Vazirmatn"/>
        </w:rPr>
        <w:t>در سال مالی گذشته، شرکت توانسته است با بهینه‌سازی زنجیره تأمین و استفاده از انرژی‌های تجدیدپذیر، ردپای کربن خود را به میزان ۲۸ درصد کاهش دهد.</w:t>
      </w:r>
    </w:p>
    <w:tbl>
      <w:tblPr>
        <w:tblW w:type="auto" w:w="0"/>
        <w:jc w:val="center"/>
        <w:tblLook w:firstColumn="1" w:firstRow="1" w:lastColumn="0" w:lastRow="0" w:noHBand="0" w:noVBand="1" w:val="04A0"/>
        <w:tblBidi w:val="1"/>
      </w:tblPr>
      <w:tblGrid>
        <w:gridCol w:w="9072"/>
      </w:tblGrid>
      <w:tr>
        <w:tc>
          <w:tcPr>
            <w:tcW w:type="dxa" w:w="9071"/>
            <w:shd w:fill="E0F2FE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right w:val="single" w:sz="24" w:space="0" w:color="10B981"/>
              <w:top w:val="none"/>
              <w:left w:val="none"/>
              <w:bottom w:val="none"/>
            </w:tcBorders>
          </w:tcPr>
          <w:p>
            <w:pPr>
              <w:spacing w:line="312" w:lineRule="auto" w:before="0" w:after="40"/>
              <w:jc w:val="right"/>
              <w:bidi w:val="1"/>
            </w:pPr>
            <w:r>
              <w:rPr>
                <w:b/>
                <w:color w:val="10B981"/>
                <w:sz w:val="22"/>
                <w:rtl w:val="1"/>
                <w:rFonts w:ascii="Segoe UI" w:hAnsi="Segoe UI" w:cs="Vazirmatn" w:eastAsia="Vazirmatn"/>
              </w:rPr>
              <w:t>ℹ️ دستاورد برتر سال</w:t>
              <w:br/>
            </w:r>
            <w:r>
              <w:rPr>
                <w:color w:val="132E27"/>
                <w:sz w:val="21"/>
                <w:rtl w:val="1"/>
                <w:rFonts w:ascii="Segoe UI" w:hAnsi="Segoe UI" w:cs="Vazirmatn" w:eastAsia="Vazirmatn"/>
              </w:rPr>
              <w:t>سرمایه‌گذاری در فناوری‌های پاک منجر به صرفه‌جویی سالانه بالغ بر ۳ میلیارد تومان در هزینه‌های انرژی گردیده است.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color w:val="6B7280"/>
        <w:sz w:val="18"/>
        <w:rtl w:val="1"/>
        <w:rFonts w:ascii="Segoe UI" w:hAnsi="Segoe UI" w:cs="Vazirmatn" w:eastAsia="Vazirmatn"/>
      </w:rPr>
      <w:t>سال مالی ۱۴۰۴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color w:val="6B7280"/>
        <w:sz w:val="18"/>
        <w:rtl w:val="1"/>
        <w:rFonts w:ascii="Segoe UI" w:hAnsi="Segoe UI" w:cs="Vazirmatn" w:eastAsia="Vazirmatn"/>
      </w:rPr>
      <w:t>گزارش عملکرد مالی و پایداری زیست‌محیطی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32E2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