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20"/>
        <w:jc w:val="center"/>
      </w:pPr>
      <w:r>
        <w:rPr>
          <w:b/>
          <w:bCs/>
          <w:sz w:val="56"/>
          <w:szCs w:val="56"/>
        </w:rPr>
        <w:t xml:space="preserve">Ward</w:t>
      </w:r>
    </w:p>
    <w:p>
      <w:pPr>
        <w:spacing w:after="60"/>
        <w:jc w:val="center"/>
      </w:pPr>
      <w:r>
        <w:rPr>
          <w:sz w:val="30"/>
          <w:szCs w:val="30"/>
        </w:rPr>
        <w:t xml:space="preserve">A Verification-First Programming Language for Reliable AI Code Generation</w:t>
      </w:r>
    </w:p>
    <w:p>
      <w:pPr>
        <w:spacing w:after="600"/>
        <w:jc w:val="center"/>
      </w:pPr>
      <w:r>
        <w:rPr>
          <w:i/>
          <w:iCs/>
          <w:color w:val="555555"/>
          <w:sz w:val="26"/>
          <w:szCs w:val="26"/>
        </w:rPr>
        <w:t xml:space="preserve">Research Proposal</w:t>
      </w:r>
    </w:p>
    <w:p>
      <w:pPr>
        <w:spacing w:after="2400"/>
        <w:jc w:val="center"/>
      </w:pPr>
      <w:r>
        <w:rPr>
          <w:color w:val="555555"/>
          <w:sz w:val="20"/>
          <w:szCs w:val="20"/>
        </w:rPr>
        <w:t xml:space="preserve">Status: Proposal for staged, milestone-gated research. Not yet funded, built, or benchmarked.</w:t>
      </w:r>
    </w:p>
    <w:p>
      <w:r>
        <w:br w:type="page"/>
      </w:r>
    </w:p>
    <w:p>
      <w:pPr>
        <w:pStyle w:val="Heading1"/>
        <w:spacing w:after="140" w:before="280"/>
      </w:pPr>
      <w:r>
        <w:t xml:space="preserve">Executive Summary</w:t>
      </w:r>
    </w:p>
    <w:p>
      <w:pPr>
        <w:spacing w:after="160"/>
      </w:pPr>
      <w:r>
        <w:t xml:space="preserve">AI coding assistants have improved rapidly, but accuracy on realistic, unfamiliar, production-scale software tasks remains far below what full autonomous review-free operation would require — current best results sit in the 45–70% range on contamination-resistant benchmarks (SWE-bench Pro), and roughly 48–51% on tasks involving real library-version drift (GitChameleon), even for the strongest models in the best-supported languages.</w:t>
      </w:r>
    </w:p>
    <w:p>
      <w:pPr>
        <w:spacing w:after="160"/>
      </w:pPr>
      <w:r>
        <w:t xml:space="preserve">Verification-first languages already address part of this gap in production today. Dafny, paired with LLM self-healing loops, achieves 82–91% verify-success rates on algorithmic tasks, and is used industrially at AWS. Lean 4 is the backbone of the strongest AI theorem-proving pipelines. Neither is a research curiosity Ward would compete against from zero — Ward's contribution has to be positioned against what these systems already do well, and this proposal does that explicitly (§2).</w:t>
      </w:r>
    </w:p>
    <w:p>
      <w:pPr>
        <w:spacing w:after="160"/>
      </w:pPr>
      <w:r>
        <w:t xml:space="preserve">What neither Dafny nor Lean 4 currently addresses is full-stack software development — the large majority of real-world programming — which is structurally dependent on huge, unverified library ecosystems (web frameworks, ORMs, UI libraries, cloud SDKs) and dominated by code where full formal proof is expensive overkill, not safety. Lean 4 in particular has no viable web/backend ecosystem; Dafny's own literature documents that manual verification effort is significant and unpredictable on non-trivial programs. This proposal targets that specific, currently unfilled gap: a language that matches Dafny/Lean's verification rigor where it's warranted, integrates with existing developer ecosystems the way Dafny's multi-target compiler does (rather than Lean 4's isolated-ecosystem approach), and applies proof selectively — via tiered verification and a trusted boundary for calling unverified real-world libraries — rather than uniformly.</w:t>
      </w:r>
    </w:p>
    <w:p>
      <w:pPr>
        <w:spacing w:after="160"/>
      </w:pPr>
      <w:r>
        <w:t xml:space="preserve">This proposal does not ask for funding to build the full system. It proposes a cheap, fast, falsifiable first experiment (Phase 0, ~3 months, no new language required) that tests the specific, novel claim — not “does verification help” (already answered by Dafny), but “does a familiar surface syntax elaborating into a Dafny/Verus-style core outperform prompting a formal language directly, and does a trusted FFI boundary let verified code safely use real-world libraries” — with clear go/no-go criteria before further investment is requested.</w:t>
      </w:r>
    </w:p>
    <w:p>
      <w:pPr>
        <w:pBdr>
          <w:bottom w:val="single" w:color="999999" w:sz="6" w:space="1"/>
        </w:pBdr>
        <w:spacing w:after="200"/>
      </w:pPr>
    </w:p>
    <w:p>
      <w:pPr>
        <w:pStyle w:val="Heading1"/>
        <w:spacing w:after="140" w:before="280"/>
      </w:pPr>
      <w:r>
        <w:t xml:space="preserve">1. Problem Statement</w:t>
      </w:r>
    </w:p>
    <w:p>
      <w:pPr>
        <w:spacing w:after="160"/>
      </w:pPr>
      <w:r>
        <w:t xml:space="preserve">Benchmark results as of mid-2026 show a consistent pattern: reported AI coding accuracy is highly sensitive to how “accuracy” is measured, and the gap between saturated/contaminated benchmarks and realistic, novel-task benchmarks is large and persistent across every model and language tested.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shd w:fill="D9E2F3" w:color="auto" w:val="clear"/>
            <w:tcMar>
              <w:top w:type="dxa" w:w="80"/>
              <w:left w:type="dxa" w:w="100"/>
              <w:bottom w:type="dxa" w:w="80"/>
              <w:right w:type="dxa" w:w="100"/>
            </w:tcMar>
          </w:tcPr>
          <w:p>
            <w:r>
              <w:rPr>
                <w:b/>
                <w:bCs/>
              </w:rPr>
              <w:t xml:space="preserve">Benchmark</w:t>
            </w:r>
          </w:p>
        </w:tc>
        <w:tc>
          <w:tcPr>
            <w:tcW w:type="dxa" w:w="3200"/>
            <w:shd w:fill="D9E2F3" w:color="auto" w:val="clear"/>
            <w:tcMar>
              <w:top w:type="dxa" w:w="80"/>
              <w:left w:type="dxa" w:w="100"/>
              <w:bottom w:type="dxa" w:w="80"/>
              <w:right w:type="dxa" w:w="100"/>
            </w:tcMar>
          </w:tcPr>
          <w:p>
            <w:r>
              <w:rPr>
                <w:b/>
                <w:bCs/>
              </w:rPr>
              <w:t xml:space="preserve">What it measures</w:t>
            </w:r>
          </w:p>
        </w:tc>
        <w:tc>
          <w:tcPr>
            <w:tcW w:type="dxa" w:w="3200"/>
            <w:shd w:fill="D9E2F3" w:color="auto" w:val="clear"/>
            <w:tcMar>
              <w:top w:type="dxa" w:w="80"/>
              <w:left w:type="dxa" w:w="100"/>
              <w:bottom w:type="dxa" w:w="80"/>
              <w:right w:type="dxa" w:w="100"/>
            </w:tcMar>
          </w:tcPr>
          <w:p>
            <w:r>
              <w:rPr>
                <w:b/>
                <w:bCs/>
              </w:rPr>
              <w:t xml:space="preserve">Representative result</w:t>
            </w:r>
          </w:p>
        </w:tc>
      </w:tr>
      <w:tr>
        <w:tc>
          <w:tcPr>
            <w:tcW w:type="dxa" w:w="3200"/>
            <w:tcMar>
              <w:top w:type="dxa" w:w="80"/>
              <w:left w:type="dxa" w:w="100"/>
              <w:bottom w:type="dxa" w:w="80"/>
              <w:right w:type="dxa" w:w="100"/>
            </w:tcMar>
          </w:tcPr>
          <w:p>
            <w:r>
              <w:rPr>
                <w:b w:val="false"/>
                <w:bCs w:val="false"/>
              </w:rPr>
              <w:t xml:space="preserve">HumanEval</w:t>
            </w:r>
          </w:p>
        </w:tc>
        <w:tc>
          <w:tcPr>
            <w:tcW w:type="dxa" w:w="3200"/>
            <w:tcMar>
              <w:top w:type="dxa" w:w="80"/>
              <w:left w:type="dxa" w:w="100"/>
              <w:bottom w:type="dxa" w:w="80"/>
              <w:right w:type="dxa" w:w="100"/>
            </w:tcMar>
          </w:tcPr>
          <w:p>
            <w:r>
              <w:rPr>
                <w:b w:val="false"/>
                <w:bCs w:val="false"/>
              </w:rPr>
              <w:t xml:space="preserve">Isolated function from a docstring</w:t>
            </w:r>
          </w:p>
        </w:tc>
        <w:tc>
          <w:tcPr>
            <w:tcW w:type="dxa" w:w="3200"/>
            <w:tcMar>
              <w:top w:type="dxa" w:w="80"/>
              <w:left w:type="dxa" w:w="100"/>
              <w:bottom w:type="dxa" w:w="80"/>
              <w:right w:type="dxa" w:w="100"/>
            </w:tcMar>
          </w:tcPr>
          <w:p>
            <w:r>
              <w:rPr>
                <w:b w:val="false"/>
                <w:bCs w:val="false"/>
              </w:rPr>
              <w:t xml:space="preserve">90–97%+ (saturated, likely contaminated)</w:t>
            </w:r>
          </w:p>
        </w:tc>
      </w:tr>
      <w:tr>
        <w:tc>
          <w:tcPr>
            <w:tcW w:type="dxa" w:w="3200"/>
            <w:tcMar>
              <w:top w:type="dxa" w:w="80"/>
              <w:left w:type="dxa" w:w="100"/>
              <w:bottom w:type="dxa" w:w="80"/>
              <w:right w:type="dxa" w:w="100"/>
            </w:tcMar>
          </w:tcPr>
          <w:p>
            <w:r>
              <w:rPr>
                <w:b w:val="false"/>
                <w:bCs w:val="false"/>
              </w:rPr>
              <w:t xml:space="preserve">SWE-bench Verified (self-reported)</w:t>
            </w:r>
          </w:p>
        </w:tc>
        <w:tc>
          <w:tcPr>
            <w:tcW w:type="dxa" w:w="3200"/>
            <w:tcMar>
              <w:top w:type="dxa" w:w="80"/>
              <w:left w:type="dxa" w:w="100"/>
              <w:bottom w:type="dxa" w:w="80"/>
              <w:right w:type="dxa" w:w="100"/>
            </w:tcMar>
          </w:tcPr>
          <w:p>
            <w:r>
              <w:rPr>
                <w:b w:val="false"/>
                <w:bCs w:val="false"/>
              </w:rPr>
              <w:t xml:space="preserve">Real GitHub issues, gameable</w:t>
            </w:r>
          </w:p>
        </w:tc>
        <w:tc>
          <w:tcPr>
            <w:tcW w:type="dxa" w:w="3200"/>
            <w:tcMar>
              <w:top w:type="dxa" w:w="80"/>
              <w:left w:type="dxa" w:w="100"/>
              <w:bottom w:type="dxa" w:w="80"/>
              <w:right w:type="dxa" w:w="100"/>
            </w:tcMar>
          </w:tcPr>
          <w:p>
            <w:r>
              <w:rPr>
                <w:b w:val="false"/>
                <w:bCs w:val="false"/>
              </w:rPr>
              <w:t xml:space="preserve">88–97% claimed; ~99% of leaderboard entries unverified</w:t>
            </w:r>
          </w:p>
        </w:tc>
      </w:tr>
      <w:tr>
        <w:tc>
          <w:tcPr>
            <w:tcW w:type="dxa" w:w="3200"/>
            <w:tcMar>
              <w:top w:type="dxa" w:w="80"/>
              <w:left w:type="dxa" w:w="100"/>
              <w:bottom w:type="dxa" w:w="80"/>
              <w:right w:type="dxa" w:w="100"/>
            </w:tcMar>
          </w:tcPr>
          <w:p>
            <w:r>
              <w:rPr>
                <w:b w:val="false"/>
                <w:bCs w:val="false"/>
              </w:rPr>
              <w:t xml:space="preserve">SWE-bench Pro (standardized)</w:t>
            </w:r>
          </w:p>
        </w:tc>
        <w:tc>
          <w:tcPr>
            <w:tcW w:type="dxa" w:w="3200"/>
            <w:tcMar>
              <w:top w:type="dxa" w:w="80"/>
              <w:left w:type="dxa" w:w="100"/>
              <w:bottom w:type="dxa" w:w="80"/>
              <w:right w:type="dxa" w:w="100"/>
            </w:tcMar>
          </w:tcPr>
          <w:p>
            <w:r>
              <w:rPr>
                <w:b w:val="false"/>
                <w:bCs w:val="false"/>
              </w:rPr>
              <w:t xml:space="preserve">Real GitHub issues, contamination-resistant</w:t>
            </w:r>
          </w:p>
        </w:tc>
        <w:tc>
          <w:tcPr>
            <w:tcW w:type="dxa" w:w="3200"/>
            <w:tcMar>
              <w:top w:type="dxa" w:w="80"/>
              <w:left w:type="dxa" w:w="100"/>
              <w:bottom w:type="dxa" w:w="80"/>
              <w:right w:type="dxa" w:w="100"/>
            </w:tcMar>
          </w:tcPr>
          <w:p>
            <w:r>
              <w:rPr>
                <w:b w:val="false"/>
                <w:bCs w:val="false"/>
              </w:rPr>
              <w:t xml:space="preserve">45–70% depending on scoring set</w:t>
            </w:r>
          </w:p>
        </w:tc>
      </w:tr>
      <w:tr>
        <w:tc>
          <w:tcPr>
            <w:tcW w:type="dxa" w:w="3200"/>
            <w:tcMar>
              <w:top w:type="dxa" w:w="80"/>
              <w:left w:type="dxa" w:w="100"/>
              <w:bottom w:type="dxa" w:w="80"/>
              <w:right w:type="dxa" w:w="100"/>
            </w:tcMar>
          </w:tcPr>
          <w:p>
            <w:r>
              <w:rPr>
                <w:b w:val="false"/>
                <w:bCs w:val="false"/>
              </w:rPr>
              <w:t xml:space="preserve">GitChameleon</w:t>
            </w:r>
          </w:p>
        </w:tc>
        <w:tc>
          <w:tcPr>
            <w:tcW w:type="dxa" w:w="3200"/>
            <w:tcMar>
              <w:top w:type="dxa" w:w="80"/>
              <w:left w:type="dxa" w:w="100"/>
              <w:bottom w:type="dxa" w:w="80"/>
              <w:right w:type="dxa" w:w="100"/>
            </w:tcMar>
          </w:tcPr>
          <w:p>
            <w:r>
              <w:rPr>
                <w:b w:val="false"/>
                <w:bCs w:val="false"/>
              </w:rPr>
              <w:t xml:space="preserve">Real library-version compatibility</w:t>
            </w:r>
          </w:p>
        </w:tc>
        <w:tc>
          <w:tcPr>
            <w:tcW w:type="dxa" w:w="3200"/>
            <w:tcMar>
              <w:top w:type="dxa" w:w="80"/>
              <w:left w:type="dxa" w:w="100"/>
              <w:bottom w:type="dxa" w:w="80"/>
              <w:right w:type="dxa" w:w="100"/>
            </w:tcMar>
          </w:tcPr>
          <w:p>
            <w:r>
              <w:rPr>
                <w:b w:val="false"/>
                <w:bCs w:val="false"/>
              </w:rPr>
              <w:t xml:space="preserve">48–51% for enterprise models</w:t>
            </w:r>
          </w:p>
        </w:tc>
      </w:tr>
    </w:tbl>
    <w:p>
      <w:pPr>
        <w:spacing w:after="160"/>
      </w:pPr>
      <w:r>
        <w:rPr>
          <w:sz w:val="4"/>
          <w:szCs w:val="4"/>
        </w:rPr>
        <w:t xml:space="preserve"/>
      </w:r>
    </w:p>
    <w:p>
      <w:pPr>
        <w:spacing w:after="160"/>
      </w:pPr>
      <w:r>
        <w:t xml:space="preserve">The pattern that matters for this proposal: every time a benchmark is made harder to game — more novel tasks, larger repositories, real dependency versioning, no contamination — scores drop by 15–35 points from the headline number, consistently across independent evaluation efforts. This suggests the dominant failure mode is not “the model doesn't know how to code” but “errors that would be caught by rigorous checking currently aren't caught at all.”</w:t>
      </w:r>
    </w:p>
    <w:p>
      <w:pPr>
        <w:pStyle w:val="Heading1"/>
        <w:spacing w:after="140" w:before="280"/>
      </w:pPr>
      <w:r>
        <w:t xml:space="preserve">2. Positioning Against Dafny, Lean 4, and SPARK/Ada</w:t>
      </w:r>
    </w:p>
    <w:p>
      <w:pPr>
        <w:spacing w:after="160"/>
      </w:pPr>
      <w:r>
        <w:t xml:space="preserve">Dafny, Lean 4, and SPARK/Ada are the most heavily used verification-first languages in current AI code-generation workflows, and any proposal in this space has to be positioned against their actual, confirmed capabilities — not treated as unclaimed territory.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shd w:fill="D9E2F3" w:color="auto" w:val="clear"/>
            <w:tcMar>
              <w:top w:type="dxa" w:w="80"/>
              <w:left w:type="dxa" w:w="100"/>
              <w:bottom w:type="dxa" w:w="80"/>
              <w:right w:type="dxa" w:w="100"/>
            </w:tcMar>
          </w:tcPr>
          <w:p>
            <w:r>
              <w:rPr>
                <w:b/>
                <w:bCs/>
              </w:rPr>
              <w:t xml:space="preserve">What they already solve (confirmed)</w:t>
            </w:r>
          </w:p>
        </w:tc>
        <w:tc>
          <w:tcPr>
            <w:tcW w:type="dxa" w:w="4600"/>
            <w:shd w:fill="D9E2F3" w:color="auto" w:val="clear"/>
            <w:tcMar>
              <w:top w:type="dxa" w:w="80"/>
              <w:left w:type="dxa" w:w="100"/>
              <w:bottom w:type="dxa" w:w="80"/>
              <w:right w:type="dxa" w:w="100"/>
            </w:tcMar>
          </w:tcPr>
          <w:p>
            <w:r>
              <w:rPr>
                <w:b/>
                <w:bCs/>
              </w:rPr>
              <w:t xml:space="preserve">What they don't (confirmed)</w:t>
            </w:r>
          </w:p>
        </w:tc>
      </w:tr>
      <w:tr>
        <w:tc>
          <w:tcPr>
            <w:tcW w:type="dxa" w:w="4600"/>
            <w:tcMar>
              <w:top w:type="dxa" w:w="80"/>
              <w:left w:type="dxa" w:w="100"/>
              <w:bottom w:type="dxa" w:w="80"/>
              <w:right w:type="dxa" w:w="100"/>
            </w:tcMar>
          </w:tcPr>
          <w:p>
            <w:r>
              <w:rPr>
                <w:b w:val="false"/>
                <w:bCs w:val="false"/>
              </w:rPr>
              <w:t xml:space="preserve">Self-healing verifier-feedback repair loop (DafnyPro: 86% on DafnyBench; self-healing pipeline: 82–91% verify success; SPARK/Marmaragan: 50.7%; a recent SPARK paper reports agents discharging 49,280 proof obligations building verified crypto/IPsec/TLS stacks)</w:t>
            </w:r>
          </w:p>
        </w:tc>
        <w:tc>
          <w:tcPr>
            <w:tcW w:type="dxa" w:w="4600"/>
            <w:tcMar>
              <w:top w:type="dxa" w:w="80"/>
              <w:left w:type="dxa" w:w="100"/>
              <w:bottom w:type="dxa" w:w="80"/>
              <w:right w:type="dxa" w:w="100"/>
            </w:tcMar>
          </w:tcPr>
          <w:p>
            <w:r>
              <w:rPr>
                <w:b w:val="false"/>
                <w:bCs w:val="false"/>
              </w:rPr>
              <w:t xml:space="preserve">Lean 4 has no viable web/backend ecosystem; SPARK's package ecosystem is similarly small (~400 vs. ~1.3M on npm)</w:t>
            </w:r>
          </w:p>
        </w:tc>
      </w:tr>
      <w:tr>
        <w:tc>
          <w:tcPr>
            <w:tcW w:type="dxa" w:w="4600"/>
            <w:tcMar>
              <w:top w:type="dxa" w:w="80"/>
              <w:left w:type="dxa" w:w="100"/>
              <w:bottom w:type="dxa" w:w="80"/>
              <w:right w:type="dxa" w:w="100"/>
            </w:tcMar>
          </w:tcPr>
          <w:p>
            <w:r>
              <w:rPr>
                <w:b w:val="false"/>
                <w:bCs w:val="false"/>
              </w:rPr>
              <w:t xml:space="preserve">Adversarial “cheating-pattern” review beyond the deterministic checker (AxDafny's reviewer LLM)</w:t>
            </w:r>
          </w:p>
        </w:tc>
        <w:tc>
          <w:tcPr>
            <w:tcW w:type="dxa" w:w="4600"/>
            <w:tcMar>
              <w:top w:type="dxa" w:w="80"/>
              <w:left w:type="dxa" w:w="100"/>
              <w:bottom w:type="dxa" w:w="80"/>
              <w:right w:type="dxa" w:w="100"/>
            </w:tcMar>
          </w:tcPr>
          <w:p>
            <w:r>
              <w:rPr>
                <w:b w:val="false"/>
                <w:bCs w:val="false"/>
              </w:rPr>
              <w:t xml:space="preserve">Lean 4 frontend usage is hobbyist/experimental only, not production-grade</w:t>
            </w:r>
          </w:p>
        </w:tc>
      </w:tr>
      <w:tr>
        <w:tc>
          <w:tcPr>
            <w:tcW w:type="dxa" w:w="4600"/>
            <w:tcMar>
              <w:top w:type="dxa" w:w="80"/>
              <w:left w:type="dxa" w:w="100"/>
              <w:bottom w:type="dxa" w:w="80"/>
              <w:right w:type="dxa" w:w="100"/>
            </w:tcMar>
          </w:tcPr>
          <w:p>
            <w:r>
              <w:rPr>
                <w:b w:val="false"/>
                <w:bCs w:val="false"/>
              </w:rPr>
              <w:t xml:space="preserve">Checker-as-reward-signal training, reducing hallucination</w:t>
            </w:r>
          </w:p>
        </w:tc>
        <w:tc>
          <w:tcPr>
            <w:tcW w:type="dxa" w:w="4600"/>
            <w:tcMar>
              <w:top w:type="dxa" w:w="80"/>
              <w:left w:type="dxa" w:w="100"/>
              <w:bottom w:type="dxa" w:w="80"/>
              <w:right w:type="dxa" w:w="100"/>
            </w:tcMar>
          </w:tcPr>
          <w:p>
            <w:r>
              <w:rPr>
                <w:b w:val="false"/>
                <w:bCs w:val="false"/>
              </w:rPr>
              <w:t xml:space="preserve">Dafny's formal syntax is off-distribution for LLM pretraining, capping pass@1 around ~77% even in a verification-aware pipeline</w:t>
            </w:r>
          </w:p>
        </w:tc>
      </w:tr>
      <w:tr>
        <w:tc>
          <w:tcPr>
            <w:tcW w:type="dxa" w:w="4600"/>
            <w:tcMar>
              <w:top w:type="dxa" w:w="80"/>
              <w:left w:type="dxa" w:w="100"/>
              <w:bottom w:type="dxa" w:w="80"/>
              <w:right w:type="dxa" w:w="100"/>
            </w:tcMar>
          </w:tcPr>
          <w:p>
            <w:r>
              <w:rPr>
                <w:b w:val="false"/>
                <w:bCs w:val="false"/>
              </w:rPr>
              <w:t xml:space="preserve">Anti-gaming defenses against vacuous/trivial verification</w:t>
            </w:r>
          </w:p>
        </w:tc>
        <w:tc>
          <w:tcPr>
            <w:tcW w:type="dxa" w:w="4600"/>
            <w:tcMar>
              <w:top w:type="dxa" w:w="80"/>
              <w:left w:type="dxa" w:w="100"/>
              <w:bottom w:type="dxa" w:w="80"/>
              <w:right w:type="dxa" w:w="100"/>
            </w:tcMar>
          </w:tcPr>
          <w:p>
            <w:r>
              <w:rPr>
                <w:b w:val="false"/>
                <w:bCs w:val="false"/>
              </w:rPr>
              <w:t xml:space="preserve">Manual verification effort is “significant and difficult to predict” on non-trivial Dafny programs, per Dafny's own case-study literature</w:t>
            </w:r>
          </w:p>
        </w:tc>
      </w:tr>
      <w:tr>
        <w:tc>
          <w:tcPr>
            <w:tcW w:type="dxa" w:w="4600"/>
            <w:tcMar>
              <w:top w:type="dxa" w:w="80"/>
              <w:left w:type="dxa" w:w="100"/>
              <w:bottom w:type="dxa" w:w="80"/>
              <w:right w:type="dxa" w:w="100"/>
            </w:tcMar>
          </w:tcPr>
          <w:p>
            <w:r>
              <w:rPr>
                <w:b w:val="false"/>
                <w:bCs w:val="false"/>
              </w:rPr>
              <w:t xml:space="preserve">Industrial production use (Dafny at AWS; SPARK in aerospace/high-integrity industry; F*/Project Everest, ~600K verified lines shipping in the Windows kernel, Linux, Firefox, Python)</w:t>
            </w:r>
          </w:p>
        </w:tc>
        <w:tc>
          <w:tcPr>
            <w:tcW w:type="dxa" w:w="4600"/>
            <w:tcMar>
              <w:top w:type="dxa" w:w="80"/>
              <w:left w:type="dxa" w:w="100"/>
              <w:bottom w:type="dxa" w:w="80"/>
              <w:right w:type="dxa" w:w="100"/>
            </w:tcMar>
          </w:tcPr>
          <w:p>
            <w:r>
              <w:rPr>
                <w:b w:val="false"/>
                <w:bCs w:val="false"/>
              </w:rPr>
              <w:t xml:space="preserve">None of the three has a native, language-level trust boundary for calling unverified third-party libraries (React, Stripe SDKs, ORMs) — though see correction below</w:t>
            </w:r>
          </w:p>
        </w:tc>
      </w:tr>
      <w:tr>
        <w:tc>
          <w:tcPr>
            <w:tcW w:type="dxa" w:w="4600"/>
            <w:tcMar>
              <w:top w:type="dxa" w:w="80"/>
              <w:left w:type="dxa" w:w="100"/>
              <w:bottom w:type="dxa" w:w="80"/>
              <w:right w:type="dxa" w:w="100"/>
            </w:tcMar>
          </w:tcPr>
          <w:p>
            <w:r>
              <w:rPr>
                <w:b w:val="false"/>
                <w:bCs w:val="false"/>
              </w:rPr>
              <w:t xml:space="preserve">Dafny compiles to C#, Java, JavaScript, Go, Python specifically to integrate with existing workflows</w:t>
            </w:r>
          </w:p>
        </w:tc>
        <w:tc>
          <w:tcPr>
            <w:tcW w:type="dxa" w:w="4600"/>
            <w:tcMar>
              <w:top w:type="dxa" w:w="80"/>
              <w:left w:type="dxa" w:w="100"/>
              <w:bottom w:type="dxa" w:w="80"/>
              <w:right w:type="dxa" w:w="100"/>
            </w:tcMar>
          </w:tcPr>
          <w:p>
            <w:r>
              <w:rPr>
                <w:b w:val="false"/>
                <w:bCs w:val="false"/>
              </w:rPr>
              <w:t xml:space="preserve">Neither treats async, network calls, or UI re-render as first-class, named effect kinds — Dafny's effect tracking is heap-focused (reads/modifies)</w:t>
            </w:r>
          </w:p>
        </w:tc>
      </w:tr>
    </w:tbl>
    <w:p>
      <w:pPr>
        <w:spacing w:after="160"/>
      </w:pPr>
      <w:r>
        <w:rPr>
          <w:sz w:val="4"/>
          <w:szCs w:val="4"/>
        </w:rPr>
        <w:t xml:space="preserve"/>
      </w:r>
    </w:p>
    <w:p>
      <w:pPr>
        <w:spacing w:after="160"/>
      </w:pPr>
      <w:r>
        <w:rPr>
          <w:b/>
          <w:bCs/>
        </w:rPr>
        <w:t xml:space="preserve">Correction, made during a second research pass: </w:t>
      </w:r>
      <w:r>
        <w:t xml:space="preserve">an earlier version of this proposal described a trusted FFI/verification boundary as an unclaimed gap. That overstated the case. It is the established research area of Gradual Verification (Bader et al., 2018), including work specifically on formalizing the boundary between verified and unverified code, studied at industrial scale (an Amazon Science paper addresses the identical problem), and already implemented for AI-agent-authored verified code by an existing project (verity). Ward's contribution here is applying this established technique specifically to LLM-authored full-stack code — not inventing the mechanism. This is reflected accurately in §5 below.</w:t>
      </w:r>
    </w:p>
    <w:p>
      <w:pPr>
        <w:spacing w:after="160"/>
      </w:pPr>
      <w:r>
        <w:t xml:space="preserve">Conclusion: Ward should not compete with Dafny, Lean 4, or SPARK on core verification mechanics — all three already prove contract-based, SMT-backed, AI-repairable verification works, in production. It should match that and differentiate specifically on ecosystem integration, a verification boundary for unverified libraries (applying established gradual-verification technique, not inventing it), tiered (not uniform) verification, and a full-stack-relevant effect model. This reframes Phase 0 (§7) around testing the parts of this claim that are actually untested, rather than re-proving that verification helps, which Dafny and SPARK have already shown.</w:t>
      </w:r>
    </w:p>
    <w:p>
      <w:pPr>
        <w:pStyle w:val="Heading1"/>
        <w:spacing w:after="140" w:before="280"/>
      </w:pPr>
      <w:r>
        <w:t xml:space="preserve">3. Research Hypothesis</w:t>
      </w:r>
    </w:p>
    <w:p>
      <w:pPr>
        <w:spacing w:after="160"/>
      </w:pPr>
      <w:r>
        <w:rPr>
          <w:b/>
          <w:bCs/>
        </w:rPr>
        <w:t xml:space="preserve">H1 (primary, falsifiable in Phase 0): </w:t>
      </w:r>
      <w:r>
        <w:t xml:space="preserve">Constraining an existing LLM's code generation with a live type checker (type-constrained decoding) plus mandatory, machine-checked pre/post-condition contracts will reduce functionally-incorrect output on a realistic benchmark by a larger margin than type-constrained decoding alone.</w:t>
      </w:r>
    </w:p>
    <w:p>
      <w:pPr>
        <w:spacing w:after="160"/>
      </w:pPr>
      <w:r>
        <w:rPr>
          <w:b/>
          <w:bCs/>
        </w:rPr>
        <w:t xml:space="preserve">H2 (tested in Phase 1–2): </w:t>
      </w:r>
      <w:r>
        <w:t xml:space="preserve">A dependently-typed, effect-tracked core calculus with a deterministic surface-to-core elaborator can be built and checked with acceptable verification latency for a non-trivial subset of real-world program patterns.</w:t>
      </w:r>
    </w:p>
    <w:p>
      <w:pPr>
        <w:spacing w:after="160"/>
      </w:pPr>
      <w:r>
        <w:rPr>
          <w:b/>
          <w:bCs/>
        </w:rPr>
        <w:t xml:space="preserve">H3 (tested in Phase 3–4, highest risk): </w:t>
      </w:r>
      <w:r>
        <w:t xml:space="preserve">Checker-driven reinforcement learning — the mechanism already shown to work for Lean 4 proof generation — generalizes from narrow formal-proof domains to general-purpose, stateful software with side effects and shifting dependencies.</w:t>
      </w:r>
    </w:p>
    <w:p>
      <w:pPr>
        <w:spacing w:after="160"/>
      </w:pPr>
      <w:r>
        <w:t xml:space="preserve">H3 is explicitly the least-supported hypothesis and the primary technical risk of this entire program; the phased structure below exists specifically so that H3 is tested last, cheaply, and only after H1–H2 have produced positive evidence.</w:t>
      </w:r>
    </w:p>
    <w:p>
      <w:pPr>
        <w:pStyle w:val="Heading1"/>
        <w:spacing w:after="140" w:before="280"/>
      </w:pPr>
      <w:r>
        <w:t xml:space="preserve">4. Related Work and Precedents</w:t>
      </w:r>
    </w:p>
    <w:p>
      <w:pPr>
        <w:spacing w:after="160"/>
      </w:pPr>
      <w:r>
        <w:t xml:space="preserve">No component of the proposed design is unprecedented in isolation. The novelty is the combination, applied specifically to AI-authored code with a verification-first goal. All items below have been checked against primary sources.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600"/>
      </w:tblGrid>
      <w:tr>
        <w:trPr>
          <w:tblHeader/>
        </w:trPr>
        <w:tc>
          <w:tcPr>
            <w:tcW w:type="dxa" w:w="2600"/>
            <w:shd w:fill="D9E2F3" w:color="auto" w:val="clear"/>
            <w:tcMar>
              <w:top w:type="dxa" w:w="80"/>
              <w:left w:type="dxa" w:w="100"/>
              <w:bottom w:type="dxa" w:w="80"/>
              <w:right w:type="dxa" w:w="100"/>
            </w:tcMar>
          </w:tcPr>
          <w:p>
            <w:r>
              <w:rPr>
                <w:b/>
                <w:bCs/>
              </w:rPr>
              <w:t xml:space="preserve">Component</w:t>
            </w:r>
          </w:p>
        </w:tc>
        <w:tc>
          <w:tcPr>
            <w:tcW w:type="dxa" w:w="3200"/>
            <w:shd w:fill="D9E2F3" w:color="auto" w:val="clear"/>
            <w:tcMar>
              <w:top w:type="dxa" w:w="80"/>
              <w:left w:type="dxa" w:w="100"/>
              <w:bottom w:type="dxa" w:w="80"/>
              <w:right w:type="dxa" w:w="100"/>
            </w:tcMar>
          </w:tcPr>
          <w:p>
            <w:r>
              <w:rPr>
                <w:b/>
                <w:bCs/>
              </w:rPr>
              <w:t xml:space="preserve">Precedent</w:t>
            </w:r>
          </w:p>
        </w:tc>
        <w:tc>
          <w:tcPr>
            <w:tcW w:type="dxa" w:w="3600"/>
            <w:shd w:fill="D9E2F3" w:color="auto" w:val="clear"/>
            <w:tcMar>
              <w:top w:type="dxa" w:w="80"/>
              <w:left w:type="dxa" w:w="100"/>
              <w:bottom w:type="dxa" w:w="80"/>
              <w:right w:type="dxa" w:w="100"/>
            </w:tcMar>
          </w:tcPr>
          <w:p>
            <w:r>
              <w:rPr>
                <w:b/>
                <w:bCs/>
              </w:rPr>
              <w:t xml:space="preserve">Verified status</w:t>
            </w:r>
          </w:p>
        </w:tc>
      </w:tr>
      <w:tr>
        <w:tc>
          <w:tcPr>
            <w:tcW w:type="dxa" w:w="2600"/>
            <w:tcMar>
              <w:top w:type="dxa" w:w="80"/>
              <w:left w:type="dxa" w:w="100"/>
              <w:bottom w:type="dxa" w:w="80"/>
              <w:right w:type="dxa" w:w="100"/>
            </w:tcMar>
          </w:tcPr>
          <w:p>
            <w:r>
              <w:rPr>
                <w:b w:val="false"/>
                <w:bCs w:val="false"/>
              </w:rPr>
              <w:t xml:space="preserve">Content-addressed code, composition-first libraries</w:t>
            </w:r>
          </w:p>
        </w:tc>
        <w:tc>
          <w:tcPr>
            <w:tcW w:type="dxa" w:w="3200"/>
            <w:tcMar>
              <w:top w:type="dxa" w:w="80"/>
              <w:left w:type="dxa" w:w="100"/>
              <w:bottom w:type="dxa" w:w="80"/>
              <w:right w:type="dxa" w:w="100"/>
            </w:tcMar>
          </w:tcPr>
          <w:p>
            <w:r>
              <w:rPr>
                <w:b w:val="false"/>
                <w:bCs w:val="false"/>
              </w:rPr>
              <w:t xml:space="preserve">Unison (v1.0, Nov 2025)</w:t>
            </w:r>
          </w:p>
        </w:tc>
        <w:tc>
          <w:tcPr>
            <w:tcW w:type="dxa" w:w="3600"/>
            <w:tcMar>
              <w:top w:type="dxa" w:w="80"/>
              <w:left w:type="dxa" w:w="100"/>
              <w:bottom w:type="dxa" w:w="80"/>
              <w:right w:type="dxa" w:w="100"/>
            </w:tcMar>
          </w:tcPr>
          <w:p>
            <w:r>
              <w:rPr>
                <w:b w:val="false"/>
                <w:bCs w:val="false"/>
              </w:rPr>
              <w:t xml:space="preserve">Confirmed; production use limited to creator's own workloads to date</w:t>
            </w:r>
          </w:p>
        </w:tc>
      </w:tr>
      <w:tr>
        <w:tc>
          <w:tcPr>
            <w:tcW w:type="dxa" w:w="2600"/>
            <w:tcMar>
              <w:top w:type="dxa" w:w="80"/>
              <w:left w:type="dxa" w:w="100"/>
              <w:bottom w:type="dxa" w:w="80"/>
              <w:right w:type="dxa" w:w="100"/>
            </w:tcMar>
          </w:tcPr>
          <w:p>
            <w:r>
              <w:rPr>
                <w:b w:val="false"/>
                <w:bCs w:val="false"/>
              </w:rPr>
              <w:t xml:space="preserve">Effect tracking in the type system</w:t>
            </w:r>
          </w:p>
        </w:tc>
        <w:tc>
          <w:tcPr>
            <w:tcW w:type="dxa" w:w="3200"/>
            <w:tcMar>
              <w:top w:type="dxa" w:w="80"/>
              <w:left w:type="dxa" w:w="100"/>
              <w:bottom w:type="dxa" w:w="80"/>
              <w:right w:type="dxa" w:w="100"/>
            </w:tcMar>
          </w:tcPr>
          <w:p>
            <w:r>
              <w:rPr>
                <w:b w:val="false"/>
                <w:bCs w:val="false"/>
              </w:rPr>
              <w:t xml:space="preserve">Koka</w:t>
            </w:r>
          </w:p>
        </w:tc>
        <w:tc>
          <w:tcPr>
            <w:tcW w:type="dxa" w:w="3600"/>
            <w:tcMar>
              <w:top w:type="dxa" w:w="80"/>
              <w:left w:type="dxa" w:w="100"/>
              <w:bottom w:type="dxa" w:w="80"/>
              <w:right w:type="dxa" w:w="100"/>
            </w:tcMar>
          </w:tcPr>
          <w:p>
            <w:r>
              <w:rPr>
                <w:b w:val="false"/>
                <w:bCs w:val="false"/>
              </w:rPr>
              <w:t xml:space="preserve">Confirmed; matches own documentation</w:t>
            </w:r>
          </w:p>
        </w:tc>
      </w:tr>
      <w:tr>
        <w:tc>
          <w:tcPr>
            <w:tcW w:type="dxa" w:w="2600"/>
            <w:tcMar>
              <w:top w:type="dxa" w:w="80"/>
              <w:left w:type="dxa" w:w="100"/>
              <w:bottom w:type="dxa" w:w="80"/>
              <w:right w:type="dxa" w:w="100"/>
            </w:tcMar>
          </w:tcPr>
          <w:p>
            <w:r>
              <w:rPr>
                <w:b w:val="false"/>
                <w:bCs w:val="false"/>
              </w:rPr>
              <w:t xml:space="preserve">Linear/resource types for high-stakes values</w:t>
            </w:r>
          </w:p>
        </w:tc>
        <w:tc>
          <w:tcPr>
            <w:tcW w:type="dxa" w:w="3200"/>
            <w:tcMar>
              <w:top w:type="dxa" w:w="80"/>
              <w:left w:type="dxa" w:w="100"/>
              <w:bottom w:type="dxa" w:w="80"/>
              <w:right w:type="dxa" w:w="100"/>
            </w:tcMar>
          </w:tcPr>
          <w:p>
            <w:r>
              <w:rPr>
                <w:b w:val="false"/>
                <w:bCs w:val="false"/>
              </w:rPr>
              <w:t xml:space="preserve">Move (Diem/Aptos/Sui)</w:t>
            </w:r>
          </w:p>
        </w:tc>
        <w:tc>
          <w:tcPr>
            <w:tcW w:type="dxa" w:w="3600"/>
            <w:tcMar>
              <w:top w:type="dxa" w:w="80"/>
              <w:left w:type="dxa" w:w="100"/>
              <w:bottom w:type="dxa" w:w="80"/>
              <w:right w:type="dxa" w:w="100"/>
            </w:tcMar>
          </w:tcPr>
          <w:p>
            <w:r>
              <w:rPr>
                <w:b w:val="false"/>
                <w:bCs w:val="false"/>
              </w:rPr>
              <w:t xml:space="preserve">Confirmed; live in production handling real financial assets</w:t>
            </w:r>
          </w:p>
        </w:tc>
      </w:tr>
      <w:tr>
        <w:tc>
          <w:tcPr>
            <w:tcW w:type="dxa" w:w="2600"/>
            <w:tcMar>
              <w:top w:type="dxa" w:w="80"/>
              <w:left w:type="dxa" w:w="100"/>
              <w:bottom w:type="dxa" w:w="80"/>
              <w:right w:type="dxa" w:w="100"/>
            </w:tcMar>
          </w:tcPr>
          <w:p>
            <w:r>
              <w:rPr>
                <w:b w:val="false"/>
                <w:bCs w:val="false"/>
              </w:rPr>
              <w:t xml:space="preserve">Native, mandatory design-by-contract syntax</w:t>
            </w:r>
          </w:p>
        </w:tc>
        <w:tc>
          <w:tcPr>
            <w:tcW w:type="dxa" w:w="3200"/>
            <w:tcMar>
              <w:top w:type="dxa" w:w="80"/>
              <w:left w:type="dxa" w:w="100"/>
              <w:bottom w:type="dxa" w:w="80"/>
              <w:right w:type="dxa" w:w="100"/>
            </w:tcMar>
          </w:tcPr>
          <w:p>
            <w:r>
              <w:rPr>
                <w:b w:val="false"/>
                <w:bCs w:val="false"/>
              </w:rPr>
              <w:t xml:space="preserve">Eiffel</w:t>
            </w:r>
          </w:p>
        </w:tc>
        <w:tc>
          <w:tcPr>
            <w:tcW w:type="dxa" w:w="3600"/>
            <w:tcMar>
              <w:top w:type="dxa" w:w="80"/>
              <w:left w:type="dxa" w:w="100"/>
              <w:bottom w:type="dxa" w:w="80"/>
              <w:right w:type="dxa" w:w="100"/>
            </w:tcMar>
          </w:tcPr>
          <w:p>
            <w:r>
              <w:rPr>
                <w:b w:val="false"/>
                <w:bCs w:val="false"/>
              </w:rPr>
              <w:t xml:space="preserve">Confirmed; Eiffel's own literature argues contracts must be language-native, not bolted on</w:t>
            </w:r>
          </w:p>
        </w:tc>
      </w:tr>
      <w:tr>
        <w:tc>
          <w:tcPr>
            <w:tcW w:type="dxa" w:w="2600"/>
            <w:tcMar>
              <w:top w:type="dxa" w:w="80"/>
              <w:left w:type="dxa" w:w="100"/>
              <w:bottom w:type="dxa" w:w="80"/>
              <w:right w:type="dxa" w:w="100"/>
            </w:tcMar>
          </w:tcPr>
          <w:p>
            <w:r>
              <w:rPr>
                <w:b w:val="false"/>
                <w:bCs w:val="false"/>
              </w:rPr>
              <w:t xml:space="preserve">Refinement / dependent types, SMT-backed checking</w:t>
            </w:r>
          </w:p>
        </w:tc>
        <w:tc>
          <w:tcPr>
            <w:tcW w:type="dxa" w:w="3200"/>
            <w:tcMar>
              <w:top w:type="dxa" w:w="80"/>
              <w:left w:type="dxa" w:w="100"/>
              <w:bottom w:type="dxa" w:w="80"/>
              <w:right w:type="dxa" w:w="100"/>
            </w:tcMar>
          </w:tcPr>
          <w:p>
            <w:r>
              <w:rPr>
                <w:b w:val="false"/>
                <w:bCs w:val="false"/>
              </w:rPr>
              <w:t xml:space="preserve">LiquidHaskell, Idris</w:t>
            </w:r>
          </w:p>
        </w:tc>
        <w:tc>
          <w:tcPr>
            <w:tcW w:type="dxa" w:w="3600"/>
            <w:tcMar>
              <w:top w:type="dxa" w:w="80"/>
              <w:left w:type="dxa" w:w="100"/>
              <w:bottom w:type="dxa" w:w="80"/>
              <w:right w:type="dxa" w:w="100"/>
            </w:tcMar>
          </w:tcPr>
          <w:p>
            <w:r>
              <w:rPr>
                <w:b w:val="false"/>
                <w:bCs w:val="false"/>
              </w:rPr>
              <w:t xml:space="preserve">Confirmed; LiquidHaskell verified 10,000+ lines of real Haskell libraries</w:t>
            </w:r>
          </w:p>
        </w:tc>
      </w:tr>
      <w:tr>
        <w:tc>
          <w:tcPr>
            <w:tcW w:type="dxa" w:w="2600"/>
            <w:tcMar>
              <w:top w:type="dxa" w:w="80"/>
              <w:left w:type="dxa" w:w="100"/>
              <w:bottom w:type="dxa" w:w="80"/>
              <w:right w:type="dxa" w:w="100"/>
            </w:tcMar>
          </w:tcPr>
          <w:p>
            <w:r>
              <w:rPr>
                <w:b w:val="false"/>
                <w:bCs w:val="false"/>
              </w:rPr>
              <w:t xml:space="preserve">Large-scale SMT-backed verification in production</w:t>
            </w:r>
          </w:p>
        </w:tc>
        <w:tc>
          <w:tcPr>
            <w:tcW w:type="dxa" w:w="3200"/>
            <w:tcMar>
              <w:top w:type="dxa" w:w="80"/>
              <w:left w:type="dxa" w:w="100"/>
              <w:bottom w:type="dxa" w:w="80"/>
              <w:right w:type="dxa" w:w="100"/>
            </w:tcMar>
          </w:tcPr>
          <w:p>
            <w:r>
              <w:rPr>
                <w:b w:val="false"/>
                <w:bCs w:val="false"/>
              </w:rPr>
              <w:t xml:space="preserve">F* / Project Everest</w:t>
            </w:r>
          </w:p>
        </w:tc>
        <w:tc>
          <w:tcPr>
            <w:tcW w:type="dxa" w:w="3600"/>
            <w:tcMar>
              <w:top w:type="dxa" w:w="80"/>
              <w:left w:type="dxa" w:w="100"/>
              <w:bottom w:type="dxa" w:w="80"/>
              <w:right w:type="dxa" w:w="100"/>
            </w:tcMar>
          </w:tcPr>
          <w:p>
            <w:r>
              <w:rPr>
                <w:b w:val="false"/>
                <w:bCs w:val="false"/>
              </w:rPr>
              <w:t xml:space="preserve">Confirmed; ~600,000 lines of verified code shipping in Windows kernel, Linux, Firefox, Python</w:t>
            </w:r>
          </w:p>
        </w:tc>
      </w:tr>
      <w:tr>
        <w:tc>
          <w:tcPr>
            <w:tcW w:type="dxa" w:w="2600"/>
            <w:tcMar>
              <w:top w:type="dxa" w:w="80"/>
              <w:left w:type="dxa" w:w="100"/>
              <w:bottom w:type="dxa" w:w="80"/>
              <w:right w:type="dxa" w:w="100"/>
            </w:tcMar>
          </w:tcPr>
          <w:p>
            <w:r>
              <w:rPr>
                <w:b w:val="false"/>
                <w:bCs w:val="false"/>
              </w:rPr>
              <w:t xml:space="preserve">Checker-driven RL improving generation accuracy</w:t>
            </w:r>
          </w:p>
        </w:tc>
        <w:tc>
          <w:tcPr>
            <w:tcW w:type="dxa" w:w="3200"/>
            <w:tcMar>
              <w:top w:type="dxa" w:w="80"/>
              <w:left w:type="dxa" w:w="100"/>
              <w:bottom w:type="dxa" w:w="80"/>
              <w:right w:type="dxa" w:w="100"/>
            </w:tcMar>
          </w:tcPr>
          <w:p>
            <w:r>
              <w:rPr>
                <w:b w:val="false"/>
                <w:bCs w:val="false"/>
              </w:rPr>
              <w:t xml:space="preserve">Lean 4 automated theorem proving</w:t>
            </w:r>
          </w:p>
        </w:tc>
        <w:tc>
          <w:tcPr>
            <w:tcW w:type="dxa" w:w="3600"/>
            <w:tcMar>
              <w:top w:type="dxa" w:w="80"/>
              <w:left w:type="dxa" w:w="100"/>
              <w:bottom w:type="dxa" w:w="80"/>
              <w:right w:type="dxa" w:w="100"/>
            </w:tcMar>
          </w:tcPr>
          <w:p>
            <w:r>
              <w:rPr>
                <w:b w:val="false"/>
                <w:bCs w:val="false"/>
              </w:rPr>
              <w:t xml:space="preserve">Confirmed; one framework improved autoformalization pass@1 by 4–6x</w:t>
            </w:r>
          </w:p>
        </w:tc>
      </w:tr>
      <w:tr>
        <w:tc>
          <w:tcPr>
            <w:tcW w:type="dxa" w:w="2600"/>
            <w:tcMar>
              <w:top w:type="dxa" w:w="80"/>
              <w:left w:type="dxa" w:w="100"/>
              <w:bottom w:type="dxa" w:w="80"/>
              <w:right w:type="dxa" w:w="100"/>
            </w:tcMar>
          </w:tcPr>
          <w:p>
            <w:r>
              <w:rPr>
                <w:b w:val="false"/>
                <w:bCs w:val="false"/>
              </w:rPr>
              <w:t xml:space="preserve">Generate–verify–refine loop with adversarial counterexamples</w:t>
            </w:r>
          </w:p>
        </w:tc>
        <w:tc>
          <w:tcPr>
            <w:tcW w:type="dxa" w:w="3200"/>
            <w:tcMar>
              <w:top w:type="dxa" w:w="80"/>
              <w:left w:type="dxa" w:w="100"/>
              <w:bottom w:type="dxa" w:w="80"/>
              <w:right w:type="dxa" w:w="100"/>
            </w:tcMar>
          </w:tcPr>
          <w:p>
            <w:r>
              <w:rPr>
                <w:b w:val="false"/>
                <w:bCs w:val="false"/>
              </w:rPr>
              <w:t xml:space="preserve">CEGIS (established since PLDI 2007)</w:t>
            </w:r>
          </w:p>
        </w:tc>
        <w:tc>
          <w:tcPr>
            <w:tcW w:type="dxa" w:w="3600"/>
            <w:tcMar>
              <w:top w:type="dxa" w:w="80"/>
              <w:left w:type="dxa" w:w="100"/>
              <w:bottom w:type="dxa" w:w="80"/>
              <w:right w:type="dxa" w:w="100"/>
            </w:tcMar>
          </w:tcPr>
          <w:p>
            <w:r>
              <w:rPr>
                <w:b w:val="false"/>
                <w:bCs w:val="false"/>
              </w:rPr>
              <w:t xml:space="preserve">Confirmed; direct match to proposed adversarial-critic mechanism</w:t>
            </w:r>
          </w:p>
        </w:tc>
      </w:tr>
      <w:tr>
        <w:tc>
          <w:tcPr>
            <w:tcW w:type="dxa" w:w="2600"/>
            <w:tcMar>
              <w:top w:type="dxa" w:w="80"/>
              <w:left w:type="dxa" w:w="100"/>
              <w:bottom w:type="dxa" w:w="80"/>
              <w:right w:type="dxa" w:w="100"/>
            </w:tcMar>
          </w:tcPr>
          <w:p>
            <w:r>
              <w:rPr>
                <w:b w:val="false"/>
                <w:bCs w:val="false"/>
              </w:rPr>
              <w:t xml:space="preserve">Automatic test generation from specifications</w:t>
            </w:r>
          </w:p>
        </w:tc>
        <w:tc>
          <w:tcPr>
            <w:tcW w:type="dxa" w:w="3200"/>
            <w:tcMar>
              <w:top w:type="dxa" w:w="80"/>
              <w:left w:type="dxa" w:w="100"/>
              <w:bottom w:type="dxa" w:w="80"/>
              <w:right w:type="dxa" w:w="100"/>
            </w:tcMar>
          </w:tcPr>
          <w:p>
            <w:r>
              <w:rPr>
                <w:b w:val="false"/>
                <w:bCs w:val="false"/>
              </w:rPr>
              <w:t xml:space="preserve">QuickCheck / property-based testing</w:t>
            </w:r>
          </w:p>
        </w:tc>
        <w:tc>
          <w:tcPr>
            <w:tcW w:type="dxa" w:w="3600"/>
            <w:tcMar>
              <w:top w:type="dxa" w:w="80"/>
              <w:left w:type="dxa" w:w="100"/>
              <w:bottom w:type="dxa" w:w="80"/>
              <w:right w:type="dxa" w:w="100"/>
            </w:tcMar>
          </w:tcPr>
          <w:p>
            <w:r>
              <w:rPr>
                <w:b w:val="false"/>
                <w:bCs w:val="false"/>
              </w:rPr>
              <w:t xml:space="preserve">Confirmed; mature, decades-old technique</w:t>
            </w:r>
          </w:p>
        </w:tc>
      </w:tr>
      <w:tr>
        <w:tc>
          <w:tcPr>
            <w:tcW w:type="dxa" w:w="2600"/>
            <w:tcMar>
              <w:top w:type="dxa" w:w="80"/>
              <w:left w:type="dxa" w:w="100"/>
              <w:bottom w:type="dxa" w:w="80"/>
              <w:right w:type="dxa" w:w="100"/>
            </w:tcMar>
          </w:tcPr>
          <w:p>
            <w:r>
              <w:rPr>
                <w:b w:val="false"/>
                <w:bCs w:val="false"/>
              </w:rPr>
              <w:t xml:space="preserve">Type-aware constrained decoding</w:t>
            </w:r>
          </w:p>
        </w:tc>
        <w:tc>
          <w:tcPr>
            <w:tcW w:type="dxa" w:w="3200"/>
            <w:tcMar>
              <w:top w:type="dxa" w:w="80"/>
              <w:left w:type="dxa" w:w="100"/>
              <w:bottom w:type="dxa" w:w="80"/>
              <w:right w:type="dxa" w:w="100"/>
            </w:tcMar>
          </w:tcPr>
          <w:p>
            <w:r>
              <w:rPr>
                <w:b w:val="false"/>
                <w:bCs w:val="false"/>
              </w:rPr>
              <w:t xml:space="preserve">Mündler et al., PLDI 2025</w:t>
            </w:r>
          </w:p>
        </w:tc>
        <w:tc>
          <w:tcPr>
            <w:tcW w:type="dxa" w:w="3600"/>
            <w:tcMar>
              <w:top w:type="dxa" w:w="80"/>
              <w:left w:type="dxa" w:w="100"/>
              <w:bottom w:type="dxa" w:w="80"/>
              <w:right w:type="dxa" w:w="100"/>
            </w:tcMar>
          </w:tcPr>
          <w:p>
            <w:r>
              <w:rPr>
                <w:b w:val="false"/>
                <w:bCs w:val="false"/>
              </w:rPr>
              <w:t xml:space="preserve">Confirmed at primary source; reduces compile errors 74.8% on HumanEval vs. 9.0% for syntax-only — note this is a compile-error metric, not a functional-accuracy metric (see §6)</w:t>
            </w:r>
          </w:p>
        </w:tc>
      </w:tr>
      <w:tr>
        <w:tc>
          <w:tcPr>
            <w:tcW w:type="dxa" w:w="2600"/>
            <w:tcMar>
              <w:top w:type="dxa" w:w="80"/>
              <w:left w:type="dxa" w:w="100"/>
              <w:bottom w:type="dxa" w:w="80"/>
              <w:right w:type="dxa" w:w="100"/>
            </w:tcMar>
          </w:tcPr>
          <w:p>
            <w:r>
              <w:rPr>
                <w:b w:val="false"/>
                <w:bCs w:val="false"/>
              </w:rPr>
              <w:t xml:space="preserve">Self-healing verifier-feedback repair loop, in production for AI code generation</w:t>
            </w:r>
          </w:p>
        </w:tc>
        <w:tc>
          <w:tcPr>
            <w:tcW w:type="dxa" w:w="3200"/>
            <w:tcMar>
              <w:top w:type="dxa" w:w="80"/>
              <w:left w:type="dxa" w:w="100"/>
              <w:bottom w:type="dxa" w:w="80"/>
              <w:right w:type="dxa" w:w="100"/>
            </w:tcMar>
          </w:tcPr>
          <w:p>
            <w:r>
              <w:rPr>
                <w:b w:val="false"/>
                <w:bCs w:val="false"/>
              </w:rPr>
              <w:t xml:space="preserve">Dafny (DafnyPro, AxDafny)</w:t>
            </w:r>
          </w:p>
        </w:tc>
        <w:tc>
          <w:tcPr>
            <w:tcW w:type="dxa" w:w="3600"/>
            <w:tcMar>
              <w:top w:type="dxa" w:w="80"/>
              <w:left w:type="dxa" w:w="100"/>
              <w:bottom w:type="dxa" w:w="80"/>
              <w:right w:type="dxa" w:w="100"/>
            </w:tcMar>
          </w:tcPr>
          <w:p>
            <w:r>
              <w:rPr>
                <w:b w:val="false"/>
                <w:bCs w:val="false"/>
              </w:rPr>
              <w:t xml:space="preserve">Confirmed; closest overall precedent to Ward's §5 verification loop, already at 82–91% verify success with open models</w:t>
            </w:r>
          </w:p>
        </w:tc>
      </w:tr>
      <w:tr>
        <w:tc>
          <w:tcPr>
            <w:tcW w:type="dxa" w:w="2600"/>
            <w:tcMar>
              <w:top w:type="dxa" w:w="80"/>
              <w:left w:type="dxa" w:w="100"/>
              <w:bottom w:type="dxa" w:w="80"/>
              <w:right w:type="dxa" w:w="100"/>
            </w:tcMar>
          </w:tcPr>
          <w:p>
            <w:r>
              <w:rPr>
                <w:b w:val="false"/>
                <w:bCs w:val="false"/>
              </w:rPr>
              <w:t xml:space="preserve">Multi-target compilation to existing developer ecosystems</w:t>
            </w:r>
          </w:p>
        </w:tc>
        <w:tc>
          <w:tcPr>
            <w:tcW w:type="dxa" w:w="3200"/>
            <w:tcMar>
              <w:top w:type="dxa" w:w="80"/>
              <w:left w:type="dxa" w:w="100"/>
              <w:bottom w:type="dxa" w:w="80"/>
              <w:right w:type="dxa" w:w="100"/>
            </w:tcMar>
          </w:tcPr>
          <w:p>
            <w:r>
              <w:rPr>
                <w:b w:val="false"/>
                <w:bCs w:val="false"/>
              </w:rPr>
              <w:t xml:space="preserve">Dafny (C#, Java, JS, Go, Python)</w:t>
            </w:r>
          </w:p>
        </w:tc>
        <w:tc>
          <w:tcPr>
            <w:tcW w:type="dxa" w:w="3600"/>
            <w:tcMar>
              <w:top w:type="dxa" w:w="80"/>
              <w:left w:type="dxa" w:w="100"/>
              <w:bottom w:type="dxa" w:w="80"/>
              <w:right w:type="dxa" w:w="100"/>
            </w:tcMar>
          </w:tcPr>
          <w:p>
            <w:r>
              <w:rPr>
                <w:b w:val="false"/>
                <w:bCs w:val="false"/>
              </w:rPr>
              <w:t xml:space="preserve">Confirmed; the model for Ward's ecosystem-integration approach, and the exact capability Lean 4 lacks</w:t>
            </w:r>
          </w:p>
        </w:tc>
      </w:tr>
      <w:tr>
        <w:tc>
          <w:tcPr>
            <w:tcW w:type="dxa" w:w="2600"/>
            <w:tcMar>
              <w:top w:type="dxa" w:w="80"/>
              <w:left w:type="dxa" w:w="100"/>
              <w:bottom w:type="dxa" w:w="80"/>
              <w:right w:type="dxa" w:w="100"/>
            </w:tcMar>
          </w:tcPr>
          <w:p>
            <w:r>
              <w:rPr>
                <w:b w:val="false"/>
                <w:bCs w:val="false"/>
              </w:rPr>
              <w:t xml:space="preserve">AI-driven formal mathematics backend</w:t>
            </w:r>
          </w:p>
        </w:tc>
        <w:tc>
          <w:tcPr>
            <w:tcW w:type="dxa" w:w="3200"/>
            <w:tcMar>
              <w:top w:type="dxa" w:w="80"/>
              <w:left w:type="dxa" w:w="100"/>
              <w:bottom w:type="dxa" w:w="80"/>
              <w:right w:type="dxa" w:w="100"/>
            </w:tcMar>
          </w:tcPr>
          <w:p>
            <w:r>
              <w:rPr>
                <w:b w:val="false"/>
                <w:bCs w:val="false"/>
              </w:rPr>
              <w:t xml:space="preserve">Lean 4 (AlphaProof, DeepSeek-Prover, Kimina-Prover, and others)</w:t>
            </w:r>
          </w:p>
        </w:tc>
        <w:tc>
          <w:tcPr>
            <w:tcW w:type="dxa" w:w="3600"/>
            <w:tcMar>
              <w:top w:type="dxa" w:w="80"/>
              <w:left w:type="dxa" w:w="100"/>
              <w:bottom w:type="dxa" w:w="80"/>
              <w:right w:type="dxa" w:w="100"/>
            </w:tcMar>
          </w:tcPr>
          <w:p>
            <w:r>
              <w:rPr>
                <w:b w:val="false"/>
                <w:bCs w:val="false"/>
              </w:rPr>
              <w:t xml:space="preserve">Confirmed; strongest existing precedent that checker-driven training scales, though confined to math/proof domains, not general software</w:t>
            </w:r>
          </w:p>
        </w:tc>
      </w:tr>
    </w:tbl>
    <w:p>
      <w:pPr>
        <w:pStyle w:val="Heading1"/>
        <w:spacing w:after="140" w:before="280"/>
      </w:pPr>
      <w:r>
        <w:t xml:space="preserve">5. Proposed Architecture</w:t>
      </w:r>
    </w:p>
    <w:p>
      <w:pPr>
        <w:spacing w:after="160"/>
      </w:pPr>
      <w:r>
        <w:t xml:space="preserve">The full target architecture (detailed in the accompanying design document) has four parts:</w:t>
      </w:r>
    </w:p>
    <w:p>
      <w:pPr>
        <w:pStyle w:val="ListParagraph"/>
        <w:numPr>
          <w:ilvl w:val="0"/>
          <w:numId w:val="1"/>
        </w:numPr>
        <w:spacing w:after="80"/>
      </w:pPr>
      <w:r>
        <w:t xml:space="preserve">Surface layer — deliberately unoriginal, Python/TypeScript-shaped syntax, so model fluency draws on existing training-data volume rather than requiring the model to learn a new notation from scratch.</w:t>
      </w:r>
    </w:p>
    <w:p>
      <w:pPr>
        <w:pStyle w:val="ListParagraph"/>
        <w:numPr>
          <w:ilvl w:val="0"/>
          <w:numId w:val="1"/>
        </w:numPr>
        <w:spacing w:after="80"/>
      </w:pPr>
      <w:r>
        <w:t xml:space="preserve">Core calculus — strict, dependently/refinement-typed, effect-tracked, with linear types for consequential values (money, tokens, one-time capabilities) and totality checking by default.</w:t>
      </w:r>
    </w:p>
    <w:p>
      <w:pPr>
        <w:pStyle w:val="ListParagraph"/>
        <w:numPr>
          <w:ilvl w:val="0"/>
          <w:numId w:val="1"/>
        </w:numPr>
        <w:spacing w:after="80"/>
      </w:pPr>
      <w:r>
        <w:t xml:space="preserve">Elaboration — a deterministic, non-AI compiler pass that expands surface contracts into core-level obligations, resolves every implicit, and infers effect and ownership annotations — so the model never hand-writes the strict layer.</w:t>
      </w:r>
    </w:p>
    <w:p>
      <w:pPr>
        <w:pStyle w:val="ListParagraph"/>
        <w:numPr>
          <w:ilvl w:val="0"/>
          <w:numId w:val="1"/>
        </w:numPr>
        <w:spacing w:after="80"/>
      </w:pPr>
      <w:r>
        <w:t xml:space="preserve">Verification and repair loop — granular proof obligations, structured machine-parseable errors translated back into surface terms, adversarial counterexample search (CEGIS-style), and property-based tests generated mechanically from contracts rather than written by the model.</w:t>
      </w:r>
    </w:p>
    <w:p>
      <w:pPr>
        <w:spacing w:after="160"/>
      </w:pPr>
      <w:r>
        <w:t xml:space="preserve">Four additional components exist specifically to close the full-stack gap identified in §2, none of which are addressed by Dafny or Lean 4 today:</w:t>
      </w:r>
    </w:p>
    <w:p>
      <w:pPr>
        <w:pStyle w:val="ListParagraph"/>
        <w:numPr>
          <w:ilvl w:val="0"/>
          <w:numId w:val="1"/>
        </w:numPr>
        <w:spacing w:after="80"/>
      </w:pPr>
      <w:r>
        <w:t xml:space="preserve">Tiered verification — code is Tested, Contracted, or fully Proven depending on whether it touches consequential (linear-typed) resources, directly containing the unpredictable verification cost Dafny's own users report.</w:t>
      </w:r>
    </w:p>
    <w:p>
      <w:pPr>
        <w:pStyle w:val="ListParagraph"/>
        <w:numPr>
          <w:ilvl w:val="0"/>
          <w:numId w:val="1"/>
        </w:numPr>
        <w:spacing w:after="80"/>
      </w:pPr>
      <w:r>
        <w:t xml:space="preserve">Multi-target compilation — compiles to existing host runtimes (TypeScript/JS for frontend, Go/Python/JVM for backend), following Dafny's proven integration model rather than Lean 4's isolated-ecosystem approach.</w:t>
      </w:r>
    </w:p>
    <w:p>
      <w:pPr>
        <w:pStyle w:val="ListParagraph"/>
        <w:numPr>
          <w:ilvl w:val="0"/>
          <w:numId w:val="1"/>
        </w:numPr>
        <w:spacing w:after="80"/>
      </w:pPr>
      <w:r>
        <w:t xml:space="preserve">Trusted FFI boundary — a mandatory, machine-readable contract stub for calling unverified third-party libraries (React, ORMs, payment SDKs), applying the established Gradual Verification technique (Bader et al., 2018) to LLM-authored code specifically, not inventing a new mechanism — see §2's correction.</w:t>
      </w:r>
    </w:p>
    <w:p>
      <w:pPr>
        <w:pStyle w:val="ListParagraph"/>
        <w:numPr>
          <w:ilvl w:val="0"/>
          <w:numId w:val="1"/>
        </w:numPr>
        <w:spacing w:after="80"/>
      </w:pPr>
      <w:r>
        <w:t xml:space="preserve">Full-stack effect model — extends Koka-style effect tracking with named kinds for network calls, async/await, UI re-render, and database access, none of which Dafny's heap-focused reads/modifies model covers.</w:t>
      </w:r>
    </w:p>
    <w:p>
      <w:pPr>
        <w:spacing w:after="160"/>
      </w:pPr>
      <w:r>
        <w:t xml:space="preserve">This proposal does not request funding to build all of these parts. It requests funding to test the highest-leverage, cheapest-to-test piece first (§7).</w:t>
      </w:r>
    </w:p>
    <w:p>
      <w:pPr>
        <w:spacing w:after="160"/>
      </w:pPr>
      <w:r>
        <w:rPr>
          <w:b/>
          <w:bCs/>
        </w:rPr>
        <w:t xml:space="preserve">On novelty, directly: </w:t>
      </w:r>
      <w:r>
        <w:t xml:space="preserve">Ward is an integration architecture built from established, independently-verified techniques (contracts, SMT verification, effect tracking, linear types, content-addressing, gradual verification), not a fork of Dafny, Lean, or SPARK and not a claim to have invented formal verification. The genuinely under-precedented pieces are narrower: the specific combination applied to full-stack AI-authored code, and confidence-typed verification routing, which was not found precedented in any reviewed source and is the component most in need of empirical testing before further investment.</w:t>
      </w:r>
    </w:p>
    <w:p>
      <w:pPr>
        <w:pStyle w:val="Heading1"/>
        <w:spacing w:after="140" w:before="280"/>
      </w:pPr>
      <w:r>
        <w:t xml:space="preserve">6. Risks and Honest Limitations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3600"/>
      </w:tblGrid>
      <w:tr>
        <w:trPr>
          <w:tblHeader/>
        </w:trPr>
        <w:tc>
          <w:tcPr>
            <w:tcW w:type="dxa" w:w="3400"/>
            <w:shd w:fill="D9E2F3" w:color="auto" w:val="clear"/>
            <w:tcMar>
              <w:top w:type="dxa" w:w="80"/>
              <w:left w:type="dxa" w:w="100"/>
              <w:bottom w:type="dxa" w:w="80"/>
              <w:right w:type="dxa" w:w="100"/>
            </w:tcMar>
          </w:tcPr>
          <w:p>
            <w:r>
              <w:rPr>
                <w:b/>
                <w:bCs/>
              </w:rPr>
              <w:t xml:space="preserve">Risk</w:t>
            </w:r>
          </w:p>
        </w:tc>
        <w:tc>
          <w:tcPr>
            <w:tcW w:type="dxa" w:w="1400"/>
            <w:shd w:fill="D9E2F3" w:color="auto" w:val="clear"/>
            <w:tcMar>
              <w:top w:type="dxa" w:w="80"/>
              <w:left w:type="dxa" w:w="100"/>
              <w:bottom w:type="dxa" w:w="80"/>
              <w:right w:type="dxa" w:w="100"/>
            </w:tcMar>
          </w:tcPr>
          <w:p>
            <w:r>
              <w:rPr>
                <w:b/>
                <w:bCs/>
              </w:rPr>
              <w:t xml:space="preserve">Severity</w:t>
            </w:r>
          </w:p>
        </w:tc>
        <w:tc>
          <w:tcPr>
            <w:tcW w:type="dxa" w:w="3600"/>
            <w:shd w:fill="D9E2F3" w:color="auto" w:val="clear"/>
            <w:tcMar>
              <w:top w:type="dxa" w:w="80"/>
              <w:left w:type="dxa" w:w="100"/>
              <w:bottom w:type="dxa" w:w="80"/>
              <w:right w:type="dxa" w:w="100"/>
            </w:tcMar>
          </w:tcPr>
          <w:p>
            <w:r>
              <w:rPr>
                <w:b/>
                <w:bCs/>
              </w:rPr>
              <w:t xml:space="preserve">Mitigation / why it's addressed by the phased plan</w:t>
            </w:r>
          </w:p>
        </w:tc>
      </w:tr>
      <w:tr>
        <w:tc>
          <w:tcPr>
            <w:tcW w:type="dxa" w:w="3400"/>
            <w:tcMar>
              <w:top w:type="dxa" w:w="80"/>
              <w:left w:type="dxa" w:w="100"/>
              <w:bottom w:type="dxa" w:w="80"/>
              <w:right w:type="dxa" w:w="100"/>
            </w:tcMar>
          </w:tcPr>
          <w:p>
            <w:r>
              <w:rPr>
                <w:b w:val="false"/>
                <w:bCs w:val="false"/>
              </w:rPr>
              <w:t xml:space="preserve">Full dependent-type validity checking is undecidable in general (confirmed: Coq/Idris/Agda-class systems)</w:t>
            </w:r>
          </w:p>
        </w:tc>
        <w:tc>
          <w:tcPr>
            <w:tcW w:type="dxa" w:w="1400"/>
            <w:tcMar>
              <w:top w:type="dxa" w:w="80"/>
              <w:left w:type="dxa" w:w="100"/>
              <w:bottom w:type="dxa" w:w="80"/>
              <w:right w:type="dxa" w:w="100"/>
            </w:tcMar>
          </w:tcPr>
          <w:p>
            <w:r>
              <w:rPr>
                <w:b w:val="false"/>
                <w:bCs w:val="false"/>
              </w:rPr>
              <w:t xml:space="preserve">High — core technical risk</w:t>
            </w:r>
          </w:p>
        </w:tc>
        <w:tc>
          <w:tcPr>
            <w:tcW w:type="dxa" w:w="3600"/>
            <w:tcMar>
              <w:top w:type="dxa" w:w="80"/>
              <w:left w:type="dxa" w:w="100"/>
              <w:bottom w:type="dxa" w:w="80"/>
              <w:right w:type="dxa" w:w="100"/>
            </w:tcMar>
          </w:tcPr>
          <w:p>
            <w:r>
              <w:rPr>
                <w:b w:val="false"/>
                <w:bCs w:val="false"/>
              </w:rPr>
              <w:t xml:space="preserve">Scope Phase 1–2 to a deliberately restricted, decidable subset (refinement types à la LiquidHaskell, not full dependent types) before considering any expansion</w:t>
            </w:r>
          </w:p>
        </w:tc>
      </w:tr>
      <w:tr>
        <w:tc>
          <w:tcPr>
            <w:tcW w:type="dxa" w:w="3400"/>
            <w:tcMar>
              <w:top w:type="dxa" w:w="80"/>
              <w:left w:type="dxa" w:w="100"/>
              <w:bottom w:type="dxa" w:w="80"/>
              <w:right w:type="dxa" w:w="100"/>
            </w:tcMar>
          </w:tcPr>
          <w:p>
            <w:r>
              <w:rPr>
                <w:b w:val="false"/>
                <w:bCs w:val="false"/>
              </w:rPr>
              <w:t xml:space="preserve">Totality checkers are necessarily conservative and imperfect (confirmed via Idris's own documentation)</w:t>
            </w:r>
          </w:p>
        </w:tc>
        <w:tc>
          <w:tcPr>
            <w:tcW w:type="dxa" w:w="1400"/>
            <w:tcMar>
              <w:top w:type="dxa" w:w="80"/>
              <w:left w:type="dxa" w:w="100"/>
              <w:bottom w:type="dxa" w:w="80"/>
              <w:right w:type="dxa" w:w="100"/>
            </w:tcMar>
          </w:tcPr>
          <w:p>
            <w:r>
              <w:rPr>
                <w:b w:val="false"/>
                <w:bCs w:val="false"/>
              </w:rPr>
              <w:t xml:space="preserve">Medium</w:t>
            </w:r>
          </w:p>
        </w:tc>
        <w:tc>
          <w:tcPr>
            <w:tcW w:type="dxa" w:w="3600"/>
            <w:tcMar>
              <w:top w:type="dxa" w:w="80"/>
              <w:left w:type="dxa" w:w="100"/>
              <w:bottom w:type="dxa" w:w="80"/>
              <w:right w:type="dxa" w:w="100"/>
            </w:tcMar>
          </w:tcPr>
          <w:p>
            <w:r>
              <w:rPr>
                <w:b w:val="false"/>
                <w:bCs w:val="false"/>
              </w:rPr>
              <w:t xml:space="preserve">Treat totality checking as a source of friction to budget for, not a clean guarantee; measure false-positive rejection rate explicitly in Phase 1</w:t>
            </w:r>
          </w:p>
        </w:tc>
      </w:tr>
      <w:tr>
        <w:tc>
          <w:tcPr>
            <w:tcW w:type="dxa" w:w="3400"/>
            <w:tcMar>
              <w:top w:type="dxa" w:w="80"/>
              <w:left w:type="dxa" w:w="100"/>
              <w:bottom w:type="dxa" w:w="80"/>
              <w:right w:type="dxa" w:w="100"/>
            </w:tcMar>
          </w:tcPr>
          <w:p>
            <w:r>
              <w:rPr>
                <w:b w:val="false"/>
                <w:bCs w:val="false"/>
              </w:rPr>
              <w:t xml:space="preserve">No evidence checker-driven RL generalizes beyond narrow formal-proof domains to general software (H3)</w:t>
            </w:r>
          </w:p>
        </w:tc>
        <w:tc>
          <w:tcPr>
            <w:tcW w:type="dxa" w:w="1400"/>
            <w:tcMar>
              <w:top w:type="dxa" w:w="80"/>
              <w:left w:type="dxa" w:w="100"/>
              <w:bottom w:type="dxa" w:w="80"/>
              <w:right w:type="dxa" w:w="100"/>
            </w:tcMar>
          </w:tcPr>
          <w:p>
            <w:r>
              <w:rPr>
                <w:b w:val="false"/>
                <w:bCs w:val="false"/>
              </w:rPr>
              <w:t xml:space="preserve">High — the central unproven claim of the whole program</w:t>
            </w:r>
          </w:p>
        </w:tc>
        <w:tc>
          <w:tcPr>
            <w:tcW w:type="dxa" w:w="3600"/>
            <w:tcMar>
              <w:top w:type="dxa" w:w="80"/>
              <w:left w:type="dxa" w:w="100"/>
              <w:bottom w:type="dxa" w:w="80"/>
              <w:right w:type="dxa" w:w="100"/>
            </w:tcMar>
          </w:tcPr>
          <w:p>
            <w:r>
              <w:rPr>
                <w:b w:val="false"/>
                <w:bCs w:val="false"/>
              </w:rPr>
              <w:t xml:space="preserve">Sequenced last (Phase 4); Phases 0–3 are designed to produce a working checker and measurable error-reduction signal independent of whether H3 ever pans out</w:t>
            </w:r>
          </w:p>
        </w:tc>
      </w:tr>
      <w:tr>
        <w:tc>
          <w:tcPr>
            <w:tcW w:type="dxa" w:w="3400"/>
            <w:tcMar>
              <w:top w:type="dxa" w:w="80"/>
              <w:left w:type="dxa" w:w="100"/>
              <w:bottom w:type="dxa" w:w="80"/>
              <w:right w:type="dxa" w:w="100"/>
            </w:tcMar>
          </w:tcPr>
          <w:p>
            <w:r>
              <w:rPr>
                <w:b w:val="false"/>
                <w:bCs w:val="false"/>
              </w:rPr>
              <w:t xml:space="preserve">Type-constrained decoding's strongest published number (74.8%) measures compile-error reduction, not functional correctness (actual pass@1 gain in the same paper: +3.5–8%)</w:t>
            </w:r>
          </w:p>
        </w:tc>
        <w:tc>
          <w:tcPr>
            <w:tcW w:type="dxa" w:w="1400"/>
            <w:tcMar>
              <w:top w:type="dxa" w:w="80"/>
              <w:left w:type="dxa" w:w="100"/>
              <w:bottom w:type="dxa" w:w="80"/>
              <w:right w:type="dxa" w:w="100"/>
            </w:tcMar>
          </w:tcPr>
          <w:p>
            <w:r>
              <w:rPr>
                <w:b w:val="false"/>
                <w:bCs w:val="false"/>
              </w:rPr>
              <w:t xml:space="preserve">Medium — risk of overstating Phase 0's expected effect size</w:t>
            </w:r>
          </w:p>
        </w:tc>
        <w:tc>
          <w:tcPr>
            <w:tcW w:type="dxa" w:w="3600"/>
            <w:tcMar>
              <w:top w:type="dxa" w:w="80"/>
              <w:left w:type="dxa" w:w="100"/>
              <w:bottom w:type="dxa" w:w="80"/>
              <w:right w:type="dxa" w:w="100"/>
            </w:tcMar>
          </w:tcPr>
          <w:p>
            <w:r>
              <w:rPr>
                <w:b w:val="false"/>
                <w:bCs w:val="false"/>
              </w:rPr>
              <w:t xml:space="preserve">Phase 0's success criteria (§7) are defined on functional correctness / pass@1, not compile-error rate, specifically to avoid this substitution</w:t>
            </w:r>
          </w:p>
        </w:tc>
      </w:tr>
      <w:tr>
        <w:tc>
          <w:tcPr>
            <w:tcW w:type="dxa" w:w="3400"/>
            <w:tcMar>
              <w:top w:type="dxa" w:w="80"/>
              <w:left w:type="dxa" w:w="100"/>
              <w:bottom w:type="dxa" w:w="80"/>
              <w:right w:type="dxa" w:w="100"/>
            </w:tcMar>
          </w:tcPr>
          <w:p>
            <w:r>
              <w:rPr>
                <w:b w:val="false"/>
                <w:bCs w:val="false"/>
              </w:rPr>
              <w:t xml:space="preserve">Gradual verification (the basis for §5's FFI boundary) is proven mainly in constrained domains (smart contracts, security primitives) — not yet demonstrated for high-churn, loosely-specified full-stack libraries</w:t>
            </w:r>
          </w:p>
        </w:tc>
        <w:tc>
          <w:tcPr>
            <w:tcW w:type="dxa" w:w="1400"/>
            <w:tcMar>
              <w:top w:type="dxa" w:w="80"/>
              <w:left w:type="dxa" w:w="100"/>
              <w:bottom w:type="dxa" w:w="80"/>
              <w:right w:type="dxa" w:w="100"/>
            </w:tcMar>
          </w:tcPr>
          <w:p>
            <w:r>
              <w:rPr>
                <w:b w:val="false"/>
                <w:bCs w:val="false"/>
              </w:rPr>
              <w:t xml:space="preserve">Medium</w:t>
            </w:r>
          </w:p>
        </w:tc>
        <w:tc>
          <w:tcPr>
            <w:tcW w:type="dxa" w:w="3600"/>
            <w:tcMar>
              <w:top w:type="dxa" w:w="80"/>
              <w:left w:type="dxa" w:w="100"/>
              <w:bottom w:type="dxa" w:w="80"/>
              <w:right w:type="dxa" w:w="100"/>
            </w:tcMar>
          </w:tcPr>
          <w:p>
            <w:r>
              <w:rPr>
                <w:b w:val="false"/>
                <w:bCs w:val="false"/>
              </w:rPr>
              <w:t xml:space="preserve">Explicitly scoped as an open question in Sub-experiment B of Phase 0 (§7), not assumed to transfer automatically</w:t>
            </w:r>
          </w:p>
        </w:tc>
      </w:tr>
      <w:tr>
        <w:tc>
          <w:tcPr>
            <w:tcW w:type="dxa" w:w="3400"/>
            <w:tcMar>
              <w:top w:type="dxa" w:w="80"/>
              <w:left w:type="dxa" w:w="100"/>
              <w:bottom w:type="dxa" w:w="80"/>
              <w:right w:type="dxa" w:w="100"/>
            </w:tcMar>
          </w:tcPr>
          <w:p>
            <w:r>
              <w:rPr>
                <w:b w:val="false"/>
                <w:bCs w:val="false"/>
              </w:rPr>
              <w:t xml:space="preserve">New-language bootstrapping problem: no model is natively fluent in Ward on day one</w:t>
            </w:r>
          </w:p>
        </w:tc>
        <w:tc>
          <w:tcPr>
            <w:tcW w:type="dxa" w:w="1400"/>
            <w:tcMar>
              <w:top w:type="dxa" w:w="80"/>
              <w:left w:type="dxa" w:w="100"/>
              <w:bottom w:type="dxa" w:w="80"/>
              <w:right w:type="dxa" w:w="100"/>
            </w:tcMar>
          </w:tcPr>
          <w:p>
            <w:r>
              <w:rPr>
                <w:b w:val="false"/>
                <w:bCs w:val="false"/>
              </w:rPr>
              <w:t xml:space="preserve">High for later phases, N/A for Phase 0</w:t>
            </w:r>
          </w:p>
        </w:tc>
        <w:tc>
          <w:tcPr>
            <w:tcW w:type="dxa" w:w="3600"/>
            <w:tcMar>
              <w:top w:type="dxa" w:w="80"/>
              <w:left w:type="dxa" w:w="100"/>
              <w:bottom w:type="dxa" w:w="80"/>
              <w:right w:type="dxa" w:w="100"/>
            </w:tcMar>
          </w:tcPr>
          <w:p>
            <w:r>
              <w:rPr>
                <w:b w:val="false"/>
                <w:bCs w:val="false"/>
              </w:rPr>
              <w:t xml:space="preserve">Phase 0 deliberately requires no new language and no model training — it tests the verification mechanism using an existing model's existing fluency</w:t>
            </w:r>
          </w:p>
        </w:tc>
      </w:tr>
    </w:tbl>
    <w:p>
      <w:r>
        <w:br w:type="page"/>
      </w:r>
    </w:p>
    <w:p>
      <w:pPr>
        <w:pStyle w:val="Heading1"/>
        <w:spacing w:after="140" w:before="280"/>
      </w:pPr>
      <w:r>
        <w:t xml:space="preserve">7. Phased Research Plan</w:t>
      </w:r>
    </w:p>
    <w:p>
      <w:pPr>
        <w:spacing w:after="160"/>
      </w:pPr>
      <w:r>
        <w:t xml:space="preserve">Each phase has an explicit go/no-go gate. No phase should be funded or staffed before the prior phase's gate is met.</w:t>
      </w:r>
    </w:p>
    <w:p>
      <w:pPr>
        <w:pStyle w:val="Heading2"/>
        <w:spacing w:after="140" w:before="280"/>
      </w:pPr>
      <w:r>
        <w:t xml:space="preserve">Phase 0 — Minimal Falsification Experiment</w:t>
      </w:r>
    </w:p>
    <w:p>
      <w:pPr>
        <w:spacing w:after="160"/>
      </w:pPr>
      <w:r>
        <w:rPr>
          <w:b/>
          <w:bCs/>
        </w:rPr>
        <w:t xml:space="preserve">Duration: </w:t>
      </w:r>
      <w:r>
        <w:t xml:space="preserve">~3 months.  </w:t>
      </w:r>
      <w:r>
        <w:rPr>
          <w:b/>
          <w:bCs/>
        </w:rPr>
        <w:t xml:space="preserve">Team: </w:t>
      </w:r>
      <w:r>
        <w:t xml:space="preserve">2–3 engineers.  </w:t>
      </w:r>
      <w:r>
        <w:rPr>
          <w:b/>
          <w:bCs/>
        </w:rPr>
        <w:t xml:space="preserve">New language required: </w:t>
      </w:r>
      <w:r>
        <w:t xml:space="preserve">No.</w:t>
      </w:r>
    </w:p>
    <w:p>
      <w:pPr>
        <w:spacing w:after="160"/>
      </w:pPr>
      <w:r>
        <w:t xml:space="preserve">Note: an earlier draft of this phase tested whether verifier feedback improves LLM code accuracy at all. That question is already answered — Dafny's published self-healing pipelines show 82–91% verify success. Phase 0 is rescoped to test only the parts of Ward's hypothesis that are not already answered by existing Dafny/Lean work:</w:t>
      </w:r>
    </w:p>
    <w:p>
      <w:pPr>
        <w:pStyle w:val="ListParagraph"/>
        <w:numPr>
          <w:ilvl w:val="0"/>
          <w:numId w:val="1"/>
        </w:numPr>
        <w:spacing w:after="80"/>
      </w:pPr>
      <w:r>
        <w:t xml:space="preserve">Sub-experiment A (surface-syntax hypothesis): compare pass@1 when a model generates directly in a Dafny-like formal syntax versus generating in a familiar Python/TS-shaped surface syntax that is then deterministically elaborated into the same formal core and checked by the same verifier. This isolates whether the off-distribution cost documented for Dafny (~77% pass@1) is fixable by an elaboration layer.</w:t>
      </w:r>
    </w:p>
    <w:p>
      <w:pPr>
        <w:pStyle w:val="ListParagraph"/>
        <w:numPr>
          <w:ilvl w:val="0"/>
          <w:numId w:val="1"/>
        </w:numPr>
        <w:spacing w:after="80"/>
      </w:pPr>
      <w:r>
        <w:t xml:space="preserve">Sub-experiment B (FFI boundary hypothesis): on a small set of realistic full-stack tasks (e.g., a REST endpoint calling a payment SDK and a database), test whether a contract-stub trust boundary lets verified code correctly and safely call unverified library functions, measured against an unverified baseline using the same libraries directly.</w:t>
      </w:r>
    </w:p>
    <w:p>
      <w:pPr>
        <w:spacing w:after="160"/>
      </w:pPr>
      <w:r>
        <w:rPr>
          <w:b/>
          <w:bCs/>
        </w:rPr>
        <w:t xml:space="preserve">Go/no-go criterion: </w:t>
      </w:r>
      <w:r>
        <w:t xml:space="preserve">Sub-experiment A must show elaborated surface-syntax generation statistically outperforms direct formal-syntax generation at equal verifier strictness. Sub-experiment B must show the FFI boundary catches a meaningfully higher share of contract violations at library call sites than an unverified baseline, without prohibitive false-positive rejection rates.</w:t>
      </w:r>
    </w:p>
    <w:p>
      <w:pPr>
        <w:pStyle w:val="Heading2"/>
        <w:spacing w:after="140" w:before="280"/>
      </w:pPr>
      <w:r>
        <w:t xml:space="preserve">Phase 1 — Core Calculus and Checker (restricted subset)</w:t>
      </w:r>
    </w:p>
    <w:p>
      <w:pPr>
        <w:spacing w:after="160"/>
      </w:pPr>
      <w:r>
        <w:rPr>
          <w:b/>
          <w:bCs/>
        </w:rPr>
        <w:t xml:space="preserve">Duration: </w:t>
      </w:r>
      <w:r>
        <w:t xml:space="preserve">9–12 months, contingent on Phase 0.  </w:t>
      </w:r>
      <w:r>
        <w:rPr>
          <w:b/>
          <w:bCs/>
        </w:rPr>
        <w:t xml:space="preserve">Team: </w:t>
      </w:r>
      <w:r>
        <w:t xml:space="preserve">PL researchers with SMT/refinement-type experience (LiquidHaskell/F*-adjacent background ideal).</w:t>
      </w:r>
    </w:p>
    <w:p>
      <w:pPr>
        <w:spacing w:after="160"/>
      </w:pPr>
      <w:r>
        <w:t xml:space="preserve">Formalize and implement a checker for a deliberately restricted core calculus: refinement types (not full dependent types), effect tracking, and linear types for a small set of resource kinds. Target decidability and acceptable latency over generality.</w:t>
      </w:r>
    </w:p>
    <w:p>
      <w:pPr>
        <w:spacing w:after="160"/>
      </w:pPr>
      <w:r>
        <w:rPr>
          <w:b/>
          <w:bCs/>
        </w:rPr>
        <w:t xml:space="preserve">Go/no-go criterion: </w:t>
      </w:r>
      <w:r>
        <w:t xml:space="preserve">The checker must verify a benchmark suite of real (not toy) program patterns within a latency budget compatible with an iterative repair loop (target: single-digit seconds per function, not minutes).</w:t>
      </w:r>
    </w:p>
    <w:p>
      <w:pPr>
        <w:pStyle w:val="Heading2"/>
        <w:spacing w:after="140" w:before="280"/>
      </w:pPr>
      <w:r>
        <w:t xml:space="preserve">Phase 2 — Elaborator and Repair Loop</w:t>
      </w:r>
    </w:p>
    <w:p>
      <w:pPr>
        <w:spacing w:after="160"/>
      </w:pPr>
      <w:r>
        <w:rPr>
          <w:b/>
          <w:bCs/>
        </w:rPr>
        <w:t xml:space="preserve">Duration: </w:t>
      </w:r>
      <w:r>
        <w:t xml:space="preserve">6–9 months, parallel with late Phase 1.</w:t>
      </w:r>
    </w:p>
    <w:p>
      <w:pPr>
        <w:spacing w:after="160"/>
      </w:pPr>
      <w:r>
        <w:t xml:space="preserve">Build the deterministic surface-to-core compiler and the structured-error-to-surface-terms translation, and wire the full generate–check–repair loop end to end on the Phase 1 checker.</w:t>
      </w:r>
    </w:p>
    <w:p>
      <w:pPr>
        <w:spacing w:after="160"/>
      </w:pPr>
      <w:r>
        <w:rPr>
          <w:b/>
          <w:bCs/>
        </w:rPr>
        <w:t xml:space="preserve">Go/no-go criterion: </w:t>
      </w:r>
      <w:r>
        <w:t xml:space="preserve">Converged (post-repair) accuracy on the Phase 0 task set must exceed Phase 0's single-shot result by a margin that justifies the added system complexity.</w:t>
      </w:r>
    </w:p>
    <w:p>
      <w:pPr>
        <w:pStyle w:val="Heading2"/>
        <w:spacing w:after="140" w:before="280"/>
      </w:pPr>
      <w:r>
        <w:t xml:space="preserve">Phase 3 — Content-Addressed Composition Library</w:t>
      </w:r>
    </w:p>
    <w:p>
      <w:pPr>
        <w:spacing w:after="160"/>
      </w:pPr>
      <w:r>
        <w:rPr>
          <w:b/>
          <w:bCs/>
        </w:rPr>
        <w:t xml:space="preserve">Duration: </w:t>
      </w:r>
      <w:r>
        <w:t xml:space="preserve">6 months, can run in parallel with Phase 2.  </w:t>
      </w:r>
      <w:r>
        <w:rPr>
          <w:b/>
          <w:bCs/>
        </w:rPr>
        <w:t xml:space="preserve">Team: </w:t>
      </w:r>
      <w:r>
        <w:t xml:space="preserve">Systems engineers; Unison is the closest existing precedent and reference implementation.</w:t>
      </w:r>
    </w:p>
    <w:p>
      <w:pPr>
        <w:spacing w:after="160"/>
      </w:pPr>
      <w:r>
        <w:t xml:space="preserve">Build proof-caching, content-addressed storage, and search-and-compose behavior so the model defaults to reusing verified functions over synthesizing new ones.</w:t>
      </w:r>
    </w:p>
    <w:p>
      <w:pPr>
        <w:spacing w:after="160"/>
      </w:pPr>
      <w:r>
        <w:rPr>
          <w:b/>
          <w:bCs/>
        </w:rPr>
        <w:t xml:space="preserve">Go/no-go criterion: </w:t>
      </w:r>
      <w:r>
        <w:t xml:space="preserve">Measurable reduction in novel-code surface area (lines of newly-synthesized, unverified code per task) over a fixed task sequence, without an accuracy regression.</w:t>
      </w:r>
    </w:p>
    <w:p>
      <w:pPr>
        <w:pStyle w:val="Heading2"/>
        <w:spacing w:after="140" w:before="280"/>
      </w:pPr>
      <w:r>
        <w:t xml:space="preserve">Phase 4 — Bootstrapping Model Fluency (highest risk, funded last)</w:t>
      </w:r>
    </w:p>
    <w:p>
      <w:pPr>
        <w:spacing w:after="160"/>
      </w:pPr>
      <w:r>
        <w:rPr>
          <w:b/>
          <w:bCs/>
        </w:rPr>
        <w:t xml:space="preserve">Duration: </w:t>
      </w:r>
      <w:r>
        <w:t xml:space="preserve">12–24 months.  </w:t>
      </w:r>
      <w:r>
        <w:rPr>
          <w:b/>
          <w:bCs/>
        </w:rPr>
        <w:t xml:space="preserve">Team: </w:t>
      </w:r>
      <w:r>
        <w:t xml:space="preserve">ML/RL engineers plus the Phase 1–2 PL team; compute-intensive.</w:t>
      </w:r>
    </w:p>
    <w:p>
      <w:pPr>
        <w:spacing w:after="160"/>
      </w:pPr>
      <w:r>
        <w:t xml:space="preserve">Generate synthetic training corpora (translation from existing languages, self-play against the Phase 1 checker) and fine-tune/RL a model against the checker as reward signal, directly analogous to the Lean 4 proof-training pipelines cited in §3.</w:t>
      </w:r>
    </w:p>
    <w:p>
      <w:pPr>
        <w:spacing w:after="160"/>
      </w:pPr>
      <w:r>
        <w:rPr>
          <w:b/>
          <w:bCs/>
        </w:rPr>
        <w:t xml:space="preserve">Go/no-go criterion: </w:t>
      </w:r>
      <w:r>
        <w:t xml:space="preserve">This phase should not be funded until Phases 0–3 are complete and positive, since it is the single most expensive phase and rests on the least-supported hypothesis (H3) in the whole proposal.</w:t>
      </w:r>
    </w:p>
    <w:p>
      <w:pPr>
        <w:pStyle w:val="Heading1"/>
        <w:spacing w:after="140" w:before="280"/>
      </w:pPr>
      <w:r>
        <w:t xml:space="preserve">8. Evaluation Plan</w:t>
      </w:r>
    </w:p>
    <w:p>
      <w:pPr>
        <w:spacing w:after="160"/>
      </w:pPr>
      <w:r>
        <w:t xml:space="preserve">All phases report against the same benchmark family to keep results comparable over time:</w:t>
      </w:r>
    </w:p>
    <w:p>
      <w:pPr>
        <w:pStyle w:val="ListParagraph"/>
        <w:numPr>
          <w:ilvl w:val="0"/>
          <w:numId w:val="1"/>
        </w:numPr>
        <w:spacing w:after="80"/>
      </w:pPr>
      <w:r>
        <w:t xml:space="preserve">A held-out, contamination-checked slice of SWE-bench Pro (realistic, novel-task accuracy)</w:t>
      </w:r>
    </w:p>
    <w:p>
      <w:pPr>
        <w:pStyle w:val="ListParagraph"/>
        <w:numPr>
          <w:ilvl w:val="0"/>
          <w:numId w:val="1"/>
        </w:numPr>
        <w:spacing w:after="80"/>
      </w:pPr>
      <w:r>
        <w:t xml:space="preserve">GitChameleon (real library-version compatibility)</w:t>
      </w:r>
    </w:p>
    <w:p>
      <w:pPr>
        <w:pStyle w:val="ListParagraph"/>
        <w:numPr>
          <w:ilvl w:val="0"/>
          <w:numId w:val="1"/>
        </w:numPr>
        <w:spacing w:after="80"/>
      </w:pPr>
      <w:r>
        <w:t xml:space="preserve">A custom Ward-specific regression suite, built incrementally from Phase 1 onward, to track checker soundness and false-positive rejection rate over time</w:t>
      </w:r>
    </w:p>
    <w:p>
      <w:pPr>
        <w:spacing w:after="160"/>
      </w:pPr>
      <w:r>
        <w:t xml:space="preserve">Functional correctness (pass@1 or equivalent) is the primary metric throughout. Compile-error / verification-pass rate is tracked as a secondary metric only, explicitly to prevent the metric-substitution risk identified in §6.</w:t>
      </w:r>
    </w:p>
    <w:p>
      <w:pPr>
        <w:pStyle w:val="Heading1"/>
        <w:spacing w:after="140" w:before="280"/>
      </w:pPr>
      <w:r>
        <w:t xml:space="preserve">9. Team and Resourcing (order-of-magnitude, non-binding)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600"/>
        <w:gridCol w:w="3400"/>
      </w:tblGrid>
      <w:tr>
        <w:trPr>
          <w:tblHeader/>
        </w:trPr>
        <w:tc>
          <w:tcPr>
            <w:tcW w:type="dxa" w:w="1400"/>
            <w:shd w:fill="D9E2F3" w:color="auto" w:val="clear"/>
            <w:tcMar>
              <w:top w:type="dxa" w:w="80"/>
              <w:left w:type="dxa" w:w="100"/>
              <w:bottom w:type="dxa" w:w="80"/>
              <w:right w:type="dxa" w:w="100"/>
            </w:tcMar>
          </w:tcPr>
          <w:p>
            <w:r>
              <w:rPr>
                <w:b/>
                <w:bCs/>
              </w:rPr>
              <w:t xml:space="preserve">Phase</w:t>
            </w:r>
          </w:p>
        </w:tc>
        <w:tc>
          <w:tcPr>
            <w:tcW w:type="dxa" w:w="2000"/>
            <w:shd w:fill="D9E2F3" w:color="auto" w:val="clear"/>
            <w:tcMar>
              <w:top w:type="dxa" w:w="80"/>
              <w:left w:type="dxa" w:w="100"/>
              <w:bottom w:type="dxa" w:w="80"/>
              <w:right w:type="dxa" w:w="100"/>
            </w:tcMar>
          </w:tcPr>
          <w:p>
            <w:r>
              <w:rPr>
                <w:b/>
                <w:bCs/>
              </w:rPr>
              <w:t xml:space="preserve">Rough headcount</w:t>
            </w:r>
          </w:p>
        </w:tc>
        <w:tc>
          <w:tcPr>
            <w:tcW w:type="dxa" w:w="2600"/>
            <w:shd w:fill="D9E2F3" w:color="auto" w:val="clear"/>
            <w:tcMar>
              <w:top w:type="dxa" w:w="80"/>
              <w:left w:type="dxa" w:w="100"/>
              <w:bottom w:type="dxa" w:w="80"/>
              <w:right w:type="dxa" w:w="100"/>
            </w:tcMar>
          </w:tcPr>
          <w:p>
            <w:r>
              <w:rPr>
                <w:b/>
                <w:bCs/>
              </w:rPr>
              <w:t xml:space="preserve">Rough duration</w:t>
            </w:r>
          </w:p>
        </w:tc>
        <w:tc>
          <w:tcPr>
            <w:tcW w:type="dxa" w:w="3400"/>
            <w:shd w:fill="D9E2F3" w:color="auto" w:val="clear"/>
            <w:tcMar>
              <w:top w:type="dxa" w:w="80"/>
              <w:left w:type="dxa" w:w="100"/>
              <w:bottom w:type="dxa" w:w="80"/>
              <w:right w:type="dxa" w:w="100"/>
            </w:tcMar>
          </w:tcPr>
          <w:p>
            <w:r>
              <w:rPr>
                <w:b/>
                <w:bCs/>
              </w:rPr>
              <w:t xml:space="preserve">Primary expertise</w:t>
            </w:r>
          </w:p>
        </w:tc>
      </w:tr>
      <w:tr>
        <w:tc>
          <w:tcPr>
            <w:tcW w:type="dxa" w:w="1400"/>
            <w:tcMar>
              <w:top w:type="dxa" w:w="80"/>
              <w:left w:type="dxa" w:w="100"/>
              <w:bottom w:type="dxa" w:w="80"/>
              <w:right w:type="dxa" w:w="100"/>
            </w:tcMar>
          </w:tcPr>
          <w:p>
            <w:r>
              <w:rPr>
                <w:b w:val="false"/>
                <w:bCs w:val="false"/>
              </w:rPr>
              <w:t xml:space="preserve">0</w:t>
            </w:r>
          </w:p>
        </w:tc>
        <w:tc>
          <w:tcPr>
            <w:tcW w:type="dxa" w:w="2000"/>
            <w:tcMar>
              <w:top w:type="dxa" w:w="80"/>
              <w:left w:type="dxa" w:w="100"/>
              <w:bottom w:type="dxa" w:w="80"/>
              <w:right w:type="dxa" w:w="100"/>
            </w:tcMar>
          </w:tcPr>
          <w:p>
            <w:r>
              <w:rPr>
                <w:b w:val="false"/>
                <w:bCs w:val="false"/>
              </w:rPr>
              <w:t xml:space="preserve">2–3</w:t>
            </w:r>
          </w:p>
        </w:tc>
        <w:tc>
          <w:tcPr>
            <w:tcW w:type="dxa" w:w="2600"/>
            <w:tcMar>
              <w:top w:type="dxa" w:w="80"/>
              <w:left w:type="dxa" w:w="100"/>
              <w:bottom w:type="dxa" w:w="80"/>
              <w:right w:type="dxa" w:w="100"/>
            </w:tcMar>
          </w:tcPr>
          <w:p>
            <w:r>
              <w:rPr>
                <w:b w:val="false"/>
                <w:bCs w:val="false"/>
              </w:rPr>
              <w:t xml:space="preserve">3 months</w:t>
            </w:r>
          </w:p>
        </w:tc>
        <w:tc>
          <w:tcPr>
            <w:tcW w:type="dxa" w:w="3400"/>
            <w:tcMar>
              <w:top w:type="dxa" w:w="80"/>
              <w:left w:type="dxa" w:w="100"/>
              <w:bottom w:type="dxa" w:w="80"/>
              <w:right w:type="dxa" w:w="100"/>
            </w:tcMar>
          </w:tcPr>
          <w:p>
            <w:r>
              <w:rPr>
                <w:b w:val="false"/>
                <w:bCs w:val="false"/>
              </w:rPr>
              <w:t xml:space="preserve">ML engineering, existing constrained-decoding tooling</w:t>
            </w:r>
          </w:p>
        </w:tc>
      </w:tr>
      <w:tr>
        <w:tc>
          <w:tcPr>
            <w:tcW w:type="dxa" w:w="1400"/>
            <w:tcMar>
              <w:top w:type="dxa" w:w="80"/>
              <w:left w:type="dxa" w:w="100"/>
              <w:bottom w:type="dxa" w:w="80"/>
              <w:right w:type="dxa" w:w="100"/>
            </w:tcMar>
          </w:tcPr>
          <w:p>
            <w:r>
              <w:rPr>
                <w:b w:val="false"/>
                <w:bCs w:val="false"/>
              </w:rPr>
              <w:t xml:space="preserve">1</w:t>
            </w:r>
          </w:p>
        </w:tc>
        <w:tc>
          <w:tcPr>
            <w:tcW w:type="dxa" w:w="2000"/>
            <w:tcMar>
              <w:top w:type="dxa" w:w="80"/>
              <w:left w:type="dxa" w:w="100"/>
              <w:bottom w:type="dxa" w:w="80"/>
              <w:right w:type="dxa" w:w="100"/>
            </w:tcMar>
          </w:tcPr>
          <w:p>
            <w:r>
              <w:rPr>
                <w:b w:val="false"/>
                <w:bCs w:val="false"/>
              </w:rPr>
              <w:t xml:space="preserve">3–5</w:t>
            </w:r>
          </w:p>
        </w:tc>
        <w:tc>
          <w:tcPr>
            <w:tcW w:type="dxa" w:w="2600"/>
            <w:tcMar>
              <w:top w:type="dxa" w:w="80"/>
              <w:left w:type="dxa" w:w="100"/>
              <w:bottom w:type="dxa" w:w="80"/>
              <w:right w:type="dxa" w:w="100"/>
            </w:tcMar>
          </w:tcPr>
          <w:p>
            <w:r>
              <w:rPr>
                <w:b w:val="false"/>
                <w:bCs w:val="false"/>
              </w:rPr>
              <w:t xml:space="preserve">9–12 months</w:t>
            </w:r>
          </w:p>
        </w:tc>
        <w:tc>
          <w:tcPr>
            <w:tcW w:type="dxa" w:w="3400"/>
            <w:tcMar>
              <w:top w:type="dxa" w:w="80"/>
              <w:left w:type="dxa" w:w="100"/>
              <w:bottom w:type="dxa" w:w="80"/>
              <w:right w:type="dxa" w:w="100"/>
            </w:tcMar>
          </w:tcPr>
          <w:p>
            <w:r>
              <w:rPr>
                <w:b w:val="false"/>
                <w:bCs w:val="false"/>
              </w:rPr>
              <w:t xml:space="preserve">PL research, SMT/refinement types</w:t>
            </w:r>
          </w:p>
        </w:tc>
      </w:tr>
      <w:tr>
        <w:tc>
          <w:tcPr>
            <w:tcW w:type="dxa" w:w="1400"/>
            <w:tcMar>
              <w:top w:type="dxa" w:w="80"/>
              <w:left w:type="dxa" w:w="100"/>
              <w:bottom w:type="dxa" w:w="80"/>
              <w:right w:type="dxa" w:w="100"/>
            </w:tcMar>
          </w:tcPr>
          <w:p>
            <w:r>
              <w:rPr>
                <w:b w:val="false"/>
                <w:bCs w:val="false"/>
              </w:rPr>
              <w:t xml:space="preserve">2</w:t>
            </w:r>
          </w:p>
        </w:tc>
        <w:tc>
          <w:tcPr>
            <w:tcW w:type="dxa" w:w="2000"/>
            <w:tcMar>
              <w:top w:type="dxa" w:w="80"/>
              <w:left w:type="dxa" w:w="100"/>
              <w:bottom w:type="dxa" w:w="80"/>
              <w:right w:type="dxa" w:w="100"/>
            </w:tcMar>
          </w:tcPr>
          <w:p>
            <w:r>
              <w:rPr>
                <w:b w:val="false"/>
                <w:bCs w:val="false"/>
              </w:rPr>
              <w:t xml:space="preserve">2–4</w:t>
            </w:r>
          </w:p>
        </w:tc>
        <w:tc>
          <w:tcPr>
            <w:tcW w:type="dxa" w:w="2600"/>
            <w:tcMar>
              <w:top w:type="dxa" w:w="80"/>
              <w:left w:type="dxa" w:w="100"/>
              <w:bottom w:type="dxa" w:w="80"/>
              <w:right w:type="dxa" w:w="100"/>
            </w:tcMar>
          </w:tcPr>
          <w:p>
            <w:r>
              <w:rPr>
                <w:b w:val="false"/>
                <w:bCs w:val="false"/>
              </w:rPr>
              <w:t xml:space="preserve">6–9 months (parallel)</w:t>
            </w:r>
          </w:p>
        </w:tc>
        <w:tc>
          <w:tcPr>
            <w:tcW w:type="dxa" w:w="3400"/>
            <w:tcMar>
              <w:top w:type="dxa" w:w="80"/>
              <w:left w:type="dxa" w:w="100"/>
              <w:bottom w:type="dxa" w:w="80"/>
              <w:right w:type="dxa" w:w="100"/>
            </w:tcMar>
          </w:tcPr>
          <w:p>
            <w:r>
              <w:rPr>
                <w:b w:val="false"/>
                <w:bCs w:val="false"/>
              </w:rPr>
              <w:t xml:space="preserve">Compiler engineering</w:t>
            </w:r>
          </w:p>
        </w:tc>
      </w:tr>
      <w:tr>
        <w:tc>
          <w:tcPr>
            <w:tcW w:type="dxa" w:w="1400"/>
            <w:tcMar>
              <w:top w:type="dxa" w:w="80"/>
              <w:left w:type="dxa" w:w="100"/>
              <w:bottom w:type="dxa" w:w="80"/>
              <w:right w:type="dxa" w:w="100"/>
            </w:tcMar>
          </w:tcPr>
          <w:p>
            <w:r>
              <w:rPr>
                <w:b w:val="false"/>
                <w:bCs w:val="false"/>
              </w:rPr>
              <w:t xml:space="preserve">3</w:t>
            </w:r>
          </w:p>
        </w:tc>
        <w:tc>
          <w:tcPr>
            <w:tcW w:type="dxa" w:w="2000"/>
            <w:tcMar>
              <w:top w:type="dxa" w:w="80"/>
              <w:left w:type="dxa" w:w="100"/>
              <w:bottom w:type="dxa" w:w="80"/>
              <w:right w:type="dxa" w:w="100"/>
            </w:tcMar>
          </w:tcPr>
          <w:p>
            <w:r>
              <w:rPr>
                <w:b w:val="false"/>
                <w:bCs w:val="false"/>
              </w:rPr>
              <w:t xml:space="preserve">2–3</w:t>
            </w:r>
          </w:p>
        </w:tc>
        <w:tc>
          <w:tcPr>
            <w:tcW w:type="dxa" w:w="2600"/>
            <w:tcMar>
              <w:top w:type="dxa" w:w="80"/>
              <w:left w:type="dxa" w:w="100"/>
              <w:bottom w:type="dxa" w:w="80"/>
              <w:right w:type="dxa" w:w="100"/>
            </w:tcMar>
          </w:tcPr>
          <w:p>
            <w:r>
              <w:rPr>
                <w:b w:val="false"/>
                <w:bCs w:val="false"/>
              </w:rPr>
              <w:t xml:space="preserve">6 months (parallel)</w:t>
            </w:r>
          </w:p>
        </w:tc>
        <w:tc>
          <w:tcPr>
            <w:tcW w:type="dxa" w:w="3400"/>
            <w:tcMar>
              <w:top w:type="dxa" w:w="80"/>
              <w:left w:type="dxa" w:w="100"/>
              <w:bottom w:type="dxa" w:w="80"/>
              <w:right w:type="dxa" w:w="100"/>
            </w:tcMar>
          </w:tcPr>
          <w:p>
            <w:r>
              <w:rPr>
                <w:b w:val="false"/>
                <w:bCs w:val="false"/>
              </w:rPr>
              <w:t xml:space="preserve">Distributed systems, content-addressed storage</w:t>
            </w:r>
          </w:p>
        </w:tc>
      </w:tr>
      <w:tr>
        <w:tc>
          <w:tcPr>
            <w:tcW w:type="dxa" w:w="1400"/>
            <w:tcMar>
              <w:top w:type="dxa" w:w="80"/>
              <w:left w:type="dxa" w:w="100"/>
              <w:bottom w:type="dxa" w:w="80"/>
              <w:right w:type="dxa" w:w="100"/>
            </w:tcMar>
          </w:tcPr>
          <w:p>
            <w:r>
              <w:rPr>
                <w:b w:val="false"/>
                <w:bCs w:val="false"/>
              </w:rPr>
              <w:t xml:space="preserve">4</w:t>
            </w:r>
          </w:p>
        </w:tc>
        <w:tc>
          <w:tcPr>
            <w:tcW w:type="dxa" w:w="2000"/>
            <w:tcMar>
              <w:top w:type="dxa" w:w="80"/>
              <w:left w:type="dxa" w:w="100"/>
              <w:bottom w:type="dxa" w:w="80"/>
              <w:right w:type="dxa" w:w="100"/>
            </w:tcMar>
          </w:tcPr>
          <w:p>
            <w:r>
              <w:rPr>
                <w:b w:val="false"/>
                <w:bCs w:val="false"/>
              </w:rPr>
              <w:t xml:space="preserve">5–8</w:t>
            </w:r>
          </w:p>
        </w:tc>
        <w:tc>
          <w:tcPr>
            <w:tcW w:type="dxa" w:w="2600"/>
            <w:tcMar>
              <w:top w:type="dxa" w:w="80"/>
              <w:left w:type="dxa" w:w="100"/>
              <w:bottom w:type="dxa" w:w="80"/>
              <w:right w:type="dxa" w:w="100"/>
            </w:tcMar>
          </w:tcPr>
          <w:p>
            <w:r>
              <w:rPr>
                <w:b w:val="false"/>
                <w:bCs w:val="false"/>
              </w:rPr>
              <w:t xml:space="preserve">12–24 months</w:t>
            </w:r>
          </w:p>
        </w:tc>
        <w:tc>
          <w:tcPr>
            <w:tcW w:type="dxa" w:w="3400"/>
            <w:tcMar>
              <w:top w:type="dxa" w:w="80"/>
              <w:left w:type="dxa" w:w="100"/>
              <w:bottom w:type="dxa" w:w="80"/>
              <w:right w:type="dxa" w:w="100"/>
            </w:tcMar>
          </w:tcPr>
          <w:p>
            <w:r>
              <w:rPr>
                <w:b w:val="false"/>
                <w:bCs w:val="false"/>
              </w:rPr>
              <w:t xml:space="preserve">ML/RL, large-scale training infrastructure</w:t>
            </w:r>
          </w:p>
        </w:tc>
      </w:tr>
    </w:tbl>
    <w:p>
      <w:pPr>
        <w:spacing w:after="160"/>
      </w:pPr>
      <w:r>
        <w:t xml:space="preserve">These figures are order-of-magnitude planning estimates, not a costed budget, and should be revised once Phase 0 produces real data on task difficulty.</w:t>
      </w:r>
    </w:p>
    <w:p>
      <w:pPr>
        <w:pStyle w:val="Heading1"/>
        <w:spacing w:after="140" w:before="280"/>
      </w:pPr>
      <w:r>
        <w:t xml:space="preserve">9a. Side-by-Side: Ward vs. Dafny, Lean 4, SPARK/Ada, Verus</w:t>
      </w:r>
    </w:p>
    <w:p>
      <w:pPr>
        <w:spacing w:after="160"/>
      </w:pPr>
      <w:r>
        <w:t xml:space="preserve">A direct feature comparison, consolidating every finding from this research process. Ward column reflects proposed (not built) capabilities.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300"/>
        <w:gridCol w:w="1500"/>
        <w:gridCol w:w="1500"/>
        <w:gridCol w:w="1800"/>
      </w:tblGrid>
      <w:tr>
        <w:trPr>
          <w:tblHeader/>
        </w:trPr>
        <w:tc>
          <w:tcPr>
            <w:tcW w:type="dxa" w:w="2400"/>
            <w:shd w:fill="D9E2F3" w:color="auto" w:val="clear"/>
            <w:tcMar>
              <w:top w:type="dxa" w:w="80"/>
              <w:left w:type="dxa" w:w="100"/>
              <w:bottom w:type="dxa" w:w="80"/>
              <w:right w:type="dxa" w:w="100"/>
            </w:tcMar>
          </w:tcPr>
          <w:p>
            <w:r>
              <w:rPr>
                <w:b/>
                <w:bCs/>
              </w:rPr>
              <w:t xml:space="preserve">Capability</w:t>
            </w:r>
          </w:p>
        </w:tc>
        <w:tc>
          <w:tcPr>
            <w:tcW w:type="dxa" w:w="1300"/>
            <w:shd w:fill="D9E2F3" w:color="auto" w:val="clear"/>
            <w:tcMar>
              <w:top w:type="dxa" w:w="80"/>
              <w:left w:type="dxa" w:w="100"/>
              <w:bottom w:type="dxa" w:w="80"/>
              <w:right w:type="dxa" w:w="100"/>
            </w:tcMar>
          </w:tcPr>
          <w:p>
            <w:r>
              <w:rPr>
                <w:b/>
                <w:bCs/>
              </w:rPr>
              <w:t xml:space="preserve">Dafny</w:t>
            </w:r>
          </w:p>
        </w:tc>
        <w:tc>
          <w:tcPr>
            <w:tcW w:type="dxa" w:w="1300"/>
            <w:shd w:fill="D9E2F3" w:color="auto" w:val="clear"/>
            <w:tcMar>
              <w:top w:type="dxa" w:w="80"/>
              <w:left w:type="dxa" w:w="100"/>
              <w:bottom w:type="dxa" w:w="80"/>
              <w:right w:type="dxa" w:w="100"/>
            </w:tcMar>
          </w:tcPr>
          <w:p>
            <w:r>
              <w:rPr>
                <w:b/>
                <w:bCs/>
              </w:rPr>
              <w:t xml:space="preserve">Lean 4</w:t>
            </w:r>
          </w:p>
        </w:tc>
        <w:tc>
          <w:tcPr>
            <w:tcW w:type="dxa" w:w="1500"/>
            <w:shd w:fill="D9E2F3" w:color="auto" w:val="clear"/>
            <w:tcMar>
              <w:top w:type="dxa" w:w="80"/>
              <w:left w:type="dxa" w:w="100"/>
              <w:bottom w:type="dxa" w:w="80"/>
              <w:right w:type="dxa" w:w="100"/>
            </w:tcMar>
          </w:tcPr>
          <w:p>
            <w:r>
              <w:rPr>
                <w:b/>
                <w:bCs/>
              </w:rPr>
              <w:t xml:space="preserve">SPARK/Ada</w:t>
            </w:r>
          </w:p>
        </w:tc>
        <w:tc>
          <w:tcPr>
            <w:tcW w:type="dxa" w:w="1500"/>
            <w:shd w:fill="D9E2F3" w:color="auto" w:val="clear"/>
            <w:tcMar>
              <w:top w:type="dxa" w:w="80"/>
              <w:left w:type="dxa" w:w="100"/>
              <w:bottom w:type="dxa" w:w="80"/>
              <w:right w:type="dxa" w:w="100"/>
            </w:tcMar>
          </w:tcPr>
          <w:p>
            <w:r>
              <w:rPr>
                <w:b/>
                <w:bCs/>
              </w:rPr>
              <w:t xml:space="preserve">Verus</w:t>
            </w:r>
          </w:p>
        </w:tc>
        <w:tc>
          <w:tcPr>
            <w:tcW w:type="dxa" w:w="1800"/>
            <w:shd w:fill="D9E2F3" w:color="auto" w:val="clear"/>
            <w:tcMar>
              <w:top w:type="dxa" w:w="80"/>
              <w:left w:type="dxa" w:w="100"/>
              <w:bottom w:type="dxa" w:w="80"/>
              <w:right w:type="dxa" w:w="100"/>
            </w:tcMar>
          </w:tcPr>
          <w:p>
            <w:r>
              <w:rPr>
                <w:b/>
                <w:bCs/>
              </w:rPr>
              <w:t xml:space="preserve">Ward (proposed)</w:t>
            </w:r>
          </w:p>
        </w:tc>
      </w:tr>
      <w:tr>
        <w:tc>
          <w:tcPr>
            <w:tcW w:type="dxa" w:w="2400"/>
            <w:tcMar>
              <w:top w:type="dxa" w:w="80"/>
              <w:left w:type="dxa" w:w="100"/>
              <w:bottom w:type="dxa" w:w="80"/>
              <w:right w:type="dxa" w:w="100"/>
            </w:tcMar>
          </w:tcPr>
          <w:p>
            <w:r>
              <w:rPr>
                <w:b w:val="false"/>
                <w:bCs w:val="false"/>
              </w:rPr>
              <w:t xml:space="preserve">Contracts + SMT verification</w:t>
            </w:r>
          </w:p>
        </w:tc>
        <w:tc>
          <w:tcPr>
            <w:tcW w:type="dxa" w:w="1300"/>
            <w:tcMar>
              <w:top w:type="dxa" w:w="80"/>
              <w:left w:type="dxa" w:w="100"/>
              <w:bottom w:type="dxa" w:w="80"/>
              <w:right w:type="dxa" w:w="100"/>
            </w:tcMar>
          </w:tcPr>
          <w:p>
            <w:r>
              <w:rPr>
                <w:b w:val="false"/>
                <w:bCs w:val="false"/>
              </w:rPr>
              <w:t xml:space="preserve">Yes, native</w:t>
            </w:r>
          </w:p>
        </w:tc>
        <w:tc>
          <w:tcPr>
            <w:tcW w:type="dxa" w:w="1300"/>
            <w:tcMar>
              <w:top w:type="dxa" w:w="80"/>
              <w:left w:type="dxa" w:w="100"/>
              <w:bottom w:type="dxa" w:w="80"/>
              <w:right w:type="dxa" w:w="100"/>
            </w:tcMar>
          </w:tcPr>
          <w:p>
            <w:r>
              <w:rPr>
                <w:b w:val="false"/>
                <w:bCs w:val="false"/>
              </w:rPr>
              <w:t xml:space="preserve">Via extensions</w:t>
            </w:r>
          </w:p>
        </w:tc>
        <w:tc>
          <w:tcPr>
            <w:tcW w:type="dxa" w:w="1500"/>
            <w:tcMar>
              <w:top w:type="dxa" w:w="80"/>
              <w:left w:type="dxa" w:w="100"/>
              <w:bottom w:type="dxa" w:w="80"/>
              <w:right w:type="dxa" w:w="100"/>
            </w:tcMar>
          </w:tcPr>
          <w:p>
            <w:r>
              <w:rPr>
                <w:b w:val="false"/>
                <w:bCs w:val="false"/>
              </w:rPr>
              <w:t xml:space="preserve">Yes, native (Ada 2012)</w:t>
            </w:r>
          </w:p>
        </w:tc>
        <w:tc>
          <w:tcPr>
            <w:tcW w:type="dxa" w:w="1500"/>
            <w:tcMar>
              <w:top w:type="dxa" w:w="80"/>
              <w:left w:type="dxa" w:w="100"/>
              <w:bottom w:type="dxa" w:w="80"/>
              <w:right w:type="dxa" w:w="100"/>
            </w:tcMar>
          </w:tcPr>
          <w:p>
            <w:r>
              <w:rPr>
                <w:b w:val="false"/>
                <w:bCs w:val="false"/>
              </w:rPr>
              <w:t xml:space="preserve">Yes, native</w:t>
            </w:r>
          </w:p>
        </w:tc>
        <w:tc>
          <w:tcPr>
            <w:tcW w:type="dxa" w:w="1800"/>
            <w:tcMar>
              <w:top w:type="dxa" w:w="80"/>
              <w:left w:type="dxa" w:w="100"/>
              <w:bottom w:type="dxa" w:w="80"/>
              <w:right w:type="dxa" w:w="100"/>
            </w:tcMar>
          </w:tcPr>
          <w:p>
            <w:r>
              <w:rPr>
                <w:b w:val="false"/>
                <w:bCs w:val="false"/>
              </w:rPr>
              <w:t xml:space="preserve">Yes, native</w:t>
            </w:r>
          </w:p>
        </w:tc>
      </w:tr>
      <w:tr>
        <w:tc>
          <w:tcPr>
            <w:tcW w:type="dxa" w:w="2400"/>
            <w:tcMar>
              <w:top w:type="dxa" w:w="80"/>
              <w:left w:type="dxa" w:w="100"/>
              <w:bottom w:type="dxa" w:w="80"/>
              <w:right w:type="dxa" w:w="100"/>
            </w:tcMar>
          </w:tcPr>
          <w:p>
            <w:r>
              <w:rPr>
                <w:b w:val="false"/>
                <w:bCs w:val="false"/>
              </w:rPr>
              <w:t xml:space="preserve">Published AI self-healing success rate</w:t>
            </w:r>
          </w:p>
        </w:tc>
        <w:tc>
          <w:tcPr>
            <w:tcW w:type="dxa" w:w="1300"/>
            <w:tcMar>
              <w:top w:type="dxa" w:w="80"/>
              <w:left w:type="dxa" w:w="100"/>
              <w:bottom w:type="dxa" w:w="80"/>
              <w:right w:type="dxa" w:w="100"/>
            </w:tcMar>
          </w:tcPr>
          <w:p>
            <w:r>
              <w:rPr>
                <w:b w:val="false"/>
                <w:bCs w:val="false"/>
              </w:rPr>
              <w:t xml:space="preserve">82–91%</w:t>
            </w:r>
          </w:p>
        </w:tc>
        <w:tc>
          <w:tcPr>
            <w:tcW w:type="dxa" w:w="1300"/>
            <w:tcMar>
              <w:top w:type="dxa" w:w="80"/>
              <w:left w:type="dxa" w:w="100"/>
              <w:bottom w:type="dxa" w:w="80"/>
              <w:right w:type="dxa" w:w="100"/>
            </w:tcMar>
          </w:tcPr>
          <w:p>
            <w:r>
              <w:rPr>
                <w:b w:val="false"/>
                <w:bCs w:val="false"/>
              </w:rPr>
              <w:t xml:space="preserve">Strong (proofs)</w:t>
            </w:r>
          </w:p>
        </w:tc>
        <w:tc>
          <w:tcPr>
            <w:tcW w:type="dxa" w:w="1500"/>
            <w:tcMar>
              <w:top w:type="dxa" w:w="80"/>
              <w:left w:type="dxa" w:w="100"/>
              <w:bottom w:type="dxa" w:w="80"/>
              <w:right w:type="dxa" w:w="100"/>
            </w:tcMar>
          </w:tcPr>
          <w:p>
            <w:r>
              <w:rPr>
                <w:b w:val="false"/>
                <w:bCs w:val="false"/>
              </w:rPr>
              <w:t xml:space="preserve">50.7%; 49,280 obligations (recent)</w:t>
            </w:r>
          </w:p>
        </w:tc>
        <w:tc>
          <w:tcPr>
            <w:tcW w:type="dxa" w:w="1500"/>
            <w:tcMar>
              <w:top w:type="dxa" w:w="80"/>
              <w:left w:type="dxa" w:w="100"/>
              <w:bottom w:type="dxa" w:w="80"/>
              <w:right w:type="dxa" w:w="100"/>
            </w:tcMar>
          </w:tcPr>
          <w:p>
            <w:r>
              <w:rPr>
                <w:b w:val="false"/>
                <w:bCs w:val="false"/>
              </w:rPr>
              <w:t xml:space="preserve">Emerging (AutoVerus, Lemur)</w:t>
            </w:r>
          </w:p>
        </w:tc>
        <w:tc>
          <w:tcPr>
            <w:tcW w:type="dxa" w:w="1800"/>
            <w:tcMar>
              <w:top w:type="dxa" w:w="80"/>
              <w:left w:type="dxa" w:w="100"/>
              <w:bottom w:type="dxa" w:w="80"/>
              <w:right w:type="dxa" w:w="100"/>
            </w:tcMar>
          </w:tcPr>
          <w:p>
            <w:r>
              <w:rPr>
                <w:b w:val="false"/>
                <w:bCs w:val="false"/>
              </w:rPr>
              <w:t xml:space="preserve">Untested (Phase 0–1 target)</w:t>
            </w:r>
          </w:p>
        </w:tc>
      </w:tr>
      <w:tr>
        <w:tc>
          <w:tcPr>
            <w:tcW w:type="dxa" w:w="2400"/>
            <w:tcMar>
              <w:top w:type="dxa" w:w="80"/>
              <w:left w:type="dxa" w:w="100"/>
              <w:bottom w:type="dxa" w:w="80"/>
              <w:right w:type="dxa" w:w="100"/>
            </w:tcMar>
          </w:tcPr>
          <w:p>
            <w:r>
              <w:rPr>
                <w:b w:val="false"/>
                <w:bCs w:val="false"/>
              </w:rPr>
              <w:t xml:space="preserve">Familiar surface syntax (avoids off-distribution penalty)</w:t>
            </w:r>
          </w:p>
        </w:tc>
        <w:tc>
          <w:tcPr>
            <w:tcW w:type="dxa" w:w="1300"/>
            <w:tcMar>
              <w:top w:type="dxa" w:w="80"/>
              <w:left w:type="dxa" w:w="100"/>
              <w:bottom w:type="dxa" w:w="80"/>
              <w:right w:type="dxa" w:w="100"/>
            </w:tcMar>
          </w:tcPr>
          <w:p>
            <w:r>
              <w:rPr>
                <w:b w:val="false"/>
                <w:bCs w:val="false"/>
              </w:rPr>
              <w:t xml:space="preserve">No (~77% pass@1 ceiling)</w:t>
            </w:r>
          </w:p>
        </w:tc>
        <w:tc>
          <w:tcPr>
            <w:tcW w:type="dxa" w:w="1300"/>
            <w:tcMar>
              <w:top w:type="dxa" w:w="80"/>
              <w:left w:type="dxa" w:w="100"/>
              <w:bottom w:type="dxa" w:w="80"/>
              <w:right w:type="dxa" w:w="100"/>
            </w:tcMar>
          </w:tcPr>
          <w:p>
            <w:r>
              <w:rPr>
                <w:b w:val="false"/>
                <w:bCs w:val="false"/>
              </w:rPr>
              <w:t xml:space="preserve">No</w:t>
            </w:r>
          </w:p>
        </w:tc>
        <w:tc>
          <w:tcPr>
            <w:tcW w:type="dxa" w:w="1500"/>
            <w:tcMar>
              <w:top w:type="dxa" w:w="80"/>
              <w:left w:type="dxa" w:w="100"/>
              <w:bottom w:type="dxa" w:w="80"/>
              <w:right w:type="dxa" w:w="100"/>
            </w:tcMar>
          </w:tcPr>
          <w:p>
            <w:r>
              <w:rPr>
                <w:b w:val="false"/>
                <w:bCs w:val="false"/>
              </w:rPr>
              <w:t xml:space="preserve">No</w:t>
            </w:r>
          </w:p>
        </w:tc>
        <w:tc>
          <w:tcPr>
            <w:tcW w:type="dxa" w:w="1500"/>
            <w:tcMar>
              <w:top w:type="dxa" w:w="80"/>
              <w:left w:type="dxa" w:w="100"/>
              <w:bottom w:type="dxa" w:w="80"/>
              <w:right w:type="dxa" w:w="100"/>
            </w:tcMar>
          </w:tcPr>
          <w:p>
            <w:r>
              <w:rPr>
                <w:b w:val="false"/>
                <w:bCs w:val="false"/>
              </w:rPr>
              <w:t xml:space="preserve">Yes — real Rust syntax</w:t>
            </w:r>
          </w:p>
        </w:tc>
        <w:tc>
          <w:tcPr>
            <w:tcW w:type="dxa" w:w="1800"/>
            <w:tcMar>
              <w:top w:type="dxa" w:w="80"/>
              <w:left w:type="dxa" w:w="100"/>
              <w:bottom w:type="dxa" w:w="80"/>
              <w:right w:type="dxa" w:w="100"/>
            </w:tcMar>
          </w:tcPr>
          <w:p>
            <w:r>
              <w:rPr>
                <w:b w:val="false"/>
                <w:bCs w:val="false"/>
              </w:rPr>
              <w:t xml:space="preserve">Yes — Python/TS-shaped, by design</w:t>
            </w:r>
          </w:p>
        </w:tc>
      </w:tr>
      <w:tr>
        <w:tc>
          <w:tcPr>
            <w:tcW w:type="dxa" w:w="2400"/>
            <w:tcMar>
              <w:top w:type="dxa" w:w="80"/>
              <w:left w:type="dxa" w:w="100"/>
              <w:bottom w:type="dxa" w:w="80"/>
              <w:right w:type="dxa" w:w="100"/>
            </w:tcMar>
          </w:tcPr>
          <w:p>
            <w:r>
              <w:rPr>
                <w:b w:val="false"/>
                <w:bCs w:val="false"/>
              </w:rPr>
              <w:t xml:space="preserve">Multi-target / real ecosystem compilation</w:t>
            </w:r>
          </w:p>
        </w:tc>
        <w:tc>
          <w:tcPr>
            <w:tcW w:type="dxa" w:w="1300"/>
            <w:tcMar>
              <w:top w:type="dxa" w:w="80"/>
              <w:left w:type="dxa" w:w="100"/>
              <w:bottom w:type="dxa" w:w="80"/>
              <w:right w:type="dxa" w:w="100"/>
            </w:tcMar>
          </w:tcPr>
          <w:p>
            <w:r>
              <w:rPr>
                <w:b w:val="false"/>
                <w:bCs w:val="false"/>
              </w:rPr>
              <w:t xml:space="preserve">Yes (C#/Java/JS/Go/Python)</w:t>
            </w:r>
          </w:p>
        </w:tc>
        <w:tc>
          <w:tcPr>
            <w:tcW w:type="dxa" w:w="1300"/>
            <w:tcMar>
              <w:top w:type="dxa" w:w="80"/>
              <w:left w:type="dxa" w:w="100"/>
              <w:bottom w:type="dxa" w:w="80"/>
              <w:right w:type="dxa" w:w="100"/>
            </w:tcMar>
          </w:tcPr>
          <w:p>
            <w:r>
              <w:rPr>
                <w:b w:val="false"/>
                <w:bCs w:val="false"/>
              </w:rPr>
              <w:t xml:space="preserve">No (no web framework)</w:t>
            </w:r>
          </w:p>
        </w:tc>
        <w:tc>
          <w:tcPr>
            <w:tcW w:type="dxa" w:w="1500"/>
            <w:tcMar>
              <w:top w:type="dxa" w:w="80"/>
              <w:left w:type="dxa" w:w="100"/>
              <w:bottom w:type="dxa" w:w="80"/>
              <w:right w:type="dxa" w:w="100"/>
            </w:tcMar>
          </w:tcPr>
          <w:p>
            <w:r>
              <w:rPr>
                <w:b w:val="false"/>
                <w:bCs w:val="false"/>
              </w:rPr>
              <w:t xml:space="preserve">Limited (~400 packages)</w:t>
            </w:r>
          </w:p>
        </w:tc>
        <w:tc>
          <w:tcPr>
            <w:tcW w:type="dxa" w:w="1500"/>
            <w:tcMar>
              <w:top w:type="dxa" w:w="80"/>
              <w:left w:type="dxa" w:w="100"/>
              <w:bottom w:type="dxa" w:w="80"/>
              <w:right w:type="dxa" w:w="100"/>
            </w:tcMar>
          </w:tcPr>
          <w:p>
            <w:r>
              <w:rPr>
                <w:b w:val="false"/>
                <w:bCs w:val="false"/>
              </w:rPr>
              <w:t xml:space="preserve">Yes — inherits real Rust/crates.io</w:t>
            </w:r>
          </w:p>
        </w:tc>
        <w:tc>
          <w:tcPr>
            <w:tcW w:type="dxa" w:w="1800"/>
            <w:tcMar>
              <w:top w:type="dxa" w:w="80"/>
              <w:left w:type="dxa" w:w="100"/>
              <w:bottom w:type="dxa" w:w="80"/>
              <w:right w:type="dxa" w:w="100"/>
            </w:tcMar>
          </w:tcPr>
          <w:p>
            <w:r>
              <w:rPr>
                <w:b w:val="false"/>
                <w:bCs w:val="false"/>
              </w:rPr>
              <w:t xml:space="preserve">Proposed (JS/TS, Go, Python, JVM)</w:t>
            </w:r>
          </w:p>
        </w:tc>
      </w:tr>
      <w:tr>
        <w:tc>
          <w:tcPr>
            <w:tcW w:type="dxa" w:w="2400"/>
            <w:tcMar>
              <w:top w:type="dxa" w:w="80"/>
              <w:left w:type="dxa" w:w="100"/>
              <w:bottom w:type="dxa" w:w="80"/>
              <w:right w:type="dxa" w:w="100"/>
            </w:tcMar>
          </w:tcPr>
          <w:p>
            <w:r>
              <w:rPr>
                <w:b w:val="false"/>
                <w:bCs w:val="false"/>
              </w:rPr>
              <w:t xml:space="preserve">Tiered / gradual verification (not all-or-nothing)</w:t>
            </w:r>
          </w:p>
        </w:tc>
        <w:tc>
          <w:tcPr>
            <w:tcW w:type="dxa" w:w="1300"/>
            <w:tcMar>
              <w:top w:type="dxa" w:w="80"/>
              <w:left w:type="dxa" w:w="100"/>
              <w:bottom w:type="dxa" w:w="80"/>
              <w:right w:type="dxa" w:w="100"/>
            </w:tcMar>
          </w:tcPr>
          <w:p>
            <w:r>
              <w:rPr>
                <w:b w:val="false"/>
                <w:bCs w:val="false"/>
              </w:rPr>
              <w:t xml:space="preserve">No — documented unpredictable cost</w:t>
            </w:r>
          </w:p>
        </w:tc>
        <w:tc>
          <w:tcPr>
            <w:tcW w:type="dxa" w:w="1300"/>
            <w:tcMar>
              <w:top w:type="dxa" w:w="80"/>
              <w:left w:type="dxa" w:w="100"/>
              <w:bottom w:type="dxa" w:w="80"/>
              <w:right w:type="dxa" w:w="100"/>
            </w:tcMar>
          </w:tcPr>
          <w:p>
            <w:r>
              <w:rPr>
                <w:b w:val="false"/>
                <w:bCs w:val="false"/>
              </w:rPr>
              <w:t xml:space="preserve">No</w:t>
            </w:r>
          </w:p>
        </w:tc>
        <w:tc>
          <w:tcPr>
            <w:tcW w:type="dxa" w:w="1500"/>
            <w:tcMar>
              <w:top w:type="dxa" w:w="80"/>
              <w:left w:type="dxa" w:w="100"/>
              <w:bottom w:type="dxa" w:w="80"/>
              <w:right w:type="dxa" w:w="100"/>
            </w:tcMar>
          </w:tcPr>
          <w:p>
            <w:r>
              <w:rPr>
                <w:b w:val="false"/>
                <w:bCs w:val="false"/>
              </w:rPr>
              <w:t xml:space="preserve">Contracts optional by default</w:t>
            </w:r>
          </w:p>
        </w:tc>
        <w:tc>
          <w:tcPr>
            <w:tcW w:type="dxa" w:w="1500"/>
            <w:tcMar>
              <w:top w:type="dxa" w:w="80"/>
              <w:left w:type="dxa" w:w="100"/>
              <w:bottom w:type="dxa" w:w="80"/>
              <w:right w:type="dxa" w:w="100"/>
            </w:tcMar>
          </w:tcPr>
          <w:p>
            <w:r>
              <w:rPr>
                <w:b w:val="false"/>
                <w:bCs w:val="false"/>
              </w:rPr>
              <w:t xml:space="preserve">No</w:t>
            </w:r>
          </w:p>
        </w:tc>
        <w:tc>
          <w:tcPr>
            <w:tcW w:type="dxa" w:w="1800"/>
            <w:tcMar>
              <w:top w:type="dxa" w:w="80"/>
              <w:left w:type="dxa" w:w="100"/>
              <w:bottom w:type="dxa" w:w="80"/>
              <w:right w:type="dxa" w:w="100"/>
            </w:tcMar>
          </w:tcPr>
          <w:p>
            <w:r>
              <w:rPr>
                <w:b w:val="false"/>
                <w:bCs w:val="false"/>
              </w:rPr>
              <w:t xml:space="preserve">Yes — Tested/Contracted/Proven tiers</w:t>
            </w:r>
          </w:p>
        </w:tc>
      </w:tr>
      <w:tr>
        <w:tc>
          <w:tcPr>
            <w:tcW w:type="dxa" w:w="2400"/>
            <w:tcMar>
              <w:top w:type="dxa" w:w="80"/>
              <w:left w:type="dxa" w:w="100"/>
              <w:bottom w:type="dxa" w:w="80"/>
              <w:right w:type="dxa" w:w="100"/>
            </w:tcMar>
          </w:tcPr>
          <w:p>
            <w:r>
              <w:rPr>
                <w:b w:val="false"/>
                <w:bCs w:val="false"/>
              </w:rPr>
              <w:t xml:space="preserve">Trusted boundary for unverified libraries</w:t>
            </w:r>
          </w:p>
        </w:tc>
        <w:tc>
          <w:tcPr>
            <w:tcW w:type="dxa" w:w="1300"/>
            <w:tcMar>
              <w:top w:type="dxa" w:w="80"/>
              <w:left w:type="dxa" w:w="100"/>
              <w:bottom w:type="dxa" w:w="80"/>
              <w:right w:type="dxa" w:w="100"/>
            </w:tcMar>
          </w:tcPr>
          <w:p>
            <w:r>
              <w:rPr>
                <w:b w:val="false"/>
                <w:bCs w:val="false"/>
              </w:rPr>
              <w:t xml:space="preserve">No native mechanism</w:t>
            </w:r>
          </w:p>
        </w:tc>
        <w:tc>
          <w:tcPr>
            <w:tcW w:type="dxa" w:w="1300"/>
            <w:tcMar>
              <w:top w:type="dxa" w:w="80"/>
              <w:left w:type="dxa" w:w="100"/>
              <w:bottom w:type="dxa" w:w="80"/>
              <w:right w:type="dxa" w:w="100"/>
            </w:tcMar>
          </w:tcPr>
          <w:p>
            <w:r>
              <w:rPr>
                <w:b w:val="false"/>
                <w:bCs w:val="false"/>
              </w:rPr>
              <w:t xml:space="preserve">No native mechanism</w:t>
            </w:r>
          </w:p>
        </w:tc>
        <w:tc>
          <w:tcPr>
            <w:tcW w:type="dxa" w:w="1500"/>
            <w:tcMar>
              <w:top w:type="dxa" w:w="80"/>
              <w:left w:type="dxa" w:w="100"/>
              <w:bottom w:type="dxa" w:w="80"/>
              <w:right w:type="dxa" w:w="100"/>
            </w:tcMar>
          </w:tcPr>
          <w:p>
            <w:r>
              <w:rPr>
                <w:b w:val="false"/>
                <w:bCs w:val="false"/>
              </w:rPr>
              <w:t xml:space="preserve">No native mechanism</w:t>
            </w:r>
          </w:p>
        </w:tc>
        <w:tc>
          <w:tcPr>
            <w:tcW w:type="dxa" w:w="1500"/>
            <w:tcMar>
              <w:top w:type="dxa" w:w="80"/>
              <w:left w:type="dxa" w:w="100"/>
              <w:bottom w:type="dxa" w:w="80"/>
              <w:right w:type="dxa" w:w="100"/>
            </w:tcMar>
          </w:tcPr>
          <w:p>
            <w:r>
              <w:rPr>
                <w:b w:val="false"/>
                <w:bCs w:val="false"/>
              </w:rPr>
              <w:t xml:space="preserve">No native mechanism</w:t>
            </w:r>
          </w:p>
        </w:tc>
        <w:tc>
          <w:tcPr>
            <w:tcW w:type="dxa" w:w="1800"/>
            <w:tcMar>
              <w:top w:type="dxa" w:w="80"/>
              <w:left w:type="dxa" w:w="100"/>
              <w:bottom w:type="dxa" w:w="80"/>
              <w:right w:type="dxa" w:w="100"/>
            </w:tcMar>
          </w:tcPr>
          <w:p>
            <w:r>
              <w:rPr>
                <w:b w:val="false"/>
                <w:bCs w:val="false"/>
              </w:rPr>
              <w:t xml:space="preserve">Proposed — applying established Gradual Verification research (not inventing it)</w:t>
            </w:r>
          </w:p>
        </w:tc>
      </w:tr>
      <w:tr>
        <w:tc>
          <w:tcPr>
            <w:tcW w:type="dxa" w:w="2400"/>
            <w:tcMar>
              <w:top w:type="dxa" w:w="80"/>
              <w:left w:type="dxa" w:w="100"/>
              <w:bottom w:type="dxa" w:w="80"/>
              <w:right w:type="dxa" w:w="100"/>
            </w:tcMar>
          </w:tcPr>
          <w:p>
            <w:r>
              <w:rPr>
                <w:b w:val="false"/>
                <w:bCs w:val="false"/>
              </w:rPr>
              <w:t xml:space="preserve">Full-stack effect vocabulary (net/async/render/db)</w:t>
            </w:r>
          </w:p>
        </w:tc>
        <w:tc>
          <w:tcPr>
            <w:tcW w:type="dxa" w:w="1300"/>
            <w:tcMar>
              <w:top w:type="dxa" w:w="80"/>
              <w:left w:type="dxa" w:w="100"/>
              <w:bottom w:type="dxa" w:w="80"/>
              <w:right w:type="dxa" w:w="100"/>
            </w:tcMar>
          </w:tcPr>
          <w:p>
            <w:r>
              <w:rPr>
                <w:b w:val="false"/>
                <w:bCs w:val="false"/>
              </w:rPr>
              <w:t xml:space="preserve">No (heap-only reads/modifies)</w:t>
            </w:r>
          </w:p>
        </w:tc>
        <w:tc>
          <w:tcPr>
            <w:tcW w:type="dxa" w:w="1300"/>
            <w:tcMar>
              <w:top w:type="dxa" w:w="80"/>
              <w:left w:type="dxa" w:w="100"/>
              <w:bottom w:type="dxa" w:w="80"/>
              <w:right w:type="dxa" w:w="100"/>
            </w:tcMar>
          </w:tcPr>
          <w:p>
            <w:r>
              <w:rPr>
                <w:b w:val="false"/>
                <w:bCs w:val="false"/>
              </w:rPr>
              <w:t xml:space="preserve">No</w:t>
            </w:r>
          </w:p>
        </w:tc>
        <w:tc>
          <w:tcPr>
            <w:tcW w:type="dxa" w:w="1500"/>
            <w:tcMar>
              <w:top w:type="dxa" w:w="80"/>
              <w:left w:type="dxa" w:w="100"/>
              <w:bottom w:type="dxa" w:w="80"/>
              <w:right w:type="dxa" w:w="100"/>
            </w:tcMar>
          </w:tcPr>
          <w:p>
            <w:r>
              <w:rPr>
                <w:b w:val="false"/>
                <w:bCs w:val="false"/>
              </w:rPr>
              <w:t xml:space="preserve">No</w:t>
            </w:r>
          </w:p>
        </w:tc>
        <w:tc>
          <w:tcPr>
            <w:tcW w:type="dxa" w:w="1500"/>
            <w:tcMar>
              <w:top w:type="dxa" w:w="80"/>
              <w:left w:type="dxa" w:w="100"/>
              <w:bottom w:type="dxa" w:w="80"/>
              <w:right w:type="dxa" w:w="100"/>
            </w:tcMar>
          </w:tcPr>
          <w:p>
            <w:r>
              <w:rPr>
                <w:b w:val="false"/>
                <w:bCs w:val="false"/>
              </w:rPr>
              <w:t xml:space="preserve">No</w:t>
            </w:r>
          </w:p>
        </w:tc>
        <w:tc>
          <w:tcPr>
            <w:tcW w:type="dxa" w:w="1800"/>
            <w:tcMar>
              <w:top w:type="dxa" w:w="80"/>
              <w:left w:type="dxa" w:w="100"/>
              <w:bottom w:type="dxa" w:w="80"/>
              <w:right w:type="dxa" w:w="100"/>
            </w:tcMar>
          </w:tcPr>
          <w:p>
            <w:r>
              <w:rPr>
                <w:b w:val="false"/>
                <w:bCs w:val="false"/>
              </w:rPr>
              <w:t xml:space="preserve">Proposed</w:t>
            </w:r>
          </w:p>
        </w:tc>
      </w:tr>
      <w:tr>
        <w:tc>
          <w:tcPr>
            <w:tcW w:type="dxa" w:w="2400"/>
            <w:tcMar>
              <w:top w:type="dxa" w:w="80"/>
              <w:left w:type="dxa" w:w="100"/>
              <w:bottom w:type="dxa" w:w="80"/>
              <w:right w:type="dxa" w:w="100"/>
            </w:tcMar>
          </w:tcPr>
          <w:p>
            <w:r>
              <w:rPr>
                <w:b w:val="false"/>
                <w:bCs w:val="false"/>
              </w:rPr>
              <w:t xml:space="preserve">Reusable contract templates (expand-then-recheck)</w:t>
            </w:r>
          </w:p>
        </w:tc>
        <w:tc>
          <w:tcPr>
            <w:tcW w:type="dxa" w:w="1300"/>
            <w:tcMar>
              <w:top w:type="dxa" w:w="80"/>
              <w:left w:type="dxa" w:w="100"/>
              <w:bottom w:type="dxa" w:w="80"/>
              <w:right w:type="dxa" w:w="100"/>
            </w:tcMar>
          </w:tcPr>
          <w:p>
            <w:r>
              <w:rPr>
                <w:b w:val="false"/>
                <w:bCs w:val="false"/>
              </w:rPr>
              <w:t xml:space="preserve">No</w:t>
            </w:r>
          </w:p>
        </w:tc>
        <w:tc>
          <w:tcPr>
            <w:tcW w:type="dxa" w:w="1300"/>
            <w:tcMar>
              <w:top w:type="dxa" w:w="80"/>
              <w:left w:type="dxa" w:w="100"/>
              <w:bottom w:type="dxa" w:w="80"/>
              <w:right w:type="dxa" w:w="100"/>
            </w:tcMar>
          </w:tcPr>
          <w:p>
            <w:r>
              <w:rPr>
                <w:b w:val="false"/>
                <w:bCs w:val="false"/>
              </w:rPr>
              <w:t xml:space="preserve">No</w:t>
            </w:r>
          </w:p>
        </w:tc>
        <w:tc>
          <w:tcPr>
            <w:tcW w:type="dxa" w:w="1500"/>
            <w:tcMar>
              <w:top w:type="dxa" w:w="80"/>
              <w:left w:type="dxa" w:w="100"/>
              <w:bottom w:type="dxa" w:w="80"/>
              <w:right w:type="dxa" w:w="100"/>
            </w:tcMar>
          </w:tcPr>
          <w:p>
            <w:r>
              <w:rPr>
                <w:b w:val="false"/>
                <w:bCs w:val="false"/>
              </w:rPr>
              <w:t xml:space="preserve">No</w:t>
            </w:r>
          </w:p>
        </w:tc>
        <w:tc>
          <w:tcPr>
            <w:tcW w:type="dxa" w:w="1500"/>
            <w:tcMar>
              <w:top w:type="dxa" w:w="80"/>
              <w:left w:type="dxa" w:w="100"/>
              <w:bottom w:type="dxa" w:w="80"/>
              <w:right w:type="dxa" w:w="100"/>
            </w:tcMar>
          </w:tcPr>
          <w:p>
            <w:r>
              <w:rPr>
                <w:b w:val="false"/>
                <w:bCs w:val="false"/>
              </w:rPr>
              <w:t xml:space="preserve">No</w:t>
            </w:r>
          </w:p>
        </w:tc>
        <w:tc>
          <w:tcPr>
            <w:tcW w:type="dxa" w:w="1800"/>
            <w:tcMar>
              <w:top w:type="dxa" w:w="80"/>
              <w:left w:type="dxa" w:w="100"/>
              <w:bottom w:type="dxa" w:w="80"/>
              <w:right w:type="dxa" w:w="100"/>
            </w:tcMar>
          </w:tcPr>
          <w:p>
            <w:r>
              <w:rPr>
                <w:b w:val="false"/>
                <w:bCs w:val="false"/>
              </w:rPr>
              <w:t xml:space="preserve">Proposed, with explicit anti-vacuous-proof discipline</w:t>
            </w:r>
          </w:p>
        </w:tc>
      </w:tr>
      <w:tr>
        <w:tc>
          <w:tcPr>
            <w:tcW w:type="dxa" w:w="2400"/>
            <w:tcMar>
              <w:top w:type="dxa" w:w="80"/>
              <w:left w:type="dxa" w:w="100"/>
              <w:bottom w:type="dxa" w:w="80"/>
              <w:right w:type="dxa" w:w="100"/>
            </w:tcMar>
          </w:tcPr>
          <w:p>
            <w:r>
              <w:rPr>
                <w:b w:val="false"/>
                <w:bCs w:val="false"/>
              </w:rPr>
              <w:t xml:space="preserve">Community size (GitHub stars)</w:t>
            </w:r>
          </w:p>
        </w:tc>
        <w:tc>
          <w:tcPr>
            <w:tcW w:type="dxa" w:w="1300"/>
            <w:tcMar>
              <w:top w:type="dxa" w:w="80"/>
              <w:left w:type="dxa" w:w="100"/>
              <w:bottom w:type="dxa" w:w="80"/>
              <w:right w:type="dxa" w:w="100"/>
            </w:tcMar>
          </w:tcPr>
          <w:p>
            <w:r>
              <w:rPr>
                <w:b w:val="false"/>
                <w:bCs w:val="false"/>
              </w:rPr>
              <w:t xml:space="preserve">3,400</w:t>
            </w:r>
          </w:p>
        </w:tc>
        <w:tc>
          <w:tcPr>
            <w:tcW w:type="dxa" w:w="1300"/>
            <w:tcMar>
              <w:top w:type="dxa" w:w="80"/>
              <w:left w:type="dxa" w:w="100"/>
              <w:bottom w:type="dxa" w:w="80"/>
              <w:right w:type="dxa" w:w="100"/>
            </w:tcMar>
          </w:tcPr>
          <w:p>
            <w:r>
              <w:rPr>
                <w:b w:val="false"/>
                <w:bCs w:val="false"/>
              </w:rPr>
              <w:t xml:space="preserve">8,500</w:t>
            </w:r>
          </w:p>
        </w:tc>
        <w:tc>
          <w:tcPr>
            <w:tcW w:type="dxa" w:w="1500"/>
            <w:tcMar>
              <w:top w:type="dxa" w:w="80"/>
              <w:left w:type="dxa" w:w="100"/>
              <w:bottom w:type="dxa" w:w="80"/>
              <w:right w:type="dxa" w:w="100"/>
            </w:tcMar>
          </w:tcPr>
          <w:p>
            <w:r>
              <w:rPr>
                <w:b w:val="false"/>
                <w:bCs w:val="false"/>
              </w:rPr>
              <w:t xml:space="preserve">Not comparable (industrial/commercial distribution)</w:t>
            </w:r>
          </w:p>
        </w:tc>
        <w:tc>
          <w:tcPr>
            <w:tcW w:type="dxa" w:w="1500"/>
            <w:tcMar>
              <w:top w:type="dxa" w:w="80"/>
              <w:left w:type="dxa" w:w="100"/>
              <w:bottom w:type="dxa" w:w="80"/>
              <w:right w:type="dxa" w:w="100"/>
            </w:tcMar>
          </w:tcPr>
          <w:p>
            <w:r>
              <w:rPr>
                <w:b w:val="false"/>
                <w:bCs w:val="false"/>
              </w:rPr>
              <w:t xml:space="preserve">~2,680 (inherits Rust's 101,000 ecosystem)</w:t>
            </w:r>
          </w:p>
        </w:tc>
        <w:tc>
          <w:tcPr>
            <w:tcW w:type="dxa" w:w="1800"/>
            <w:tcMar>
              <w:top w:type="dxa" w:w="80"/>
              <w:left w:type="dxa" w:w="100"/>
              <w:bottom w:type="dxa" w:w="80"/>
              <w:right w:type="dxa" w:w="100"/>
            </w:tcMar>
          </w:tcPr>
          <w:p>
            <w:r>
              <w:rPr>
                <w:b w:val="false"/>
                <w:bCs w:val="false"/>
              </w:rPr>
              <w:t xml:space="preserve">0 — unbuilt</w:t>
            </w:r>
          </w:p>
        </w:tc>
      </w:tr>
      <w:tr>
        <w:tc>
          <w:tcPr>
            <w:tcW w:type="dxa" w:w="2400"/>
            <w:tcMar>
              <w:top w:type="dxa" w:w="80"/>
              <w:left w:type="dxa" w:w="100"/>
              <w:bottom w:type="dxa" w:w="80"/>
              <w:right w:type="dxa" w:w="100"/>
            </w:tcMar>
          </w:tcPr>
          <w:p>
            <w:r>
              <w:rPr>
                <w:b w:val="false"/>
                <w:bCs w:val="false"/>
              </w:rPr>
              <w:t xml:space="preserve">Production use today</w:t>
            </w:r>
          </w:p>
        </w:tc>
        <w:tc>
          <w:tcPr>
            <w:tcW w:type="dxa" w:w="1300"/>
            <w:tcMar>
              <w:top w:type="dxa" w:w="80"/>
              <w:left w:type="dxa" w:w="100"/>
              <w:bottom w:type="dxa" w:w="80"/>
              <w:right w:type="dxa" w:w="100"/>
            </w:tcMar>
          </w:tcPr>
          <w:p>
            <w:r>
              <w:rPr>
                <w:b w:val="false"/>
                <w:bCs w:val="false"/>
              </w:rPr>
              <w:t xml:space="preserve">Yes (AWS)</w:t>
            </w:r>
          </w:p>
        </w:tc>
        <w:tc>
          <w:tcPr>
            <w:tcW w:type="dxa" w:w="1300"/>
            <w:tcMar>
              <w:top w:type="dxa" w:w="80"/>
              <w:left w:type="dxa" w:w="100"/>
              <w:bottom w:type="dxa" w:w="80"/>
              <w:right w:type="dxa" w:w="100"/>
            </w:tcMar>
          </w:tcPr>
          <w:p>
            <w:r>
              <w:rPr>
                <w:b w:val="false"/>
                <w:bCs w:val="false"/>
              </w:rPr>
              <w:t xml:space="preserve">Yes (formal math)</w:t>
            </w:r>
          </w:p>
        </w:tc>
        <w:tc>
          <w:tcPr>
            <w:tcW w:type="dxa" w:w="1500"/>
            <w:tcMar>
              <w:top w:type="dxa" w:w="80"/>
              <w:left w:type="dxa" w:w="100"/>
              <w:bottom w:type="dxa" w:w="80"/>
              <w:right w:type="dxa" w:w="100"/>
            </w:tcMar>
          </w:tcPr>
          <w:p>
            <w:r>
              <w:rPr>
                <w:b w:val="false"/>
                <w:bCs w:val="false"/>
              </w:rPr>
              <w:t xml:space="preserve">Yes (aerospace/defense)</w:t>
            </w:r>
          </w:p>
        </w:tc>
        <w:tc>
          <w:tcPr>
            <w:tcW w:type="dxa" w:w="1500"/>
            <w:tcMar>
              <w:top w:type="dxa" w:w="80"/>
              <w:left w:type="dxa" w:w="100"/>
              <w:bottom w:type="dxa" w:w="80"/>
              <w:right w:type="dxa" w:w="100"/>
            </w:tcMar>
          </w:tcPr>
          <w:p>
            <w:r>
              <w:rPr>
                <w:b w:val="false"/>
                <w:bCs w:val="false"/>
              </w:rPr>
              <w:t xml:space="preserve">Emerging</w:t>
            </w:r>
          </w:p>
        </w:tc>
        <w:tc>
          <w:tcPr>
            <w:tcW w:type="dxa" w:w="1800"/>
            <w:tcMar>
              <w:top w:type="dxa" w:w="80"/>
              <w:left w:type="dxa" w:w="100"/>
              <w:bottom w:type="dxa" w:w="80"/>
              <w:right w:type="dxa" w:w="100"/>
            </w:tcMar>
          </w:tcPr>
          <w:p>
            <w:r>
              <w:rPr>
                <w:b w:val="false"/>
                <w:bCs w:val="false"/>
              </w:rPr>
              <w:t xml:space="preserve">None — proposed only</w:t>
            </w:r>
          </w:p>
        </w:tc>
      </w:tr>
    </w:tbl>
    <w:p>
      <w:pPr>
        <w:spacing w:after="160"/>
      </w:pPr>
      <w:r>
        <w:rPr>
          <w:sz w:val="4"/>
          <w:szCs w:val="4"/>
        </w:rPr>
        <w:t xml:space="preserve"/>
      </w:r>
    </w:p>
    <w:p>
      <w:pPr>
        <w:spacing w:after="160"/>
      </w:pPr>
      <w:r>
        <w:rPr>
          <w:b/>
          <w:bCs/>
        </w:rPr>
        <w:t xml:space="preserve">What this table actually shows: </w:t>
      </w:r>
      <w:r>
        <w:t xml:space="preserve">every row where Ward has an entry and the others don't is a proposed capability, not a demonstrated one — the other four columns reflect years of real engineering and, in most cases, real production use. Ward's case is that these specific gaps are real and shared across all four existing languages (confirmed across §2's research), not that Ward has already solved them. The single most important comparison is the last two rows: community size and production use are both zero for Ward today. Closing that gap, even to Dafny/Verus's modest scale, is the actual multi-year subject of this proposal, not a formality.</w:t>
      </w:r>
    </w:p>
    <w:p>
      <w:pPr>
        <w:pStyle w:val="Heading1"/>
        <w:spacing w:after="140" w:before="280"/>
      </w:pPr>
      <w:r>
        <w:t xml:space="preserve">10. Closing Note: Goal and Definition of Success</w:t>
      </w:r>
    </w:p>
    <w:p>
      <w:pPr>
        <w:spacing w:after="160"/>
      </w:pPr>
      <w:r>
        <w:t xml:space="preserve">This proposal targets Ward as a standalone language — not a contribution to an existing project — with an explicit, deliberately modest definition of success: niche, institutional production adoption on the scale already demonstrated by Dafny, SPARK, and Verus (roughly 2,700–8,500 GitHub stars, real institutional users, no expectation of mainstream/Rust-scale adoption), not mass developer adoption. This is a meaningful reframing from an earlier, more ambitious framing in this research process, and it changes the risk profile: the goal is now a demonstrated, repeatable outcome for this category of language, not an unprecedented one.</w:t>
      </w:r>
    </w:p>
    <w:p>
      <w:pPr>
        <w:spacing w:after="160"/>
      </w:pPr>
      <w:r>
        <w:t xml:space="preserve">A concrete, near-term venue for the first real exposure already exists: the auto-active verification workshop (co-located with POPL, explicitly scoped to Dafny, SPARK, F*, Why3, Viper, Whiley, with “AI for verification” as a named topic area) is a receptive, existing community, not a hypothetical audience to build from scratch. Phase 0's results — on surface-vs-formal-syntax accuracy and FFI-boundary effectiveness — constitute a legitimate, fundable submission to that venue regardless of outcome, and should be treated as this proposal's first concrete exposure milestone.</w:t>
      </w:r>
    </w:p>
    <w:p>
      <w:pPr>
        <w:spacing w:after="160"/>
      </w:pPr>
      <w:r>
        <w:t xml:space="preserve">Every precedent, technique, and specific figure cited in this proposal has been checked against primary or clearly credible sources. That gives high confidence that the individual building blocks are real and work as described elsewhere. It gives no confidence — and cannot, by the nature of the claim — that assembling them as a standalone language will reach production use, even at the modest scale defined above. That is precisely why this proposal is structured as a sequence of small, falsifiable, independently valuable experiments rather than a single commitment to build the full system. Phase 0 alone, regardless of its outcome, will produce a real, useful answer to a question the field currently has to guess at: how much of today's AI coding error rate is recoverable through verification architecture alone, using models that already exist — and a real result to bring to the one community already positioned to receive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2026-07-31T18:22:41.658Z</dcterms:created>
  <dcterms:modified xsi:type="dcterms:W3CDTF">2026-07-31T18:22:41.687Z</dcterms:modified>
</cp:coreProperties>
</file>

<file path=docProps/custom.xml><?xml version="1.0" encoding="utf-8"?>
<Properties xmlns="http://schemas.openxmlformats.org/officeDocument/2006/custom-properties" xmlns:vt="http://schemas.openxmlformats.org/officeDocument/2006/docPropsVTypes"/>
</file>