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32"/>
          <w:szCs w:val="32"/>
        </w:rPr>
        <w:t xml:space="preserve">ET-GEO Hackathon 2026</w:t>
      </w:r>
    </w:p>
    <w:p>
      <w:pPr>
        <w:spacing w:after="600"/>
        <w:jc w:val="center"/>
      </w:pPr>
      <w:r>
        <w:rPr>
          <w:b/>
          <w:bCs/>
          <w:sz w:val="44"/>
          <w:szCs w:val="44"/>
        </w:rPr>
        <w:t xml:space="preserve">Vineyard Water-Use Decision Support Tool — Tokara Estate</w:t>
      </w:r>
    </w:p>
    <w:p>
      <w:pPr>
        <w:spacing w:after="800"/>
        <w:jc w:val="center"/>
      </w:pPr>
      <w:r>
        <w:rPr>
          <w:i/>
          <w:iCs/>
          <w:color w:val="B7791F"/>
          <w:sz w:val="24"/>
          <w:szCs w:val="24"/>
        </w:rPr>
        <w:t xml:space="preserve">Tokara Vineyard Watch</w:t>
      </w:r>
    </w:p>
    <w:p>
      <w:pPr>
        <w:spacing w:after="200"/>
        <w:jc w:val="center"/>
      </w:pPr>
      <w:r>
        <w:rPr>
          <w:sz w:val="24"/>
          <w:szCs w:val="24"/>
        </w:rPr>
        <w:t xml:space="preserve">Prepared by: Daniel [Surname] &amp; [Teammate name]</w:t>
      </w:r>
    </w:p>
    <w:p>
      <w:pPr>
        <w:spacing w:after="200"/>
        <w:jc w:val="center"/>
      </w:pPr>
      <w:r>
        <w:rPr>
          <w:sz w:val="22"/>
          <w:szCs w:val="22"/>
        </w:rPr>
        <w:t xml:space="preserve">University of the Western Cape / [Teammate's institution]</w:t>
      </w:r>
    </w:p>
    <w:p>
      <w:pPr>
        <w:jc w:val="center"/>
      </w:pPr>
      <w:r>
        <w:rPr>
          <w:sz w:val="22"/>
          <w:szCs w:val="22"/>
        </w:rPr>
        <w:t xml:space="preserve">Submitted: 20 July 2026</w:t>
      </w:r>
    </w:p>
    <w:p>
      <w:r>
        <w:br w:type="page"/>
      </w:r>
    </w:p>
    <w:p>
      <w:pPr>
        <w:sectPr>
          <w:pgSz w:w="11906" w:h="16838" w:orient="portrait"/>
          <w:pgMar w:top="1440" w:right="1440" w:bottom="1440" w:left="1440" w:header="708" w:footer="708" w:gutter="0"/>
          <w:pgNumType/>
          <w:docGrid w:linePitch="360"/>
        </w:sectPr>
      </w:pPr>
    </w:p>
    <w:p>
      <w:pPr>
        <w:pStyle w:val="Heading1"/>
        <w:spacing w:after="160" w:before="240"/>
      </w:pPr>
      <w:r>
        <w:t xml:space="preserve">1. Executive Overview</w:t>
      </w:r>
    </w:p>
    <w:p>
      <w:pPr>
        <w:spacing w:after="160"/>
        <w:jc w:val="both"/>
      </w:pPr>
      <w:r>
        <w:t xml:space="preserve">This submission addresses TerraClim's ET-GEO Hackathon 2026 challenge: developing a practical irrigation decision-support tool that combines evapotranspiration, remote sensing, vineyard, and environmental data to support water-management decisions in the South African wine industry, using Tokara Estate (Stellenbosch) as the working site.</w:t>
      </w:r>
    </w:p>
    <w:p>
      <w:pPr>
        <w:spacing w:after="160"/>
        <w:jc w:val="both"/>
      </w:pPr>
      <w:r>
        <w:t xml:space="preserve">The intended user is a farm manager or viticulturist responsible for day-to-day irrigation scheduling across a multi-block estate — someone who needs a fast, trustworthy answer to a narrow question each morning: which blocks need water today, and how confident should I be in that recommendation.</w:t>
      </w:r>
    </w:p>
    <w:p>
      <w:pPr>
        <w:spacing w:after="160"/>
        <w:jc w:val="both"/>
      </w:pPr>
      <w:r>
        <w:t xml:space="preserve">Our proposed solution is a block-level daily triage dashboard. Rather than presenting raw evapotranspiration, crop coefficient, and vegetation-index layers side by side for the user to interpret, the tool fuses these signals per vineyard block into a single water-balance depletion trend, classifies each block as Irrigate / Review / Hold, and — critically — attaches a trust indicator to each recommendation by cross-checking the model's implied growth stage against Tokara's own field-recorded phenology dates.</w:t>
      </w:r>
    </w:p>
    <w:p>
      <w:pPr>
        <w:spacing w:after="160"/>
        <w:jc w:val="both"/>
      </w:pPr>
      <w:r>
        <w:t xml:space="preserve">The primary value of the solution is this trust layer. A recommendation engine alone is not new; what distinguishes a usable tool from a black box is whether the grower can see why a block was flagged and how confident the model is in that call, given the specific data available for that block. This directly reflects the three pillars TerraClim set out in the brief: using the data meaningfully rather than displaying static maps, supporting a concrete daily decision, and building something a real user would trust enough to act on.</w:t>
      </w:r>
    </w:p>
    <w:p>
      <w:pPr>
        <w:pStyle w:val="Heading1"/>
        <w:spacing w:after="160" w:before="240"/>
      </w:pPr>
      <w:r>
        <w:t xml:space="preserve">2. Problem and User Need</w:t>
      </w:r>
    </w:p>
    <w:p>
      <w:pPr>
        <w:spacing w:after="160"/>
        <w:jc w:val="both"/>
      </w:pPr>
      <w:r>
        <w:t xml:space="preserve">The practical water-management problem is one of information overload without decision support. TerraClim's data pack already contains scientifically rigorous daily evapotranspiration surfaces, crop coefficient layers, and vegetation indices at 10 m resolution across three growing seasons (2022/23 through 2024/25) for Tokara's vineyard blocks. This is exactly the situation the brief names directly: "the maps exist, the tool does not." A grower does not want to interpret a raster layer — they want to know, in the next five minutes of their morning, which of roughly 57 blocks across 11 cultivars need attention today.</w:t>
      </w:r>
    </w:p>
    <w:p>
      <w:pPr>
        <w:spacing w:after="160"/>
        <w:jc w:val="both"/>
      </w:pPr>
      <w:r>
        <w:t xml:space="preserve">The people who experience this problem are farm managers and viticulturists managing estates at a scale where manual, block-by-block judgment becomes impractical daily, especially across multiple cultivars with different water-sensitivity profiles at different growth stages.</w:t>
      </w:r>
    </w:p>
    <w:p>
      <w:pPr>
        <w:spacing w:after="160"/>
        <w:jc w:val="both"/>
      </w:pPr>
      <w:r>
        <w:t xml:space="preserve">This matters because irrigation decisions in viticulture are not simply about avoiding vine stress — they are quality decisions. Wine grape water management is deliberately more nuanced than "never let the vine go thirsty": mild, controlled deficit irrigation is often intentional pre- and post-veraison for fruit quality, meaning a naive stress alert calibrated identically across the whole season risks flagging appropriate agronomic practice as a problem. Getting this wrong either erodes grower trust in the tool (false alarms) or fails to flag genuine risk (missed stress).</w:t>
      </w:r>
    </w:p>
    <w:p>
      <w:pPr>
        <w:spacing w:after="160"/>
        <w:jc w:val="both"/>
      </w:pPr>
      <w:r>
        <w:t xml:space="preserve">The decisions this solution is intended to support are narrow and daily: irrigate today, hold, or review more closely — not seasonal planning or infrastructure investment decisions.</w:t>
      </w:r>
    </w:p>
    <w:p>
      <w:pPr>
        <w:spacing w:after="160"/>
        <w:jc w:val="both"/>
      </w:pPr>
      <w:r>
        <w:t xml:space="preserve">Key assumptions made when interpreting the challenge: (1) that a single fused daily recommendation per block is more valuable to a time-constrained grower than a multi-layer data explorer, even though the latter would be a legitimate alternative interpretation of "use the data meaningfully"; and (2) that trust and explainability are appropriately treated as core functionality rather than a secondary polish item, given the brief's explicit statement that a polished interface is not sufficient without meaningful decision support.</w:t>
      </w:r>
    </w:p>
    <w:p>
      <w:pPr>
        <w:pStyle w:val="Heading1"/>
        <w:spacing w:after="160" w:before="240"/>
      </w:pPr>
      <w:r>
        <w:t xml:space="preserve">3. Proposed Solution</w:t>
      </w:r>
    </w:p>
    <w:p>
      <w:pPr>
        <w:spacing w:after="160"/>
        <w:jc w:val="both"/>
      </w:pPr>
      <w:r>
        <w:t xml:space="preserve">The solution is a web-based dashboard that, for a given day, surfaces three things at three levels of detail:</w:t>
      </w:r>
    </w:p>
    <w:p>
      <w:pPr>
        <w:pStyle w:val="ListParagraph"/>
        <w:numPr>
          <w:ilvl w:val="0"/>
          <w:numId w:val="1"/>
        </w:numPr>
        <w:spacing w:after="80"/>
      </w:pPr>
      <w:r>
        <w:t xml:space="preserve">A plain-language daily summary (e.g. "3 blocks need water today. Block R1b is trending toward stress heading into veraison") — giving the grower the headline before they engage with any chart or table.</w:t>
      </w:r>
    </w:p>
    <w:p>
      <w:pPr>
        <w:pStyle w:val="ListParagraph"/>
        <w:numPr>
          <w:ilvl w:val="0"/>
          <w:numId w:val="1"/>
        </w:numPr>
        <w:spacing w:after="80"/>
      </w:pPr>
      <w:r>
        <w:t xml:space="preserve">A ranked list of priority blocks, each showing its cultivar, current growth stage, recent evapotranspiration trend, an Irrigate / Review / Hold classification, and a trust badge (e.g. "matches recorded veraison, ±3 days" or "phenology record incomplete").</w:t>
      </w:r>
    </w:p>
    <w:p>
      <w:pPr>
        <w:pStyle w:val="ListParagraph"/>
        <w:numPr>
          <w:ilvl w:val="0"/>
          <w:numId w:val="1"/>
        </w:numPr>
        <w:spacing w:after="80"/>
      </w:pPr>
      <w:r>
        <w:t xml:space="preserve">A full block table for growers or reviewers who want to check every block, positioned as secondary — not the first thing on screen.</w:t>
      </w:r>
    </w:p>
    <w:p>
      <w:pPr>
        <w:pStyle w:val="ListParagraph"/>
        <w:numPr>
          <w:ilvl w:val="0"/>
          <w:numId w:val="1"/>
        </w:numPr>
        <w:spacing w:after="80"/>
      </w:pPr>
      <w:r>
        <w:t xml:space="preserve">A conversational Vineyard Assistant, available from a chat icon on the dashboard, grounded in that day’s real block data and explicitly scoped to decline questions outside the farm’s own data rather than improvise an answer — giving the grower a natural-language way to interrogate the recommendation rather than only reading it.</w:t>
      </w:r>
    </w:p>
    <w:p>
      <w:pPr>
        <w:spacing w:after="160"/>
        <w:jc w:val="both"/>
      </w:pPr>
      <w:r>
        <w:t xml:space="preserve">A user interacts with the tool by opening it each morning, reading the summary and priority list, and using the trust badge to decide how much scrutiny a given recommendation deserves before acting on it — a block flagged with strong phenology agreement warrants more confidence than one flagged with an incomplete phenology record.</w:t>
      </w:r>
    </w:p>
    <w:p>
      <w:pPr>
        <w:spacing w:after="160"/>
        <w:jc w:val="both"/>
      </w:pPr>
      <w:r>
        <w:t xml:space="preserve">The information the tool provides is: current water-balance depletion per block, a same-day action recommendation, and a confidence signal grounded in independent cross-validation rather than the depletion model's own output re-stated.</w:t>
      </w:r>
    </w:p>
    <w:p>
      <w:pPr>
        <w:spacing w:after="160"/>
        <w:jc w:val="both"/>
      </w:pPr>
      <w:r>
        <w:t xml:space="preserve">The most important functionality in the current prototype is the combination of the stage-aware depletion calculation with the phenology cross-validation trust badge — this is the component that most directly answers the brief's requirement that a polished interface not be mistaken for meaningful decision support.</w:t>
      </w:r>
    </w:p>
    <w:p>
      <w:pPr>
        <w:pStyle w:val="Heading1"/>
        <w:spacing w:after="160" w:before="240"/>
      </w:pPr>
      <w:r>
        <w:t xml:space="preserve">4. Data and Methodology</w:t>
      </w:r>
    </w:p>
    <w:p>
      <w:pPr>
        <w:pStyle w:val="Heading2"/>
        <w:spacing w:after="120" w:before="200"/>
      </w:pPr>
      <w:r>
        <w:t xml:space="preserve">Supplied datasets used</w:t>
      </w:r>
    </w:p>
    <w:p>
      <w:pPr>
        <w:spacing w:after="160"/>
        <w:jc w:val="both"/>
      </w:pPr>
      <w:r>
        <w:t xml:space="preserve">We used TerraClim's supplied vineyard block polygons (57 unique block codes across 11 cultivars), daily reference evapotranspiration (ETo), crop coefficient (Kc) and NDVI layers on satellite-pass dates, and actual evapotranspiration (ETa) — which TerraClim had already gap-filled to a daily series rather than satellite-date-only — across all three supplied seasons (2022/23, 2023/24, 2024/25) at 10 m resolution. We also used Tokara's own field-recorded phenology data (budbreak, flowering, veraison, and harvest dates, provided both as single confirmed dates and as 5th/50th/95th-percentile date ranges).</w:t>
      </w:r>
    </w:p>
    <w:p>
      <w:pPr>
        <w:pStyle w:val="Heading2"/>
        <w:spacing w:after="120" w:before="200"/>
      </w:pPr>
      <w:r>
        <w:t xml:space="preserve">External datasets</w:t>
      </w:r>
    </w:p>
    <w:p>
      <w:pPr>
        <w:spacing w:after="160"/>
        <w:jc w:val="both"/>
      </w:pPr>
      <w:r>
        <w:t xml:space="preserve">No external datasets were used. FruitLook, WaPOR-style external evapotranspiration validation products, and CapeFarmMapper soil-capability data were all considered, as permitted under the hackathon's additional-data guidance, but were deliberately not incorporated. Cross-validation was instead performed against Tokara’s own recorded phenology data (Section 4, below), which avoids third-party licensing and attribution requirements while keeping every figure in the tool traceable to the supplied datapack.</w:t>
      </w:r>
    </w:p>
    <w:p>
      <w:pPr>
        <w:pStyle w:val="Heading2"/>
        <w:spacing w:after="120" w:before="200"/>
      </w:pPr>
      <w:r>
        <w:t xml:space="preserve">Processing and analytical approach</w:t>
      </w:r>
    </w:p>
    <w:p>
      <w:pPr>
        <w:spacing w:after="160"/>
        <w:jc w:val="both"/>
      </w:pPr>
      <w:r>
        <w:t xml:space="preserve">For each block polygon, we computed zonal statistics (mean value per block) for ETo, ETa, Kc, and NDVI on every date each was available, producing a block-by-date table. From the daily ETa series, we computed a running cumulative water-balance depletion per block per season, resetting at each modelled irrigation event. Blocks were classified Irrigate / Review / Hold based on where this depletion sat relative to a threshold.</w:t>
      </w:r>
    </w:p>
    <w:p>
      <w:pPr>
        <w:spacing w:after="160"/>
        <w:jc w:val="both"/>
      </w:pPr>
      <w:r>
        <w:t xml:space="preserve">We then built an independent phenology cross-validation layer: for each block/date, we determined (a) the recorded growth stage from Tokara's own phenology data, and (b) an independently inferred growth stage from the shape of the Kc/NDVI trajectory (rising, plateaued, or declining relative to its seasonal peak), and compared the two. This produces a three-way trust label — agrees, disagrees, or stage-record-incomplete — attached to each recommendation.</w:t>
      </w:r>
    </w:p>
    <w:p>
      <w:pPr>
        <w:spacing w:after="160"/>
        <w:jc w:val="both"/>
      </w:pPr>
      <w:r>
        <w:t xml:space="preserve">We used this same phenology data to move from a single fixed depletion threshold to stage-aware thresholds, reflecting that wine-grape water-stress tolerance genuinely differs between, for example, the flowering/fruit-set window and the post-veraison window.</w:t>
      </w:r>
    </w:p>
    <w:p>
      <w:pPr>
        <w:pStyle w:val="Heading2"/>
        <w:spacing w:after="120" w:before="200"/>
      </w:pPr>
      <w:r>
        <w:t xml:space="preserve">Assumptions, proxies, and inferred values</w:t>
      </w:r>
    </w:p>
    <w:p>
      <w:pPr>
        <w:pStyle w:val="ListParagraph"/>
        <w:numPr>
          <w:ilvl w:val="0"/>
          <w:numId w:val="1"/>
        </w:numPr>
        <w:spacing w:after="80"/>
      </w:pPr>
      <w:r>
        <w:t xml:space="preserve">Depletion is assumed to reset to zero whenever an Irrigate flag is raised, on the assumption the grower acts that day — we do not have actual irrigation event records to confirm real refill timing.</w:t>
      </w:r>
    </w:p>
    <w:p>
      <w:pPr>
        <w:pStyle w:val="ListParagraph"/>
        <w:numPr>
          <w:ilvl w:val="0"/>
          <w:numId w:val="1"/>
        </w:numPr>
        <w:spacing w:after="80"/>
      </w:pPr>
      <w:r>
        <w:t xml:space="preserve">The NDVI/Kc-implied growth stage is inferred from trend shape (rising / plateaued / declining relative to seasonal peak), which is a simplification rather than a validated phenology-detection model.</w:t>
      </w:r>
    </w:p>
    <w:p>
      <w:pPr>
        <w:spacing w:after="160"/>
        <w:jc w:val="both"/>
      </w:pPr>
      <w:r>
        <w:t xml:space="preserve">Review/stress depletion thresholds vary by growth stage: dormant (40 mm / 60 mm), budbreak–flowering (15 mm / 25 mm), flowering–pre-veraison (12 mm / 20 mm), post-veraison (18 mm / 30 mm), and post-harvest (35 mm / 50 mm). These are explicitly starting-point values rather than empirically calibrated figures. Wine grapes are often deliberately given mild deficit irrigation pre- and post-veraison for quality management (regulated deficit irrigation), so the post-veraison threshold in particular should be treated as a first approximation pending agronomist review, not a validated physiological limit.</w:t>
      </w:r>
    </w:p>
    <w:p>
      <w:pPr>
        <w:pStyle w:val="Heading2"/>
        <w:spacing w:after="120" w:before="200"/>
      </w:pPr>
      <w:r>
        <w:t xml:space="preserve">Data-quality limitations</w:t>
      </w:r>
    </w:p>
    <w:p>
      <w:pPr>
        <w:pStyle w:val="ListParagraph"/>
        <w:numPr>
          <w:ilvl w:val="0"/>
          <w:numId w:val="1"/>
        </w:numPr>
        <w:spacing w:after="80"/>
      </w:pPr>
      <w:r>
        <w:t xml:space="preserve">Kc, NDVI, and (by extension) ETa are only directly observed on satellite-pass dates and are masked to vineyard footprints — roughly 9% of the full grid — which is expected given the data source, not an error.</w:t>
      </w:r>
    </w:p>
    <w:p>
      <w:pPr>
        <w:pStyle w:val="ListParagraph"/>
        <w:numPr>
          <w:ilvl w:val="0"/>
          <w:numId w:val="1"/>
        </w:numPr>
        <w:spacing w:after="80"/>
      </w:pPr>
      <w:r>
        <w:t xml:space="preserve">Phenology recording has real gaps: not every stage is recorded for every block in every season, particularly Harvest and Leafdrop, meaning validation coverage is uneven across blocks rather than uniform.</w:t>
      </w:r>
    </w:p>
    <w:p>
      <w:pPr>
        <w:pStyle w:val="ListParagraph"/>
        <w:numPr>
          <w:ilvl w:val="0"/>
          <w:numId w:val="1"/>
        </w:numPr>
        <w:spacing w:after="80"/>
      </w:pPr>
      <w:r>
        <w:t xml:space="preserve">The daily gap-filling method behind the supplied ETa series is TerraClim's own and was not independently re-derived or audited by us — we treat it as supplied ground truth for this prototype.</w:t>
      </w:r>
    </w:p>
    <w:p>
      <w:pPr>
        <w:pStyle w:val="Heading1"/>
        <w:spacing w:after="160" w:before="240"/>
      </w:pPr>
      <w:r>
        <w:t xml:space="preserve">5. Technical Architecture and Design Decisions</w:t>
      </w:r>
    </w:p>
    <w:p>
      <w:pPr>
        <w:pStyle w:val="Heading2"/>
        <w:spacing w:after="120" w:before="200"/>
      </w:pPr>
      <w:r>
        <w:t xml:space="preserve">Frontend</w:t>
      </w:r>
    </w:p>
    <w:p>
      <w:pPr>
        <w:spacing w:after="160"/>
        <w:jc w:val="both"/>
      </w:pPr>
      <w:r>
        <w:t xml:space="preserve">The frontend is a React 18 + TypeScript single-page application built with Vite, using React Router for navigation, react-leaflet for the interactive vineyard block map, and Recharts for the block-level evapotranspiration trend chart. Styling is deliberately plain, mobile-first CSS rather than a component library, reflecting how a grower would realistically check the tool — on a phone, in the field — rather than at a desktop. React was chosen for the team’s existing familiarity, prioritising development speed within the four-day window over exploring an unfamiliar framework.</w:t>
      </w:r>
    </w:p>
    <w:p>
      <w:pPr>
        <w:pStyle w:val="Heading2"/>
        <w:spacing w:after="120" w:before="200"/>
      </w:pPr>
      <w:r>
        <w:t xml:space="preserve">Backend / data-processing workflow</w:t>
      </w:r>
    </w:p>
    <w:p>
      <w:pPr>
        <w:spacing w:after="160"/>
        <w:jc w:val="both"/>
      </w:pPr>
      <w:r>
        <w:t xml:space="preserve">The data-processing pipeline is implemented in Python: `geopandas` and `rasterio`/`rasterstats` for zonal statistics extraction per block polygon, `pandas` for the water-balance depletion calculation and the phenology cross-validation logic. Outputs are written as flat CSV files consumed by the dashboard layer.</w:t>
      </w:r>
    </w:p>
    <w:p>
      <w:pPr>
        <w:spacing w:after="160"/>
        <w:jc w:val="both"/>
      </w:pPr>
      <w:r>
        <w:t xml:space="preserve">A separate FastAPI application serves this precomputed data to the frontend over a small REST API (endpoints for block boundaries, per-date status, and per-block history). This API layer never imports `rasterio` or `geopandas` directly — it only reads the flat files the offline pipeline produces — which keeps the deployed service free of native geospatial dependencies and fast to start.</w:t>
      </w:r>
    </w:p>
    <w:p>
      <w:pPr>
        <w:pStyle w:val="Heading2"/>
        <w:spacing w:after="120" w:before="200"/>
      </w:pPr>
      <w:r>
        <w:t xml:space="preserve">Storage</w:t>
      </w:r>
    </w:p>
    <w:p>
      <w:pPr>
        <w:spacing w:after="160"/>
        <w:jc w:val="both"/>
      </w:pPr>
      <w:r>
        <w:t xml:space="preserve">Precomputed outputs are stored as flat JSON and GeoJSON files (block boundaries, daily status, and phenology notes), generated once by the offline pipeline scripts and read directly by the FastAPI backend at request time. No database was used — appropriate for a single estate across three seasons of history, but a genuine limitation if the tool were scaled to many farms or a much longer time series.</w:t>
      </w:r>
    </w:p>
    <w:p>
      <w:pPr>
        <w:pStyle w:val="Heading2"/>
        <w:spacing w:after="120" w:before="200"/>
      </w:pPr>
      <w:r>
        <w:t xml:space="preserve">Hosting / deployment</w:t>
      </w:r>
    </w:p>
    <w:p>
      <w:pPr>
        <w:spacing w:after="160"/>
        <w:jc w:val="both"/>
      </w:pPr>
      <w:r>
        <w:t xml:space="preserve">The prototype is provided as a reproducible local setup (see README) rather than a hosted public URL, given the time available within the sprint. Both the frontend build and the FastAPI service are designed to deploy cleanly to standard static-hosting and Python-hosting platforms respectively, since the API itself has no native geospatial dependencies.</w:t>
      </w:r>
    </w:p>
    <w:p>
      <w:pPr>
        <w:pStyle w:val="Heading2"/>
        <w:spacing w:after="120" w:before="200"/>
      </w:pPr>
      <w:r>
        <w:t xml:space="preserve">Key technical decisions and trade-offs</w:t>
      </w:r>
    </w:p>
    <w:p>
      <w:pPr>
        <w:pStyle w:val="ListParagraph"/>
        <w:numPr>
          <w:ilvl w:val="0"/>
          <w:numId w:val="1"/>
        </w:numPr>
        <w:spacing w:after="80"/>
      </w:pPr>
      <w:r>
        <w:t xml:space="preserve">We chose a flat-file (CSV-based) processing pipeline over a database given the four-day sprint window — appropriate for the current data volume, but a genuine limitation for scaling to more farms or longer historical runs.</w:t>
      </w:r>
    </w:p>
    <w:p>
      <w:pPr>
        <w:pStyle w:val="ListParagraph"/>
        <w:numPr>
          <w:ilvl w:val="0"/>
          <w:numId w:val="1"/>
        </w:numPr>
        <w:spacing w:after="80"/>
      </w:pPr>
      <w:r>
        <w:t xml:space="preserve">We prioritised 10 m resolution rasters over the available 3 m alternative for processing speed, at the cost of some boundary precision on smaller blocks.</w:t>
      </w:r>
    </w:p>
    <w:p>
      <w:pPr>
        <w:pStyle w:val="ListParagraph"/>
        <w:numPr>
          <w:ilvl w:val="0"/>
          <w:numId w:val="1"/>
        </w:numPr>
        <w:spacing w:after="80"/>
      </w:pPr>
      <w:r>
        <w:t xml:space="preserve">All raster processing happens offline, once, via standalone pipeline scripts. The API only ever reads static precomputed files and never performs live geospatial computation — this keeps the deployed service simple and the dashboard fast and reliable during a live demo.</w:t>
      </w:r>
    </w:p>
    <w:p>
      <w:pPr>
        <w:pStyle w:val="ListParagraph"/>
        <w:numPr>
          <w:ilvl w:val="0"/>
          <w:numId w:val="1"/>
        </w:numPr>
        <w:spacing w:after="80"/>
      </w:pPr>
      <w:r>
        <w:t xml:space="preserve">The frontend and backend were built and fully verified against a hand-built mock dataset matching the final data schema before the real pipeline output was ready, allowing both teammates to work in parallel without either side blocking the other.</w:t>
      </w:r>
    </w:p>
    <w:p>
      <w:pPr>
        <w:pStyle w:val="ListParagraph"/>
        <w:numPr>
          <w:ilvl w:val="0"/>
          <w:numId w:val="1"/>
        </w:numPr>
        <w:spacing w:after="80"/>
      </w:pPr>
      <w:r>
        <w:t xml:space="preserve">The phenology trust signal is surfaced as a three-state qualitative label (agrees / disagrees / stage-record-incomplete) rather than a single numeric confidence score, to keep it interpretable to a non-technical grower rather than requiring statistical literacy to use.</w:t>
      </w:r>
    </w:p>
    <w:p>
      <w:pPr>
        <w:pStyle w:val="ListParagraph"/>
        <w:numPr>
          <w:ilvl w:val="0"/>
          <w:numId w:val="1"/>
        </w:numPr>
        <w:spacing w:after="80"/>
      </w:pPr>
      <w:r>
        <w:t xml:space="preserve">The Vineyard Assistant is powered by Google’s Gemini API (gemini-flash-latest), chosen for its no-cost developer tier during prototyping. Each request is grounded by embedding a condensed summary of that day’s real block statuses directly into the system prompt, and the assistant is explicitly instructed to decline questions outside that scope — verified directly by testing both an in-scope question (cross-checked against the raw data for correctness) and an out-of-scope question (confirmed it declines rather than improvises).</w:t>
      </w:r>
    </w:p>
    <w:p>
      <w:pPr>
        <w:pStyle w:val="Heading1"/>
        <w:spacing w:after="160" w:before="240"/>
      </w:pPr>
      <w:r>
        <w:t xml:space="preserve">6. Results, Limitations, and Next Steps</w:t>
      </w:r>
    </w:p>
    <w:p>
      <w:pPr>
        <w:pStyle w:val="Heading2"/>
        <w:spacing w:after="120" w:before="200"/>
      </w:pPr>
      <w:r>
        <w:t xml:space="preserve">What the prototype currently demonstrates</w:t>
      </w:r>
    </w:p>
    <w:p>
      <w:pPr>
        <w:spacing w:after="160"/>
        <w:jc w:val="both"/>
      </w:pPr>
      <w:r>
        <w:t xml:space="preserve">The prototype demonstrates an end-to-end pipeline from TerraClim's raw per-pixel data pack through to a block-level, stage-aware, trust-annotated irrigation recommendation, validated against three seasons of real Tokara phenology records rather than a single-season demo.</w:t>
      </w:r>
    </w:p>
    <w:p>
      <w:pPr>
        <w:pStyle w:val="Heading2"/>
        <w:spacing w:after="120" w:before="200"/>
      </w:pPr>
      <w:r>
        <w:t xml:space="preserve">Key outputs / findings</w:t>
      </w:r>
    </w:p>
    <w:p>
      <w:pPr>
        <w:spacing w:after="160"/>
        <w:jc w:val="both"/>
      </w:pPr>
      <w:r>
        <w:t xml:space="preserve">Across the full validated dataset (57 blocks, three seasons, 44,983 block-day records), the phenology trust label breaks down as: 2,267 records (5%) where the satellite-implied growth stage agrees with Tokara’s own recorded phenology, 9,197 records (20%) where it disagrees, and 33,519 records (75%) where the recorded phenology is incomplete for that block/season and no comparison could be made. The high proportion of incomplete records reflects genuine gaps in the source phenology data (Section 4) rather than a shortcoming of the validation logic — but it means the trust badge can currently be shown with full confidence for only a minority of block-days, which is stated plainly within the dashboard itself rather than glossed over.</w:t>
      </w:r>
    </w:p>
    <w:p>
      <w:pPr>
        <w:pStyle w:val="Heading2"/>
        <w:spacing w:after="120" w:before="200"/>
      </w:pPr>
      <w:r>
        <w:t xml:space="preserve">Whether the solution met its intended objective</w:t>
      </w:r>
    </w:p>
    <w:p>
      <w:pPr>
        <w:spacing w:after="160"/>
        <w:jc w:val="both"/>
      </w:pPr>
      <w:r>
        <w:t xml:space="preserve">The prototype meets its core objective: for any given day across three real growing seasons, a user can see which blocks need attention, why, and how much to trust that recommendation, without needing to interpret a single raster layer directly. Scope was deliberately narrowed within the four-day window in ways that do not undermine this core claim — user authentication is a cosmetic demonstration rather than a real multi-tenant system. A conversational assistant, grounded in the day’s real block data, was built and is included; it was treated from the outset as complementary to the recommendation-and-trust engine rather than a replacement for it, and its availability does not change the underlying recommendation logic — it only makes that logic queryable in natural language.</w:t>
      </w:r>
    </w:p>
    <w:p>
      <w:pPr>
        <w:pStyle w:val="Heading2"/>
        <w:spacing w:after="120" w:before="200"/>
      </w:pPr>
      <w:r>
        <w:t xml:space="preserve">Known limitations</w:t>
      </w:r>
    </w:p>
    <w:p>
      <w:pPr>
        <w:pStyle w:val="ListParagraph"/>
        <w:numPr>
          <w:ilvl w:val="0"/>
          <w:numId w:val="1"/>
        </w:numPr>
        <w:spacing w:after="80"/>
      </w:pPr>
      <w:r>
        <w:t xml:space="preserve">The depletion-reset-on-irrigate assumption is unverified against real irrigation records.</w:t>
      </w:r>
    </w:p>
    <w:p>
      <w:pPr>
        <w:pStyle w:val="ListParagraph"/>
        <w:numPr>
          <w:ilvl w:val="0"/>
          <w:numId w:val="1"/>
        </w:numPr>
        <w:spacing w:after="80"/>
      </w:pPr>
      <w:r>
        <w:t xml:space="preserve">Phenology validation coverage is uneven across blocks due to real recording gaps in the source data.</w:t>
      </w:r>
    </w:p>
    <w:p>
      <w:pPr>
        <w:pStyle w:val="ListParagraph"/>
        <w:numPr>
          <w:ilvl w:val="0"/>
          <w:numId w:val="1"/>
        </w:numPr>
        <w:spacing w:after="80"/>
      </w:pPr>
      <w:r>
        <w:t xml:space="preserve">Stage-aware thresholds are calibrated relative to Tokara's own historical ETa patterns, not against independently validated physiological stress outcomes (e.g. stem water potential) — they indicate statistically unusual deficit, not confirmed vine stress.</w:t>
      </w:r>
    </w:p>
    <w:p>
      <w:pPr>
        <w:pStyle w:val="ListParagraph"/>
        <w:numPr>
          <w:ilvl w:val="0"/>
          <w:numId w:val="1"/>
        </w:numPr>
        <w:spacing w:after="80"/>
      </w:pPr>
      <w:r>
        <w:t xml:space="preserve">Kc and NDVI are only observed on Sentinel-2 satellite pass dates (roughly 31–36 per season), not daily — on the remaining days the dashboard falls back to the most recently available reading, clearly labelled with its actual capture date rather than presented as current.</w:t>
      </w:r>
    </w:p>
    <w:p>
      <w:pPr>
        <w:pStyle w:val="ListParagraph"/>
        <w:numPr>
          <w:ilvl w:val="0"/>
          <w:numId w:val="1"/>
        </w:numPr>
        <w:spacing w:after="80"/>
      </w:pPr>
      <w:r>
        <w:t xml:space="preserve">13 of the 70 shapefile block polygons represent mixed sub-parcel plantings sharing a single block code with more than one recorded cultivar; each polygon is associated with its own recorded cultivar independently rather than collapsed into one.</w:t>
      </w:r>
    </w:p>
    <w:p>
      <w:pPr>
        <w:pStyle w:val="ListParagraph"/>
        <w:numPr>
          <w:ilvl w:val="0"/>
          <w:numId w:val="1"/>
        </w:numPr>
        <w:spacing w:after="80"/>
      </w:pPr>
      <w:r>
        <w:t xml:space="preserve">The Vineyard Assistant depends on a live external API call; if that service is slow, rate-limited, or briefly unavailable, the assistant alone is affected — the core dashboard, map, and recommendations do not depend on it and continue to function normally.</w:t>
      </w:r>
    </w:p>
    <w:p>
      <w:pPr>
        <w:pStyle w:val="Heading2"/>
        <w:spacing w:after="120" w:before="200"/>
      </w:pPr>
      <w:r>
        <w:t xml:space="preserve">Risks and unresolved issues</w:t>
      </w:r>
    </w:p>
    <w:p>
      <w:pPr>
        <w:spacing w:after="160"/>
        <w:jc w:val="both"/>
      </w:pPr>
      <w:r>
        <w:t xml:space="preserve">During development we identified and corrected two modelling bugs before finalising the pipeline. First, an early version of the NDVI/Kc trend-inference step used each block’s entire season of data regardless of which date was being evaluated, causing the same implied growth stage to be produced for every day in a season; this was corrected so the inference only uses data available up to and including the date in question. Second, season labels were initially inconsistent between the zonal-statistics and phenology-validation pipelines (underscore- versus slash-separated), which silently prevented the two datasets from joining correctly; both now use one consistent format. One known remaining simplification: the trend-inference step does not reset at season boundaries, so during dormancy it can carry forward a classification from the end of the previous season rather than recognising an extended data gap as dormancy in its own right — noted here rather than silently left uncorrected, given remaining time constraints.</w:t>
      </w:r>
    </w:p>
    <w:p>
      <w:pPr>
        <w:pStyle w:val="Heading2"/>
        <w:spacing w:after="120" w:before="200"/>
      </w:pPr>
      <w:r>
        <w:t xml:space="preserve">What should be tested next</w:t>
      </w:r>
    </w:p>
    <w:p>
      <w:pPr>
        <w:pStyle w:val="ListParagraph"/>
        <w:numPr>
          <w:ilvl w:val="0"/>
          <w:numId w:val="1"/>
        </w:numPr>
        <w:spacing w:after="80"/>
      </w:pPr>
      <w:r>
        <w:t xml:space="preserve">Validating stage-aware thresholds against direct physiological measurements (e.g. pressure-bomb stem water potential readings) if TerraClim or Tokara can provide them.</w:t>
      </w:r>
    </w:p>
    <w:p>
      <w:pPr>
        <w:pStyle w:val="ListParagraph"/>
        <w:numPr>
          <w:ilvl w:val="0"/>
          <w:numId w:val="1"/>
        </w:numPr>
        <w:spacing w:after="80"/>
      </w:pPr>
      <w:r>
        <w:t xml:space="preserve">Testing the tool with an actual Tokara vineyard manager to check whether the trust-badge framing is legible and genuinely actionable in practice, not just internally coherent.</w:t>
      </w:r>
    </w:p>
    <w:p>
      <w:pPr>
        <w:pStyle w:val="Heading2"/>
        <w:spacing w:after="120" w:before="200"/>
      </w:pPr>
      <w:r>
        <w:t xml:space="preserve">What would be required to move toward a production-ready solution</w:t>
      </w:r>
    </w:p>
    <w:p>
      <w:pPr>
        <w:pStyle w:val="ListParagraph"/>
        <w:numPr>
          <w:ilvl w:val="0"/>
          <w:numId w:val="1"/>
        </w:numPr>
        <w:spacing w:after="80"/>
      </w:pPr>
      <w:r>
        <w:t xml:space="preserve">Real irrigation event logging to replace the current reset assumption with observed data.</w:t>
      </w:r>
    </w:p>
    <w:p>
      <w:pPr>
        <w:pStyle w:val="ListParagraph"/>
        <w:numPr>
          <w:ilvl w:val="0"/>
          <w:numId w:val="1"/>
        </w:numPr>
        <w:spacing w:after="80"/>
      </w:pPr>
      <w:r>
        <w:t xml:space="preserve">A more robust database layer if scaled beyond a single estate or beyond three seasons of history.</w:t>
      </w:r>
    </w:p>
    <w:p>
      <w:pPr>
        <w:pStyle w:val="ListParagraph"/>
        <w:numPr>
          <w:ilvl w:val="0"/>
          <w:numId w:val="1"/>
        </w:numPr>
        <w:spacing w:after="80"/>
      </w:pPr>
      <w:r>
        <w:t xml:space="preserve">Direct agronomist/viticulturist sign-off on threshold values per cultivar and growth stage.</w:t>
      </w:r>
    </w:p>
    <w:p>
      <w:pPr>
        <w:sectPr>
          <w:pgSz w:w="11906" w:h="16838" w:orient="portrait"/>
          <w:pgMar w:top="1440" w:right="1440" w:bottom="1440" w:left="1440" w:header="708" w:footer="708" w:gutter="0"/>
          <w:pgNumType/>
          <w:docGrid w:linePitch="360"/>
        </w:sectPr>
      </w:pPr>
    </w:p>
    <w:p>
      <w:r>
        <w:br w:type="page"/>
      </w:r>
    </w:p>
    <w:p>
      <w:pPr>
        <w:pStyle w:val="Heading1"/>
        <w:spacing w:after="160" w:before="240"/>
      </w:pPr>
      <w:r>
        <w:t xml:space="preserve">References</w:t>
      </w:r>
    </w:p>
    <w:p>
      <w:pPr>
        <w:spacing w:after="160"/>
        <w:jc w:val="both"/>
      </w:pPr>
      <w:r>
        <w:t xml:space="preserve">Allen, R.G., Pereira, L.S., Raes, D., and Smith, M. (1998). Crop Evapotranspiration — Guidelines for Computing Crop Water Requirements. FAO Irrigation and Drainage Paper 56. Food and Agriculture Organization of the United Nations, Rome. No external datasets beyond the TerraClim-supplied Tokara datapack were used in this submission (see Section 4).</w:t>
      </w:r>
    </w:p>
    <w:p>
      <w:pPr>
        <w:sectPr>
          <w:pgSz w:w="11906" w:h="16838" w:orient="portrait"/>
          <w:pgMar w:top="1440" w:right="1440" w:bottom="1440" w:left="1440" w:header="708" w:footer="708" w:gutter="0"/>
          <w:pgNumType/>
          <w:docGrid w:linePitch="360"/>
        </w:sectPr>
      </w:pPr>
    </w:p>
    <w:p>
      <w:pPr>
        <w:pStyle w:val="Heading1"/>
        <w:spacing w:after="160" w:before="240"/>
      </w:pPr>
      <w:r>
        <w:t xml:space="preserve">Appendix</w:t>
      </w:r>
    </w:p>
    <w:p>
      <w:pPr>
        <w:spacing w:after="160"/>
        <w:jc w:val="both"/>
      </w:pPr>
      <w:r>
        <w:t xml:space="preserve">This appendix provides supporting detail only. It does not contain information essential to understanding the proposed solution — that information is fully contained in the six-page narrative above, per the submission guidance.</w:t>
      </w:r>
    </w:p>
    <w:p>
      <w:pPr>
        <w:spacing w:after="160"/>
      </w:pPr>
      <w:r>
        <w:rPr>
          <w:i/>
          <w:iCs/>
          <w:color w:val="B7791F"/>
        </w:rPr>
        <w:t xml:space="preserve">[Optional: sample data tables, additional screenshots, or extended methodology detail.]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2026-07-18T15:15:22.691Z</dcterms:created>
  <dcterms:modified xsi:type="dcterms:W3CDTF">2026-07-18T15:15:22.704Z</dcterms:modified>
</cp:coreProperties>
</file>

<file path=docProps/custom.xml><?xml version="1.0" encoding="utf-8"?>
<Properties xmlns="http://schemas.openxmlformats.org/officeDocument/2006/custom-properties" xmlns:vt="http://schemas.openxmlformats.org/officeDocument/2006/docPropsVTypes"/>
</file>