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Career field operative with two decades protecting principals and assets in hostile environments worldwide. Royal Navy Commander turned senior intelligence officer, trained in close-quarters defense, threat assessment, and protective driving. Holds the highest field clearance, speaks four languages, and has stayed calm under fire across more than forty high-risk operations on five continents.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Designed and ran the advanced and evasive driving course, certifying 60+ officers in anti-ambush, motorcade, and protective driving over three years.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Mentored more than 80 field candidates through selection and assessment, training the next generation of protection and intelligence officers.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Set physical-security and travel protocols for staff operating in volatile regions, with no serious incident across six years.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Closed high-stakes negotiations and dispute settlements running into the millions, holding a credible position at the table under sustained pressure.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Protected high-value principals and assets across more than 40 operations on five continents, never losing a principal while under direct protection.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Ran covert surveillance and counter-surveillance in hostile cities, building pattern-of-life profiles that drove three successful interdictions.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Drove protective and evasive details through ambushes and tail pursuits in saloon cars, motorcycles, and armored vehicles; delivered every principal intact (the vehicles, less reliably).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Led ship-wide crisis and damage-control drills; cut average response to simulated hull breaches from 9 minutes to under 4 over the course of a deployment.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Ran the vessel's small-arms and boarding-party program, qualifying every department member to expert standard and leading 12 compliant vessel boardings in contested waters.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Close Protection &amp; Physical Security: </w:t>
      </w:r>
      <w:r>
        <w:t>Executive and close protection, principal protection, threat and risk assessment, advance work, route and venue planning, close-quarters defense, hostile-environment operations, asset protection</w:t>
      </w:r>
    </w:p>
    <w:p>
      <w:pPr>
        <w:spacing w:after="20"/>
      </w:pPr>
      <w:r>
        <w:rPr>
          <w:b/>
        </w:rPr>
        <w:t xml:space="preserve">Surveillance &amp; Counter-Surveillance: </w:t>
      </w:r>
      <w:r>
        <w:t>Covert surveillance, counter-surveillance, mobile and static observation, pattern-of-life analysis, technical surveillance countermeasures, tradecraft, source development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Crisis &amp; Negotiation: </w:t>
      </w:r>
      <w:r>
        <w:t>Hostage and crisis negotiation, high-stakes bargaining, de-escalation, incident command under pressure, contingency planning, decisive action on incomplete information</w:t>
      </w:r>
    </w:p>
    <w:p>
      <w:pPr>
        <w:spacing w:after="20"/>
      </w:pPr>
      <w:r>
        <w:rPr>
          <w:b/>
        </w:rPr>
        <w:t xml:space="preserve">Advanced &amp; Tactical Driving: </w:t>
      </w:r>
      <w:r>
        <w:t>Advanced and evasive driving, high-performance and protective driving, anti-ambush maneuvers, motorcade operations, motorcycle and armored-vehicle operation, post-incident vehicle recovery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