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Next.js五金外贸网站设计详细Prompt（参考salice</w:t>
      </w:r>
      <w:r>
        <w:rPr>
          <w:rFonts w:eastAsia="等线" w:ascii="Arial" w:cs="Arial" w:hAnsi="Arial"/>
          <w:b w:val="true"/>
          <w:sz w:val="52"/>
        </w:rPr>
        <w:t>china.com）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核心要求：严格参考 </w:t>
      </w:r>
      <w:r>
        <w:rPr>
          <w:rFonts w:eastAsia="等线" w:ascii="Arial" w:cs="Arial" w:hAnsi="Arial"/>
          <w:b w:val="true"/>
          <w:sz w:val="22"/>
        </w:rPr>
        <w:t>www.salicechina.com</w:t>
      </w:r>
      <w:r>
        <w:rPr>
          <w:rFonts w:eastAsia="等线" w:ascii="Arial" w:cs="Arial" w:hAnsi="Arial"/>
          <w:sz w:val="22"/>
        </w:rPr>
        <w:t xml:space="preserve"> 整体视觉风格、布局逻辑、模块设计，适配Next.js（优先Next.js 14+版本）建站，支持SSR（服务端渲染）/SSG（静态站点生成），定位为B2B家具五金/精密五金外贸官网，面向海外采购商（欧美、东南亚为主），风格极简高端、商务专业、轻量化，无花哨设计，重点突出产品、品质与服务，符合外贸B端客户浏览习惯和审美，同时兼顾Next.js的性能优化、SEO友好性、响应式适配（电脑/平板/手机），支持组件化开发、动态路由，便于后期维护和内容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一、整体视觉与基础设置（核心参考salicechina.com，适配Next.js）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配色系统（严格对齐salicechina.com，可直接复制色值，适配Next.js样式开发）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主色：深灰色（#333333），用于导航栏、标题、核心按钮（如“Get Quote”“Contact Us”），统一应用于全局样式，确保全站视觉统一，可通过Next.js全局CSS或Tailwind CSS配置统一管理。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辅助色：冷调浅灰色（#F5F5F5、#E8E8E8），用于页面背景、模块分隔、卡片底色，交替使用增强层次感，避免单调，适配Next.js组件化样式，可封装为通用样式变量调用。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点缀色：低饱和金属银（#C0C0C0），用于图标、线条、产品细节高亮，不突兀，贴合五金产品质感，不添加额外高饱和颜色，仅作为局部点缀，提升页面精致度。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字色：深灰（#333333）用于标题、正文；中灰（#666666）用于辅助说明、小字体文案；浅灰（#999999）用于页脚、版权信息，确保文字清晰易读，符合外贸英文阅读习惯，适配Next.js字体适配方案，避免中英文显示错乱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特殊要求：全站配色不超过4种，无渐变、无过度阴影，保持salicechina.com的克制高级感，样式可通过Next.js CSS Modules、Tailwind CSS或Styled Components实现，支持样式复用和后期修改，确保不同页面样式统一。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字体设置（适配Next.js，兼容英文显示，易读性优先，支持跨设备适配）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全局字体：无衬线字体（Roboto/Open Sans），通过Next.js Font优化加载（优先使用next/font导入，减少外部依赖，提升加载速度），统一字体家族，避免多种字体混用，确保海外用户浏览时字体显示正常。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字体层级（适配Next.js组件化开发，可封装为通用字体组件，直接调用）：</w:t>
        <w:br/>
        <w:t xml:space="preserve">            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网站标题（Logo旁）：18-22px，加粗，深灰色，无衬线，适配Logo尺寸，通过组件化设置，确保不同页面标题样式统一。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导航栏文字：14-16px，常规粗细，深灰色，hover时变为金属银色（#C0C0C0），无下划线，简洁扁平化，适配Next.js路由导航，点击可跳转至对应页面，hover效果通过CSS样式优雅实现。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首页大标题（轮播图、核心模块）：28-32px，加粗，深灰色，居中/左对齐，字数控制在15字以内（英文），适配Next.js动态渲染，支持后台更新标题内容。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二级标题（产品分类、企业优势等）：22-26px，加粗，深灰色，左对齐，下方加1px细线条（金属银色），长度与标题一致，可封装为通用标题组件，减少重复开发。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正文（产品描述、企业简介、服务说明）：14-16px，常规粗细，中灰色，行高1.5倍，段落间距10px，英文单词间距适中，避免拥挤，适配Next.js文本渲染，支持markdown格式（可选），确保排版整洁。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按钮文字：14px，加粗，白色（按钮为深灰色），居中对齐，无衬线，按钮样式封装为通用组件，支持自定义文字、链接和尺寸，适配Next.js路由跳转。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页脚文字：12-14px，常规粗细，浅灰色，行高1.4倍，适配页脚组件，支持动态更新版权信息、联系方式等内容。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页面布局（参考salicechina.com，适配Next.js响应式，支持组件化拖拽/开发，兼顾性能与体验）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体布局：宽屏全屏设计（无固定宽度限制，适配不同电脑屏幕），左右留白均匀，模块之间间距统一（20-30px），无杂乱元素，轻量化设计，通过Next.js布局组件（Layout.js）统一管理页面框架，确保所有页面布局一致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响应式适配：基于Next.js响应式设计方案，结合Tailwind CSS断点（或自定义媒体查询），实现电脑端（宽屏）、平板端（自适应缩窄）、手机端（单列布局，导航栏变为汉堡菜单）适配，确保所有模块、图片、文字在手机端不错乱，按钮可正常点击（手机端按钮尺寸不小于40px*40px），适配不同海外设备屏幕尺寸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性能优化（Next.js核心特性适配）：支持SSR/SSG渲染，首页、产品列表页、静态页面采用SSG渲染，提升加载速度和SEO表现；产品详情页、联系表单页采用SSR渲染，确保数据实时更新；图片采用Next.js Image组件优化，自动压缩、懒加载，适配海外CDN，确保海外用户加载流畅，页面加载时间控制在2.5秒内；避免过多动画、无大型视频自动播放，减少页面体积。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开发与维护适配：采用Next.js组件化开发，将导航、轮播、产品卡片、表单等常用元素封装为通用组件，便于复用和后期修改；路由采用Next.js App Router，结构清晰，支持动态路由（如产品详情页：/products/[id]）；支持后台内容管理（可对接Headless CMS，如Strapi、Contentful），无需修改代码即可更新产品、文案、图片等内容，降低维护成本。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二、网站核心模块设计（严格参考salicechina.com，适配Next.js，分模块说明，支持组件化开发）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顶部导航栏（核心参考salicechina.com，适配Next.js导航路由，封装为独立组件）</w:t>
      </w:r>
      <w:bookmarkEnd w:id="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布局：固定顶部（滚动时不消失，背景变为纯白色，增加轻微阴影，避免遮挡内容），全屏宽度，左右对齐，左侧Logo，右侧导航菜单+快捷按钮，封装为Nav组件，可在所有页面复用。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Logo：左侧放置，尺寸适中（120px*40px），简洁无多余装饰，采用Next.js Image组件优化加载，点击可返回首页（跳转至/路径），支持后台替换Logo图片，无需修改代码。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菜单（英文，适配外贸，对接Next.js路由）：简洁扁平化，无下拉菜单过度设计，核心菜单选项（参考salicechina.com）：Home（首页，路径/）、Products（产品，路径/products）、Solutions（解决方案，路径/solutions）、About Us（关于我们，路径/about）、Quality（品质，路径/quality）、Contact Us（联系我们，路径/contact），hover时文字变为金属银色，无下划线、无背景色变化，点击跳转至对应路由，支持路由高亮（当前页面菜单文字高亮）。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快捷按钮：导航栏右侧添加“Get Quote”按钮（深灰色背景，白色文字，圆角3px，无阴影），封装为Button组件，点击跳转至联系表单页面（路径/contact），按钮可通过组件属性自定义文字、链接，支持后台修改按钮文案。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适配：导航栏在手机端（屏幕宽度≤768px）变为汉堡菜单（简洁图标，无多余装饰），点击展开菜单（全屏半透明遮罩，菜单垂直排列），菜单选项与电脑端一致，点击可跳转至对应页面，汉堡菜单动画简洁，不花哨，适配Next.js响应式组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首页轮播模块（参考salicechina.com，适配Next.js，封装为Carousel组件）</w:t>
      </w:r>
      <w:bookmarkEnd w:id="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布局：全屏宽度，高度适配（电脑端600-700px，手机端300-400px），无多余边框和装饰，参考salicechina.com轮播风格，以“家居场景图+五金产品特写”结合，突出产品应用场景和质感。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内容：轮播图3-4张，每张图搭配简短英文文案（1-2句，突出核心优势，如“High-Quality Furniture Hardware for Global Buyers”），文案位置居中/左对齐，深灰色字体，不遮挡产品和场景细节；轮播图支持后台更新（对接Headless CMS），可添加、删除、替换图片和文案。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交互效果：自动轮播（间隔5秒），支持手动左右切换（简洁箭头图标，金属银色，hover时变为深灰色），无过度动画，切换流畅；轮播图点击可跳转至对应产品分类页或解决方案页，适配Next.js路由跳转。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Next.js适配：采用Next.js Image组件加载轮播图，自动压缩、懒加载，支持响应式尺寸，避免拉伸变形；轮播组件封装为独立Carousel组件，可在首页单独调用，支持自定义轮播速度、箭头样式。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产品分类模块（参考salicechina.com，适配Next.js动态路由，核心展示五金产品）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布局：全屏宽度，模块化卡片设计，参考salicechina.com产品分类样式，采用2-3列布局（电脑端）、2列布局（平板端）、1列布局（手机端），卡片之间间距均匀（20px），无多余装饰，轻量化设计。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卡片设计：每个产品分类卡片由“产品特写图+分类名称”组成，卡片底色为浅灰色（#F5F5F5），无阴影，hover时轻微上浮（transform: translateY(-5px)），无其他花哨效果；图片采用Next.js Image组件，高清白底/场景图，尺寸统一（电脑端300px*200px），分类名称为16-18px，深灰色，加粗，居中对齐。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产品分类（适配五金品类，参考salicechina.com）：核心分类包括Hinges（铰链）、Slides（滑轨）、Drawer Systems（抽屉系统）、Door Hardware（门窗五金）、Custom Hardware（定制五金），可根据实际产品调整，分类名称为英文，简洁准确。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Next.js适配：产品分类卡片封装为ProductCategory组件，可批量调用；点击卡片跳转至对应产品列表页（动态路由：/products/[category]），支持后台添加、修改、删除产品分类，分类图片和名称可通过CMS实时更新。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企业优势模块（参考salicechina.com，适配Next.js，封装为Advantage组件）</w:t>
      </w:r>
      <w:bookmarkEnd w:id="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布局：全屏宽度，浅灰色背景（#E8E8E8），左右留白均匀，采用4列布局（电脑端）、2列布局（平板端）、1列布局（手机端），模块标题为二级标题（参考字体设置），下方加金属银色细线条，标题居中/左对齐。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内容（适配五金外贸B端客户需求，参考salicechina.com）：4个核心优势，每个优势由“图标+标题+简短说明”组成，图标为金属银色（简洁线性图标，无多余装饰），标题为16px，深灰色，加粗，说明为14px，中灰色，1-2句，简洁明了，突出核心竞争力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核心优势示例：European Standard Quality（欧洲标准品质）、Custom OEM/ODM Service（定制化OEM/ODM服务）、15+ Years Export Experience（15年+外贸经验）、Fast Delivery &amp; Global Logistics（快速交付及全球物流），可根据实际情况调整。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Next.js适配：优势组件封装为AdvantageItem，批量复用；图标采用Next.js组件（如react-icons），避免外部图标库依赖，提升加载速度；优势内容支持后台更新，可修改图标、标题和说明文案。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产品详情页（核心模块，适配Next.js动态路由，参考salicechina.com产品页风格）</w:t>
      </w:r>
      <w:bookmarkEnd w:id="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布局：全屏宽度，左右分栏（电脑端），左侧产品图片区，右侧产品信息区；手机端单列布局，图片区在上，信息区在下，模块之间间距统一，无杂乱元素，重点突出产品参数和细节。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产品图片区：左侧展示产品高清图（5-8张，白底+场景图结合），支持点击放大（简洁放大效果，无过度动画），采用Next.js Image组件优化，自动压缩、懒加载，支持360°产品预览（可选，轻量化实现）；图片可通过后台上传、排序，适配不同产品尺寸。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信息区：标题（24-28px，深灰色，加粗）、产品型号（16px，中灰色）、核心参数表（表格形式，简洁无边框，深灰+浅灰配色，参数包括Material（材质）、Size（尺寸）、Standard（标准）、Finish（表面处理）、Strength（强度）等，适配五金产品需求）、产品描述（14-16px，中灰色，行高1.5倍，简洁说明产品特点、应用场景）、“Get Quote”按钮（深灰色，居中展示，点击跳转至联系表单，自动填充产品型号）。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采用动态路由（/products/[id]），通过getStaticPaths/getStaticProps（SSG）或getServerSideProps（SSR）获取产品数据，支持后台更新产品信息；参数表封装为ProductParam组件，可复用；产品图片支持批量上传，自动适配页面尺寸，避免拉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联系表单模块（适配Next.js，参考salicechina.com，封装为ContactForm组件）</w:t>
      </w:r>
      <w:bookmarkEnd w:id="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布局：全屏宽度，浅灰色背景（#F5F5F5），左右分栏（电脑端：左侧联系信息，右侧表单），手机端单列布局，表单在上，联系信息在下，模块标题为二级标题，下方加金属银色细线条。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信息：英文展示，包括公司名称、邮箱、WhatsApp号码、地址（简洁海外地址格式）、商务电话，文字为14px，中灰色，搭配简洁图标（金属银色），便于海外采购商快速联系；联系信息支持后台更新，适配Next.js动态渲染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表单设计：简洁轻量化，无多余装饰，表单字段包括Name（姓名）、Email（邮箱，必填）、Product Interest（感兴趣产品，下拉选择，关联产品分类）、Message（留言，可选）、Submit按钮（深灰色，白色文字，加粗）；表单支持表单验证（邮箱格式、必填项验证），提交成功后显示简洁提示（深灰色文字，无弹窗，贴合整体风格），表单数据可对接后台（如Notion、Strapi）或发送至指定邮箱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Next.js适配：表单采用Next.js API Routes处理提交逻辑，避免跨域问题；表单组件封装为ContactForm，可在联系页面、产品详情页复用；表单验证采用前端验证（如react-hook-form），提升用户体验，减少后台压力。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页脚模块（参考salicechina.com，适配Next.js，封装为Footer组件）</w:t>
      </w:r>
      <w:bookmarkEnd w:id="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布局：全屏宽度，深灰色背景（#333333），左右留白均匀，采用3-4列布局（电脑端）、2列布局（平板端）、1列布局（手机端），文字为浅灰色（#999999），行高1.4倍，无多余装饰。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内容：左侧公司简介（1-2句英文，简洁说明公司定位和核心优势）；中间导航菜单（与顶部导航一致，点击跳转至对应页面）；右侧联系信息（邮箱、WhatsApp、商务电话）；底部版权信息（© 202X Company Name. All Rights Reserved.），支持后台更新公司简介、联系信息和版权年份。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适配：页脚组件封装为Footer，可在所有页面复用；导航菜单对接Next.js路由，点击跳转至对应页面；版权年份支持动态渲染（自动获取当前年份），无需手动修改；页脚背景色、文字色可通过全局样式统一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三、Next.js专项要求（适配五金外贸网站，突出性能与SEO，便于开发维护）</w:t>
      </w:r>
      <w:bookmarkEnd w:id="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SEO优化（适配外贸网站，提升海外搜索排名）</w:t>
      </w:r>
      <w:r>
        <w:rPr>
          <w:rFonts w:eastAsia="等线" w:ascii="Arial" w:cs="Arial" w:hAnsi="Arial"/>
          <w:sz w:val="22"/>
        </w:rPr>
        <w:t>：支持Next.js Metadata API，每个页面可单独设置title、description、keywords（重点包含五金相关关键词，如furniture hardware、hinges manufacturer、custom hardware supplier等）；图片添加alt属性（英文描述，包含产品名称和关键词）；采用SSR/SSG渲染，提升搜索引擎抓取效率；支持sitemap.xml和robots.txt生成，适配海外搜索引擎（Google、Bing等）。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：图片全部采用Next.js Image组件，自动压缩、懒加载、适配CDN，减少海外加载时间；代码分割（Next.js自动实现），减少首屏加载体积；避免使用过多第三方插件，降低页面复杂度；支持缓存策略（ISR），对于产品列表、首页等静态页面，设置合理缓存时间，提升二次加载速度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开发适配</w:t>
      </w:r>
      <w:r>
        <w:rPr>
          <w:rFonts w:eastAsia="等线" w:ascii="Arial" w:cs="Arial" w:hAnsi="Arial"/>
          <w:sz w:val="22"/>
        </w:rPr>
        <w:t>：采用Next.js 14+ App Router，路由结构清晰，便于开发和维护；组件化开发，所有核心模块（导航、轮播、产品卡片、表单等）封装为独立组件，支持复用和后期修改；样式采用Tailwind CSS或CSS Modules，避免样式冲突，便于团队协作；支持TypeScript（可选），提升代码稳定性，减少开发错误。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海外适配</w:t>
      </w:r>
      <w:r>
        <w:rPr>
          <w:rFonts w:eastAsia="等线" w:ascii="Arial" w:cs="Arial" w:hAnsi="Arial"/>
          <w:sz w:val="22"/>
        </w:rPr>
        <w:t>：支持多语言切换（可选，英文为主，可添加西班牙语、法语等海外常用语言），通过Next.js i18n配置实现；适配海外服务器，支持HTTPS，确保网站安全；表单提交、图片加载适配海外网络，避免加载失败；避免使用国内第三方服务（如百度统计），替换为海外常用服务（如Google Analytics）。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四、补充要求（严格贴合salicechina.com风格，适配五金外贸场景）</w:t>
      </w:r>
      <w:bookmarkEnd w:id="1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整体风格：保持极简高端、商务专业，无花哨动画、无多余装饰、无高饱和颜色，贴合salicechina.com的克制感，重点突出产品和品质，符合外贸B端采购商的审美和浏览习惯。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内容导向：所有文案均为英文，简洁准确，重点突出产品优势、品质认证、定制服务、交付能力，避免冗余描述，适配海外采购商快速获取信息的需求。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兼容性：适配海外主流浏览器（Chrome、Firefox、Safari），确保页面样式、交互效果在不同浏览器中一致；适配不同设备（电脑、平板、手机），无错乱、无加载异常。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可扩展性：网站架构支持后期扩展，可新增产品分类、页面、功能（如产品搜索、在线报价、客户案例等），无需重构整体代码，适配Next.js的可扩展性优势。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82">
    <w:lvl>
      <w:start w:val="1"/>
      <w:numFmt w:val="decimal"/>
      <w:suff w:val="tab"/>
      <w:lvlText w:val="%1."/>
      <w:rPr>
        <w:color w:val="3370ff"/>
      </w:rPr>
    </w:lvl>
  </w:abstractNum>
  <w:abstractNum w:abstractNumId="16683">
    <w:lvl>
      <w:numFmt w:val="bullet"/>
      <w:suff w:val="tab"/>
      <w:lvlText w:val="￮"/>
      <w:rPr>
        <w:color w:val="3370ff"/>
      </w:rPr>
    </w:lvl>
  </w:abstractNum>
  <w:abstractNum w:abstractNumId="16684">
    <w:lvl>
      <w:numFmt w:val="bullet"/>
      <w:suff w:val="tab"/>
      <w:lvlText w:val="￮"/>
      <w:rPr>
        <w:color w:val="3370ff"/>
      </w:rPr>
    </w:lvl>
  </w:abstractNum>
  <w:abstractNum w:abstractNumId="16685">
    <w:lvl>
      <w:numFmt w:val="bullet"/>
      <w:suff w:val="tab"/>
      <w:lvlText w:val="￮"/>
      <w:rPr>
        <w:color w:val="3370ff"/>
      </w:rPr>
    </w:lvl>
  </w:abstractNum>
  <w:abstractNum w:abstractNumId="16686">
    <w:lvl>
      <w:numFmt w:val="bullet"/>
      <w:suff w:val="tab"/>
      <w:lvlText w:val="￮"/>
      <w:rPr>
        <w:color w:val="3370ff"/>
      </w:rPr>
    </w:lvl>
  </w:abstractNum>
  <w:abstractNum w:abstractNumId="16687">
    <w:lvl>
      <w:numFmt w:val="bullet"/>
      <w:suff w:val="tab"/>
      <w:lvlText w:val="￮"/>
      <w:rPr>
        <w:color w:val="3370ff"/>
      </w:rPr>
    </w:lvl>
  </w:abstractNum>
  <w:abstractNum w:abstractNumId="16688">
    <w:lvl>
      <w:start w:val="2"/>
      <w:numFmt w:val="decimal"/>
      <w:suff w:val="tab"/>
      <w:lvlText w:val="%1."/>
      <w:rPr>
        <w:color w:val="3370ff"/>
      </w:rPr>
    </w:lvl>
  </w:abstractNum>
  <w:abstractNum w:abstractNumId="16689">
    <w:lvl>
      <w:numFmt w:val="bullet"/>
      <w:suff w:val="tab"/>
      <w:lvlText w:val="￮"/>
      <w:rPr>
        <w:color w:val="3370ff"/>
      </w:rPr>
    </w:lvl>
  </w:abstractNum>
  <w:abstractNum w:abstractNumId="16690">
    <w:lvl>
      <w:numFmt w:val="bullet"/>
      <w:suff w:val="tab"/>
      <w:lvlText w:val="￮"/>
      <w:rPr>
        <w:color w:val="3370ff"/>
      </w:rPr>
    </w:lvl>
  </w:abstractNum>
  <w:abstractNum w:abstractNumId="16691">
    <w:lvl>
      <w:numFmt w:val="bullet"/>
      <w:suff w:val="tab"/>
      <w:lvlText w:val="▪"/>
      <w:rPr>
        <w:color w:val="3370ff"/>
        <w:sz w:val="11"/>
      </w:rPr>
    </w:lvl>
  </w:abstractNum>
  <w:abstractNum w:abstractNumId="16692">
    <w:lvl>
      <w:numFmt w:val="bullet"/>
      <w:suff w:val="tab"/>
      <w:lvlText w:val="▪"/>
      <w:rPr>
        <w:color w:val="3370ff"/>
        <w:sz w:val="11"/>
      </w:rPr>
    </w:lvl>
  </w:abstractNum>
  <w:abstractNum w:abstractNumId="16693">
    <w:lvl>
      <w:numFmt w:val="bullet"/>
      <w:suff w:val="tab"/>
      <w:lvlText w:val="▪"/>
      <w:rPr>
        <w:color w:val="3370ff"/>
        <w:sz w:val="11"/>
      </w:rPr>
    </w:lvl>
  </w:abstractNum>
  <w:abstractNum w:abstractNumId="16694">
    <w:lvl>
      <w:numFmt w:val="bullet"/>
      <w:suff w:val="tab"/>
      <w:lvlText w:val="▪"/>
      <w:rPr>
        <w:color w:val="3370ff"/>
        <w:sz w:val="11"/>
      </w:rPr>
    </w:lvl>
  </w:abstractNum>
  <w:abstractNum w:abstractNumId="16695">
    <w:lvl>
      <w:numFmt w:val="bullet"/>
      <w:suff w:val="tab"/>
      <w:lvlText w:val="▪"/>
      <w:rPr>
        <w:color w:val="3370ff"/>
        <w:sz w:val="11"/>
      </w:rPr>
    </w:lvl>
  </w:abstractNum>
  <w:abstractNum w:abstractNumId="16696">
    <w:lvl>
      <w:numFmt w:val="bullet"/>
      <w:suff w:val="tab"/>
      <w:lvlText w:val="▪"/>
      <w:rPr>
        <w:color w:val="3370ff"/>
        <w:sz w:val="11"/>
      </w:rPr>
    </w:lvl>
  </w:abstractNum>
  <w:abstractNum w:abstractNumId="16697">
    <w:lvl>
      <w:numFmt w:val="bullet"/>
      <w:suff w:val="tab"/>
      <w:lvlText w:val="▪"/>
      <w:rPr>
        <w:color w:val="3370ff"/>
        <w:sz w:val="11"/>
      </w:rPr>
    </w:lvl>
  </w:abstractNum>
  <w:abstractNum w:abstractNumId="16698">
    <w:lvl>
      <w:start w:val="3"/>
      <w:numFmt w:val="decimal"/>
      <w:suff w:val="tab"/>
      <w:lvlText w:val="%1."/>
      <w:rPr>
        <w:color w:val="3370ff"/>
      </w:rPr>
    </w:lvl>
  </w:abstractNum>
  <w:abstractNum w:abstractNumId="16699">
    <w:lvl>
      <w:numFmt w:val="bullet"/>
      <w:suff w:val="tab"/>
      <w:lvlText w:val="￮"/>
      <w:rPr>
        <w:color w:val="3370ff"/>
      </w:rPr>
    </w:lvl>
  </w:abstractNum>
  <w:abstractNum w:abstractNumId="16700">
    <w:lvl>
      <w:numFmt w:val="bullet"/>
      <w:suff w:val="tab"/>
      <w:lvlText w:val="￮"/>
      <w:rPr>
        <w:color w:val="3370ff"/>
      </w:rPr>
    </w:lvl>
  </w:abstractNum>
  <w:abstractNum w:abstractNumId="16701">
    <w:lvl>
      <w:numFmt w:val="bullet"/>
      <w:suff w:val="tab"/>
      <w:lvlText w:val="￮"/>
      <w:rPr>
        <w:color w:val="3370ff"/>
      </w:rPr>
    </w:lvl>
  </w:abstractNum>
  <w:abstractNum w:abstractNumId="16702">
    <w:lvl>
      <w:numFmt w:val="bullet"/>
      <w:suff w:val="tab"/>
      <w:lvlText w:val="￮"/>
      <w:rPr>
        <w:color w:val="3370ff"/>
      </w:rPr>
    </w:lvl>
  </w:abstractNum>
  <w:abstractNum w:abstractNumId="16703">
    <w:lvl>
      <w:numFmt w:val="bullet"/>
      <w:suff w:val="tab"/>
      <w:lvlText w:val="•"/>
      <w:rPr>
        <w:color w:val="3370ff"/>
      </w:rPr>
    </w:lvl>
  </w:abstractNum>
  <w:abstractNum w:abstractNumId="16704">
    <w:lvl>
      <w:numFmt w:val="bullet"/>
      <w:suff w:val="tab"/>
      <w:lvlText w:val="•"/>
      <w:rPr>
        <w:color w:val="3370ff"/>
      </w:rPr>
    </w:lvl>
  </w:abstractNum>
  <w:abstractNum w:abstractNumId="16705">
    <w:lvl>
      <w:numFmt w:val="bullet"/>
      <w:suff w:val="tab"/>
      <w:lvlText w:val="•"/>
      <w:rPr>
        <w:color w:val="3370ff"/>
      </w:rPr>
    </w:lvl>
  </w:abstractNum>
  <w:abstractNum w:abstractNumId="16706">
    <w:lvl>
      <w:numFmt w:val="bullet"/>
      <w:suff w:val="tab"/>
      <w:lvlText w:val="•"/>
      <w:rPr>
        <w:color w:val="3370ff"/>
      </w:rPr>
    </w:lvl>
  </w:abstractNum>
  <w:abstractNum w:abstractNumId="16707">
    <w:lvl>
      <w:numFmt w:val="bullet"/>
      <w:suff w:val="tab"/>
      <w:lvlText w:val="•"/>
      <w:rPr>
        <w:color w:val="3370ff"/>
      </w:rPr>
    </w:lvl>
  </w:abstractNum>
  <w:abstractNum w:abstractNumId="16708">
    <w:lvl>
      <w:numFmt w:val="bullet"/>
      <w:suff w:val="tab"/>
      <w:lvlText w:val="•"/>
      <w:rPr>
        <w:color w:val="3370ff"/>
      </w:rPr>
    </w:lvl>
  </w:abstractNum>
  <w:abstractNum w:abstractNumId="16709">
    <w:lvl>
      <w:numFmt w:val="bullet"/>
      <w:suff w:val="tab"/>
      <w:lvlText w:val="•"/>
      <w:rPr>
        <w:color w:val="3370ff"/>
      </w:rPr>
    </w:lvl>
  </w:abstractNum>
  <w:abstractNum w:abstractNumId="16710">
    <w:lvl>
      <w:numFmt w:val="bullet"/>
      <w:suff w:val="tab"/>
      <w:lvlText w:val="•"/>
      <w:rPr>
        <w:color w:val="3370ff"/>
      </w:rPr>
    </w:lvl>
  </w:abstractNum>
  <w:abstractNum w:abstractNumId="16711">
    <w:lvl>
      <w:numFmt w:val="bullet"/>
      <w:suff w:val="tab"/>
      <w:lvlText w:val="•"/>
      <w:rPr>
        <w:color w:val="3370ff"/>
      </w:rPr>
    </w:lvl>
  </w:abstractNum>
  <w:abstractNum w:abstractNumId="16712">
    <w:lvl>
      <w:numFmt w:val="bullet"/>
      <w:suff w:val="tab"/>
      <w:lvlText w:val="•"/>
      <w:rPr>
        <w:color w:val="3370ff"/>
      </w:rPr>
    </w:lvl>
  </w:abstractNum>
  <w:abstractNum w:abstractNumId="16713">
    <w:lvl>
      <w:numFmt w:val="bullet"/>
      <w:suff w:val="tab"/>
      <w:lvlText w:val="•"/>
      <w:rPr>
        <w:color w:val="3370ff"/>
      </w:rPr>
    </w:lvl>
  </w:abstractNum>
  <w:abstractNum w:abstractNumId="16714">
    <w:lvl>
      <w:numFmt w:val="bullet"/>
      <w:suff w:val="tab"/>
      <w:lvlText w:val="•"/>
      <w:rPr>
        <w:color w:val="3370ff"/>
      </w:rPr>
    </w:lvl>
  </w:abstractNum>
  <w:abstractNum w:abstractNumId="16715">
    <w:lvl>
      <w:numFmt w:val="bullet"/>
      <w:suff w:val="tab"/>
      <w:lvlText w:val="•"/>
      <w:rPr>
        <w:color w:val="3370ff"/>
      </w:rPr>
    </w:lvl>
  </w:abstractNum>
  <w:abstractNum w:abstractNumId="16716">
    <w:lvl>
      <w:numFmt w:val="bullet"/>
      <w:suff w:val="tab"/>
      <w:lvlText w:val="•"/>
      <w:rPr>
        <w:color w:val="3370ff"/>
      </w:rPr>
    </w:lvl>
  </w:abstractNum>
  <w:abstractNum w:abstractNumId="16717">
    <w:lvl>
      <w:numFmt w:val="bullet"/>
      <w:suff w:val="tab"/>
      <w:lvlText w:val="•"/>
      <w:rPr>
        <w:color w:val="3370ff"/>
      </w:rPr>
    </w:lvl>
  </w:abstractNum>
  <w:abstractNum w:abstractNumId="16718">
    <w:lvl>
      <w:numFmt w:val="bullet"/>
      <w:suff w:val="tab"/>
      <w:lvlText w:val="•"/>
      <w:rPr>
        <w:color w:val="3370ff"/>
      </w:rPr>
    </w:lvl>
  </w:abstractNum>
  <w:abstractNum w:abstractNumId="16719">
    <w:lvl>
      <w:numFmt w:val="bullet"/>
      <w:suff w:val="tab"/>
      <w:lvlText w:val="•"/>
      <w:rPr>
        <w:color w:val="3370ff"/>
      </w:rPr>
    </w:lvl>
  </w:abstractNum>
  <w:abstractNum w:abstractNumId="16720">
    <w:lvl>
      <w:numFmt w:val="bullet"/>
      <w:suff w:val="tab"/>
      <w:lvlText w:val="•"/>
      <w:rPr>
        <w:color w:val="3370ff"/>
      </w:rPr>
    </w:lvl>
  </w:abstractNum>
  <w:abstractNum w:abstractNumId="16721">
    <w:lvl>
      <w:numFmt w:val="bullet"/>
      <w:suff w:val="tab"/>
      <w:lvlText w:val="•"/>
      <w:rPr>
        <w:color w:val="3370ff"/>
      </w:rPr>
    </w:lvl>
  </w:abstractNum>
  <w:abstractNum w:abstractNumId="16722">
    <w:lvl>
      <w:numFmt w:val="bullet"/>
      <w:suff w:val="tab"/>
      <w:lvlText w:val="•"/>
      <w:rPr>
        <w:color w:val="3370ff"/>
      </w:rPr>
    </w:lvl>
  </w:abstractNum>
  <w:abstractNum w:abstractNumId="16723">
    <w:lvl>
      <w:numFmt w:val="bullet"/>
      <w:suff w:val="tab"/>
      <w:lvlText w:val="•"/>
      <w:rPr>
        <w:color w:val="3370ff"/>
      </w:rPr>
    </w:lvl>
  </w:abstractNum>
  <w:abstractNum w:abstractNumId="16724">
    <w:lvl>
      <w:numFmt w:val="bullet"/>
      <w:suff w:val="tab"/>
      <w:lvlText w:val="•"/>
      <w:rPr>
        <w:color w:val="3370ff"/>
      </w:rPr>
    </w:lvl>
  </w:abstractNum>
  <w:abstractNum w:abstractNumId="16725">
    <w:lvl>
      <w:numFmt w:val="bullet"/>
      <w:suff w:val="tab"/>
      <w:lvlText w:val="•"/>
      <w:rPr>
        <w:color w:val="3370ff"/>
      </w:rPr>
    </w:lvl>
  </w:abstractNum>
  <w:abstractNum w:abstractNumId="16726">
    <w:lvl>
      <w:numFmt w:val="bullet"/>
      <w:suff w:val="tab"/>
      <w:lvlText w:val="•"/>
      <w:rPr>
        <w:color w:val="3370ff"/>
      </w:rPr>
    </w:lvl>
  </w:abstractNum>
  <w:abstractNum w:abstractNumId="16727">
    <w:lvl>
      <w:numFmt w:val="bullet"/>
      <w:suff w:val="tab"/>
      <w:lvlText w:val="•"/>
      <w:rPr>
        <w:color w:val="3370ff"/>
      </w:rPr>
    </w:lvl>
  </w:abstractNum>
  <w:abstractNum w:abstractNumId="16728">
    <w:lvl>
      <w:numFmt w:val="bullet"/>
      <w:suff w:val="tab"/>
      <w:lvlText w:val="•"/>
      <w:rPr>
        <w:color w:val="3370ff"/>
      </w:rPr>
    </w:lvl>
  </w:abstractNum>
  <w:abstractNum w:abstractNumId="16729">
    <w:lvl>
      <w:numFmt w:val="bullet"/>
      <w:suff w:val="tab"/>
      <w:lvlText w:val="•"/>
      <w:rPr>
        <w:color w:val="3370ff"/>
      </w:rPr>
    </w:lvl>
  </w:abstractNum>
  <w:abstractNum w:abstractNumId="16730">
    <w:lvl>
      <w:numFmt w:val="bullet"/>
      <w:suff w:val="tab"/>
      <w:lvlText w:val="•"/>
      <w:rPr>
        <w:color w:val="3370ff"/>
      </w:rPr>
    </w:lvl>
  </w:abstractNum>
  <w:abstractNum w:abstractNumId="16731">
    <w:lvl>
      <w:start w:val="1"/>
      <w:numFmt w:val="decimal"/>
      <w:suff w:val="tab"/>
      <w:lvlText w:val="%1."/>
      <w:rPr>
        <w:color w:val="3370ff"/>
      </w:rPr>
    </w:lvl>
  </w:abstractNum>
  <w:abstractNum w:abstractNumId="16732">
    <w:lvl>
      <w:start w:val="2"/>
      <w:numFmt w:val="decimal"/>
      <w:suff w:val="tab"/>
      <w:lvlText w:val="%1."/>
      <w:rPr>
        <w:color w:val="3370ff"/>
      </w:rPr>
    </w:lvl>
  </w:abstractNum>
  <w:abstractNum w:abstractNumId="16733">
    <w:lvl>
      <w:start w:val="3"/>
      <w:numFmt w:val="decimal"/>
      <w:suff w:val="tab"/>
      <w:lvlText w:val="%1."/>
      <w:rPr>
        <w:color w:val="3370ff"/>
      </w:rPr>
    </w:lvl>
  </w:abstractNum>
  <w:abstractNum w:abstractNumId="16734">
    <w:lvl>
      <w:start w:val="4"/>
      <w:numFmt w:val="decimal"/>
      <w:suff w:val="tab"/>
      <w:lvlText w:val="%1."/>
      <w:rPr>
        <w:color w:val="3370ff"/>
      </w:rPr>
    </w:lvl>
  </w:abstractNum>
  <w:abstractNum w:abstractNumId="16735">
    <w:lvl>
      <w:start w:val="1"/>
      <w:numFmt w:val="decimal"/>
      <w:suff w:val="tab"/>
      <w:lvlText w:val="%1."/>
      <w:rPr>
        <w:color w:val="3370ff"/>
      </w:rPr>
    </w:lvl>
  </w:abstractNum>
  <w:abstractNum w:abstractNumId="16736">
    <w:lvl>
      <w:start w:val="2"/>
      <w:numFmt w:val="decimal"/>
      <w:suff w:val="tab"/>
      <w:lvlText w:val="%1."/>
      <w:rPr>
        <w:color w:val="3370ff"/>
      </w:rPr>
    </w:lvl>
  </w:abstractNum>
  <w:abstractNum w:abstractNumId="16737">
    <w:lvl>
      <w:start w:val="3"/>
      <w:numFmt w:val="decimal"/>
      <w:suff w:val="tab"/>
      <w:lvlText w:val="%1."/>
      <w:rPr>
        <w:color w:val="3370ff"/>
      </w:rPr>
    </w:lvl>
  </w:abstractNum>
  <w:abstractNum w:abstractNumId="1673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6682"/>
  </w:num>
  <w:num w:numId="2">
    <w:abstractNumId w:val="16683"/>
  </w:num>
  <w:num w:numId="3">
    <w:abstractNumId w:val="16684"/>
  </w:num>
  <w:num w:numId="4">
    <w:abstractNumId w:val="16685"/>
  </w:num>
  <w:num w:numId="5">
    <w:abstractNumId w:val="16686"/>
  </w:num>
  <w:num w:numId="6">
    <w:abstractNumId w:val="16687"/>
  </w:num>
  <w:num w:numId="7">
    <w:abstractNumId w:val="16688"/>
  </w:num>
  <w:num w:numId="8">
    <w:abstractNumId w:val="16689"/>
  </w:num>
  <w:num w:numId="9">
    <w:abstractNumId w:val="16690"/>
  </w:num>
  <w:num w:numId="10">
    <w:abstractNumId w:val="16691"/>
  </w:num>
  <w:num w:numId="11">
    <w:abstractNumId w:val="16692"/>
  </w:num>
  <w:num w:numId="12">
    <w:abstractNumId w:val="16693"/>
  </w:num>
  <w:num w:numId="13">
    <w:abstractNumId w:val="16694"/>
  </w:num>
  <w:num w:numId="14">
    <w:abstractNumId w:val="16695"/>
  </w:num>
  <w:num w:numId="15">
    <w:abstractNumId w:val="16696"/>
  </w:num>
  <w:num w:numId="16">
    <w:abstractNumId w:val="16697"/>
  </w:num>
  <w:num w:numId="17">
    <w:abstractNumId w:val="16698"/>
  </w:num>
  <w:num w:numId="18">
    <w:abstractNumId w:val="16699"/>
  </w:num>
  <w:num w:numId="19">
    <w:abstractNumId w:val="16700"/>
  </w:num>
  <w:num w:numId="20">
    <w:abstractNumId w:val="16701"/>
  </w:num>
  <w:num w:numId="21">
    <w:abstractNumId w:val="16702"/>
  </w:num>
  <w:num w:numId="22">
    <w:abstractNumId w:val="16703"/>
  </w:num>
  <w:num w:numId="23">
    <w:abstractNumId w:val="16704"/>
  </w:num>
  <w:num w:numId="24">
    <w:abstractNumId w:val="16705"/>
  </w:num>
  <w:num w:numId="25">
    <w:abstractNumId w:val="16706"/>
  </w:num>
  <w:num w:numId="26">
    <w:abstractNumId w:val="16707"/>
  </w:num>
  <w:num w:numId="27">
    <w:abstractNumId w:val="16708"/>
  </w:num>
  <w:num w:numId="28">
    <w:abstractNumId w:val="16709"/>
  </w:num>
  <w:num w:numId="29">
    <w:abstractNumId w:val="16710"/>
  </w:num>
  <w:num w:numId="30">
    <w:abstractNumId w:val="16711"/>
  </w:num>
  <w:num w:numId="31">
    <w:abstractNumId w:val="16712"/>
  </w:num>
  <w:num w:numId="32">
    <w:abstractNumId w:val="16713"/>
  </w:num>
  <w:num w:numId="33">
    <w:abstractNumId w:val="16714"/>
  </w:num>
  <w:num w:numId="34">
    <w:abstractNumId w:val="16715"/>
  </w:num>
  <w:num w:numId="35">
    <w:abstractNumId w:val="16716"/>
  </w:num>
  <w:num w:numId="36">
    <w:abstractNumId w:val="16717"/>
  </w:num>
  <w:num w:numId="37">
    <w:abstractNumId w:val="16718"/>
  </w:num>
  <w:num w:numId="38">
    <w:abstractNumId w:val="16719"/>
  </w:num>
  <w:num w:numId="39">
    <w:abstractNumId w:val="16720"/>
  </w:num>
  <w:num w:numId="40">
    <w:abstractNumId w:val="16721"/>
  </w:num>
  <w:num w:numId="41">
    <w:abstractNumId w:val="16722"/>
  </w:num>
  <w:num w:numId="42">
    <w:abstractNumId w:val="16723"/>
  </w:num>
  <w:num w:numId="43">
    <w:abstractNumId w:val="16724"/>
  </w:num>
  <w:num w:numId="44">
    <w:abstractNumId w:val="16725"/>
  </w:num>
  <w:num w:numId="45">
    <w:abstractNumId w:val="16726"/>
  </w:num>
  <w:num w:numId="46">
    <w:abstractNumId w:val="16727"/>
  </w:num>
  <w:num w:numId="47">
    <w:abstractNumId w:val="16728"/>
  </w:num>
  <w:num w:numId="48">
    <w:abstractNumId w:val="16729"/>
  </w:num>
  <w:num w:numId="49">
    <w:abstractNumId w:val="16730"/>
  </w:num>
  <w:num w:numId="50">
    <w:abstractNumId w:val="16731"/>
  </w:num>
  <w:num w:numId="51">
    <w:abstractNumId w:val="16732"/>
  </w:num>
  <w:num w:numId="52">
    <w:abstractNumId w:val="16733"/>
  </w:num>
  <w:num w:numId="53">
    <w:abstractNumId w:val="16734"/>
  </w:num>
  <w:num w:numId="54">
    <w:abstractNumId w:val="16735"/>
  </w:num>
  <w:num w:numId="55">
    <w:abstractNumId w:val="16736"/>
  </w:num>
  <w:num w:numId="56">
    <w:abstractNumId w:val="16737"/>
  </w:num>
  <w:num w:numId="57">
    <w:abstractNumId w:val="167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2026-04-27T08:38:03Z</dcterms:created>
  <dc:creator>Apache POI</dc:creator>
</cp:coreProperties>
</file>