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879B" w14:textId="77777777" w:rsidR="00693851" w:rsidRPr="008F6BC4" w:rsidRDefault="00000000">
      <w:pPr>
        <w:jc w:val="center"/>
        <w:rPr>
          <w:lang w:val="es-MX"/>
        </w:rPr>
      </w:pPr>
      <w:r w:rsidRPr="008F6BC4">
        <w:rPr>
          <w:b/>
          <w:color w:val="C8202F"/>
          <w:sz w:val="44"/>
          <w:lang w:val="es-MX"/>
        </w:rPr>
        <w:t>TD-RQ308</w:t>
      </w:r>
    </w:p>
    <w:p w14:paraId="030934CE" w14:textId="77777777" w:rsidR="00693851" w:rsidRPr="008F6BC4" w:rsidRDefault="00000000">
      <w:pPr>
        <w:jc w:val="center"/>
        <w:rPr>
          <w:lang w:val="es-MX"/>
        </w:rPr>
      </w:pPr>
      <w:r w:rsidRPr="008F6BC4">
        <w:rPr>
          <w:b/>
          <w:color w:val="333333"/>
          <w:sz w:val="32"/>
          <w:lang w:val="es-MX"/>
        </w:rPr>
        <w:t>DIFERENCIAS DE ALCANCE</w:t>
      </w:r>
    </w:p>
    <w:p w14:paraId="133B811B" w14:textId="77777777" w:rsidR="00693851" w:rsidRPr="008F6BC4" w:rsidRDefault="00000000">
      <w:pPr>
        <w:jc w:val="center"/>
        <w:rPr>
          <w:lang w:val="es-MX"/>
        </w:rPr>
      </w:pPr>
      <w:r w:rsidRPr="008F6BC4">
        <w:rPr>
          <w:color w:val="555555"/>
          <w:sz w:val="22"/>
          <w:lang w:val="es-MX"/>
        </w:rPr>
        <w:t>Requerimiento PEKING v0.13 frente al alcance inicial de PortalNet</w:t>
      </w:r>
    </w:p>
    <w:p w14:paraId="2B643795" w14:textId="20532948" w:rsidR="00693851" w:rsidRDefault="00000000" w:rsidP="008F6BC4">
      <w:pPr>
        <w:jc w:val="center"/>
        <w:rPr>
          <w:i/>
          <w:sz w:val="18"/>
        </w:rPr>
      </w:pPr>
      <w:r>
        <w:rPr>
          <w:i/>
          <w:sz w:val="18"/>
        </w:rPr>
        <w:t>5 de agosto de 2026</w:t>
      </w:r>
    </w:p>
    <w:p w14:paraId="71E27891" w14:textId="77777777" w:rsidR="00FE5CC9" w:rsidRDefault="00FE5CC9" w:rsidP="008F6BC4">
      <w:pPr>
        <w:jc w:val="center"/>
        <w:rPr>
          <w:iCs/>
          <w:sz w:val="18"/>
        </w:rPr>
      </w:pPr>
    </w:p>
    <w:p w14:paraId="3F4707BC" w14:textId="2E797EB0" w:rsidR="00FE5CC9" w:rsidRPr="00FE5CC9" w:rsidRDefault="00FE5CC9" w:rsidP="00FE5CC9">
      <w:pPr>
        <w:rPr>
          <w:lang w:val="es-MX"/>
        </w:rPr>
      </w:pPr>
      <w:r>
        <w:rPr>
          <w:lang w:val="es-MX"/>
        </w:rPr>
        <w:t xml:space="preserve">A </w:t>
      </w:r>
      <w:r>
        <w:rPr>
          <w:lang w:val="es-MX"/>
        </w:rPr>
        <w:t>continuación,</w:t>
      </w:r>
      <w:r>
        <w:rPr>
          <w:lang w:val="es-MX"/>
        </w:rPr>
        <w:t xml:space="preserve"> e</w:t>
      </w:r>
      <w:r w:rsidRPr="00FE5CC9">
        <w:rPr>
          <w:lang w:val="es-MX"/>
        </w:rPr>
        <w:t xml:space="preserve">stos son los elementos que pueden </w:t>
      </w:r>
      <w:r>
        <w:rPr>
          <w:lang w:val="es-MX"/>
        </w:rPr>
        <w:t>considerarse</w:t>
      </w:r>
      <w:r w:rsidRPr="00FE5CC9">
        <w:rPr>
          <w:lang w:val="es-MX"/>
        </w:rPr>
        <w:t xml:space="preserve"> como una ampliación, porque el documento inicial se enfocaba principalmente en identificar componentes técnicos que debían ajustarse.</w:t>
      </w:r>
    </w:p>
    <w:p w14:paraId="3EB50DD8" w14:textId="57D0AB79" w:rsidR="00693851" w:rsidRDefault="00000000" w:rsidP="00FE5CC9">
      <w:pPr>
        <w:pStyle w:val="Heading1"/>
        <w:numPr>
          <w:ilvl w:val="0"/>
          <w:numId w:val="10"/>
        </w:numPr>
        <w:rPr>
          <w:sz w:val="18"/>
          <w:szCs w:val="18"/>
          <w:lang w:val="es-MX"/>
        </w:rPr>
      </w:pPr>
      <w:r w:rsidRPr="008F6BC4">
        <w:rPr>
          <w:lang w:val="es-MX"/>
        </w:rPr>
        <w:t>Diferencias de alcance validadas</w:t>
      </w:r>
      <w:r w:rsidR="00CE0E88">
        <w:rPr>
          <w:lang w:val="es-MX"/>
        </w:rPr>
        <w:t xml:space="preserve"> </w:t>
      </w:r>
      <w:r w:rsidR="00CE0E88" w:rsidRPr="00CE0E88">
        <w:rPr>
          <w:sz w:val="18"/>
          <w:szCs w:val="18"/>
          <w:lang w:val="es-MX"/>
        </w:rPr>
        <w:t>(</w:t>
      </w:r>
      <w:r w:rsidR="00CE0E88" w:rsidRPr="00CE0E88">
        <w:rPr>
          <w:sz w:val="18"/>
          <w:szCs w:val="18"/>
          <w:lang w:val="es-MX"/>
        </w:rPr>
        <w:t>Aquí se muestran los puntos que Red Motors agregó posteriormente</w:t>
      </w:r>
      <w:r w:rsidR="00CE0E88" w:rsidRPr="00CE0E88">
        <w:rPr>
          <w:sz w:val="18"/>
          <w:szCs w:val="18"/>
          <w:lang w:val="es-MX"/>
        </w:rPr>
        <w:t>)</w:t>
      </w:r>
    </w:p>
    <w:p w14:paraId="42E0F295" w14:textId="0DA2E772" w:rsidR="00693851" w:rsidRPr="00CE0E88" w:rsidRDefault="00000000">
      <w:pPr>
        <w:pStyle w:val="Heading2"/>
        <w:rPr>
          <w:sz w:val="18"/>
          <w:szCs w:val="20"/>
          <w:lang w:val="es-MX"/>
        </w:rPr>
      </w:pPr>
      <w:r w:rsidRPr="008F6BC4">
        <w:rPr>
          <w:lang w:val="es-MX"/>
        </w:rPr>
        <w:t>1.1 Gobierno de Empresa y Marca</w:t>
      </w:r>
      <w:r w:rsidR="00CE0E88">
        <w:rPr>
          <w:lang w:val="es-MX"/>
        </w:rPr>
        <w:t xml:space="preserve"> </w:t>
      </w:r>
      <w:r w:rsidR="00CE0E88" w:rsidRPr="00CE0E88">
        <w:rPr>
          <w:sz w:val="18"/>
          <w:szCs w:val="20"/>
          <w:lang w:val="es-MX"/>
        </w:rPr>
        <w:t>(</w:t>
      </w:r>
      <w:r w:rsidR="00CE0E88" w:rsidRPr="00CE0E88">
        <w:rPr>
          <w:sz w:val="18"/>
          <w:szCs w:val="20"/>
          <w:lang w:val="es-MX"/>
        </w:rPr>
        <w:t>Que Empresa y Marca sean obligatorias, no modificables y auditables en todas las transacciones</w:t>
      </w:r>
      <w:r w:rsidR="00CE0E88" w:rsidRPr="00CE0E88">
        <w:rPr>
          <w:sz w:val="18"/>
          <w:szCs w:val="20"/>
          <w:lang w:val="es-MX"/>
        </w:rPr>
        <w:t>)</w:t>
      </w:r>
    </w:p>
    <w:p w14:paraId="4AC7132C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Empresa y Marca pasan a ser datos obligatorios, inmutables y auditables durante toda la transacción.</w:t>
      </w:r>
    </w:p>
    <w:p w14:paraId="52375F0B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La Empresa y la Marca deben derivarse automáticamente desde VIN o placa. Cuando no exista vehículo, el usuario solo puede seleccionar combinaciones autorizadas.</w:t>
      </w:r>
    </w:p>
    <w:p w14:paraId="3145FD97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OMODA y JAECOO quedan vinculadas exclusivamente a PEKING y el usuario no puede modificar esa relación.</w:t>
      </w:r>
    </w:p>
    <w:p w14:paraId="651E6677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Una transacción con Empresa o Marca incorrecta debe bloquearse. Después de creada, no se corrige cambiando la Empresa: debe anularse y recrearse conforme a permisos.</w:t>
      </w:r>
    </w:p>
    <w:p w14:paraId="5A4DD08D" w14:textId="1B793CAE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El Lead y su conversión deben conservar Marca y Empresa; la Oportuni</w:t>
      </w:r>
      <w:r w:rsidR="00FE5CC9">
        <w:rPr>
          <w:lang w:val="es-MX"/>
        </w:rPr>
        <w:t>dad</w:t>
      </w:r>
      <w:r w:rsidRPr="008F6BC4">
        <w:rPr>
          <w:lang w:val="es-MX"/>
        </w:rPr>
        <w:t xml:space="preserve"> debe derivarlas desde el vehículo y bloquear combinaciones incompatibles.</w:t>
      </w:r>
    </w:p>
    <w:p w14:paraId="76468B95" w14:textId="3A289936" w:rsidR="00693851" w:rsidRPr="00CE0E88" w:rsidRDefault="00000000">
      <w:pPr>
        <w:pStyle w:val="Heading2"/>
        <w:rPr>
          <w:sz w:val="14"/>
          <w:szCs w:val="16"/>
          <w:lang w:val="es-MX"/>
        </w:rPr>
      </w:pPr>
      <w:r w:rsidRPr="00CE0E88">
        <w:rPr>
          <w:lang w:val="es-MX"/>
        </w:rPr>
        <w:t xml:space="preserve">1.2 Seguridad, visibilidad y </w:t>
      </w:r>
      <w:r w:rsidR="00CE0E88" w:rsidRPr="00CE0E88">
        <w:rPr>
          <w:lang w:val="es-MX"/>
        </w:rPr>
        <w:t xml:space="preserve">auditoria </w:t>
      </w:r>
      <w:r w:rsidR="00CE0E88" w:rsidRPr="00CE0E88">
        <w:rPr>
          <w:sz w:val="18"/>
          <w:szCs w:val="20"/>
          <w:lang w:val="es-MX"/>
        </w:rPr>
        <w:t>(</w:t>
      </w:r>
      <w:r w:rsidR="00CE0E88" w:rsidRPr="00CE0E88">
        <w:rPr>
          <w:sz w:val="18"/>
          <w:szCs w:val="20"/>
          <w:lang w:val="es-MX"/>
        </w:rPr>
        <w:t>Que la empresa se determine automáticamente mediante VIN, placa o vehículo</w:t>
      </w:r>
      <w:r w:rsidR="00CE0E88" w:rsidRPr="00CE0E88">
        <w:rPr>
          <w:sz w:val="18"/>
          <w:szCs w:val="20"/>
          <w:lang w:val="es-MX"/>
        </w:rPr>
        <w:t>)</w:t>
      </w:r>
    </w:p>
    <w:p w14:paraId="0B65D595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El cliente se mantiene como maestro compartido, pero vehículos e historia transaccional se restringen por Empresa/Marca autorizada.</w:t>
      </w:r>
    </w:p>
    <w:p w14:paraId="5CBF71BF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Los accesos multicompañía o multimarca requieren aprobación de Negocio y Transformación Digital, además de vigencia, trazabilidad y retiro formal.</w:t>
      </w:r>
    </w:p>
    <w:p w14:paraId="377B8434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La segregación no puede depender solo de filtros visuales. Debe cubrir sharing, consultas, APIs, exportaciones, colas, inventarios y reportes.</w:t>
      </w:r>
    </w:p>
    <w:p w14:paraId="188B943D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Se exige auditoría de usuario, fecha/hora, Empresa, Marca, cambios, errores, intentos y reprocesos.</w:t>
      </w:r>
    </w:p>
    <w:p w14:paraId="3DC2975E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El consolidado de reportería queda reservado a perfiles gerenciales autorizados.</w:t>
      </w:r>
    </w:p>
    <w:p w14:paraId="6D35B541" w14:textId="76902B8E" w:rsidR="00693851" w:rsidRPr="00CE0E88" w:rsidRDefault="00000000">
      <w:pPr>
        <w:pStyle w:val="Heading2"/>
        <w:rPr>
          <w:sz w:val="14"/>
          <w:szCs w:val="16"/>
          <w:lang w:val="es-MX"/>
        </w:rPr>
      </w:pPr>
      <w:r w:rsidRPr="00CE0E88">
        <w:rPr>
          <w:lang w:val="es-MX"/>
        </w:rPr>
        <w:t>1.3 Reglas comerciales y de postventa</w:t>
      </w:r>
      <w:r w:rsidR="00CE0E88" w:rsidRPr="00CE0E88">
        <w:rPr>
          <w:lang w:val="es-MX"/>
        </w:rPr>
        <w:t xml:space="preserve"> </w:t>
      </w:r>
      <w:r w:rsidR="00CE0E88" w:rsidRPr="00CE0E88">
        <w:rPr>
          <w:sz w:val="22"/>
          <w:szCs w:val="24"/>
          <w:lang w:val="es-MX"/>
        </w:rPr>
        <w:t>(</w:t>
      </w:r>
      <w:r w:rsidR="00CE0E88" w:rsidRPr="00CE0E88">
        <w:rPr>
          <w:sz w:val="18"/>
          <w:szCs w:val="20"/>
          <w:lang w:val="es-MX"/>
        </w:rPr>
        <w:t>Que los usuarios solo puedan ver información de las empresas y marcas autorizadas</w:t>
      </w:r>
      <w:r w:rsidR="00CE0E88" w:rsidRPr="00CE0E88">
        <w:rPr>
          <w:sz w:val="18"/>
          <w:szCs w:val="20"/>
          <w:lang w:val="es-MX"/>
        </w:rPr>
        <w:t>)</w:t>
      </w:r>
    </w:p>
    <w:p w14:paraId="40778316" w14:textId="3B3E3F2C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 xml:space="preserve">El PDF convierte el proceso comercial completo - Lead, </w:t>
      </w:r>
      <w:r w:rsidR="00FE5CC9" w:rsidRPr="008F6BC4">
        <w:rPr>
          <w:lang w:val="es-MX"/>
        </w:rPr>
        <w:t>Oportuni</w:t>
      </w:r>
      <w:r w:rsidR="00FE5CC9">
        <w:rPr>
          <w:lang w:val="es-MX"/>
        </w:rPr>
        <w:t>dad</w:t>
      </w:r>
      <w:r w:rsidRPr="008F6BC4">
        <w:rPr>
          <w:lang w:val="es-MX"/>
        </w:rPr>
        <w:t>, plan de venta, proforma, reserva, anticipo, despacho, pedido y factura - en una obligación E2E verificable.</w:t>
      </w:r>
    </w:p>
    <w:p w14:paraId="43ECC23A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Cases deben clasificarse y enrutarse por Empresa/Marca a responsables PEKING.</w:t>
      </w:r>
    </w:p>
    <w:p w14:paraId="6CE3FFBD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Las garantías requieren segregación, aprobador PEKING independiente, aprobación/rechazo, notificaciones y trazabilidad.</w:t>
      </w:r>
    </w:p>
    <w:p w14:paraId="01D6D93E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Las citas se amplían a Salesforce, web, aplicación y WhatsApp, con validación de VIN/placa, capacidad, territorio, asesor, recurso e identidad de marca.</w:t>
      </w:r>
    </w:p>
    <w:p w14:paraId="2A58E270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Las órdenes de trabajo creadas desde cita o Case deben heredar y conservar cliente, VIN/placa, Empresa, Marca y origen, y bloquear recursos de otras compañías.</w:t>
      </w:r>
    </w:p>
    <w:p w14:paraId="2EF39E09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El presupuesto de mostrador debe usar exclusivamente catálogo, inventario, bodega, precios y documentos PEKING.</w:t>
      </w:r>
    </w:p>
    <w:p w14:paraId="5302845A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OMODA y JAECOO pueden compartir recursos dentro de PEKING, pero la definición exacta de agenda, talleres, asesores, mecánicos y territorios sigue pendiente de Negocio/Postventa.</w:t>
      </w:r>
    </w:p>
    <w:p w14:paraId="229C5CAB" w14:textId="400F9919" w:rsidR="00693851" w:rsidRPr="00CE0E88" w:rsidRDefault="00000000">
      <w:pPr>
        <w:pStyle w:val="Heading2"/>
        <w:rPr>
          <w:lang w:val="es-MX"/>
        </w:rPr>
      </w:pPr>
      <w:r w:rsidRPr="00CE0E88">
        <w:rPr>
          <w:lang w:val="es-MX"/>
        </w:rPr>
        <w:t>1.4 Productos y catálogos - ampliación transversal</w:t>
      </w:r>
      <w:r w:rsidR="00CE0E88" w:rsidRPr="00CE0E88">
        <w:rPr>
          <w:lang w:val="es-MX"/>
        </w:rPr>
        <w:t xml:space="preserve"> </w:t>
      </w:r>
      <w:r w:rsidR="00CE0E88" w:rsidRPr="00CE0E88">
        <w:rPr>
          <w:sz w:val="18"/>
          <w:szCs w:val="20"/>
          <w:lang w:val="es-MX"/>
        </w:rPr>
        <w:t>(</w:t>
      </w:r>
      <w:r w:rsidR="00CE0E88" w:rsidRPr="00CE0E88">
        <w:rPr>
          <w:sz w:val="18"/>
          <w:szCs w:val="20"/>
          <w:lang w:val="es-MX"/>
        </w:rPr>
        <w:t>Que existan controles para evitar cruces entre PEKING, Bavarian y Otobai</w:t>
      </w:r>
      <w:r w:rsidR="00CE0E88" w:rsidRPr="00CE0E88">
        <w:rPr>
          <w:sz w:val="18"/>
          <w:szCs w:val="20"/>
          <w:lang w:val="es-MX"/>
        </w:rPr>
        <w:t>)</w:t>
      </w:r>
    </w:p>
    <w:p w14:paraId="639BDC25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Se agrega una mejora para todas las compañías y marcas, no solo PEKING: editar productos existentes y catálogos relacionados sin borrar o recrear registros ni romper dependencias.</w:t>
      </w:r>
    </w:p>
    <w:p w14:paraId="6D5950FA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Los cambios de nombre en catálogos relacionados deben reflejarse en los productos asociados, conservando identidad, inventario, precios e historial.</w:t>
      </w:r>
    </w:p>
    <w:p w14:paraId="16848959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Cada modificación debe auditar valores anterior/nuevo y bloquear traslados o mezclas de productos entre empresas.</w:t>
      </w:r>
    </w:p>
    <w:p w14:paraId="7595DEFD" w14:textId="1D2CDEF2" w:rsidR="00693851" w:rsidRPr="00CE0E88" w:rsidRDefault="00000000">
      <w:pPr>
        <w:pStyle w:val="Heading2"/>
        <w:rPr>
          <w:sz w:val="18"/>
          <w:szCs w:val="20"/>
          <w:lang w:val="es-MX"/>
        </w:rPr>
      </w:pPr>
      <w:r w:rsidRPr="00CE0E88">
        <w:rPr>
          <w:lang w:val="es-MX"/>
        </w:rPr>
        <w:lastRenderedPageBreak/>
        <w:t xml:space="preserve">1.5 Softland, integraciones y continuidad </w:t>
      </w:r>
      <w:r w:rsidR="00CE0E88" w:rsidRPr="00CE0E88">
        <w:rPr>
          <w:lang w:val="es-MX"/>
        </w:rPr>
        <w:t xml:space="preserve">operative </w:t>
      </w:r>
      <w:r w:rsidR="00CE0E88" w:rsidRPr="00CE0E88">
        <w:rPr>
          <w:sz w:val="18"/>
          <w:szCs w:val="20"/>
          <w:lang w:val="es-MX"/>
        </w:rPr>
        <w:t>(</w:t>
      </w:r>
      <w:r w:rsidR="00CE0E88" w:rsidRPr="00CE0E88">
        <w:rPr>
          <w:sz w:val="18"/>
          <w:szCs w:val="20"/>
          <w:lang w:val="es-MX"/>
        </w:rPr>
        <w:t>Que los errores de integración se registren, notifiquen y puedan reprocesarse</w:t>
      </w:r>
      <w:r w:rsidR="00CE0E88">
        <w:rPr>
          <w:sz w:val="18"/>
          <w:szCs w:val="20"/>
          <w:lang w:val="es-MX"/>
        </w:rPr>
        <w:t>)</w:t>
      </w:r>
    </w:p>
    <w:p w14:paraId="119890F1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PEKING debe operar con separación lógica dentro de Softland, numeración, ubicaciones y bitácora diferenciadas. La decisión vigente no implica una nueva instancia: se reutilizan la instancia y los endpoints confirmados, con contexto RMPEKING.</w:t>
      </w:r>
    </w:p>
    <w:p w14:paraId="24FD18F0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Cada interfaz debe manejar Empresa/Marca obligatorias, filtros, correlación, idempotencia y trazabilidad.</w:t>
      </w:r>
    </w:p>
    <w:p w14:paraId="1CB2692F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Un error debe aislar únicamente el registro afectado, permitir que los demás continúen y habilitar reproceso sin duplicidad.</w:t>
      </w:r>
    </w:p>
    <w:p w14:paraId="0379FA2F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Se agregan alertas a Transformación Digital, control de fallos, conciliación y seguimiento de reintentos.</w:t>
      </w:r>
    </w:p>
    <w:p w14:paraId="797F82D6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Monitoreo, rendimiento, dead-letter/cola equivalente, respaldo y reversión aparecen como consideraciones técnicas que deben diseñarse y aprobarse; no deben presentarse todavía como una solución cerrada.</w:t>
      </w:r>
    </w:p>
    <w:p w14:paraId="2BCB3A90" w14:textId="2B12FE6F" w:rsidR="00693851" w:rsidRPr="00CE0E88" w:rsidRDefault="00000000">
      <w:pPr>
        <w:pStyle w:val="Heading2"/>
        <w:rPr>
          <w:sz w:val="18"/>
          <w:szCs w:val="20"/>
          <w:lang w:val="es-MX"/>
        </w:rPr>
      </w:pPr>
      <w:r w:rsidRPr="00CE0E88">
        <w:rPr>
          <w:lang w:val="es-MX"/>
        </w:rPr>
        <w:t>1.6 Documentos, comunicaciones y canales</w:t>
      </w:r>
      <w:r w:rsidR="00CE0E88" w:rsidRPr="00CE0E88">
        <w:rPr>
          <w:lang w:val="es-MX"/>
        </w:rPr>
        <w:t xml:space="preserve"> </w:t>
      </w:r>
      <w:r w:rsidR="00CE0E88" w:rsidRPr="00CE0E88">
        <w:rPr>
          <w:sz w:val="18"/>
          <w:szCs w:val="20"/>
          <w:lang w:val="es-MX"/>
        </w:rPr>
        <w:t>(</w:t>
      </w:r>
      <w:r w:rsidR="00CE0E88" w:rsidRPr="00CE0E88">
        <w:rPr>
          <w:sz w:val="18"/>
          <w:szCs w:val="20"/>
          <w:lang w:val="es-MX"/>
        </w:rPr>
        <w:t>Que existan notificaciones específicas para garantías, citas, documentos y errores</w:t>
      </w:r>
      <w:r w:rsidR="00CE0E88" w:rsidRPr="00CE0E88">
        <w:rPr>
          <w:sz w:val="18"/>
          <w:szCs w:val="20"/>
          <w:lang w:val="es-MX"/>
        </w:rPr>
        <w:t>)</w:t>
      </w:r>
    </w:p>
    <w:p w14:paraId="2E9272AA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Los PDFs por marca ya estaban contemplados; el extra es exigir datos legales PEKING, dirección validada, versionado, origen y relación con la transacción.</w:t>
      </w:r>
    </w:p>
    <w:p w14:paraId="4345C11E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El PDF agrega notificaciones formales para errores de integración, garantías, citas, documentos disponibles, diferencias de carga y reprocesos.</w:t>
      </w:r>
    </w:p>
    <w:p w14:paraId="660E822C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Se exige impedir que datos PEKING se publiquen en sitios existentes de BMW, MINI, Motorrad, Red Motors u Otobai.</w:t>
      </w:r>
    </w:p>
    <w:p w14:paraId="55A4CFDD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Las nuevas integraciones hacia sitios OMODA/JAECOO quedan fuera de alcance salvo control de cambios.</w:t>
      </w:r>
    </w:p>
    <w:p w14:paraId="2EC7311F" w14:textId="68E4A3F9" w:rsidR="00693851" w:rsidRPr="00CE0E88" w:rsidRDefault="00000000">
      <w:pPr>
        <w:pStyle w:val="Heading2"/>
        <w:rPr>
          <w:sz w:val="18"/>
          <w:szCs w:val="20"/>
          <w:lang w:val="es-MX"/>
        </w:rPr>
      </w:pPr>
      <w:r w:rsidRPr="00CE0E88">
        <w:rPr>
          <w:lang w:val="es-MX"/>
        </w:rPr>
        <w:t>1.7 Carga, conciliación y entregables</w:t>
      </w:r>
      <w:r w:rsidR="00CE0E88" w:rsidRPr="00CE0E88">
        <w:rPr>
          <w:lang w:val="es-MX"/>
        </w:rPr>
        <w:t xml:space="preserve"> </w:t>
      </w:r>
      <w:r w:rsidR="00CE0E88" w:rsidRPr="00CE0E88">
        <w:rPr>
          <w:sz w:val="18"/>
          <w:szCs w:val="20"/>
          <w:lang w:val="es-MX"/>
        </w:rPr>
        <w:t>(</w:t>
      </w:r>
      <w:r w:rsidR="00CE0E88" w:rsidRPr="00CE0E88">
        <w:rPr>
          <w:sz w:val="18"/>
          <w:szCs w:val="20"/>
          <w:lang w:val="es-MX"/>
        </w:rPr>
        <w:t>Que se realicen cargas iniciales, conciliaciones entre Salesforce y Softland, UAT formal y controles de salida a Producción</w:t>
      </w:r>
      <w:r w:rsidR="00CE0E88" w:rsidRPr="00CE0E88">
        <w:rPr>
          <w:sz w:val="18"/>
          <w:szCs w:val="20"/>
          <w:lang w:val="es-MX"/>
        </w:rPr>
        <w:t>)</w:t>
      </w:r>
    </w:p>
    <w:p w14:paraId="2AB431F4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Se agrega una carga inicial formal de clientes, VIN, productos, repuestos, inventarios, precios, usuarios, territorios y recursos.</w:t>
      </w:r>
    </w:p>
    <w:p w14:paraId="5DED2040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La carga debe conciliar datos críticos entre Salesforce y Softland y documentar diferencias.</w:t>
      </w:r>
    </w:p>
    <w:p w14:paraId="6CFB2372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Se exigen insumos legales, fiscales, de marca, permisos e integraciones. Muchos de estos son entregables o aprobaciones de Red Motors, no desarrollo.</w:t>
      </w:r>
    </w:p>
    <w:p w14:paraId="798BB157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Se agregan capacitación, documentación formal y dos semanas de soporte reforzado después de la salida.</w:t>
      </w:r>
    </w:p>
    <w:p w14:paraId="7F1F4A37" w14:textId="70123C90" w:rsidR="00693851" w:rsidRPr="00CE0E88" w:rsidRDefault="00000000">
      <w:pPr>
        <w:pStyle w:val="Heading2"/>
        <w:rPr>
          <w:sz w:val="18"/>
          <w:szCs w:val="20"/>
          <w:lang w:val="es-MX"/>
        </w:rPr>
      </w:pPr>
      <w:r w:rsidRPr="00CE0E88">
        <w:rPr>
          <w:lang w:val="es-MX"/>
        </w:rPr>
        <w:t>1.8 Pruebas, aceptación y salida</w:t>
      </w:r>
      <w:r w:rsidR="00CE0E88" w:rsidRPr="00CE0E88">
        <w:rPr>
          <w:lang w:val="es-MX"/>
        </w:rPr>
        <w:t xml:space="preserve"> </w:t>
      </w:r>
      <w:r w:rsidR="00CE0E88" w:rsidRPr="00CE0E88">
        <w:rPr>
          <w:sz w:val="18"/>
          <w:szCs w:val="20"/>
          <w:lang w:val="es-MX"/>
        </w:rPr>
        <w:t>(</w:t>
      </w:r>
      <w:r w:rsidR="00CE0E88" w:rsidRPr="00CE0E88">
        <w:rPr>
          <w:sz w:val="18"/>
          <w:szCs w:val="20"/>
          <w:lang w:val="es-MX"/>
        </w:rPr>
        <w:t>Que se incorpore una mejora general para editar productos y catálogos en todas las empresas, no solamente para PEKING</w:t>
      </w:r>
      <w:r w:rsidR="00CE0E88" w:rsidRPr="00CE0E88">
        <w:rPr>
          <w:sz w:val="18"/>
          <w:szCs w:val="20"/>
          <w:lang w:val="es-MX"/>
        </w:rPr>
        <w:t>)</w:t>
      </w:r>
    </w:p>
    <w:p w14:paraId="6E6F2AAC" w14:textId="77777777" w:rsidR="00693851" w:rsidRPr="00CE0E88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 xml:space="preserve">El documento incorpora 29 criterios de aceptación y 22 escenarios UAT trazables. </w:t>
      </w:r>
      <w:r w:rsidRPr="00CE0E88">
        <w:rPr>
          <w:lang w:val="es-MX"/>
        </w:rPr>
        <w:t>Son un marco de validación, no 51 funcionalidades independientes.</w:t>
      </w:r>
    </w:p>
    <w:p w14:paraId="39C4EAB7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Las pruebas E2E y de regresión ya estaban contempladas, pero se amplían con escenarios negativos, permisos, borde, conciliación y evidencia reproducible.</w:t>
      </w:r>
    </w:p>
    <w:p w14:paraId="526D4D6A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Se agregan puertas formales de ambiente, datos, QA del proveedor, validación TD, UAT de negocio, conciliación y Go/No-Go.</w:t>
      </w:r>
    </w:p>
    <w:p w14:paraId="463FBAAB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Un defecto de segregación bloquea Producción; los defectos menores requieren aprobación, responsable, mitigación y fecha.</w:t>
      </w:r>
    </w:p>
    <w:p w14:paraId="15E8FFD3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El documento v0.13 aún está en revisión y no autoriza resolver por suposición las definiciones pendientes.</w:t>
      </w:r>
    </w:p>
    <w:p w14:paraId="26AB02FE" w14:textId="28B69767" w:rsidR="00693851" w:rsidRPr="00FE5CC9" w:rsidRDefault="00000000">
      <w:pPr>
        <w:pStyle w:val="Heading1"/>
        <w:rPr>
          <w:sz w:val="18"/>
          <w:szCs w:val="18"/>
          <w:lang w:val="es-MX"/>
        </w:rPr>
      </w:pPr>
      <w:r w:rsidRPr="008F6BC4">
        <w:rPr>
          <w:lang w:val="es-MX"/>
        </w:rPr>
        <w:t>2. Temas que no deben presentarse como extras independientes</w:t>
      </w:r>
      <w:r w:rsidR="00FE5CC9">
        <w:rPr>
          <w:lang w:val="es-MX"/>
        </w:rPr>
        <w:t xml:space="preserve"> </w:t>
      </w:r>
      <w:r w:rsidR="00FE5CC9" w:rsidRPr="00FE5CC9">
        <w:rPr>
          <w:sz w:val="18"/>
          <w:szCs w:val="18"/>
          <w:lang w:val="es-MX"/>
        </w:rPr>
        <w:t>(</w:t>
      </w:r>
      <w:r w:rsidR="00FE5CC9">
        <w:rPr>
          <w:sz w:val="18"/>
          <w:szCs w:val="18"/>
          <w:lang w:val="es-MX"/>
        </w:rPr>
        <w:t>Y</w:t>
      </w:r>
      <w:r w:rsidR="00FE5CC9" w:rsidRPr="00FE5CC9">
        <w:rPr>
          <w:sz w:val="18"/>
          <w:szCs w:val="18"/>
          <w:lang w:val="es-MX"/>
        </w:rPr>
        <w:t>a estaban considerados de forma general</w:t>
      </w:r>
      <w:r w:rsidR="00FE5CC9">
        <w:rPr>
          <w:sz w:val="18"/>
          <w:szCs w:val="18"/>
          <w:lang w:val="es-MX"/>
        </w:rPr>
        <w:t>)</w:t>
      </w:r>
    </w:p>
    <w:p w14:paraId="099E8CBD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El objeto configurable Empresa y el objetivo de soportar futuras empresas.</w:t>
      </w:r>
    </w:p>
    <w:p w14:paraId="2289E68F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Agregar PEKING/OMODA/JAECOO en campos, picklists, Global Value Sets y relaciones ya identificadas.</w:t>
      </w:r>
    </w:p>
    <w:p w14:paraId="1F5EC2C2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Refactorizar Apex, triggers, Flows, LWC y Aura para eliminar la lógica binaria Bavarian/Otobai.</w:t>
      </w:r>
    </w:p>
    <w:p w14:paraId="116258E8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Resolver Pricebooks, moneda, inventario, bodegas, reservas, pedidos, Work Orders y catálogos por Empresa.</w:t>
      </w:r>
    </w:p>
    <w:p w14:paraId="04F97A40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PDFs dinámicos para Ventas y Taller como concepto general; únicamente son nuevos los datos legales, control documental y reglas adicionales.</w:t>
      </w:r>
    </w:p>
    <w:p w14:paraId="71D3A50A" w14:textId="77777777" w:rsidR="00693851" w:rsidRDefault="00000000">
      <w:pPr>
        <w:pStyle w:val="ListBullet"/>
        <w:spacing w:after="40"/>
      </w:pPr>
      <w:r>
        <w:t>Profiles, Permission Sets, Record Types, layouts, FlexiPages, Quick Actions y List Views como frentes técnicos generales.</w:t>
      </w:r>
    </w:p>
    <w:p w14:paraId="5F6F6EE3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Comunidad, talleres, calendarios, órdenes de trabajo y postventa como áreas de impacto ya previstas.</w:t>
      </w:r>
    </w:p>
    <w:p w14:paraId="50FDD6DA" w14:textId="77777777" w:rsidR="00693851" w:rsidRPr="008F6BC4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Pruebas de integración, E2E y regresión como concepto general.</w:t>
      </w:r>
    </w:p>
    <w:p w14:paraId="3528419D" w14:textId="77777777" w:rsidR="00693851" w:rsidRDefault="00000000">
      <w:pPr>
        <w:pStyle w:val="ListBullet"/>
        <w:spacing w:after="40"/>
        <w:rPr>
          <w:lang w:val="es-MX"/>
        </w:rPr>
      </w:pPr>
      <w:r w:rsidRPr="008F6BC4">
        <w:rPr>
          <w:lang w:val="es-MX"/>
        </w:rPr>
        <w:t>Componentes y Flows ya revisados, conciliados, modificados o desplegados durante Sprint 1 y Sprint 2. No deben volver a contarse por aparecer en el PDF nuevo.</w:t>
      </w:r>
    </w:p>
    <w:p w14:paraId="1421F420" w14:textId="77777777" w:rsidR="00FE5CC9" w:rsidRPr="008F6BC4" w:rsidRDefault="00FE5CC9" w:rsidP="00FE5CC9">
      <w:pPr>
        <w:pStyle w:val="ListBullet"/>
        <w:numPr>
          <w:ilvl w:val="0"/>
          <w:numId w:val="0"/>
        </w:numPr>
        <w:spacing w:after="40"/>
        <w:ind w:left="360"/>
        <w:rPr>
          <w:lang w:val="es-MX"/>
        </w:rPr>
      </w:pPr>
    </w:p>
    <w:p w14:paraId="42169EEC" w14:textId="77777777" w:rsidR="00693851" w:rsidRPr="008F6BC4" w:rsidRDefault="00693851">
      <w:pPr>
        <w:spacing w:after="0"/>
        <w:rPr>
          <w:lang w:val="es-MX"/>
        </w:rPr>
      </w:pPr>
    </w:p>
    <w:p w14:paraId="496180CC" w14:textId="4CE2A88C" w:rsidR="00FE5CC9" w:rsidRPr="00FE5CC9" w:rsidRDefault="00000000" w:rsidP="005C1711">
      <w:pPr>
        <w:pStyle w:val="Heading1"/>
        <w:numPr>
          <w:ilvl w:val="0"/>
          <w:numId w:val="11"/>
        </w:numPr>
        <w:rPr>
          <w:sz w:val="18"/>
          <w:szCs w:val="18"/>
          <w:lang w:val="es-MX"/>
        </w:rPr>
      </w:pPr>
      <w:r w:rsidRPr="008F6BC4">
        <w:rPr>
          <w:lang w:val="es-MX"/>
        </w:rPr>
        <w:lastRenderedPageBreak/>
        <w:t>Dependencias y definiciones pendientes de Red Motors</w:t>
      </w:r>
      <w:r w:rsidR="00FE5CC9">
        <w:rPr>
          <w:lang w:val="es-MX"/>
        </w:rPr>
        <w:t xml:space="preserve"> </w:t>
      </w:r>
      <w:r w:rsidR="00FE5CC9" w:rsidRPr="00FE5CC9">
        <w:rPr>
          <w:sz w:val="18"/>
          <w:szCs w:val="18"/>
          <w:lang w:val="es-MX"/>
        </w:rPr>
        <w:t>(</w:t>
      </w:r>
      <w:r w:rsidR="00FE5CC9" w:rsidRPr="00FE5CC9">
        <w:rPr>
          <w:sz w:val="18"/>
          <w:szCs w:val="18"/>
          <w:lang w:val="es-MX"/>
        </w:rPr>
        <w:t>Información que Red Motors todavía debe definir</w:t>
      </w:r>
      <w:r w:rsidR="00FE5CC9" w:rsidRPr="00FE5CC9">
        <w:rPr>
          <w:sz w:val="18"/>
          <w:szCs w:val="18"/>
          <w:lang w:val="es-MX"/>
        </w:rPr>
        <w:t>)</w:t>
      </w:r>
    </w:p>
    <w:p w14:paraId="78DBAC08" w14:textId="0205E4A7" w:rsidR="00693851" w:rsidRPr="00FE5CC9" w:rsidRDefault="00FE5CC9" w:rsidP="00FE5CC9">
      <w:pPr>
        <w:pStyle w:val="Heading1"/>
        <w:rPr>
          <w:color w:val="auto"/>
          <w:sz w:val="24"/>
          <w:szCs w:val="24"/>
          <w:lang w:val="es-MX"/>
        </w:rPr>
      </w:pPr>
      <w:r w:rsidRPr="00FE5CC9">
        <w:rPr>
          <w:color w:val="auto"/>
          <w:sz w:val="24"/>
          <w:szCs w:val="24"/>
          <w:lang w:val="es-MX"/>
        </w:rPr>
        <w:t>Hay puntos que no son automáticamente trabajo de desarrollo, porque primero Red Motors debe tomar decisiones o entregar información, por ejemplo: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9144"/>
      </w:tblGrid>
      <w:tr w:rsidR="00693851" w14:paraId="06467E7B" w14:textId="77777777">
        <w:trPr>
          <w:tblHeader/>
          <w:jc w:val="center"/>
        </w:trPr>
        <w:tc>
          <w:tcPr>
            <w:tcW w:w="2232" w:type="dxa"/>
            <w:shd w:val="clear" w:color="auto" w:fill="C8202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63A91E" w14:textId="77777777" w:rsidR="00693851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w="9144" w:type="dxa"/>
            <w:shd w:val="clear" w:color="auto" w:fill="C8202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5BA143" w14:textId="77777777" w:rsidR="00693851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Definición requerida</w:t>
            </w:r>
          </w:p>
        </w:tc>
      </w:tr>
      <w:tr w:rsidR="00693851" w:rsidRPr="008F6BC4" w14:paraId="187E649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6EE0F7" w14:textId="77777777" w:rsidR="00693851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Historia y reportería</w:t>
            </w:r>
          </w:p>
        </w:tc>
        <w:tc>
          <w:tcPr>
            <w:tcW w:w="914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B94AFC" w14:textId="77777777" w:rsidR="00693851" w:rsidRPr="008F6BC4" w:rsidRDefault="00000000">
            <w:pPr>
              <w:spacing w:after="0" w:line="240" w:lineRule="auto"/>
              <w:rPr>
                <w:lang w:val="es-MX"/>
              </w:rPr>
            </w:pPr>
            <w:r w:rsidRPr="008F6BC4">
              <w:rPr>
                <w:color w:val="000000"/>
                <w:sz w:val="17"/>
                <w:lang w:val="es-MX"/>
              </w:rPr>
              <w:t>Definir si se carga información anterior al 01/10/2026.</w:t>
            </w:r>
          </w:p>
        </w:tc>
      </w:tr>
      <w:tr w:rsidR="00693851" w:rsidRPr="008F6BC4" w14:paraId="2A0BE7F2" w14:textId="77777777">
        <w:trPr>
          <w:cantSplit/>
          <w:jc w:val="center"/>
        </w:trPr>
        <w:tc>
          <w:tcPr>
            <w:tcW w:w="2232" w:type="dxa"/>
            <w:shd w:val="clear" w:color="auto" w:fill="F2F3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E4B8EF" w14:textId="77777777" w:rsidR="00693851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WhatsApp</w:t>
            </w:r>
          </w:p>
        </w:tc>
        <w:tc>
          <w:tcPr>
            <w:tcW w:w="9144" w:type="dxa"/>
            <w:shd w:val="clear" w:color="auto" w:fill="F2F3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9793BF" w14:textId="77777777" w:rsidR="00693851" w:rsidRPr="008F6BC4" w:rsidRDefault="00000000">
            <w:pPr>
              <w:spacing w:after="0" w:line="240" w:lineRule="auto"/>
              <w:rPr>
                <w:lang w:val="es-MX"/>
              </w:rPr>
            </w:pPr>
            <w:r w:rsidRPr="008F6BC4">
              <w:rPr>
                <w:color w:val="000000"/>
                <w:sz w:val="17"/>
                <w:lang w:val="es-MX"/>
              </w:rPr>
              <w:t>Definir número independiente o canal actual con selección OMODA/JAECOO.</w:t>
            </w:r>
          </w:p>
        </w:tc>
      </w:tr>
      <w:tr w:rsidR="00693851" w:rsidRPr="008F6BC4" w14:paraId="4B18319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CDF56C" w14:textId="77777777" w:rsidR="00693851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Garantías</w:t>
            </w:r>
          </w:p>
        </w:tc>
        <w:tc>
          <w:tcPr>
            <w:tcW w:w="914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4D0726" w14:textId="77777777" w:rsidR="00693851" w:rsidRPr="008F6BC4" w:rsidRDefault="00000000">
            <w:pPr>
              <w:spacing w:after="0" w:line="240" w:lineRule="auto"/>
              <w:rPr>
                <w:lang w:val="es-MX"/>
              </w:rPr>
            </w:pPr>
            <w:r w:rsidRPr="008F6BC4">
              <w:rPr>
                <w:color w:val="000000"/>
                <w:sz w:val="17"/>
                <w:lang w:val="es-MX"/>
              </w:rPr>
              <w:t>Nombrar persona o rol aprobador PEKING.</w:t>
            </w:r>
          </w:p>
        </w:tc>
      </w:tr>
      <w:tr w:rsidR="00693851" w:rsidRPr="008F6BC4" w14:paraId="28A65DE5" w14:textId="77777777">
        <w:trPr>
          <w:cantSplit/>
          <w:jc w:val="center"/>
        </w:trPr>
        <w:tc>
          <w:tcPr>
            <w:tcW w:w="2232" w:type="dxa"/>
            <w:shd w:val="clear" w:color="auto" w:fill="F2F3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345B0D" w14:textId="77777777" w:rsidR="00693851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Carga inicial</w:t>
            </w:r>
          </w:p>
        </w:tc>
        <w:tc>
          <w:tcPr>
            <w:tcW w:w="9144" w:type="dxa"/>
            <w:shd w:val="clear" w:color="auto" w:fill="F2F3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960E10" w14:textId="77777777" w:rsidR="00693851" w:rsidRPr="008F6BC4" w:rsidRDefault="00000000">
            <w:pPr>
              <w:spacing w:after="0" w:line="240" w:lineRule="auto"/>
              <w:rPr>
                <w:lang w:val="es-MX"/>
              </w:rPr>
            </w:pPr>
            <w:r w:rsidRPr="008F6BC4">
              <w:rPr>
                <w:color w:val="000000"/>
                <w:sz w:val="17"/>
                <w:lang w:val="es-MX"/>
              </w:rPr>
              <w:t>Definir dueño, aprobador, formato, calidad, volumen y fechas de cada archivo.</w:t>
            </w:r>
          </w:p>
        </w:tc>
      </w:tr>
      <w:tr w:rsidR="00693851" w:rsidRPr="008F6BC4" w14:paraId="6BC6D62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6CEB1E" w14:textId="77777777" w:rsidR="00693851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Logos y documentos</w:t>
            </w:r>
          </w:p>
        </w:tc>
        <w:tc>
          <w:tcPr>
            <w:tcW w:w="914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8497F8" w14:textId="77777777" w:rsidR="00693851" w:rsidRPr="008F6BC4" w:rsidRDefault="00000000">
            <w:pPr>
              <w:spacing w:after="0" w:line="240" w:lineRule="auto"/>
              <w:rPr>
                <w:lang w:val="es-MX"/>
              </w:rPr>
            </w:pPr>
            <w:r w:rsidRPr="008F6BC4">
              <w:rPr>
                <w:color w:val="000000"/>
                <w:sz w:val="17"/>
                <w:lang w:val="es-MX"/>
              </w:rPr>
              <w:t>Entregar y aprobar logos, lineamientos, dirección, actividad económica y textos legales.</w:t>
            </w:r>
          </w:p>
        </w:tc>
      </w:tr>
      <w:tr w:rsidR="00693851" w:rsidRPr="008F6BC4" w14:paraId="4059866A" w14:textId="77777777">
        <w:trPr>
          <w:cantSplit/>
          <w:jc w:val="center"/>
        </w:trPr>
        <w:tc>
          <w:tcPr>
            <w:tcW w:w="2232" w:type="dxa"/>
            <w:shd w:val="clear" w:color="auto" w:fill="F2F3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12F7A1" w14:textId="77777777" w:rsidR="00693851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Sitios e integraciones</w:t>
            </w:r>
          </w:p>
        </w:tc>
        <w:tc>
          <w:tcPr>
            <w:tcW w:w="9144" w:type="dxa"/>
            <w:shd w:val="clear" w:color="auto" w:fill="F2F3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B2A464" w14:textId="77777777" w:rsidR="00693851" w:rsidRPr="008F6BC4" w:rsidRDefault="00000000">
            <w:pPr>
              <w:spacing w:after="0" w:line="240" w:lineRule="auto"/>
              <w:rPr>
                <w:lang w:val="es-MX"/>
              </w:rPr>
            </w:pPr>
            <w:r w:rsidRPr="008F6BC4">
              <w:rPr>
                <w:color w:val="000000"/>
                <w:sz w:val="17"/>
                <w:lang w:val="es-MX"/>
              </w:rPr>
              <w:t>Identificar todas las interfaces actuales que deben protegerse.</w:t>
            </w:r>
          </w:p>
        </w:tc>
      </w:tr>
      <w:tr w:rsidR="00693851" w:rsidRPr="008F6BC4" w14:paraId="53B102E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867489" w14:textId="77777777" w:rsidR="00693851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Postventa</w:t>
            </w:r>
          </w:p>
        </w:tc>
        <w:tc>
          <w:tcPr>
            <w:tcW w:w="914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31986A" w14:textId="77777777" w:rsidR="00693851" w:rsidRPr="008F6BC4" w:rsidRDefault="00000000">
            <w:pPr>
              <w:spacing w:after="0" w:line="240" w:lineRule="auto"/>
              <w:rPr>
                <w:lang w:val="es-MX"/>
              </w:rPr>
            </w:pPr>
            <w:r w:rsidRPr="008F6BC4">
              <w:rPr>
                <w:color w:val="000000"/>
                <w:sz w:val="17"/>
                <w:lang w:val="es-MX"/>
              </w:rPr>
              <w:t>Confirmar talleres, agenda, territorios, asesores, mecánicos, servicios, garantías y reglas de segregación.</w:t>
            </w:r>
          </w:p>
        </w:tc>
      </w:tr>
      <w:tr w:rsidR="00693851" w:rsidRPr="008F6BC4" w14:paraId="48B750AD" w14:textId="77777777">
        <w:trPr>
          <w:cantSplit/>
          <w:jc w:val="center"/>
        </w:trPr>
        <w:tc>
          <w:tcPr>
            <w:tcW w:w="2232" w:type="dxa"/>
            <w:shd w:val="clear" w:color="auto" w:fill="F2F3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C872EA" w14:textId="77777777" w:rsidR="00693851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Datos operativos</w:t>
            </w:r>
          </w:p>
        </w:tc>
        <w:tc>
          <w:tcPr>
            <w:tcW w:w="9144" w:type="dxa"/>
            <w:shd w:val="clear" w:color="auto" w:fill="F2F3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ED5A8A" w14:textId="77777777" w:rsidR="00693851" w:rsidRPr="008F6BC4" w:rsidRDefault="00000000">
            <w:pPr>
              <w:spacing w:after="0" w:line="240" w:lineRule="auto"/>
              <w:rPr>
                <w:lang w:val="es-MX"/>
              </w:rPr>
            </w:pPr>
            <w:r w:rsidRPr="008F6BC4">
              <w:rPr>
                <w:color w:val="000000"/>
                <w:sz w:val="17"/>
                <w:lang w:val="es-MX"/>
              </w:rPr>
              <w:t>Confirmar bodegas, sucursales, precios, productos, listas, monedas, centros de costo y numeraciones oficiales.</w:t>
            </w:r>
          </w:p>
        </w:tc>
      </w:tr>
    </w:tbl>
    <w:p w14:paraId="3B9ECFF2" w14:textId="77777777" w:rsidR="00693851" w:rsidRPr="008F6BC4" w:rsidRDefault="00693851">
      <w:pPr>
        <w:spacing w:after="0"/>
        <w:rPr>
          <w:lang w:val="es-MX"/>
        </w:rPr>
      </w:pPr>
    </w:p>
    <w:sectPr w:rsidR="00693851" w:rsidRPr="008F6BC4" w:rsidSect="00034616">
      <w:headerReference w:type="default" r:id="rId8"/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AC082" w14:textId="77777777" w:rsidR="00D855BB" w:rsidRDefault="00D855BB">
      <w:pPr>
        <w:spacing w:after="0" w:line="240" w:lineRule="auto"/>
      </w:pPr>
      <w:r>
        <w:separator/>
      </w:r>
    </w:p>
  </w:endnote>
  <w:endnote w:type="continuationSeparator" w:id="0">
    <w:p w14:paraId="20B5688D" w14:textId="77777777" w:rsidR="00D855BB" w:rsidRDefault="00D85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B80F" w14:textId="77777777" w:rsidR="00693851" w:rsidRDefault="00000000">
    <w:pPr>
      <w:pStyle w:val="Footer"/>
      <w:jc w:val="right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 w:rsidR="008F6BC4">
      <w:rPr>
        <w:sz w:val="16"/>
      </w:rPr>
      <w:fldChar w:fldCharType="separate"/>
    </w:r>
    <w:r w:rsidR="008F6BC4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14FB8" w14:textId="77777777" w:rsidR="00D855BB" w:rsidRDefault="00D855BB">
      <w:pPr>
        <w:spacing w:after="0" w:line="240" w:lineRule="auto"/>
      </w:pPr>
      <w:r>
        <w:separator/>
      </w:r>
    </w:p>
  </w:footnote>
  <w:footnote w:type="continuationSeparator" w:id="0">
    <w:p w14:paraId="778E0395" w14:textId="77777777" w:rsidR="00D855BB" w:rsidRDefault="00D85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1E79" w14:textId="77777777" w:rsidR="00693851" w:rsidRDefault="00000000">
    <w:pPr>
      <w:pStyle w:val="Header"/>
      <w:jc w:val="right"/>
    </w:pPr>
    <w:r>
      <w:rPr>
        <w:color w:val="777777"/>
        <w:sz w:val="16"/>
      </w:rPr>
      <w:t>TD-RQ308 | Diferencias de alcance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A32FD"/>
    <w:multiLevelType w:val="hybridMultilevel"/>
    <w:tmpl w:val="44A83BBE"/>
    <w:lvl w:ilvl="0" w:tplc="3E6C106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2384A"/>
    <w:multiLevelType w:val="hybridMultilevel"/>
    <w:tmpl w:val="DF00BE66"/>
    <w:lvl w:ilvl="0" w:tplc="17AC615E">
      <w:start w:val="3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82543">
    <w:abstractNumId w:val="8"/>
  </w:num>
  <w:num w:numId="2" w16cid:durableId="1035738624">
    <w:abstractNumId w:val="6"/>
  </w:num>
  <w:num w:numId="3" w16cid:durableId="886261903">
    <w:abstractNumId w:val="5"/>
  </w:num>
  <w:num w:numId="4" w16cid:durableId="833884658">
    <w:abstractNumId w:val="4"/>
  </w:num>
  <w:num w:numId="5" w16cid:durableId="1457483314">
    <w:abstractNumId w:val="7"/>
  </w:num>
  <w:num w:numId="6" w16cid:durableId="1857578770">
    <w:abstractNumId w:val="3"/>
  </w:num>
  <w:num w:numId="7" w16cid:durableId="198705393">
    <w:abstractNumId w:val="2"/>
  </w:num>
  <w:num w:numId="8" w16cid:durableId="2116632565">
    <w:abstractNumId w:val="1"/>
  </w:num>
  <w:num w:numId="9" w16cid:durableId="896663951">
    <w:abstractNumId w:val="0"/>
  </w:num>
  <w:num w:numId="10" w16cid:durableId="788403354">
    <w:abstractNumId w:val="9"/>
  </w:num>
  <w:num w:numId="11" w16cid:durableId="16887544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711"/>
    <w:rsid w:val="00693851"/>
    <w:rsid w:val="008F6BC4"/>
    <w:rsid w:val="0095389A"/>
    <w:rsid w:val="00AA1D8D"/>
    <w:rsid w:val="00B47730"/>
    <w:rsid w:val="00CB0664"/>
    <w:rsid w:val="00CE0E88"/>
    <w:rsid w:val="00D855BB"/>
    <w:rsid w:val="00FC693F"/>
    <w:rsid w:val="00FE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5C3C8"/>
  <w14:defaultImageDpi w14:val="300"/>
  <w15:docId w15:val="{CCB00D02-8B71-49E6-A4DD-AFB8BE0A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C820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C820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C820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Arial" w:eastAsia="Arial" w:hAnsi="Arial"/>
      <w:sz w:val="16"/>
    </w:rPr>
  </w:style>
  <w:style w:type="paragraph" w:customStyle="1" w:styleId="Note">
    <w:name w:val="Note"/>
    <w:pPr>
      <w:spacing w:after="80"/>
    </w:pPr>
    <w:rPr>
      <w:rFonts w:ascii="Arial" w:eastAsia="Arial" w:hAnsi="Arial"/>
      <w:i/>
      <w:color w:val="55555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1339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TD-RQ308 - Validación de diferencias de alcance</vt:lpstr>
    </vt:vector>
  </TitlesOfParts>
  <Manager/>
  <Company/>
  <LinksUpToDate>false</LinksUpToDate>
  <CharactersWithSpaces>8687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TD-RQ308 - Validación de diferencias de alcance</dc:title>
  <dc:subject>Comparación de alcance PortalNet vs Requerimiento PEKING v0.13</dc:subject>
  <dc:creator>PortalNet - revisión interna</dc:creator>
  <cp:keywords>Red Motors, PEKING, TD-RQ308, alcance, Salesforce, Softland</cp:keywords>
  <dc:description>generated by python-docx</dc:description>
  <cp:lastModifiedBy>Clo Clo</cp:lastModifiedBy>
  <cp:revision>3</cp:revision>
  <cp:lastPrinted>2026-08-05T19:57:00Z</cp:lastPrinted>
  <dcterms:created xsi:type="dcterms:W3CDTF">2026-08-05T19:57:00Z</dcterms:created>
  <dcterms:modified xsi:type="dcterms:W3CDTF">2026-08-05T19:58:00Z</dcterms:modified>
  <cp:category/>
</cp:coreProperties>
</file>