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2"/>
          <w:szCs w:val="22"/>
        </w:rPr>
        <w:t xml:space="preserve">PROPUESTA DE PROYECTO DE TÍTULO</w:t>
      </w:r>
    </w:p>
    <w:p>
      <w:pPr>
        <w:spacing w:after="300"/>
      </w:pPr>
      <w:r>
        <w:rPr>
          <w:b/>
          <w:bCs/>
          <w:sz w:val="40"/>
          <w:szCs w:val="40"/>
        </w:rPr>
        <w:t xml:space="preserve">CuidaTrack — Plataforma transaccional de registro, reportería y analítica para cuidadores informales de personas mayores</w:t>
      </w:r>
    </w:p>
    <w:p>
      <w:pPr>
        <w:spacing w:after="160"/>
        <w:jc w:val="both"/>
      </w:pPr>
      <w:r>
        <w:rPr>
          <w:i/>
          <w:iCs/>
          <w:color w:val="555555"/>
          <w:sz w:val="20"/>
          <w:szCs w:val="20"/>
        </w:rPr>
        <w:t xml:space="preserve">Nombre completo del nombre tentativo del proyecto y del/la estudiante se pueden ajustar antes de presentarlo. Este documento resume el problema, los objetivos, el alcance técnico y el modelo de sostenibilidad de la propuesta.</w:t>
      </w:r>
    </w:p>
    <w:p>
      <w:pPr>
        <w:pStyle w:val="Heading1"/>
        <w:spacing w:after="160" w:before="360"/>
      </w:pPr>
      <w:r>
        <w:t xml:space="preserve">1. Contexto y justificación del problema</w:t>
      </w:r>
    </w:p>
    <w:p>
      <w:pPr>
        <w:spacing w:after="160"/>
        <w:jc w:val="both"/>
      </w:pPr>
      <w:r>
        <w:t xml:space="preserve">En Chile, el cuidado de personas mayores dependientes recae mayoritariamente en familiares que ejercen este rol de forma informal, sin remuneración ni formación específica. Diversos estudios muestran la magnitud del problema:</w:t>
      </w:r>
    </w:p>
    <w:p>
      <w:pPr>
        <w:pStyle w:val="ListParagraph"/>
        <w:numPr>
          <w:ilvl w:val="0"/>
          <w:numId w:val="2"/>
        </w:numPr>
        <w:spacing w:after="90"/>
      </w:pPr>
      <w:r>
        <w:t xml:space="preserve">Las personas cuidadoras informales de adultos mayores dedican en promedio 16,8 horas diarias al cuidado, cifra que aumenta junto con la severidad de la dependencia de la persona cuidada (Estudio Nacional MICARE, 2023).</w:t>
      </w:r>
    </w:p>
    <w:p>
      <w:pPr>
        <w:pStyle w:val="ListParagraph"/>
        <w:numPr>
          <w:ilvl w:val="0"/>
          <w:numId w:val="2"/>
        </w:numPr>
        <w:spacing w:after="90"/>
      </w:pPr>
      <w:r>
        <w:t xml:space="preserve">Un estudio en atención primaria de salud determinó que el 69,77% de los cuidadores principales presentó algún grado de sobrecarga, medida con la Escala de Zarit.</w:t>
      </w:r>
    </w:p>
    <w:p>
      <w:pPr>
        <w:pStyle w:val="ListParagraph"/>
        <w:numPr>
          <w:ilvl w:val="0"/>
          <w:numId w:val="2"/>
        </w:numPr>
        <w:spacing w:after="90"/>
      </w:pPr>
      <w:r>
        <w:t xml:space="preserve">La cobertura de programas estatales de apoyo es muy baja: el programa Chile Cuida alcanzaba en 2018 solo al 0,08% de la población estimada que requería cuidados.</w:t>
      </w:r>
    </w:p>
    <w:p>
      <w:pPr>
        <w:pStyle w:val="ListParagraph"/>
        <w:numPr>
          <w:ilvl w:val="0"/>
          <w:numId w:val="2"/>
        </w:numPr>
        <w:spacing w:after="90"/>
      </w:pPr>
      <w:r>
        <w:t xml:space="preserve">Únicamente un 2,4% de quienes cuidan reciben algún tipo de remuneración por esta labor (Observatorio del Envejecimiento UC, 2023).</w:t>
      </w:r>
    </w:p>
    <w:p>
      <w:pPr>
        <w:spacing w:after="160"/>
        <w:jc w:val="both"/>
      </w:pPr>
      <w:r>
        <w:t xml:space="preserve">Estas cifras evidencian un problema real, masivo y con escaso respaldo tecnológico o institucional: los cuidadores no cuentan con herramientas que les permitan organizar el cuidado diario, detectar a tiempo su propio desgaste, ni conocer los beneficios a los que podrían acceder.</w:t>
      </w:r>
    </w:p>
    <w:p>
      <w:pPr>
        <w:pStyle w:val="Heading1"/>
        <w:spacing w:after="160" w:before="360"/>
      </w:pPr>
      <w:r>
        <w:t xml:space="preserve">2. Objetivo general</w:t>
      </w:r>
    </w:p>
    <w:p>
      <w:pPr>
        <w:spacing w:after="160"/>
        <w:jc w:val="both"/>
      </w:pPr>
      <w:r>
        <w:t xml:space="preserve">Desarrollar una plataforma web transaccional que permita a cuidadores informales de personas mayores registrar, reportar y analizar el proceso de cuidado diario, incorporando una capa de interpretación asistida por inteligencia artificial que facilite la toma de decisiones y el autocuidado del propio cuidador.</w:t>
      </w:r>
    </w:p>
    <w:p>
      <w:pPr>
        <w:pStyle w:val="Heading1"/>
        <w:spacing w:after="160" w:before="360"/>
      </w:pPr>
      <w:r>
        <w:t xml:space="preserve">3. Objetivos específicos</w:t>
      </w:r>
    </w:p>
    <w:p>
      <w:pPr>
        <w:pStyle w:val="ListParagraph"/>
        <w:numPr>
          <w:ilvl w:val="0"/>
          <w:numId w:val="3"/>
        </w:numPr>
        <w:spacing w:after="90"/>
      </w:pPr>
      <w:r>
        <w:t xml:space="preserve">Diseñar y modelar una base de datos transaccional que soporte el registro estructurado de actividades de cuidado, administración de medicamentos y citas médicas.</w:t>
      </w:r>
    </w:p>
    <w:p>
      <w:pPr>
        <w:pStyle w:val="ListParagraph"/>
        <w:numPr>
          <w:ilvl w:val="0"/>
          <w:numId w:val="3"/>
        </w:numPr>
        <w:spacing w:after="90"/>
      </w:pPr>
      <w:r>
        <w:t xml:space="preserve">Desarrollar módulos de reportería y analítica que permitan visualizar la adherencia a tratamientos y la evolución del nivel de sobrecarga del cuidador en el tiempo.</w:t>
      </w:r>
    </w:p>
    <w:p>
      <w:pPr>
        <w:pStyle w:val="ListParagraph"/>
        <w:numPr>
          <w:ilvl w:val="0"/>
          <w:numId w:val="3"/>
        </w:numPr>
        <w:spacing w:after="90"/>
      </w:pPr>
      <w:r>
        <w:t xml:space="preserve">Implementar mecanismos de alerta temprana basados en patrones de registro, como omisión de dosis o inactividad prolongada del cuidador.</w:t>
      </w:r>
    </w:p>
    <w:p>
      <w:pPr>
        <w:pStyle w:val="ListParagraph"/>
        <w:numPr>
          <w:ilvl w:val="0"/>
          <w:numId w:val="3"/>
        </w:numPr>
        <w:spacing w:after="90"/>
      </w:pPr>
      <w:r>
        <w:t xml:space="preserve">Integrar un agente de inteligencia artificial capaz de interpretar los datos transaccionales generados por el propio sistema y comunicarlos en lenguaje natural al usuario.</w:t>
      </w:r>
    </w:p>
    <w:p>
      <w:pPr>
        <w:pStyle w:val="ListParagraph"/>
        <w:numPr>
          <w:ilvl w:val="0"/>
          <w:numId w:val="3"/>
        </w:numPr>
        <w:spacing w:after="90"/>
      </w:pPr>
      <w:r>
        <w:t xml:space="preserve">Validar la usabilidad y utilidad percibida de la plataforma mediante pruebas con usuarios reales o simulados.</w:t>
      </w:r>
    </w:p>
    <w:p>
      <w:pPr>
        <w:pStyle w:val="Heading1"/>
        <w:spacing w:after="160" w:before="360"/>
      </w:pPr>
      <w:r>
        <w:t xml:space="preserve">4. Alcance del proyecto (MVP)</w:t>
      </w:r>
    </w:p>
    <w:p>
      <w:pPr>
        <w:pStyle w:val="Heading2"/>
        <w:spacing w:after="120" w:before="240"/>
      </w:pPr>
      <w:r>
        <w:t xml:space="preserve">4.1 Núcleo transaccional</w:t>
      </w:r>
    </w:p>
    <w:p>
      <w:pPr>
        <w:spacing w:after="160"/>
        <w:jc w:val="both"/>
      </w:pPr>
      <w:r>
        <w:t xml:space="preserve">Es la base del sistema: el cuidador registra diariamente medicamentos administrados (hora, dosis y cumplimiento de ventana horaria), actividades de cuidado (higiene, alimentación, movilidad, signos vitales), citas médicas y horas dedicadas al cuidado. Cada registro queda sujeto a reglas de negocio, por ejemplo, validar si una dosis se ingresó fuera del horario esperado.</w:t>
      </w:r>
    </w:p>
    <w:p>
      <w:pPr>
        <w:pStyle w:val="Heading2"/>
        <w:spacing w:after="120" w:before="240"/>
      </w:pPr>
      <w:r>
        <w:t xml:space="preserve">4.2 Capa de reportería y analítica</w:t>
      </w:r>
    </w:p>
    <w:p>
      <w:pPr>
        <w:pStyle w:val="ListParagraph"/>
        <w:numPr>
          <w:ilvl w:val="0"/>
          <w:numId w:val="2"/>
        </w:numPr>
        <w:spacing w:after="90"/>
      </w:pPr>
      <w:r>
        <w:t xml:space="preserve">Dashboard de adherencia a medicamentos (porcentaje de cumplimiento semanal/mensual).</w:t>
      </w:r>
    </w:p>
    <w:p>
      <w:pPr>
        <w:pStyle w:val="ListParagraph"/>
        <w:numPr>
          <w:ilvl w:val="0"/>
          <w:numId w:val="2"/>
        </w:numPr>
        <w:spacing w:after="90"/>
      </w:pPr>
      <w:r>
        <w:t xml:space="preserve">Evolución del nivel de sobrecarga del cuidador en el tiempo, mediante una versión simplificada de la Escala de Zarit.</w:t>
      </w:r>
    </w:p>
    <w:p>
      <w:pPr>
        <w:pStyle w:val="ListParagraph"/>
        <w:numPr>
          <w:ilvl w:val="0"/>
          <w:numId w:val="2"/>
        </w:numPr>
        <w:spacing w:after="90"/>
      </w:pPr>
      <w:r>
        <w:t xml:space="preserve">Reportes exportables, útiles para mostrar a un profesional de salud o para postular a beneficios.</w:t>
      </w:r>
    </w:p>
    <w:p>
      <w:pPr>
        <w:pStyle w:val="ListParagraph"/>
        <w:numPr>
          <w:ilvl w:val="0"/>
          <w:numId w:val="2"/>
        </w:numPr>
        <w:spacing w:after="90"/>
      </w:pPr>
      <w:r>
        <w:t xml:space="preserve">Alertas tempranas cuando el patrón de registro sugiere descuido o sobrecarga (por ejemplo, caída abrupta en la frecuencia de registro).</w:t>
      </w:r>
    </w:p>
    <w:p>
      <w:pPr>
        <w:pStyle w:val="Heading2"/>
        <w:spacing w:after="120" w:before="240"/>
      </w:pPr>
      <w:r>
        <w:t xml:space="preserve">4.3 Capa de inteligencia artificial</w:t>
      </w:r>
    </w:p>
    <w:p>
      <w:pPr>
        <w:spacing w:after="160"/>
        <w:jc w:val="both"/>
      </w:pPr>
      <w:r>
        <w:t xml:space="preserve">La IA no reemplaza al núcleo transaccional ni da consejo médico: su función es leer los datos que el propio sistema ya generó y explicarlos en lenguaje simple. Por ejemplo: “esta semana se omitieron 3 dosis y el nivel de sobrecarga subió un 15% respecto al mes anterior”. También permite responder preguntas puntuales del cuidador sobre sus propios registros históricos.</w:t>
      </w:r>
    </w:p>
    <w:p>
      <w:pPr>
        <w:pStyle w:val="Heading1"/>
        <w:spacing w:after="160" w:before="360"/>
      </w:pPr>
      <w:r>
        <w:t xml:space="preserve">5. Arquitectura técnica propuesta</w:t>
      </w:r>
    </w:p>
    <w:p>
      <w:pPr>
        <w:pStyle w:val="ListParagraph"/>
        <w:numPr>
          <w:ilvl w:val="0"/>
          <w:numId w:val="2"/>
        </w:numPr>
        <w:spacing w:after="90"/>
      </w:pPr>
      <w:r>
        <w:t xml:space="preserve">Frontend: aplicación web (React).</w:t>
      </w:r>
    </w:p>
    <w:p>
      <w:pPr>
        <w:pStyle w:val="ListParagraph"/>
        <w:numPr>
          <w:ilvl w:val="0"/>
          <w:numId w:val="2"/>
        </w:numPr>
        <w:spacing w:after="90"/>
      </w:pPr>
      <w:r>
        <w:t xml:space="preserve">Backend: API REST (Node.js o Python).</w:t>
      </w:r>
    </w:p>
    <w:p>
      <w:pPr>
        <w:pStyle w:val="ListParagraph"/>
        <w:numPr>
          <w:ilvl w:val="0"/>
          <w:numId w:val="2"/>
        </w:numPr>
        <w:spacing w:after="90"/>
      </w:pPr>
      <w:r>
        <w:t xml:space="preserve">Base de datos: relacional (PostgreSQL o MySQL) para soportar la lógica transaccional.</w:t>
      </w:r>
    </w:p>
    <w:p>
      <w:pPr>
        <w:pStyle w:val="ListParagraph"/>
        <w:numPr>
          <w:ilvl w:val="0"/>
          <w:numId w:val="2"/>
        </w:numPr>
        <w:spacing w:after="90"/>
      </w:pPr>
      <w:r>
        <w:t xml:space="preserve">Motor de IA: modelo de lenguaje vía API, restringido a analizar los datos propios del usuario y, opcionalmente, fuentes oficiales (MINSAL, SENAMA) para preguntas generales de cuidado.</w:t>
      </w:r>
    </w:p>
    <w:p>
      <w:pPr>
        <w:pStyle w:val="ListParagraph"/>
        <w:numPr>
          <w:ilvl w:val="0"/>
          <w:numId w:val="2"/>
        </w:numPr>
        <w:spacing w:after="90"/>
      </w:pPr>
      <w:r>
        <w:t xml:space="preserve">Autenticación de usuarios y control de acceso a los datos.</w:t>
      </w:r>
    </w:p>
    <w:p>
      <w:pPr>
        <w:pStyle w:val="Heading1"/>
        <w:spacing w:after="160" w:before="360"/>
      </w:pPr>
      <w:r>
        <w:t xml:space="preserve">6. Modelo de sostenibilidad financiera</w:t>
      </w:r>
    </w:p>
    <w:p>
      <w:pPr>
        <w:spacing w:after="160"/>
        <w:jc w:val="both"/>
      </w:pPr>
      <w:r>
        <w:t xml:space="preserve">Dado que el perfil del cuidador informal suele pertenecer a hogares de menores ingresos, cobrar directamente al usuario final no es el modelo más adecuado. Se propone un modelo B2B2C: la plataforma se licencia a instituciones, y el cuidador la usa sin costo.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600"/>
      </w:tblGrid>
      <w:tr>
        <w:tc>
          <w:tcPr>
            <w:tcW w:type="pct" w:w="22%"/>
            <w:shd w:fill="1F4E79" w:val="clear"/>
            <w:tcMar>
              <w:top w:type="dxa" w:w="100"/>
              <w:left w:type="dxa" w:w="120"/>
              <w:bottom w:type="dxa" w:w="100"/>
              <w:right w:type="dxa" w:w="120"/>
            </w:tcMar>
            <w:vAlign w:val="center"/>
          </w:tcPr>
          <w:p>
            <w:r>
              <w:rPr>
                <w:b/>
                <w:bCs/>
                <w:color w:val="FFFFFF"/>
                <w:sz w:val="20"/>
                <w:szCs w:val="20"/>
              </w:rPr>
              <w:t xml:space="preserve">Modelo</w:t>
            </w:r>
          </w:p>
        </w:tc>
        <w:tc>
          <w:tcPr>
            <w:tcW w:type="pct" w:w="56%"/>
            <w:shd w:fill="1F4E79" w:val="clear"/>
            <w:tcMar>
              <w:top w:type="dxa" w:w="100"/>
              <w:left w:type="dxa" w:w="120"/>
              <w:bottom w:type="dxa" w:w="100"/>
              <w:right w:type="dxa" w:w="120"/>
            </w:tcMar>
            <w:vAlign w:val="center"/>
          </w:tcPr>
          <w:p>
            <w:r>
              <w:rPr>
                <w:b/>
                <w:bCs/>
                <w:color w:val="FFFFFF"/>
                <w:sz w:val="20"/>
                <w:szCs w:val="20"/>
              </w:rPr>
              <w:t xml:space="preserve">Descripción</w:t>
            </w:r>
          </w:p>
        </w:tc>
        <w:tc>
          <w:tcPr>
            <w:tcW w:type="pct" w:w="22%"/>
            <w:shd w:fill="1F4E79" w:val="clear"/>
            <w:tcMar>
              <w:top w:type="dxa" w:w="100"/>
              <w:left w:type="dxa" w:w="120"/>
              <w:bottom w:type="dxa" w:w="100"/>
              <w:right w:type="dxa" w:w="120"/>
            </w:tcMar>
            <w:vAlign w:val="center"/>
          </w:tcPr>
          <w:p>
            <w:r>
              <w:rPr>
                <w:b/>
                <w:bCs/>
                <w:color w:val="FFFFFF"/>
                <w:sz w:val="20"/>
                <w:szCs w:val="20"/>
              </w:rPr>
              <w:t xml:space="preserve">Rol en el proyecto</w:t>
            </w:r>
          </w:p>
        </w:tc>
      </w:tr>
      <w:tr>
        <w:tc>
          <w:tcPr>
            <w:tcW w:type="pct" w:w="33%"/>
            <w:tcMar>
              <w:top w:type="dxa" w:w="100"/>
              <w:left w:type="dxa" w:w="120"/>
              <w:bottom w:type="dxa" w:w="100"/>
              <w:right w:type="dxa" w:w="120"/>
            </w:tcMar>
            <w:vAlign w:val="center"/>
          </w:tcPr>
          <w:p>
            <w:r>
              <w:rPr>
                <w:b w:val="false"/>
                <w:bCs w:val="false"/>
                <w:sz w:val="20"/>
                <w:szCs w:val="20"/>
              </w:rPr>
              <w:t xml:space="preserve">B2B2C institucional</w:t>
            </w:r>
          </w:p>
        </w:tc>
        <w:tc>
          <w:tcPr>
            <w:tcW w:type="pct" w:w="33%"/>
            <w:tcMar>
              <w:top w:type="dxa" w:w="100"/>
              <w:left w:type="dxa" w:w="120"/>
              <w:bottom w:type="dxa" w:w="100"/>
              <w:right w:type="dxa" w:w="120"/>
            </w:tcMar>
            <w:vAlign w:val="center"/>
          </w:tcPr>
          <w:p>
            <w:r>
              <w:rPr>
                <w:b w:val="false"/>
                <w:bCs w:val="false"/>
                <w:sz w:val="20"/>
                <w:szCs w:val="20"/>
              </w:rPr>
              <w:t xml:space="preserve">Licenciamiento a municipalidades (oficinas Chile Cuida/Adulto Mayor), CESFAM, ELEAM o isapres, quienes pagan una suscripción y ofrecen la plataforma gratis al cuidador.</w:t>
            </w:r>
          </w:p>
        </w:tc>
        <w:tc>
          <w:tcPr>
            <w:tcW w:type="pct" w:w="33%"/>
            <w:tcMar>
              <w:top w:type="dxa" w:w="100"/>
              <w:left w:type="dxa" w:w="120"/>
              <w:bottom w:type="dxa" w:w="100"/>
              <w:right w:type="dxa" w:w="120"/>
            </w:tcMar>
            <w:vAlign w:val="center"/>
          </w:tcPr>
          <w:p>
            <w:r>
              <w:rPr>
                <w:b w:val="false"/>
                <w:bCs w:val="false"/>
                <w:sz w:val="20"/>
                <w:szCs w:val="20"/>
              </w:rPr>
              <w:t xml:space="preserve">Modelo principal</w:t>
            </w:r>
          </w:p>
        </w:tc>
      </w:tr>
      <w:tr>
        <w:tc>
          <w:tcPr>
            <w:tcW w:type="pct" w:w="33%"/>
            <w:tcMar>
              <w:top w:type="dxa" w:w="100"/>
              <w:left w:type="dxa" w:w="120"/>
              <w:bottom w:type="dxa" w:w="100"/>
              <w:right w:type="dxa" w:w="120"/>
            </w:tcMar>
            <w:vAlign w:val="center"/>
          </w:tcPr>
          <w:p>
            <w:r>
              <w:rPr>
                <w:b w:val="false"/>
                <w:bCs w:val="false"/>
                <w:sz w:val="20"/>
                <w:szCs w:val="20"/>
              </w:rPr>
              <w:t xml:space="preserve">Fondos públicos / concursables</w:t>
            </w:r>
          </w:p>
        </w:tc>
        <w:tc>
          <w:tcPr>
            <w:tcW w:type="pct" w:w="33%"/>
            <w:tcMar>
              <w:top w:type="dxa" w:w="100"/>
              <w:left w:type="dxa" w:w="120"/>
              <w:bottom w:type="dxa" w:w="100"/>
              <w:right w:type="dxa" w:w="120"/>
            </w:tcMar>
            <w:vAlign w:val="center"/>
          </w:tcPr>
          <w:p>
            <w:r>
              <w:rPr>
                <w:b w:val="false"/>
                <w:bCs w:val="false"/>
                <w:sz w:val="20"/>
                <w:szCs w:val="20"/>
              </w:rPr>
              <w:t xml:space="preserve">Postulación a fondos de innovación social (CORFO, FOSIS) o presupuesto municipal, dado que el Estado ya invierte en programas de cuidado con cobertura muy baja.</w:t>
            </w:r>
          </w:p>
        </w:tc>
        <w:tc>
          <w:tcPr>
            <w:tcW w:type="pct" w:w="33%"/>
            <w:tcMar>
              <w:top w:type="dxa" w:w="100"/>
              <w:left w:type="dxa" w:w="120"/>
              <w:bottom w:type="dxa" w:w="100"/>
              <w:right w:type="dxa" w:w="120"/>
            </w:tcMar>
            <w:vAlign w:val="center"/>
          </w:tcPr>
          <w:p>
            <w:r>
              <w:rPr>
                <w:b w:val="false"/>
                <w:bCs w:val="false"/>
                <w:sz w:val="20"/>
                <w:szCs w:val="20"/>
              </w:rPr>
              <w:t xml:space="preserve">Modelo de respaldo</w:t>
            </w:r>
          </w:p>
        </w:tc>
      </w:tr>
      <w:tr>
        <w:tc>
          <w:tcPr>
            <w:tcW w:type="pct" w:w="33%"/>
            <w:tcMar>
              <w:top w:type="dxa" w:w="100"/>
              <w:left w:type="dxa" w:w="120"/>
              <w:bottom w:type="dxa" w:w="100"/>
              <w:right w:type="dxa" w:w="120"/>
            </w:tcMar>
            <w:vAlign w:val="center"/>
          </w:tcPr>
          <w:p>
            <w:r>
              <w:rPr>
                <w:b w:val="false"/>
                <w:bCs w:val="false"/>
                <w:sz w:val="20"/>
                <w:szCs w:val="20"/>
              </w:rPr>
              <w:t xml:space="preserve">Freemium liviano</w:t>
            </w:r>
          </w:p>
        </w:tc>
        <w:tc>
          <w:tcPr>
            <w:tcW w:type="pct" w:w="33%"/>
            <w:tcMar>
              <w:top w:type="dxa" w:w="100"/>
              <w:left w:type="dxa" w:w="120"/>
              <w:bottom w:type="dxa" w:w="100"/>
              <w:right w:type="dxa" w:w="120"/>
            </w:tcMar>
            <w:vAlign w:val="center"/>
          </w:tcPr>
          <w:p>
            <w:r>
              <w:rPr>
                <w:b w:val="false"/>
                <w:bCs w:val="false"/>
                <w:sz w:val="20"/>
                <w:szCs w:val="20"/>
              </w:rPr>
              <w:t xml:space="preserve">Registro y reportes básicos gratuitos; funciones avanzadas (exportación, históricos extendidos) como plan pago opcional.</w:t>
            </w:r>
          </w:p>
        </w:tc>
        <w:tc>
          <w:tcPr>
            <w:tcW w:type="pct" w:w="33%"/>
            <w:tcMar>
              <w:top w:type="dxa" w:w="100"/>
              <w:left w:type="dxa" w:w="120"/>
              <w:bottom w:type="dxa" w:w="100"/>
              <w:right w:type="dxa" w:w="120"/>
            </w:tcMar>
            <w:vAlign w:val="center"/>
          </w:tcPr>
          <w:p>
            <w:r>
              <w:rPr>
                <w:b w:val="false"/>
                <w:bCs w:val="false"/>
                <w:sz w:val="20"/>
                <w:szCs w:val="20"/>
              </w:rPr>
              <w:t xml:space="preserve">Complemento opcional</w:t>
            </w:r>
          </w:p>
        </w:tc>
      </w:tr>
    </w:tbl>
    <w:p>
      <w:pPr>
        <w:spacing w:after="200"/>
      </w:pPr>
    </w:p>
    <w:p>
      <w:pPr>
        <w:pStyle w:val="Heading1"/>
        <w:spacing w:after="160" w:before="360"/>
      </w:pPr>
      <w:r>
        <w:t xml:space="preserve">7. Plan de validación y evaluación</w:t>
      </w:r>
    </w:p>
    <w:p>
      <w:pPr>
        <w:pStyle w:val="ListParagraph"/>
        <w:numPr>
          <w:ilvl w:val="0"/>
          <w:numId w:val="2"/>
        </w:numPr>
        <w:spacing w:after="90"/>
      </w:pPr>
      <w:r>
        <w:t xml:space="preserve">Pruebas funcionales del núcleo transaccional y las reglas de negocio.</w:t>
      </w:r>
    </w:p>
    <w:p>
      <w:pPr>
        <w:pStyle w:val="ListParagraph"/>
        <w:numPr>
          <w:ilvl w:val="0"/>
          <w:numId w:val="2"/>
        </w:numPr>
        <w:spacing w:after="90"/>
      </w:pPr>
      <w:r>
        <w:t xml:space="preserve">Pruebas de usabilidad con un grupo reducido de cuidadores reales o simulados (5 a 10 personas).</w:t>
      </w:r>
    </w:p>
    <w:p>
      <w:pPr>
        <w:pStyle w:val="ListParagraph"/>
        <w:numPr>
          <w:ilvl w:val="0"/>
          <w:numId w:val="2"/>
        </w:numPr>
        <w:spacing w:after="90"/>
      </w:pPr>
      <w:r>
        <w:t xml:space="preserve">Métricas de evaluación: precisión de las alertas generadas, tiempo promedio para registrar una actividad, y comprensión de los reportes por parte de los usuarios sin ayuda externa.</w:t>
      </w:r>
    </w:p>
    <w:p>
      <w:pPr>
        <w:pStyle w:val="Heading1"/>
        <w:spacing w:after="160" w:before="360"/>
      </w:pPr>
      <w:r>
        <w:t xml:space="preserve">8. Consideraciones éticas y riesgos</w:t>
      </w:r>
    </w:p>
    <w:p>
      <w:pPr>
        <w:pStyle w:val="ListParagraph"/>
        <w:numPr>
          <w:ilvl w:val="0"/>
          <w:numId w:val="2"/>
        </w:numPr>
        <w:spacing w:after="90"/>
      </w:pPr>
      <w:r>
        <w:t xml:space="preserve">El sistema no diagnostica ni entrega indicaciones médicas específicas (dosis, tratamientos); solo informa y deriva a un profesional cuando corresponde.</w:t>
      </w:r>
    </w:p>
    <w:p>
      <w:pPr>
        <w:pStyle w:val="ListParagraph"/>
        <w:numPr>
          <w:ilvl w:val="0"/>
          <w:numId w:val="2"/>
        </w:numPr>
        <w:spacing w:after="90"/>
      </w:pPr>
      <w:r>
        <w:t xml:space="preserve">Los datos registrados son sensibles (salud de terceros), por lo que el diseño debe considerar la normativa chilena de protección de datos personales (Ley 19.628).</w:t>
      </w:r>
    </w:p>
    <w:p>
      <w:pPr>
        <w:pStyle w:val="ListParagraph"/>
        <w:numPr>
          <w:ilvl w:val="0"/>
          <w:numId w:val="2"/>
        </w:numPr>
        <w:spacing w:after="90"/>
      </w:pPr>
      <w:r>
        <w:t xml:space="preserve">El bajo nivel de registro por parte del cuidador es un riesgo para la calidad de los reportes; se mitiga con una interfaz de registro mínima (pocos clics) y recordatorios.</w:t>
      </w:r>
    </w:p>
    <w:p>
      <w:pPr>
        <w:pStyle w:val="Heading1"/>
        <w:spacing w:after="160" w:before="360"/>
      </w:pPr>
      <w:r>
        <w:t xml:space="preserve">Anexo: Preguntas anticipadas del jurado</w:t>
      </w:r>
    </w:p>
    <w:p>
      <w:pPr>
        <w:pStyle w:val="ListParagraph"/>
        <w:numPr>
          <w:ilvl w:val="0"/>
          <w:numId w:val="2"/>
        </w:numPr>
        <w:spacing w:after="90"/>
      </w:pPr>
      <w:r>
        <w:rPr>
          <w:b/>
          <w:bCs/>
        </w:rPr>
        <w:t xml:space="preserve">P: </w:t>
      </w:r>
      <w:r>
        <w:t xml:space="preserve">¿Por qué no usar una app existente de recordatorio de pastillas? — Porque esas apps solo recuerdan; esta propuesta integra registro, reportería y analítica en una sola herramienta, algo que no existe combinado hoy en Chile.</w:t>
      </w:r>
    </w:p>
    <w:p>
      <w:pPr>
        <w:pStyle w:val="ListParagraph"/>
        <w:numPr>
          <w:ilvl w:val="0"/>
          <w:numId w:val="2"/>
        </w:numPr>
        <w:spacing w:after="90"/>
      </w:pPr>
      <w:r>
        <w:rPr>
          <w:b/>
          <w:bCs/>
        </w:rPr>
        <w:t xml:space="preserve">P: </w:t>
      </w:r>
      <w:r>
        <w:t xml:space="preserve">¿Cómo se evita que la IA entregue un consejo médico riesgoso? — La IA solo interpreta datos que el propio sistema ya validó; no responde preguntas médicas abiertas ni diagnostica.</w:t>
      </w:r>
    </w:p>
    <w:p>
      <w:pPr>
        <w:pStyle w:val="ListParagraph"/>
        <w:numPr>
          <w:ilvl w:val="0"/>
          <w:numId w:val="2"/>
        </w:numPr>
        <w:spacing w:after="90"/>
      </w:pPr>
      <w:r>
        <w:rPr>
          <w:b/>
          <w:bCs/>
        </w:rPr>
        <w:t xml:space="preserve">P: </w:t>
      </w:r>
      <w:r>
        <w:t xml:space="preserve">¿Qué pasa si el cuidador no registra datos constantemente? — El registro está diseñado para ser mínimo, y la ausencia de registro es en sí misma una señal que el sistema puede usar para generar una alerta.</w:t>
      </w:r>
    </w:p>
    <w:p>
      <w:pPr>
        <w:pStyle w:val="ListParagraph"/>
        <w:numPr>
          <w:ilvl w:val="0"/>
          <w:numId w:val="2"/>
        </w:numPr>
        <w:spacing w:after="90"/>
      </w:pPr>
      <w:r>
        <w:rPr>
          <w:b/>
          <w:bCs/>
        </w:rPr>
        <w:t xml:space="preserve">P: </w:t>
      </w:r>
      <w:r>
        <w:t xml:space="preserve">¿Cómo se prueba el proyecto sin un caso real? — Con datos simulados para validar la lógica del sistema, y de ser posible, un piloto acotado con algunos cuidadores reales.</w:t>
      </w:r>
    </w:p>
    <w:p>
      <w:pPr>
        <w:pStyle w:val="ListParagraph"/>
        <w:numPr>
          <w:ilvl w:val="0"/>
          <w:numId w:val="2"/>
        </w:numPr>
        <w:spacing w:after="90"/>
      </w:pPr>
      <w:r>
        <w:rPr>
          <w:b/>
          <w:bCs/>
        </w:rPr>
        <w:t xml:space="preserve">P: </w:t>
      </w:r>
      <w:r>
        <w:t xml:space="preserve">¿Cómo se financia la solución a futuro? — Mediante licenciamiento institucional (B2B2C) a municipalidades, centros de salud o aseguradoras, respaldado por fondos públicos de innovación social.</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2026-08-28T16:25:49.780Z</dcterms:created>
  <dcterms:modified xsi:type="dcterms:W3CDTF">2026-08-28T16:25:49.793Z</dcterms:modified>
</cp:coreProperties>
</file>

<file path=docProps/custom.xml><?xml version="1.0" encoding="utf-8"?>
<Properties xmlns="http://schemas.openxmlformats.org/officeDocument/2006/custom-properties" xmlns:vt="http://schemas.openxmlformats.org/officeDocument/2006/docPropsVTypes"/>
</file>