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3864"/>
          <w:sz w:val="48"/>
          <w:szCs w:val="48"/>
        </w:rPr>
        <w:t xml:space="preserve">PLAN DE GESTIÓN DE COSTOS</w:t>
      </w:r>
    </w:p>
    <w:p>
      <w:pPr>
        <w:spacing w:after="240" w:before="0"/>
        <w:jc w:val="center"/>
      </w:pPr>
      <w:r>
        <w:rPr>
          <w:rFonts w:ascii="Arial" w:cs="Arial" w:eastAsia="Arial" w:hAnsi="Arial"/>
          <w:b/>
          <w:bCs/>
          <w:color w:val="2E75B6"/>
          <w:sz w:val="36"/>
          <w:szCs w:val="36"/>
        </w:rPr>
        <w:t xml:space="preserve">Plan de Gestión de Costos</w:t>
      </w:r>
    </w:p>
    <w:p>
      <w:pPr>
        <w:spacing w:after="720" w:before="0"/>
        <w:jc w:val="center"/>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Proyecto:</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PetCare MVP</w:t>
            </w:r>
          </w:p>
        </w:tc>
      </w:tr>
      <w:tr>
        <w:tc>
          <w:tcPr>
            <w:tcW w:type="dxa" w:w="2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Organización:</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UPTC – Universidad Pedagógica y Tecnológica de Colombia</w:t>
            </w:r>
          </w:p>
        </w:tc>
      </w:tr>
      <w:tr>
        <w:tc>
          <w:tcPr>
            <w:tcW w:type="dxa" w:w="2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Programa:</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Gerencia Informática – 2026-I</w:t>
            </w:r>
          </w:p>
        </w:tc>
      </w:tr>
      <w:tr>
        <w:tc>
          <w:tcPr>
            <w:tcW w:type="dxa" w:w="2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Ubicación:</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Tunja, Boyacá, Colombia</w:t>
            </w:r>
          </w:p>
        </w:tc>
      </w:tr>
      <w:tr>
        <w:tc>
          <w:tcPr>
            <w:tcW w:type="dxa" w:w="2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Versión:</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r>
      <w:tr>
        <w:tc>
          <w:tcPr>
            <w:tcW w:type="dxa" w:w="2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Fecha:</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 de mayo de 2026</w:t>
            </w:r>
          </w:p>
        </w:tc>
      </w:tr>
      <w:tr>
        <w:tc>
          <w:tcPr>
            <w:tcW w:type="dxa" w:w="2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Gerente de Proyecto:</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Harold Alvarado</w:t>
            </w:r>
          </w:p>
        </w:tc>
      </w:tr>
      <w:tr>
        <w:tc>
          <w:tcPr>
            <w:tcW w:type="dxa" w:w="2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Patrocinador:</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Docente Gerencia Informática UPTC</w:t>
            </w:r>
          </w:p>
        </w:tc>
      </w:tr>
      <w:tr>
        <w:tc>
          <w:tcPr>
            <w:tcW w:type="dxa" w:w="2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Moneda:</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Peso Colombiano (COP)</w:t>
            </w:r>
          </w:p>
        </w:tc>
      </w:tr>
    </w:tbl>
    <w:p>
      <w:pPr>
        <w:spacing w:after="120" w:before="120"/>
        <w:jc w:val="left"/>
      </w:pPr>
      <w:r>
        <w:rPr>
          <w:rFonts w:ascii="Arial" w:cs="Arial" w:eastAsia="Arial" w:hAnsi="Arial"/>
          <w:b w:val="false"/>
          <w:bCs w:val="false"/>
          <w:color w:val="000000"/>
          <w:sz w:val="22"/>
          <w:szCs w:val="22"/>
        </w:rPr>
        <w:t xml:space="preserve"/>
      </w:r>
    </w:p>
    <w:p>
      <w:pPr>
        <w:spacing w:after="0" w:before="240"/>
        <w:jc w:val="center"/>
      </w:pPr>
      <w:r>
        <w:rPr>
          <w:rFonts w:ascii="Arial" w:cs="Arial" w:eastAsia="Arial" w:hAnsi="Arial"/>
          <w:color w:val="555555"/>
          <w:sz w:val="20"/>
          <w:szCs w:val="20"/>
        </w:rPr>
        <w:t xml:space="preserve">Elaborado por el Equipo PetCare MVP</w:t>
      </w:r>
    </w:p>
    <w:p>
      <w:r>
        <w:br w:type="page"/>
      </w:r>
    </w:p>
    <w:p>
      <w:pPr>
        <w:pStyle w:val="Heading1"/>
        <w:spacing w:after="150" w:before="300"/>
      </w:pPr>
      <w:r>
        <w:rPr>
          <w:rFonts w:ascii="Arial" w:cs="Arial" w:eastAsia="Arial" w:hAnsi="Arial"/>
          <w:b/>
          <w:bCs/>
          <w:color w:val="1F3864"/>
          <w:sz w:val="32"/>
          <w:szCs w:val="32"/>
        </w:rPr>
        <w:t xml:space="preserve">Tabla de Contenido</w:t>
      </w:r>
    </w:p>
    <w:p>
      <w:pPr>
        <w:spacing w:after="120" w:before="120"/>
        <w:jc w:val="left"/>
      </w:pPr>
      <w:r>
        <w:rPr>
          <w:rFonts w:ascii="Arial" w:cs="Arial" w:eastAsia="Arial" w:hAnsi="Arial"/>
          <w:b w:val="false"/>
          <w:bCs w:val="false"/>
          <w:color w:val="000000"/>
          <w:sz w:val="22"/>
          <w:szCs w:val="22"/>
        </w:rPr>
        <w:t xml:space="preserve">1. Introducción ....................................................................................................  3</w:t>
      </w:r>
    </w:p>
    <w:p>
      <w:pPr>
        <w:spacing w:after="120" w:before="120"/>
        <w:jc w:val="left"/>
      </w:pPr>
      <w:r>
        <w:rPr>
          <w:rFonts w:ascii="Arial" w:cs="Arial" w:eastAsia="Arial" w:hAnsi="Arial"/>
          <w:b w:val="false"/>
          <w:bCs w:val="false"/>
          <w:color w:val="000000"/>
          <w:sz w:val="22"/>
          <w:szCs w:val="22"/>
        </w:rPr>
        <w:t xml:space="preserve">2. Enfoque de Gestión de Costos .........................................................................  3</w:t>
      </w:r>
    </w:p>
    <w:p>
      <w:pPr>
        <w:spacing w:after="120" w:before="120"/>
        <w:jc w:val="left"/>
      </w:pPr>
      <w:r>
        <w:rPr>
          <w:rFonts w:ascii="Arial" w:cs="Arial" w:eastAsia="Arial" w:hAnsi="Arial"/>
          <w:b w:val="false"/>
          <w:bCs w:val="false"/>
          <w:color w:val="000000"/>
          <w:sz w:val="22"/>
          <w:szCs w:val="22"/>
        </w:rPr>
        <w:t xml:space="preserve">3. Medición de los Costos del Proyecto ................................................................  4</w:t>
      </w:r>
    </w:p>
    <w:p>
      <w:pPr>
        <w:spacing w:after="120" w:before="120"/>
        <w:jc w:val="left"/>
      </w:pPr>
      <w:r>
        <w:rPr>
          <w:rFonts w:ascii="Arial" w:cs="Arial" w:eastAsia="Arial" w:hAnsi="Arial"/>
          <w:b w:val="false"/>
          <w:bCs w:val="false"/>
          <w:color w:val="000000"/>
          <w:sz w:val="22"/>
          <w:szCs w:val="22"/>
        </w:rPr>
        <w:t xml:space="preserve">4. Formato de Reporte .........................................................................................  6</w:t>
      </w:r>
    </w:p>
    <w:p>
      <w:pPr>
        <w:spacing w:after="120" w:before="120"/>
        <w:jc w:val="left"/>
      </w:pPr>
      <w:r>
        <w:rPr>
          <w:rFonts w:ascii="Arial" w:cs="Arial" w:eastAsia="Arial" w:hAnsi="Arial"/>
          <w:b w:val="false"/>
          <w:bCs w:val="false"/>
          <w:color w:val="000000"/>
          <w:sz w:val="22"/>
          <w:szCs w:val="22"/>
        </w:rPr>
        <w:t xml:space="preserve">5. Proceso de Respuesta ante Variaciones de Costo ............................................  7</w:t>
      </w:r>
    </w:p>
    <w:p>
      <w:pPr>
        <w:spacing w:after="120" w:before="120"/>
        <w:jc w:val="left"/>
      </w:pPr>
      <w:r>
        <w:rPr>
          <w:rFonts w:ascii="Arial" w:cs="Arial" w:eastAsia="Arial" w:hAnsi="Arial"/>
          <w:b w:val="false"/>
          <w:bCs w:val="false"/>
          <w:color w:val="000000"/>
          <w:sz w:val="22"/>
          <w:szCs w:val="22"/>
        </w:rPr>
        <w:t xml:space="preserve">6. Proceso de Control de Cambios de Costo .......................................................  7</w:t>
      </w:r>
    </w:p>
    <w:p>
      <w:pPr>
        <w:spacing w:after="120" w:before="120"/>
        <w:jc w:val="left"/>
      </w:pPr>
      <w:r>
        <w:rPr>
          <w:rFonts w:ascii="Arial" w:cs="Arial" w:eastAsia="Arial" w:hAnsi="Arial"/>
          <w:b w:val="false"/>
          <w:bCs w:val="false"/>
          <w:color w:val="000000"/>
          <w:sz w:val="22"/>
          <w:szCs w:val="22"/>
        </w:rPr>
        <w:t xml:space="preserve">7. Presupuesto del Proyecto .................................................................................  8</w:t>
      </w:r>
    </w:p>
    <w:p>
      <w:r>
        <w:br w:type="page"/>
      </w:r>
    </w:p>
    <w:p>
      <w:pPr>
        <w:pStyle w:val="Heading1"/>
        <w:spacing w:after="150" w:before="300"/>
      </w:pPr>
      <w:r>
        <w:rPr>
          <w:rFonts w:ascii="Arial" w:cs="Arial" w:eastAsia="Arial" w:hAnsi="Arial"/>
          <w:b/>
          <w:bCs/>
          <w:color w:val="1F3864"/>
          <w:sz w:val="32"/>
          <w:szCs w:val="32"/>
        </w:rPr>
        <w:t xml:space="preserve">1. Introducción</w:t>
      </w:r>
    </w:p>
    <w:p>
      <w:pPr>
        <w:spacing w:after="120" w:before="120"/>
        <w:jc w:val="left"/>
      </w:pPr>
      <w:r>
        <w:rPr>
          <w:rFonts w:ascii="Arial" w:cs="Arial" w:eastAsia="Arial" w:hAnsi="Arial"/>
          <w:b w:val="false"/>
          <w:bCs w:val="false"/>
          <w:color w:val="000000"/>
          <w:sz w:val="22"/>
          <w:szCs w:val="22"/>
        </w:rPr>
        <w:t xml:space="preserve">El Plan de Gestión de Costos define claramente cómo se gestionarán los costos del proyecto PetCare MVP a lo largo de su ciclo de vida. Establece el formato y los estándares mediante los cuales se miden, informan y controlan los costos.</w:t>
      </w:r>
    </w:p>
    <w:p>
      <w:pPr>
        <w:spacing w:after="120" w:before="120"/>
        <w:jc w:val="left"/>
      </w:pPr>
      <w:r>
        <w:rPr>
          <w:rFonts w:ascii="Arial" w:cs="Arial" w:eastAsia="Arial" w:hAnsi="Arial"/>
          <w:b w:val="false"/>
          <w:bCs w:val="false"/>
          <w:color w:val="000000"/>
          <w:sz w:val="22"/>
          <w:szCs w:val="22"/>
        </w:rPr>
        <w:t xml:space="preserve">PetCare MVP es una plataforma móvil/web desarrollada por un equipo de cuatro estudiantes desarrolladores de la UPTC (Universidad Pedagógica y Tecnológica de Colombia) bajo el curso Gerencia Informática 2026-I. El proyecto se implementa utilizando un marco Ágil/Scrum en cuatro sprints, cubriendo 16 historias de usuario (HU) organizadas en una Estructura de Desglose del Trabajo (EDT/WBS) de cuatro niveles.</w:t>
      </w:r>
    </w:p>
    <w:p>
      <w:pPr>
        <w:pStyle w:val="Heading2"/>
        <w:spacing w:after="120" w:before="240"/>
      </w:pPr>
      <w:r>
        <w:rPr>
          <w:rFonts w:ascii="Arial" w:cs="Arial" w:eastAsia="Arial" w:hAnsi="Arial"/>
          <w:b/>
          <w:bCs/>
          <w:color w:val="2E75B6"/>
          <w:sz w:val="26"/>
          <w:szCs w:val="26"/>
        </w:rPr>
        <w:t xml:space="preserve">Roles y Responsabilidades de Costo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Rol</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Nombre</w:t>
            </w:r>
          </w:p>
        </w:tc>
        <w:tc>
          <w:tcPr>
            <w:tcW w:type="dxa" w:w="5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Responsabilidad de Costo</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Gerente de Proyecto</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Harold Alvarado</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Gestión, monitoreo y reporte de costos; presentación de métricas EVM en reuniones de sprint.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Controlador de Costos (PM)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Harold Alvarado</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Identificación de variaciones y propuesta de acciones correctivas al patrocinador.</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Líder Técnico / Backend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Harold Alvarado</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Estimación de horas para tareas de backend y APIs; seguimiento de horas reales.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Desarrollador Frontend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Andres Daza</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Estimación y registro de horas de desarrollo UI/UX.</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Desarrollador Full Stack</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Juan Forero</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Estimación y registro de horas por historia de usuario asignada.</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Desarrollador QA / Frontend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Anthony González</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Registro de horas de pruebas e integración; reporte de desviaciones de esfuerzo.</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Patrocinador / Docente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Docente UPTC</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Autoridad de aprobación de cambios al presupuesto y alcance del proyecto.</w:t>
            </w:r>
          </w:p>
        </w:tc>
      </w:tr>
    </w:tbl>
    <w:p>
      <w:pPr>
        <w:spacing w:after="120" w:before="120"/>
        <w:jc w:val="left"/>
      </w:pPr>
      <w:r>
        <w:rPr>
          <w:rFonts w:ascii="Arial" w:cs="Arial" w:eastAsia="Arial" w:hAnsi="Arial"/>
          <w:b w:val="false"/>
          <w:bCs w:val="false"/>
          <w:color w:val="000000"/>
          <w:sz w:val="22"/>
          <w:szCs w:val="22"/>
        </w:rPr>
        <w:t xml:space="preserve"/>
      </w:r>
    </w:p>
    <w:p>
      <w:pPr>
        <w:spacing w:after="120" w:before="120"/>
        <w:jc w:val="left"/>
      </w:pPr>
      <w:r>
        <w:rPr>
          <w:rFonts w:ascii="Arial" w:cs="Arial" w:eastAsia="Arial" w:hAnsi="Arial"/>
          <w:b w:val="false"/>
          <w:bCs w:val="false"/>
          <w:color w:val="000000"/>
          <w:sz w:val="22"/>
          <w:szCs w:val="22"/>
        </w:rPr>
        <w:t xml:space="preserve">El Gerente de Proyecto (Harold Alvarado) es responsable de administrar e informar sobre los costos del proyecto durante toda su duración. Durante las revisiones de sprint y reuniones retrospectivas (realizadas cada dos semanas), el Gerente de Proyecto presentará y revisará el desempeño de costos del período del sprint anterior. El desempeño se medirá utilizando la Gestión del Valor Ganado (EVM). El Gerente de Proyecto es responsable de contabilizar las desviaciones de costos y presentar al Patrocinador del Proyecto (Docente UPTC) opciones para que el proyecto vuelva a estar dentro del presupuesto. El patrocinador del proyecto tiene la autoridad para realizar cambios en el proyecto con el fin de ajustarlo al presupuesto.</w:t>
      </w:r>
    </w:p>
    <w:p>
      <w:pPr>
        <w:pStyle w:val="Heading1"/>
        <w:spacing w:after="150" w:before="300"/>
      </w:pPr>
      <w:r>
        <w:rPr>
          <w:rFonts w:ascii="Arial" w:cs="Arial" w:eastAsia="Arial" w:hAnsi="Arial"/>
          <w:b/>
          <w:bCs/>
          <w:color w:val="1F3864"/>
          <w:sz w:val="32"/>
          <w:szCs w:val="32"/>
        </w:rPr>
        <w:t xml:space="preserve">2. Enfoque de Gestión de Costos</w:t>
      </w:r>
    </w:p>
    <w:p>
      <w:pPr>
        <w:spacing w:after="120" w:before="120"/>
        <w:jc w:val="left"/>
      </w:pPr>
      <w:r>
        <w:rPr>
          <w:rFonts w:ascii="Arial" w:cs="Arial" w:eastAsia="Arial" w:hAnsi="Arial"/>
          <w:b w:val="false"/>
          <w:bCs w:val="false"/>
          <w:color w:val="000000"/>
          <w:sz w:val="22"/>
          <w:szCs w:val="22"/>
        </w:rPr>
        <w:t xml:space="preserve">Los costos del proyecto PetCare MVP se gestionarán a nivel de paquete de trabajo de la EDT (Nivel 2), correspondiente a cada historia de usuario. Se crean cuentas de control (AC) en este nivel para realizar un seguimiento de los valores planificados, reales y ganados.</w:t>
      </w:r>
    </w:p>
    <w:p>
      <w:pPr>
        <w:pStyle w:val="Heading2"/>
        <w:spacing w:after="120" w:before="240"/>
      </w:pPr>
      <w:r>
        <w:rPr>
          <w:rFonts w:ascii="Arial" w:cs="Arial" w:eastAsia="Arial" w:hAnsi="Arial"/>
          <w:b/>
          <w:bCs/>
          <w:color w:val="2E75B6"/>
          <w:sz w:val="26"/>
          <w:szCs w:val="26"/>
        </w:rPr>
        <w:t xml:space="preserve">Nivel de Control y Cuentas de Control</w:t>
      </w:r>
    </w:p>
    <w:p>
      <w:pPr>
        <w:pStyle w:val="ListParagraph"/>
        <w:numPr>
          <w:ilvl w:val="0"/>
          <w:numId w:val="2"/>
        </w:numPr>
        <w:spacing w:after="60" w:before="60"/>
      </w:pPr>
      <w:r>
        <w:rPr>
          <w:rFonts w:ascii="Arial" w:cs="Arial" w:eastAsia="Arial" w:hAnsi="Arial"/>
          <w:sz w:val="22"/>
          <w:szCs w:val="22"/>
        </w:rPr>
        <w:t xml:space="preserve">Nivel de control: EDT Nivel 2 – cada historia de usuario constituye una cuenta de control.</w:t>
      </w:r>
    </w:p>
    <w:p>
      <w:pPr>
        <w:pStyle w:val="ListParagraph"/>
        <w:numPr>
          <w:ilvl w:val="0"/>
          <w:numId w:val="2"/>
        </w:numPr>
        <w:spacing w:after="60" w:before="60"/>
      </w:pPr>
      <w:r>
        <w:rPr>
          <w:rFonts w:ascii="Arial" w:cs="Arial" w:eastAsia="Arial" w:hAnsi="Arial"/>
          <w:sz w:val="22"/>
          <w:szCs w:val="22"/>
        </w:rPr>
        <w:t xml:space="preserve">Las 16 historias de usuario se gestionan de forma independiente con sus propios valores planificados, reales y ganados.</w:t>
      </w:r>
    </w:p>
    <w:p>
      <w:pPr>
        <w:pStyle w:val="ListParagraph"/>
        <w:numPr>
          <w:ilvl w:val="0"/>
          <w:numId w:val="2"/>
        </w:numPr>
        <w:spacing w:after="60" w:before="60"/>
      </w:pPr>
      <w:r>
        <w:rPr>
          <w:rFonts w:ascii="Arial" w:cs="Arial" w:eastAsia="Arial" w:hAnsi="Arial"/>
          <w:sz w:val="22"/>
          <w:szCs w:val="22"/>
        </w:rPr>
        <w:t xml:space="preserve">Los costos se agregan por sprint (sprints 1 a 4) para la elaboración de informes de nivel superior.</w:t>
      </w:r>
    </w:p>
    <w:p>
      <w:pPr>
        <w:pStyle w:val="ListParagraph"/>
        <w:numPr>
          <w:ilvl w:val="0"/>
          <w:numId w:val="2"/>
        </w:numPr>
        <w:spacing w:after="60" w:before="60"/>
      </w:pPr>
      <w:r>
        <w:rPr>
          <w:rFonts w:ascii="Arial" w:cs="Arial" w:eastAsia="Arial" w:hAnsi="Arial"/>
          <w:sz w:val="22"/>
          <w:szCs w:val="22"/>
        </w:rPr>
        <w:t xml:space="preserve">El crédito por el trabajo se asignará utilizando la regla 0/100 por sprint: 0% de crédito para el trabajo en curso dentro de un sprint; 100% de crédito al finalizar y aceptar el sprint.</w:t>
      </w:r>
    </w:p>
    <w:p>
      <w:pPr>
        <w:pStyle w:val="Heading2"/>
        <w:spacing w:after="120" w:before="240"/>
      </w:pPr>
      <w:r>
        <w:rPr>
          <w:rFonts w:ascii="Arial" w:cs="Arial" w:eastAsia="Arial" w:hAnsi="Arial"/>
          <w:b/>
          <w:bCs/>
          <w:color w:val="2E75B6"/>
          <w:sz w:val="26"/>
          <w:szCs w:val="26"/>
        </w:rPr>
        <w:t xml:space="preserve">Metodología de Estimación</w:t>
      </w:r>
    </w:p>
    <w:p>
      <w:pPr>
        <w:pStyle w:val="ListParagraph"/>
        <w:numPr>
          <w:ilvl w:val="0"/>
          <w:numId w:val="2"/>
        </w:numPr>
        <w:spacing w:after="60" w:before="60"/>
      </w:pPr>
      <w:r>
        <w:rPr>
          <w:rFonts w:ascii="Arial" w:cs="Arial" w:eastAsia="Arial" w:hAnsi="Arial"/>
          <w:sz w:val="22"/>
          <w:szCs w:val="22"/>
        </w:rPr>
        <w:t xml:space="preserve">Método de Estimación: Estimación Paramétrica – basada en las horas planificadas de desarrollo × tarifa por hora.</w:t>
      </w:r>
    </w:p>
    <w:p>
      <w:pPr>
        <w:pStyle w:val="ListParagraph"/>
        <w:numPr>
          <w:ilvl w:val="0"/>
          <w:numId w:val="2"/>
        </w:numPr>
        <w:spacing w:after="60" w:before="60"/>
      </w:pPr>
      <w:r>
        <w:rPr>
          <w:rFonts w:ascii="Arial" w:cs="Arial" w:eastAsia="Arial" w:hAnsi="Arial"/>
          <w:sz w:val="22"/>
          <w:szCs w:val="22"/>
        </w:rPr>
        <w:t xml:space="preserve">Tarifa de mano de obra: $12,500 COP/hora (salario promedio de un Desarrollador Junior en Colombia: $3,000,000 COP/mes ÷ 240 horas de trabajo/mes).</w:t>
      </w:r>
    </w:p>
    <w:p>
      <w:pPr>
        <w:pStyle w:val="ListParagraph"/>
        <w:numPr>
          <w:ilvl w:val="0"/>
          <w:numId w:val="2"/>
        </w:numPr>
        <w:spacing w:after="60" w:before="60"/>
      </w:pPr>
      <w:r>
        <w:rPr>
          <w:rFonts w:ascii="Arial" w:cs="Arial" w:eastAsia="Arial" w:hAnsi="Arial"/>
          <w:sz w:val="22"/>
          <w:szCs w:val="22"/>
        </w:rPr>
        <w:t xml:space="preserve">Tasa de costo indirecto: $6,250 COP/hora por alquiler de equipo informático ($1,500,000 COP/mes ÷ 240 horas/mes).</w:t>
      </w:r>
    </w:p>
    <w:p>
      <w:pPr>
        <w:pStyle w:val="ListParagraph"/>
        <w:numPr>
          <w:ilvl w:val="0"/>
          <w:numId w:val="2"/>
        </w:numPr>
        <w:spacing w:after="60" w:before="60"/>
      </w:pPr>
      <w:r>
        <w:rPr>
          <w:rFonts w:ascii="Arial" w:cs="Arial" w:eastAsia="Arial" w:hAnsi="Arial"/>
          <w:sz w:val="22"/>
          <w:szCs w:val="22"/>
        </w:rPr>
        <w:t xml:space="preserve">Reserva de Gestión: Se agrega como reserva el 10% del costo base de mano de obra por Historia de Usuario.</w:t>
      </w:r>
    </w:p>
    <w:p>
      <w:pPr>
        <w:pStyle w:val="ListParagraph"/>
        <w:numPr>
          <w:ilvl w:val="0"/>
          <w:numId w:val="2"/>
        </w:numPr>
        <w:spacing w:after="60" w:before="60"/>
      </w:pPr>
      <w:r>
        <w:rPr>
          <w:rFonts w:ascii="Arial" w:cs="Arial" w:eastAsia="Arial" w:hAnsi="Arial"/>
          <w:sz w:val="22"/>
          <w:szCs w:val="22"/>
        </w:rPr>
        <w:t xml:space="preserve">Infraestructura tecnológica (Firebase, GitHub, Postman, React/Vite): $0 COP (planes gratuitos).</w:t>
      </w:r>
    </w:p>
    <w:p>
      <w:pPr>
        <w:pStyle w:val="Heading2"/>
        <w:spacing w:after="120" w:before="240"/>
      </w:pPr>
      <w:r>
        <w:rPr>
          <w:rFonts w:ascii="Arial" w:cs="Arial" w:eastAsia="Arial" w:hAnsi="Arial"/>
          <w:b/>
          <w:bCs/>
          <w:color w:val="2E75B6"/>
          <w:sz w:val="26"/>
          <w:szCs w:val="26"/>
        </w:rPr>
        <w:t xml:space="preserve">Reglas de Redondeo y Precisión</w:t>
      </w:r>
    </w:p>
    <w:p>
      <w:pPr>
        <w:pStyle w:val="ListParagraph"/>
        <w:numPr>
          <w:ilvl w:val="0"/>
          <w:numId w:val="2"/>
        </w:numPr>
        <w:spacing w:after="60" w:before="60"/>
      </w:pPr>
      <w:r>
        <w:rPr>
          <w:rFonts w:ascii="Arial" w:cs="Arial" w:eastAsia="Arial" w:hAnsi="Arial"/>
          <w:sz w:val="22"/>
          <w:szCs w:val="22"/>
        </w:rPr>
        <w:t xml:space="preserve">Todos los costos se expresan en Pesos Colombianos (COP), redondeados a los $250 COP más cercanos.</w:t>
      </w:r>
    </w:p>
    <w:p>
      <w:pPr>
        <w:pStyle w:val="ListParagraph"/>
        <w:numPr>
          <w:ilvl w:val="0"/>
          <w:numId w:val="2"/>
        </w:numPr>
        <w:spacing w:after="60" w:before="60"/>
      </w:pPr>
      <w:r>
        <w:rPr>
          <w:rFonts w:ascii="Arial" w:cs="Arial" w:eastAsia="Arial" w:hAnsi="Arial"/>
          <w:sz w:val="22"/>
          <w:szCs w:val="22"/>
        </w:rPr>
        <w:t xml:space="preserve">Las horas se redondean a la hora entera más cercana.</w:t>
      </w:r>
    </w:p>
    <w:p>
      <w:pPr>
        <w:pStyle w:val="ListParagraph"/>
        <w:numPr>
          <w:ilvl w:val="0"/>
          <w:numId w:val="2"/>
        </w:numPr>
        <w:spacing w:after="60" w:before="60"/>
      </w:pPr>
      <w:r>
        <w:rPr>
          <w:rFonts w:ascii="Arial" w:cs="Arial" w:eastAsia="Arial" w:hAnsi="Arial"/>
          <w:sz w:val="22"/>
          <w:szCs w:val="22"/>
        </w:rPr>
        <w:t xml:space="preserve">Los índices EVM (CPI, SPI) se expresan con tres decimales.</w:t>
      </w:r>
    </w:p>
    <w:p>
      <w:pPr>
        <w:pStyle w:val="Heading2"/>
        <w:spacing w:after="120" w:before="240"/>
      </w:pPr>
      <w:r>
        <w:rPr>
          <w:rFonts w:ascii="Arial" w:cs="Arial" w:eastAsia="Arial" w:hAnsi="Arial"/>
          <w:b/>
          <w:bCs/>
          <w:color w:val="2E75B6"/>
          <w:sz w:val="26"/>
          <w:szCs w:val="26"/>
        </w:rPr>
        <w:t xml:space="preserve">Umbrales de Control</w:t>
      </w:r>
    </w:p>
    <w:p>
      <w:pPr>
        <w:spacing w:after="120" w:before="120"/>
        <w:jc w:val="left"/>
      </w:pPr>
      <w:r>
        <w:rPr>
          <w:rFonts w:ascii="Arial" w:cs="Arial" w:eastAsia="Arial" w:hAnsi="Arial"/>
          <w:b w:val="false"/>
          <w:bCs w:val="false"/>
          <w:color w:val="000000"/>
          <w:sz w:val="22"/>
          <w:szCs w:val="22"/>
        </w:rPr>
        <w:t xml:space="preserve">Las variaciones de costo de ±0.1 en el CPI o SPI cambiarán el estado del costo a precaución (amarillo en los informes de estado). Las variaciones de costo de ±0.2 activarán un estado de alerta (rojo), requiriendo un plan formal de acción correctiva aprobado por el Patrocinador del Proyecto antes de su implementación.</w:t>
      </w:r>
    </w:p>
    <w:p>
      <w:pPr>
        <w:pStyle w:val="Heading1"/>
        <w:spacing w:after="150" w:before="300"/>
      </w:pPr>
      <w:r>
        <w:rPr>
          <w:rFonts w:ascii="Arial" w:cs="Arial" w:eastAsia="Arial" w:hAnsi="Arial"/>
          <w:b/>
          <w:bCs/>
          <w:color w:val="1F3864"/>
          <w:sz w:val="32"/>
          <w:szCs w:val="32"/>
        </w:rPr>
        <w:t xml:space="preserve">3. Medición de los Costos del Proyecto</w:t>
      </w:r>
    </w:p>
    <w:p>
      <w:pPr>
        <w:spacing w:after="120" w:before="120"/>
        <w:jc w:val="left"/>
      </w:pPr>
      <w:r>
        <w:rPr>
          <w:rFonts w:ascii="Arial" w:cs="Arial" w:eastAsia="Arial" w:hAnsi="Arial"/>
          <w:b w:val="false"/>
          <w:bCs w:val="false"/>
          <w:color w:val="000000"/>
          <w:sz w:val="22"/>
          <w:szCs w:val="22"/>
        </w:rPr>
        <w:t xml:space="preserve">El desempeño del proyecto se medirá utilizando la Gestión del Valor Ganado (EVM). Las siguientes cuatro métricas de Valor Ganado se capturan y reportan para cada sprint y a nivel de proyecto. Todos los datos EVM se registran en el documento complementario: Línea Base de Costos – PetCare MVP (libro de Excel).</w:t>
      </w:r>
    </w:p>
    <w:p>
      <w:pPr>
        <w:pStyle w:val="Heading2"/>
        <w:spacing w:after="120" w:before="240"/>
      </w:pPr>
      <w:r>
        <w:rPr>
          <w:rFonts w:ascii="Arial" w:cs="Arial" w:eastAsia="Arial" w:hAnsi="Arial"/>
          <w:b/>
          <w:bCs/>
          <w:color w:val="2E75B6"/>
          <w:sz w:val="26"/>
          <w:szCs w:val="26"/>
        </w:rPr>
        <w:t xml:space="preserve">3.1 Métricas de Valor Ganado</w:t>
      </w:r>
    </w:p>
    <w:p>
      <w:pPr>
        <w:spacing w:after="120" w:before="120"/>
        <w:jc w:val="left"/>
      </w:pPr>
      <w:r>
        <w:rPr>
          <w:rFonts w:ascii="Arial" w:cs="Arial" w:eastAsia="Arial" w:hAnsi="Arial"/>
          <w:b w:val="false"/>
          <w:bCs w:val="false"/>
          <w:color w:val="000000"/>
          <w:sz w:val="22"/>
          <w:szCs w:val="22"/>
        </w:rPr>
        <w:t xml:space="preserve">La Variación del Cronograma (SV) es una medida del desempeño del cronograma. Se calcula restando el Valor Planeado (PV) del Valor Ganado (EV):</w:t>
      </w:r>
    </w:p>
    <w:p>
      <w:pPr>
        <w:spacing w:after="120" w:before="120"/>
        <w:jc w:val="center"/>
      </w:pPr>
      <w:r>
        <w:rPr>
          <w:rFonts w:ascii="Arial" w:cs="Arial" w:eastAsia="Arial" w:hAnsi="Arial"/>
          <w:b/>
          <w:bCs/>
          <w:color w:val="2E75B6"/>
          <w:sz w:val="24"/>
          <w:szCs w:val="24"/>
        </w:rPr>
        <w:t xml:space="preserve">SV = EV − PV</w:t>
      </w:r>
    </w:p>
    <w:p>
      <w:pPr>
        <w:spacing w:after="120" w:before="120"/>
        <w:jc w:val="left"/>
      </w:pPr>
      <w:r>
        <w:rPr>
          <w:rFonts w:ascii="Arial" w:cs="Arial" w:eastAsia="Arial" w:hAnsi="Arial"/>
          <w:b w:val="false"/>
          <w:bCs w:val="false"/>
          <w:color w:val="000000"/>
          <w:sz w:val="22"/>
          <w:szCs w:val="22"/>
        </w:rPr>
        <w:t xml:space="preserve">Si SV = 0: el proyecto está en cronograma. Si SV &gt; 0: adelantado. Si SV &lt; 0: atrasado.</w:t>
      </w:r>
    </w:p>
    <w:p>
      <w:pPr>
        <w:spacing w:after="120" w:before="120"/>
        <w:jc w:val="left"/>
      </w:pPr>
      <w:r>
        <w:rPr>
          <w:rFonts w:ascii="Arial" w:cs="Arial" w:eastAsia="Arial" w:hAnsi="Arial"/>
          <w:b w:val="false"/>
          <w:bCs w:val="false"/>
          <w:color w:val="000000"/>
          <w:sz w:val="22"/>
          <w:szCs w:val="22"/>
        </w:rPr>
        <w:t xml:space="preserve">Aplicado a PetCare MVP: el SV se calcula por Historia de Usuario al final de cada sprint, comparando el valor ganado de los elementos aceptados del backlog contra la línea base del cronograma planificado.</w:t>
      </w:r>
    </w:p>
    <w:p>
      <w:pPr>
        <w:spacing w:after="120" w:before="120"/>
        <w:jc w:val="left"/>
      </w:pPr>
      <w:r>
        <w:rPr>
          <w:rFonts w:ascii="Arial" w:cs="Arial" w:eastAsia="Arial" w:hAnsi="Arial"/>
          <w:b w:val="false"/>
          <w:bCs w:val="false"/>
          <w:color w:val="000000"/>
          <w:sz w:val="22"/>
          <w:szCs w:val="22"/>
        </w:rPr>
        <w:t xml:space="preserve">La Variación del Costo (CV) mide el desempeño presupuestario. Se calcula restando los Costos Reales (AC) del Valor Ganado (EV):</w:t>
      </w:r>
    </w:p>
    <w:p>
      <w:pPr>
        <w:spacing w:after="120" w:before="120"/>
        <w:jc w:val="center"/>
      </w:pPr>
      <w:r>
        <w:rPr>
          <w:rFonts w:ascii="Arial" w:cs="Arial" w:eastAsia="Arial" w:hAnsi="Arial"/>
          <w:b/>
          <w:bCs/>
          <w:color w:val="2E75B6"/>
          <w:sz w:val="24"/>
          <w:szCs w:val="24"/>
        </w:rPr>
        <w:t xml:space="preserve">CV = EV − AC</w:t>
      </w:r>
    </w:p>
    <w:p>
      <w:pPr>
        <w:spacing w:after="120" w:before="120"/>
        <w:jc w:val="left"/>
      </w:pPr>
      <w:r>
        <w:rPr>
          <w:rFonts w:ascii="Arial" w:cs="Arial" w:eastAsia="Arial" w:hAnsi="Arial"/>
          <w:b w:val="false"/>
          <w:bCs w:val="false"/>
          <w:color w:val="000000"/>
          <w:sz w:val="22"/>
          <w:szCs w:val="22"/>
        </w:rPr>
        <w:t xml:space="preserve">Si CV = 0: el proyecto está en presupuesto. Si CV &gt; 0: por debajo del presupuesto. Si CV &lt; 0: por encima del presupuesto.</w:t>
      </w:r>
    </w:p>
    <w:p>
      <w:pPr>
        <w:spacing w:after="120" w:before="120"/>
        <w:jc w:val="left"/>
      </w:pPr>
      <w:r>
        <w:rPr>
          <w:rFonts w:ascii="Arial" w:cs="Arial" w:eastAsia="Arial" w:hAnsi="Arial"/>
          <w:b w:val="false"/>
          <w:bCs w:val="false"/>
          <w:color w:val="000000"/>
          <w:sz w:val="22"/>
          <w:szCs w:val="22"/>
        </w:rPr>
        <w:t xml:space="preserve">Aplicado a PetCare MVP: el CV se monitorea por HU comparando las horas reales del desarrollador (×$12,500/hr) contra la línea base planificada.</w:t>
      </w:r>
    </w:p>
    <w:p>
      <w:pPr>
        <w:spacing w:after="120" w:before="120"/>
        <w:jc w:val="left"/>
      </w:pPr>
      <w:r>
        <w:rPr>
          <w:rFonts w:ascii="Arial" w:cs="Arial" w:eastAsia="Arial" w:hAnsi="Arial"/>
          <w:b w:val="false"/>
          <w:bCs w:val="false"/>
          <w:color w:val="000000"/>
          <w:sz w:val="22"/>
          <w:szCs w:val="22"/>
        </w:rPr>
        <w:t xml:space="preserve">El Índice de Desempeño del Cronograma (SPI) mide el progreso logrado frente a lo planificado:</w:t>
      </w:r>
    </w:p>
    <w:p>
      <w:pPr>
        <w:spacing w:after="120" w:before="120"/>
        <w:jc w:val="center"/>
      </w:pPr>
      <w:r>
        <w:rPr>
          <w:rFonts w:ascii="Arial" w:cs="Arial" w:eastAsia="Arial" w:hAnsi="Arial"/>
          <w:b/>
          <w:bCs/>
          <w:color w:val="2E75B6"/>
          <w:sz w:val="24"/>
          <w:szCs w:val="24"/>
        </w:rPr>
        <w:t xml:space="preserve">SPI = EV / PV</w:t>
      </w:r>
    </w:p>
    <w:p>
      <w:pPr>
        <w:spacing w:after="120" w:before="120"/>
        <w:jc w:val="left"/>
      </w:pPr>
      <w:r>
        <w:rPr>
          <w:rFonts w:ascii="Arial" w:cs="Arial" w:eastAsia="Arial" w:hAnsi="Arial"/>
          <w:b w:val="false"/>
          <w:bCs w:val="false"/>
          <w:color w:val="000000"/>
          <w:sz w:val="22"/>
          <w:szCs w:val="22"/>
        </w:rPr>
        <w:t xml:space="preserve">SPI = 1: en cronograma. SPI &lt; 1: atrasado. SPI &gt; 1: adelantado.</w:t>
      </w:r>
    </w:p>
    <w:p>
      <w:pPr>
        <w:spacing w:after="120" w:before="120"/>
        <w:jc w:val="left"/>
      </w:pPr>
      <w:r>
        <w:rPr>
          <w:rFonts w:ascii="Arial" w:cs="Arial" w:eastAsia="Arial" w:hAnsi="Arial"/>
          <w:b w:val="false"/>
          <w:bCs w:val="false"/>
          <w:color w:val="000000"/>
          <w:sz w:val="22"/>
          <w:szCs w:val="22"/>
        </w:rPr>
        <w:t xml:space="preserve">El Índice de Desempeño del Costo (CPI) mide el valor del trabajo completado en comparación con su costo real:</w:t>
      </w:r>
    </w:p>
    <w:p>
      <w:pPr>
        <w:spacing w:after="120" w:before="120"/>
        <w:jc w:val="center"/>
      </w:pPr>
      <w:r>
        <w:rPr>
          <w:rFonts w:ascii="Arial" w:cs="Arial" w:eastAsia="Arial" w:hAnsi="Arial"/>
          <w:b/>
          <w:bCs/>
          <w:color w:val="2E75B6"/>
          <w:sz w:val="24"/>
          <w:szCs w:val="24"/>
        </w:rPr>
        <w:t xml:space="preserve">CPI = EV / AC</w:t>
      </w:r>
    </w:p>
    <w:p>
      <w:pPr>
        <w:spacing w:after="120" w:before="120"/>
        <w:jc w:val="left"/>
      </w:pPr>
      <w:r>
        <w:rPr>
          <w:rFonts w:ascii="Arial" w:cs="Arial" w:eastAsia="Arial" w:hAnsi="Arial"/>
          <w:b w:val="false"/>
          <w:bCs w:val="false"/>
          <w:color w:val="000000"/>
          <w:sz w:val="22"/>
          <w:szCs w:val="22"/>
        </w:rPr>
        <w:t xml:space="preserve">CPI = 1: en presupuesto. CPI &gt; 1: por debajo del presupuesto. CPI &lt; 1: por encima del presupuesto.</w:t>
      </w:r>
    </w:p>
    <w:p>
      <w:pPr>
        <w:pStyle w:val="Heading2"/>
        <w:spacing w:after="120" w:before="240"/>
      </w:pPr>
      <w:r>
        <w:rPr>
          <w:rFonts w:ascii="Arial" w:cs="Arial" w:eastAsia="Arial" w:hAnsi="Arial"/>
          <w:b/>
          <w:bCs/>
          <w:color w:val="2E75B6"/>
          <w:sz w:val="26"/>
          <w:szCs w:val="26"/>
        </w:rPr>
        <w:t xml:space="preserve">3.2 Tabla de Umbrales de Desempeño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620"/>
        <w:gridCol w:w="2620"/>
        <w:gridCol w:w="1000"/>
      </w:tblGrid>
      <w:tr>
        <w:tc>
          <w:tcPr>
            <w:tcW w:type="dxa" w:w="1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Métrica</w:t>
            </w:r>
          </w:p>
        </w:tc>
        <w:tc>
          <w:tcPr>
            <w:tcW w:type="dxa" w:w="1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Fórmula</w:t>
            </w:r>
          </w:p>
        </w:tc>
        <w:tc>
          <w:tcPr>
            <w:tcW w:type="dxa" w:w="262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Resultado Amarillo ⚠</w:t>
            </w:r>
          </w:p>
        </w:tc>
        <w:tc>
          <w:tcPr>
            <w:tcW w:type="dxa" w:w="262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Resultado Rojo 🔴</w:t>
            </w:r>
          </w:p>
        </w:tc>
        <w:tc>
          <w:tcPr>
            <w:tcW w:type="dxa" w:w="1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SV</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 − PV</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 ≤ SV &lt; 0</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SV &lt; −10% del PV</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CV</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 − AC</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 ≤ CV &lt; 0</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CV &lt; −10% del BAC</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SPI</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 / PV</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 ≤ SPI &lt; 1.0 ó &gt;1.0–1.1</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SPI &lt; 0.8 ó &gt; 1.2</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CPI</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 / AC</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 ≤ CPI &lt; 1.0 ó &gt;1.0–1.1</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CPI &lt; 0.8 ó &gt; 1.2</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bl>
    <w:p>
      <w:pPr>
        <w:spacing w:after="120" w:before="120"/>
        <w:jc w:val="left"/>
      </w:pPr>
      <w:r>
        <w:rPr>
          <w:rFonts w:ascii="Arial" w:cs="Arial" w:eastAsia="Arial" w:hAnsi="Arial"/>
          <w:b w:val="false"/>
          <w:bCs w:val="false"/>
          <w:color w:val="000000"/>
          <w:sz w:val="22"/>
          <w:szCs w:val="22"/>
        </w:rPr>
        <w:t xml:space="preserve"/>
      </w:r>
    </w:p>
    <w:p>
      <w:pPr>
        <w:pStyle w:val="Heading2"/>
        <w:spacing w:after="120" w:before="240"/>
      </w:pPr>
      <w:r>
        <w:rPr>
          <w:rFonts w:ascii="Arial" w:cs="Arial" w:eastAsia="Arial" w:hAnsi="Arial"/>
          <w:b/>
          <w:bCs/>
          <w:color w:val="2E75B6"/>
          <w:sz w:val="26"/>
          <w:szCs w:val="26"/>
        </w:rPr>
        <w:t xml:space="preserve">3.3 Resumen EVM del Proyecto (Simulado al Cierre del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00"/>
        <w:gridCol w:w="1660"/>
      </w:tblGrid>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Indicador</w:t>
            </w:r>
          </w:p>
        </w:tc>
        <w:tc>
          <w:tcPr>
            <w:tcW w:type="dxa" w:w="1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PV Total (COP)</w:t>
            </w:r>
          </w:p>
        </w:tc>
        <w:tc>
          <w:tcPr>
            <w:tcW w:type="dxa" w:w="1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 Total (COP)</w:t>
            </w:r>
          </w:p>
        </w:tc>
        <w:tc>
          <w:tcPr>
            <w:tcW w:type="dxa" w:w="1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EV Total (COP)</w:t>
            </w:r>
          </w:p>
        </w:tc>
        <w:tc>
          <w:tcPr>
            <w:tcW w:type="dxa" w:w="16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Índice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SV = EV − PV</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$9,820,000</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$9,168,750</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$9,074,021</w:t>
            </w:r>
          </w:p>
        </w:tc>
        <w:tc>
          <w:tcPr>
            <w:tcW w:type="dxa" w:w="1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-$745,979</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CV = EV − AC</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$9,820,000</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$9,168,750</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$9,074,021</w:t>
            </w:r>
          </w:p>
        </w:tc>
        <w:tc>
          <w:tcPr>
            <w:tcW w:type="dxa" w:w="1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-$94,729</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SPI = EV/PV</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0.924</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CPI = EV/AC</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0.990</w:t>
            </w:r>
          </w:p>
        </w:tc>
      </w:tr>
    </w:tbl>
    <w:p>
      <w:pPr>
        <w:spacing w:after="120" w:before="120"/>
        <w:jc w:val="left"/>
      </w:pPr>
      <w:r>
        <w:rPr>
          <w:rFonts w:ascii="Arial" w:cs="Arial" w:eastAsia="Arial" w:hAnsi="Arial"/>
          <w:b w:val="false"/>
          <w:bCs w:val="false"/>
          <w:color w:val="000000"/>
          <w:sz w:val="22"/>
          <w:szCs w:val="22"/>
        </w:rPr>
        <w:t xml:space="preserve"/>
      </w:r>
    </w:p>
    <w:p>
      <w:pPr>
        <w:spacing w:after="120" w:before="120"/>
        <w:jc w:val="left"/>
      </w:pPr>
      <w:r>
        <w:rPr>
          <w:rFonts w:ascii="Arial" w:cs="Arial" w:eastAsia="Arial" w:hAnsi="Arial"/>
          <w:b w:val="false"/>
          <w:bCs w:val="false"/>
          <w:color w:val="000000"/>
          <w:sz w:val="22"/>
          <w:szCs w:val="22"/>
        </w:rPr>
        <w:t xml:space="preserve">Supuesto declarado: El EV simulado se calculó como (Horas Reales / Horas Planeadas) × PV por HU, con un tope máximo del PV. Los valores de AC provienen directamente del presupuesto real registrado en la hoja de cálculo de presupuesto del proyecto.</w:t>
      </w:r>
    </w:p>
    <w:p>
      <w:pPr>
        <w:pStyle w:val="Heading1"/>
        <w:spacing w:after="150" w:before="300"/>
      </w:pPr>
      <w:r>
        <w:rPr>
          <w:rFonts w:ascii="Arial" w:cs="Arial" w:eastAsia="Arial" w:hAnsi="Arial"/>
          <w:b/>
          <w:bCs/>
          <w:color w:val="1F3864"/>
          <w:sz w:val="32"/>
          <w:szCs w:val="32"/>
        </w:rPr>
        <w:t xml:space="preserve">4. Formato de Reporte</w:t>
      </w:r>
    </w:p>
    <w:p>
      <w:pPr>
        <w:spacing w:after="120" w:before="120"/>
        <w:jc w:val="left"/>
      </w:pPr>
      <w:r>
        <w:rPr>
          <w:rFonts w:ascii="Arial" w:cs="Arial" w:eastAsia="Arial" w:hAnsi="Arial"/>
          <w:b w:val="false"/>
          <w:bCs w:val="false"/>
          <w:color w:val="000000"/>
          <w:sz w:val="22"/>
          <w:szCs w:val="22"/>
        </w:rPr>
        <w:t xml:space="preserve">El reporte de gestión de costos se incluirá en el Informe de Revisión de Sprint quincenal y se consolidará en un Informe Mensual de Estado del Proyecto. Todos los reportes de costos siguen el marco EVM definido en este plan.</w:t>
      </w:r>
    </w:p>
    <w:p>
      <w:pPr>
        <w:pStyle w:val="Heading2"/>
        <w:spacing w:after="120" w:before="240"/>
      </w:pPr>
      <w:r>
        <w:rPr>
          <w:rFonts w:ascii="Arial" w:cs="Arial" w:eastAsia="Arial" w:hAnsi="Arial"/>
          <w:b/>
          <w:bCs/>
          <w:color w:val="2E75B6"/>
          <w:sz w:val="26"/>
          <w:szCs w:val="26"/>
        </w:rPr>
        <w:t xml:space="preserve">4.1 Contenido del Reporte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Sección</w:t>
            </w:r>
          </w:p>
        </w:tc>
        <w:tc>
          <w:tcPr>
            <w:tcW w:type="dxa" w:w="41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Contenido</w:t>
            </w:r>
          </w:p>
        </w:tc>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Frecuencia / Destinatario</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Resumen Ejecutivo</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Estado general CPI/SPI, semáforo de salud del proyecto</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 final de cada sprint / Patrocinador</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Métricas EVM</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PV, AC, EV, CV, SV, CPI, SPI por HU y por sprint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 final de cada sprint / Equipo + Patrocinador</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Comparativo Presupuestado vs Real</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Tabla de variaciones por WBS, destacando desviaciones</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Mensual / Patrocinador</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Tendencias de Desempeño</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Gráficas de CPI y SPI en el tiempo (curva S)</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Mensual / Gerente de Proyecto</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Solicitudes de Cambio Activas</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Lista de Change Requests relacionados con costo</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Por evento / Patrocinador</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Acciones Correctivas</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Detalle de acciones tomadas o propuestas</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Cuando aplica / Patrocinador</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Pronóstico (EAC)</w:t>
            </w:r>
          </w:p>
        </w:tc>
        <w:tc>
          <w:tcPr>
            <w:tcW w:type="dxa" w:w="4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Estimado al completar: EAC = BAC / CPI</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Mensual / Patrocinador</w:t>
            </w:r>
          </w:p>
        </w:tc>
      </w:tr>
    </w:tbl>
    <w:p>
      <w:pPr>
        <w:spacing w:after="120" w:before="120"/>
        <w:jc w:val="left"/>
      </w:pPr>
      <w:r>
        <w:rPr>
          <w:rFonts w:ascii="Arial" w:cs="Arial" w:eastAsia="Arial" w:hAnsi="Arial"/>
          <w:b w:val="false"/>
          <w:bCs w:val="false"/>
          <w:color w:val="000000"/>
          <w:sz w:val="22"/>
          <w:szCs w:val="22"/>
        </w:rPr>
        <w:t xml:space="preserve"/>
      </w:r>
    </w:p>
    <w:p>
      <w:pPr>
        <w:pStyle w:val="Heading2"/>
        <w:spacing w:after="120" w:before="240"/>
      </w:pPr>
      <w:r>
        <w:rPr>
          <w:rFonts w:ascii="Arial" w:cs="Arial" w:eastAsia="Arial" w:hAnsi="Arial"/>
          <w:b/>
          <w:bCs/>
          <w:color w:val="2E75B6"/>
          <w:sz w:val="26"/>
          <w:szCs w:val="26"/>
        </w:rPr>
        <w:t xml:space="preserve">4.2 Herramientas de Reporte</w:t>
      </w:r>
    </w:p>
    <w:p>
      <w:pPr>
        <w:pStyle w:val="ListParagraph"/>
        <w:numPr>
          <w:ilvl w:val="0"/>
          <w:numId w:val="2"/>
        </w:numPr>
        <w:spacing w:after="60" w:before="60"/>
      </w:pPr>
      <w:r>
        <w:rPr>
          <w:rFonts w:ascii="Arial" w:cs="Arial" w:eastAsia="Arial" w:hAnsi="Arial"/>
          <w:sz w:val="22"/>
          <w:szCs w:val="22"/>
        </w:rPr>
        <w:t xml:space="preserve">Línea Base de Costos (Excel): Hoja EVM Dashboard – actualizada al cierre de cada sprint.</w:t>
      </w:r>
    </w:p>
    <w:p>
      <w:pPr>
        <w:pStyle w:val="ListParagraph"/>
        <w:numPr>
          <w:ilvl w:val="0"/>
          <w:numId w:val="2"/>
        </w:numPr>
        <w:spacing w:after="60" w:before="60"/>
      </w:pPr>
      <w:r>
        <w:rPr>
          <w:rFonts w:ascii="Arial" w:cs="Arial" w:eastAsia="Arial" w:hAnsi="Arial"/>
          <w:sz w:val="22"/>
          <w:szCs w:val="22"/>
        </w:rPr>
        <w:t xml:space="preserve">Reunión de revisión de sprint (Sprint Review): presentación oral de métricas con tabla EVM.</w:t>
      </w:r>
    </w:p>
    <w:p>
      <w:pPr>
        <w:pStyle w:val="ListParagraph"/>
        <w:numPr>
          <w:ilvl w:val="0"/>
          <w:numId w:val="2"/>
        </w:numPr>
        <w:spacing w:after="60" w:before="60"/>
      </w:pPr>
      <w:r>
        <w:rPr>
          <w:rFonts w:ascii="Arial" w:cs="Arial" w:eastAsia="Arial" w:hAnsi="Arial"/>
          <w:sz w:val="22"/>
          <w:szCs w:val="22"/>
        </w:rPr>
        <w:t xml:space="preserve">Comunicación por canal de equipo (WhatsApp/Slack académico) para alertas de desviación inmediata.</w:t>
      </w:r>
    </w:p>
    <w:p>
      <w:pPr>
        <w:pStyle w:val="ListParagraph"/>
        <w:numPr>
          <w:ilvl w:val="0"/>
          <w:numId w:val="2"/>
        </w:numPr>
        <w:spacing w:after="60" w:before="60"/>
      </w:pPr>
      <w:r>
        <w:rPr>
          <w:rFonts w:ascii="Arial" w:cs="Arial" w:eastAsia="Arial" w:hAnsi="Arial"/>
          <w:sz w:val="22"/>
          <w:szCs w:val="22"/>
        </w:rPr>
        <w:t xml:space="preserve">Reporte formal en PDF entregado al patrocinador (docente) al cierre de cada sprint.</w:t>
      </w:r>
    </w:p>
    <w:p>
      <w:pPr>
        <w:pStyle w:val="Heading1"/>
        <w:spacing w:after="150" w:before="300"/>
      </w:pPr>
      <w:r>
        <w:rPr>
          <w:rFonts w:ascii="Arial" w:cs="Arial" w:eastAsia="Arial" w:hAnsi="Arial"/>
          <w:b/>
          <w:bCs/>
          <w:color w:val="1F3864"/>
          <w:sz w:val="32"/>
          <w:szCs w:val="32"/>
        </w:rPr>
        <w:t xml:space="preserve">5. Proceso de Respuesta ante Variaciones de Costo</w:t>
      </w:r>
    </w:p>
    <w:p>
      <w:pPr>
        <w:spacing w:after="120" w:before="120"/>
        <w:jc w:val="left"/>
      </w:pPr>
      <w:r>
        <w:rPr>
          <w:rFonts w:ascii="Arial" w:cs="Arial" w:eastAsia="Arial" w:hAnsi="Arial"/>
          <w:b w:val="false"/>
          <w:bCs w:val="false"/>
          <w:color w:val="000000"/>
          <w:sz w:val="22"/>
          <w:szCs w:val="22"/>
        </w:rPr>
        <w:t xml:space="preserve">Esta sección define los umbrales de control del proyecto y las acciones a tomar si se activa un umbral de control. El Gerente de Proyecto (Harold Alvarado) monitorea las métricas EVM después de cada sprint y presenta opciones correctivas al Patrocinador del Proyecto (Docente UPTC) cuando se superan los umbrales.</w:t>
      </w:r>
    </w:p>
    <w:p>
      <w:pPr>
        <w:pStyle w:val="Heading2"/>
        <w:spacing w:after="120" w:before="240"/>
      </w:pPr>
      <w:r>
        <w:rPr>
          <w:rFonts w:ascii="Arial" w:cs="Arial" w:eastAsia="Arial" w:hAnsi="Arial"/>
          <w:b/>
          <w:bCs/>
          <w:color w:val="2E75B6"/>
          <w:sz w:val="26"/>
          <w:szCs w:val="26"/>
        </w:rPr>
        <w:t xml:space="preserve">5.1 Umbrales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Índice</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Umbral Verde ✅</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Umbral Amarillo ⚠</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Umbral Rojo 🔴</w:t>
            </w:r>
          </w:p>
        </w:tc>
        <w:tc>
          <w:tcPr>
            <w:tcW w:type="dxa" w:w="21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Acción Correctiva</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CPI</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0.9 y ≤ 1.1</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0.8–0.9 ó 1.1–1.2</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0.8 ó &gt; 1.2</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Plan correctivo formal</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SPI</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0.9 y ≤ 1.1</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0.8–0.9 ó 1.1–1.2</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0.8 ó &gt; 1.2</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Replaneación del sprint</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CV (COP)</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0</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 a 0% del PV</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−10% del PV</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Revisión de alcance</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SV (COP)</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0</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 a 0% del PV</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−10% del PV</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Aceleración de tareas</w:t>
            </w:r>
          </w:p>
        </w:tc>
      </w:tr>
    </w:tbl>
    <w:p>
      <w:pPr>
        <w:spacing w:after="120" w:before="120"/>
        <w:jc w:val="left"/>
      </w:pPr>
      <w:r>
        <w:rPr>
          <w:rFonts w:ascii="Arial" w:cs="Arial" w:eastAsia="Arial" w:hAnsi="Arial"/>
          <w:b w:val="false"/>
          <w:bCs w:val="false"/>
          <w:color w:val="000000"/>
          <w:sz w:val="22"/>
          <w:szCs w:val="22"/>
        </w:rPr>
        <w:t xml:space="preserve"/>
      </w:r>
    </w:p>
    <w:p>
      <w:pPr>
        <w:pStyle w:val="Heading2"/>
        <w:spacing w:after="120" w:before="240"/>
      </w:pPr>
      <w:r>
        <w:rPr>
          <w:rFonts w:ascii="Arial" w:cs="Arial" w:eastAsia="Arial" w:hAnsi="Arial"/>
          <w:b/>
          <w:bCs/>
          <w:color w:val="2E75B6"/>
          <w:sz w:val="26"/>
          <w:szCs w:val="26"/>
        </w:rPr>
        <w:t xml:space="preserve">5.2 Proceso de Respuesta</w:t>
      </w:r>
    </w:p>
    <w:p>
      <w:pPr>
        <w:spacing w:after="120" w:before="120"/>
        <w:jc w:val="left"/>
      </w:pPr>
      <w:r>
        <w:rPr>
          <w:rFonts w:ascii="Arial" w:cs="Arial" w:eastAsia="Arial" w:hAnsi="Arial"/>
          <w:b/>
          <w:bCs/>
          <w:color w:val="000000"/>
          <w:sz w:val="22"/>
          <w:szCs w:val="22"/>
        </w:rPr>
        <w:t xml:space="preserve">Alerta Amarilla (CPI o SPI entre 0.8 y 0.9):</w:t>
      </w:r>
    </w:p>
    <w:p>
      <w:pPr>
        <w:spacing w:after="120" w:before="120"/>
        <w:jc w:val="left"/>
      </w:pPr>
      <w:r>
        <w:rPr>
          <w:rFonts w:ascii="Arial" w:cs="Arial" w:eastAsia="Arial" w:hAnsi="Arial"/>
          <w:b w:val="false"/>
          <w:bCs w:val="false"/>
          <w:color w:val="000000"/>
          <w:sz w:val="22"/>
          <w:szCs w:val="22"/>
        </w:rPr>
        <w:t xml:space="preserve">El PM documenta la causa de la variación en el reporte de sprint, propone ajustes menores (redistribución de horas, priorización de backlog) y los presenta al patrocinador en la siguiente reunión de revisión. No se requiere Solicitud de Cambio formal.</w:t>
      </w:r>
    </w:p>
    <w:p>
      <w:pPr>
        <w:spacing w:after="120" w:before="120"/>
        <w:jc w:val="left"/>
      </w:pPr>
      <w:r>
        <w:rPr>
          <w:rFonts w:ascii="Arial" w:cs="Arial" w:eastAsia="Arial" w:hAnsi="Arial"/>
          <w:b/>
          <w:bCs/>
          <w:color w:val="000000"/>
          <w:sz w:val="22"/>
          <w:szCs w:val="22"/>
        </w:rPr>
        <w:t xml:space="preserve">Alerta Roja (CPI o SPI &lt; 0.8 o &gt; 1.2):</w:t>
      </w:r>
    </w:p>
    <w:p>
      <w:pPr>
        <w:spacing w:after="120" w:before="120"/>
        <w:jc w:val="left"/>
      </w:pPr>
      <w:r>
        <w:rPr>
          <w:rFonts w:ascii="Arial" w:cs="Arial" w:eastAsia="Arial" w:hAnsi="Arial"/>
          <w:b w:val="false"/>
          <w:bCs w:val="false"/>
          <w:color w:val="000000"/>
          <w:sz w:val="22"/>
          <w:szCs w:val="22"/>
        </w:rPr>
        <w:t xml:space="preserve">El PM debe presentar al patrocinador un Plan de Acción Correctiva por Variación de Costo dentro de los 3 días hábiles siguientes a la detección de la variación. El plan debe incluir: causa raíz, opciones de acción correctiva (reducción de alcance, extensión de cronograma, renegociación de recursos) y métricas de seguimiento.</w:t>
      </w:r>
    </w:p>
    <w:p>
      <w:pPr>
        <w:spacing w:after="120" w:before="120"/>
        <w:jc w:val="left"/>
      </w:pPr>
      <w:r>
        <w:rPr>
          <w:rFonts w:ascii="Arial" w:cs="Arial" w:eastAsia="Arial" w:hAnsi="Arial"/>
          <w:b/>
          <w:bCs/>
          <w:color w:val="000000"/>
          <w:sz w:val="22"/>
          <w:szCs w:val="22"/>
        </w:rPr>
        <w:t xml:space="preserve">Aprobación:</w:t>
      </w:r>
    </w:p>
    <w:p>
      <w:pPr>
        <w:spacing w:after="120" w:before="120"/>
        <w:jc w:val="left"/>
      </w:pPr>
      <w:r>
        <w:rPr>
          <w:rFonts w:ascii="Arial" w:cs="Arial" w:eastAsia="Arial" w:hAnsi="Arial"/>
          <w:b w:val="false"/>
          <w:bCs w:val="false"/>
          <w:color w:val="000000"/>
          <w:sz w:val="22"/>
          <w:szCs w:val="22"/>
        </w:rPr>
        <w:t xml:space="preserve">Toda acción correctiva que implique cambio de alcance, cronograma o presupuesto debe ser aprobada formalmente por el patrocinador antes de su implementación.</w:t>
      </w:r>
    </w:p>
    <w:p>
      <w:pPr>
        <w:spacing w:after="120" w:before="120"/>
        <w:jc w:val="left"/>
      </w:pPr>
      <w:r>
        <w:rPr>
          <w:rFonts w:ascii="Arial" w:cs="Arial" w:eastAsia="Arial" w:hAnsi="Arial"/>
          <w:b/>
          <w:bCs/>
          <w:color w:val="000000"/>
          <w:sz w:val="22"/>
          <w:szCs w:val="22"/>
        </w:rPr>
        <w:t xml:space="preserve">Registro:</w:t>
      </w:r>
    </w:p>
    <w:p>
      <w:pPr>
        <w:spacing w:after="120" w:before="120"/>
        <w:jc w:val="left"/>
      </w:pPr>
      <w:r>
        <w:rPr>
          <w:rFonts w:ascii="Arial" w:cs="Arial" w:eastAsia="Arial" w:hAnsi="Arial"/>
          <w:b w:val="false"/>
          <w:bCs w:val="false"/>
          <w:color w:val="000000"/>
          <w:sz w:val="22"/>
          <w:szCs w:val="22"/>
        </w:rPr>
        <w:t xml:space="preserve">Todas las variaciones y acciones correctivas quedan registradas en el Log de Cambios del proyecto y en la hoja EVM_Dashboard del Excel de Línea Base de Costos.</w:t>
      </w:r>
    </w:p>
    <w:p>
      <w:pPr>
        <w:pStyle w:val="Heading2"/>
        <w:spacing w:after="120" w:before="240"/>
      </w:pPr>
      <w:r>
        <w:rPr>
          <w:rFonts w:ascii="Arial" w:cs="Arial" w:eastAsia="Arial" w:hAnsi="Arial"/>
          <w:b/>
          <w:bCs/>
          <w:color w:val="2E75B6"/>
          <w:sz w:val="26"/>
          <w:szCs w:val="26"/>
        </w:rPr>
        <w:t xml:space="preserve">5.3 Opciones Típicas de Acción Correctiva</w:t>
      </w:r>
    </w:p>
    <w:p>
      <w:pPr>
        <w:pStyle w:val="ListParagraph"/>
        <w:numPr>
          <w:ilvl w:val="0"/>
          <w:numId w:val="2"/>
        </w:numPr>
        <w:spacing w:after="60" w:before="60"/>
      </w:pPr>
      <w:r>
        <w:rPr>
          <w:rFonts w:ascii="Arial" w:cs="Arial" w:eastAsia="Arial" w:hAnsi="Arial"/>
          <w:sz w:val="22"/>
          <w:szCs w:val="22"/>
        </w:rPr>
        <w:t xml:space="preserve">Reducción de alcance: eliminar historias de usuario de baja prioridad del MVP.</w:t>
      </w:r>
    </w:p>
    <w:p>
      <w:pPr>
        <w:pStyle w:val="ListParagraph"/>
        <w:numPr>
          <w:ilvl w:val="0"/>
          <w:numId w:val="2"/>
        </w:numPr>
        <w:spacing w:after="60" w:before="60"/>
      </w:pPr>
      <w:r>
        <w:rPr>
          <w:rFonts w:ascii="Arial" w:cs="Arial" w:eastAsia="Arial" w:hAnsi="Arial"/>
          <w:sz w:val="22"/>
          <w:szCs w:val="22"/>
        </w:rPr>
        <w:t xml:space="preserve">Replanificación del sprint: reasignar tareas entre desarrolladores para optimizar horas.</w:t>
      </w:r>
    </w:p>
    <w:p>
      <w:pPr>
        <w:pStyle w:val="ListParagraph"/>
        <w:numPr>
          <w:ilvl w:val="0"/>
          <w:numId w:val="2"/>
        </w:numPr>
        <w:spacing w:after="60" w:before="60"/>
      </w:pPr>
      <w:r>
        <w:rPr>
          <w:rFonts w:ascii="Arial" w:cs="Arial" w:eastAsia="Arial" w:hAnsi="Arial"/>
          <w:sz w:val="22"/>
          <w:szCs w:val="22"/>
        </w:rPr>
        <w:t xml:space="preserve">Compresión de cronograma (fast tracking): ejecutar en paralelo tareas que estaban secuenciadas.</w:t>
      </w:r>
    </w:p>
    <w:p>
      <w:pPr>
        <w:pStyle w:val="ListParagraph"/>
        <w:numPr>
          <w:ilvl w:val="0"/>
          <w:numId w:val="2"/>
        </w:numPr>
        <w:spacing w:after="60" w:before="60"/>
      </w:pPr>
      <w:r>
        <w:rPr>
          <w:rFonts w:ascii="Arial" w:cs="Arial" w:eastAsia="Arial" w:hAnsi="Arial"/>
          <w:sz w:val="22"/>
          <w:szCs w:val="22"/>
        </w:rPr>
        <w:t xml:space="preserve">Revisión de estimaciones: actualizar la estimación al completar (EAC) con base en el CPI acumulado.</w:t>
      </w:r>
    </w:p>
    <w:p>
      <w:pPr>
        <w:pStyle w:val="Heading1"/>
        <w:spacing w:after="150" w:before="300"/>
      </w:pPr>
      <w:r>
        <w:rPr>
          <w:rFonts w:ascii="Arial" w:cs="Arial" w:eastAsia="Arial" w:hAnsi="Arial"/>
          <w:b/>
          <w:bCs/>
          <w:color w:val="1F3864"/>
          <w:sz w:val="32"/>
          <w:szCs w:val="32"/>
        </w:rPr>
        <w:t xml:space="preserve">6. Proceso de Control de Cambios de Costo</w:t>
      </w:r>
    </w:p>
    <w:p>
      <w:pPr>
        <w:spacing w:after="120" w:before="120"/>
        <w:jc w:val="left"/>
      </w:pPr>
      <w:r>
        <w:rPr>
          <w:rFonts w:ascii="Arial" w:cs="Arial" w:eastAsia="Arial" w:hAnsi="Arial"/>
          <w:b w:val="false"/>
          <w:bCs w:val="false"/>
          <w:color w:val="000000"/>
          <w:sz w:val="22"/>
          <w:szCs w:val="22"/>
        </w:rPr>
        <w:t xml:space="preserve">El proceso de control de cambios de costo sigue el proceso establecido de solicitudes de cambio del proyecto definido en el Plan de Gestión del Proyecto de PetCare MVP. Cualquier cambio que afecte el presupuesto, la línea base del cronograma o el alcance debe pasar por este proceso formal.</w:t>
      </w:r>
    </w:p>
    <w:p>
      <w:pPr>
        <w:pStyle w:val="Heading2"/>
        <w:spacing w:after="120" w:before="240"/>
      </w:pPr>
      <w:r>
        <w:rPr>
          <w:rFonts w:ascii="Arial" w:cs="Arial" w:eastAsia="Arial" w:hAnsi="Arial"/>
          <w:b/>
          <w:bCs/>
          <w:color w:val="2E75B6"/>
          <w:sz w:val="26"/>
          <w:szCs w:val="26"/>
        </w:rPr>
        <w:t xml:space="preserve">6.1 Flujo del Proceso de Control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360"/>
        <w:gridCol w:w="2400"/>
      </w:tblGrid>
      <w:tr>
        <w:tc>
          <w:tcPr>
            <w:tcW w:type="dxa" w:w="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Paso</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Actividad</w:t>
            </w:r>
          </w:p>
        </w:tc>
        <w:tc>
          <w:tcPr>
            <w:tcW w:type="dxa" w:w="4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Descripción</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Responsable</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Identificación del cambio</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Cualquier miembro del equipo identifica una desviación o necesidad de cambio en costo/alcance.</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Todo el equipo</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2</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Documentación (Solicitud de Cambio)</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 diligencia el formulario de Solicitud de Cambio con descripción, impacto en costo, cronograma y alcance.</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PM – Harold Alvarado</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3</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Análisis de impacto</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 PM analiza el impacto cuantitativo en PV, AC, EV y presupuesto total; actualiza el EVM Dashboard.</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PM – Harold Alvarado</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4</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Revisión del equipo</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 equipo revisa la propuesta de cambio en la reunión de sprint planning o reunión extraordinaria.</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Equipo completo</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5</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Aprobación del patrocinador</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 patrocinador (docente UPTC) aprueba o rechaza el cambio. Los cambios de presupuesto requieren aprobación exclusiva del patrocinador.</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Patrocinador</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6</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Implementación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 es aprobado, el PM actualiza la Línea Base de Costos, el cronograma y el registro de cambios.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PM / Equipo</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7</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Seguimiento</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 cambio se monitorea en los reportes EVM subsiguientes hasta su cierre.</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PM – Harold Alvarado</w:t>
            </w:r>
          </w:p>
        </w:tc>
      </w:tr>
    </w:tbl>
    <w:p>
      <w:pPr>
        <w:spacing w:after="120" w:before="120"/>
        <w:jc w:val="left"/>
      </w:pPr>
      <w:r>
        <w:rPr>
          <w:rFonts w:ascii="Arial" w:cs="Arial" w:eastAsia="Arial" w:hAnsi="Arial"/>
          <w:b w:val="false"/>
          <w:bCs w:val="false"/>
          <w:color w:val="000000"/>
          <w:sz w:val="22"/>
          <w:szCs w:val="22"/>
        </w:rPr>
        <w:t xml:space="preserve"/>
      </w:r>
    </w:p>
    <w:p>
      <w:pPr>
        <w:pStyle w:val="Heading2"/>
        <w:spacing w:after="120" w:before="240"/>
      </w:pPr>
      <w:r>
        <w:rPr>
          <w:rFonts w:ascii="Arial" w:cs="Arial" w:eastAsia="Arial" w:hAnsi="Arial"/>
          <w:b/>
          <w:bCs/>
          <w:color w:val="2E75B6"/>
          <w:sz w:val="26"/>
          <w:szCs w:val="26"/>
        </w:rPr>
        <w:t xml:space="preserve">6.2 Criterios de Aprobación</w:t>
      </w:r>
    </w:p>
    <w:p>
      <w:pPr>
        <w:pStyle w:val="ListParagraph"/>
        <w:numPr>
          <w:ilvl w:val="0"/>
          <w:numId w:val="2"/>
        </w:numPr>
        <w:spacing w:after="60" w:before="60"/>
      </w:pPr>
      <w:r>
        <w:rPr>
          <w:rFonts w:ascii="Arial" w:cs="Arial" w:eastAsia="Arial" w:hAnsi="Arial"/>
          <w:sz w:val="22"/>
          <w:szCs w:val="22"/>
        </w:rPr>
        <w:t xml:space="preserve">Cambios menores (≤ $100,000 COP): El PM puede aprobar directamente, con notificación al patrocinador.</w:t>
      </w:r>
    </w:p>
    <w:p>
      <w:pPr>
        <w:pStyle w:val="ListParagraph"/>
        <w:numPr>
          <w:ilvl w:val="0"/>
          <w:numId w:val="2"/>
        </w:numPr>
        <w:spacing w:after="60" w:before="60"/>
      </w:pPr>
      <w:r>
        <w:rPr>
          <w:rFonts w:ascii="Arial" w:cs="Arial" w:eastAsia="Arial" w:hAnsi="Arial"/>
          <w:sz w:val="22"/>
          <w:szCs w:val="22"/>
        </w:rPr>
        <w:t xml:space="preserve">Cambios moderados ($100,001 – $500,000 COP): Requieren aprobación del patrocinador en la siguiente reunión de sprint.</w:t>
      </w:r>
    </w:p>
    <w:p>
      <w:pPr>
        <w:pStyle w:val="ListParagraph"/>
        <w:numPr>
          <w:ilvl w:val="0"/>
          <w:numId w:val="2"/>
        </w:numPr>
        <w:spacing w:after="60" w:before="60"/>
      </w:pPr>
      <w:r>
        <w:rPr>
          <w:rFonts w:ascii="Arial" w:cs="Arial" w:eastAsia="Arial" w:hAnsi="Arial"/>
          <w:sz w:val="22"/>
          <w:szCs w:val="22"/>
        </w:rPr>
        <w:t xml:space="preserve">Cambios mayores (&gt; $500,000 COP o cambio de alcance significativo): Requieren reunión extraordinaria con el patrocinador y aprobación documentada por escrito.</w:t>
      </w:r>
    </w:p>
    <w:p>
      <w:pPr>
        <w:pStyle w:val="ListParagraph"/>
        <w:numPr>
          <w:ilvl w:val="0"/>
          <w:numId w:val="2"/>
        </w:numPr>
        <w:spacing w:after="60" w:before="60"/>
      </w:pPr>
      <w:r>
        <w:rPr>
          <w:rFonts w:ascii="Arial" w:cs="Arial" w:eastAsia="Arial" w:hAnsi="Arial"/>
          <w:sz w:val="22"/>
          <w:szCs w:val="22"/>
        </w:rPr>
        <w:t xml:space="preserve">Toda aprobación de cambios de presupuesto debe ser registrada en el Log de Cambios del proyecto con fecha, descripción, impacto y firma del patrocinador.</w:t>
      </w:r>
    </w:p>
    <w:p>
      <w:pPr>
        <w:pStyle w:val="Heading1"/>
        <w:spacing w:after="150" w:before="300"/>
      </w:pPr>
      <w:r>
        <w:rPr>
          <w:rFonts w:ascii="Arial" w:cs="Arial" w:eastAsia="Arial" w:hAnsi="Arial"/>
          <w:b/>
          <w:bCs/>
          <w:color w:val="1F3864"/>
          <w:sz w:val="32"/>
          <w:szCs w:val="32"/>
        </w:rPr>
        <w:t xml:space="preserve">7. Presupuesto del Proyecto</w:t>
      </w:r>
    </w:p>
    <w:p>
      <w:pPr>
        <w:spacing w:after="120" w:before="120"/>
        <w:jc w:val="left"/>
      </w:pPr>
      <w:r>
        <w:rPr>
          <w:rFonts w:ascii="Arial" w:cs="Arial" w:eastAsia="Arial" w:hAnsi="Arial"/>
          <w:b w:val="false"/>
          <w:bCs w:val="false"/>
          <w:color w:val="000000"/>
          <w:sz w:val="22"/>
          <w:szCs w:val="22"/>
        </w:rPr>
        <w:t xml:space="preserve">El presupuesto del proyecto PetCare MVP se detalla a continuación. Todos los costos se expresan en Pesos Colombianos (COP). El presupuesto fue estimado utilizando metodología paramétrica basada en las horas de desarrollo planificadas por Historia de Usuario y las tarifas por hora aplicables.</w:t>
      </w:r>
    </w:p>
    <w:p>
      <w:pPr>
        <w:pStyle w:val="Heading2"/>
        <w:spacing w:after="120" w:before="240"/>
      </w:pPr>
      <w:r>
        <w:rPr>
          <w:rFonts w:ascii="Arial" w:cs="Arial" w:eastAsia="Arial" w:hAnsi="Arial"/>
          <w:b/>
          <w:bCs/>
          <w:color w:val="2E75B6"/>
          <w:sz w:val="26"/>
          <w:szCs w:val="26"/>
        </w:rPr>
        <w:t xml:space="preserve">7.1 Resumen del Presupuesto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400"/>
        <w:gridCol w:w="1200"/>
      </w:tblGrid>
      <w:tr>
        <w:tc>
          <w:tcPr>
            <w:tcW w:type="dxa" w:w="57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Categoría de Costo</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Monto (COP)</w:t>
            </w:r>
          </w:p>
        </w:tc>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Tipo</w:t>
            </w:r>
          </w:p>
        </w:tc>
      </w:tr>
      <w:tr>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Mano de Obra Directa (468 hrs × $12,500 COP/hr)</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$5,850,000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Laboral</w:t>
            </w:r>
          </w:p>
        </w:tc>
      </w:tr>
      <w:tr>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Costos Indirectos – Alquiler de Equipos (468 hrs × $6,250 COP/hr)</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$2,925,000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Indirecto</w:t>
            </w:r>
          </w:p>
        </w:tc>
      </w:tr>
      <w:tr>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Reserva de Gestión (10% de cada HU sobre mano de obra)</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$1,045,000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Reserva</w:t>
            </w:r>
          </w:p>
        </w:tc>
      </w:tr>
      <w:tr>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Herramientas e Infraestructura Tecnológica (Firebase, GitHub, Postman, React/Vite)</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Fijo</w:t>
            </w:r>
          </w:p>
        </w:tc>
      </w:tr>
      <w:tr>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Materiales Físicos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Material</w:t>
            </w:r>
          </w:p>
        </w:tc>
      </w:tr>
      <w:tr>
        <w:tc>
          <w:tcPr>
            <w:tcW w:type="dxa" w:w="57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PRESUPUESTO TOTAL DEL PROYECTO</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$9,820,000</w:t>
            </w:r>
          </w:p>
        </w:tc>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w:t>
            </w:r>
          </w:p>
        </w:tc>
      </w:tr>
    </w:tbl>
    <w:p>
      <w:pPr>
        <w:spacing w:after="120" w:before="120"/>
        <w:jc w:val="left"/>
      </w:pPr>
      <w:r>
        <w:rPr>
          <w:rFonts w:ascii="Arial" w:cs="Arial" w:eastAsia="Arial" w:hAnsi="Arial"/>
          <w:b w:val="false"/>
          <w:bCs w:val="false"/>
          <w:color w:val="000000"/>
          <w:sz w:val="22"/>
          <w:szCs w:val="22"/>
        </w:rPr>
        <w:t xml:space="preserve"/>
      </w:r>
    </w:p>
    <w:p>
      <w:pPr>
        <w:pStyle w:val="Heading2"/>
        <w:spacing w:after="120" w:before="240"/>
      </w:pPr>
      <w:r>
        <w:rPr>
          <w:rFonts w:ascii="Arial" w:cs="Arial" w:eastAsia="Arial" w:hAnsi="Arial"/>
          <w:b/>
          <w:bCs/>
          <w:color w:val="2E75B6"/>
          <w:sz w:val="26"/>
          <w:szCs w:val="26"/>
        </w:rPr>
        <w:t xml:space="preserve">7.2 Distribución del Presupuesto por EDT / Historia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360"/>
        <w:gridCol w:w="1000"/>
        <w:gridCol w:w="1800"/>
        <w:gridCol w:w="1800"/>
      </w:tblGrid>
      <w:tr>
        <w:tc>
          <w:tcPr>
            <w:tcW w:type="dxa" w:w="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Niv.</w:t>
            </w:r>
          </w:p>
        </w:tc>
        <w:tc>
          <w:tcPr>
            <w:tcW w:type="dxa" w:w="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EDT</w:t>
            </w:r>
          </w:p>
        </w:tc>
        <w:tc>
          <w:tcPr>
            <w:tcW w:type="dxa" w:w="3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Historia de Usuario / Actividad</w:t>
            </w:r>
          </w:p>
        </w:tc>
        <w:tc>
          <w:tcPr>
            <w:tcW w:type="dxa" w:w="1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Sprint</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PV (COP)</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 (COP)</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HU-01 Registro de Usuario</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S1</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$380,000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$343,750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HU-02 Inicio de Sesión</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S1</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$520,000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$412,500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HU-08 Perfil Profesional</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S1</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$806,250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HU-07 Perfil de Mascota</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S1</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$818,750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HU-05 Crear Servicio</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S2</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$620,000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$568,750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HU-04 Visualizar Servicios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S2</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$506,250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2.3</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HU-06 Administrar Servicios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S2</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$643,750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2.4</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HU-09 Búsqueda Perfiles Prof.</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S2</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$543,750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3.1</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HU-10 Solicitud de Servicio</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S3</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$780,000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$893,750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HU-11 Aceptación Solicitudes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S3</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$518,750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3.3</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HU-12 Calificación y Reseñas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S3</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$540,000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$518,750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3.4</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HU-14 Historial Proveedor</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S3</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$531,250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HU-13 Historial Solicitados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S3</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$543,750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4.1</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HU-15 Dashboard Admin</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S4</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$540,000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$506,250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HU-16 Gestión Usuarios Admin</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S4</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$540,000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$506,250</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4.3</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HU-03 Recuperación Contraseña</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S4</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$540,000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$506,250</w:t>
            </w:r>
          </w:p>
        </w:tc>
      </w:tr>
      <w:tr>
        <w:tc>
          <w:tcPr>
            <w:tcW w:type="dxa" w:w="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w:t>
            </w:r>
          </w:p>
        </w:tc>
        <w:tc>
          <w:tcPr>
            <w:tcW w:type="dxa" w:w="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3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$9,820,000</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$9,168,750</w:t>
            </w:r>
          </w:p>
        </w:tc>
      </w:tr>
    </w:tbl>
    <w:p>
      <w:pPr>
        <w:spacing w:after="120" w:before="120"/>
        <w:jc w:val="left"/>
      </w:pPr>
      <w:r>
        <w:rPr>
          <w:rFonts w:ascii="Arial" w:cs="Arial" w:eastAsia="Arial" w:hAnsi="Arial"/>
          <w:b w:val="false"/>
          <w:bCs w:val="false"/>
          <w:color w:val="000000"/>
          <w:sz w:val="22"/>
          <w:szCs w:val="22"/>
        </w:rPr>
        <w:t xml:space="preserve"/>
      </w:r>
    </w:p>
    <w:p>
      <w:pPr>
        <w:pStyle w:val="Heading2"/>
        <w:spacing w:after="120" w:before="240"/>
      </w:pPr>
      <w:r>
        <w:rPr>
          <w:rFonts w:ascii="Arial" w:cs="Arial" w:eastAsia="Arial" w:hAnsi="Arial"/>
          <w:b/>
          <w:bCs/>
          <w:color w:val="2E75B6"/>
          <w:sz w:val="26"/>
          <w:szCs w:val="26"/>
        </w:rPr>
        <w:t xml:space="preserve">7.3 Notas y Supuestos del Presupuesto</w:t>
      </w:r>
    </w:p>
    <w:p>
      <w:pPr>
        <w:pStyle w:val="ListParagraph"/>
        <w:numPr>
          <w:ilvl w:val="0"/>
          <w:numId w:val="2"/>
        </w:numPr>
        <w:spacing w:after="60" w:before="60"/>
      </w:pPr>
      <w:r>
        <w:rPr>
          <w:rFonts w:ascii="Arial" w:cs="Arial" w:eastAsia="Arial" w:hAnsi="Arial"/>
          <w:sz w:val="22"/>
          <w:szCs w:val="22"/>
        </w:rPr>
        <w:t xml:space="preserve">Presupuesto Total del Proyecto (BAC – Presupuesto al Completar): $9,820,000 COP.</w:t>
      </w:r>
    </w:p>
    <w:p>
      <w:pPr>
        <w:pStyle w:val="ListParagraph"/>
        <w:numPr>
          <w:ilvl w:val="0"/>
          <w:numId w:val="2"/>
        </w:numPr>
        <w:spacing w:after="60" w:before="60"/>
      </w:pPr>
      <w:r>
        <w:rPr>
          <w:rFonts w:ascii="Arial" w:cs="Arial" w:eastAsia="Arial" w:hAnsi="Arial"/>
          <w:sz w:val="22"/>
          <w:szCs w:val="22"/>
        </w:rPr>
        <w:t xml:space="preserve">La reserva de gestión del 10% por HU cubre riesgos no identificados y variaciones en el esfuerzo de implementación.</w:t>
      </w:r>
    </w:p>
    <w:p>
      <w:pPr>
        <w:pStyle w:val="ListParagraph"/>
        <w:numPr>
          <w:ilvl w:val="0"/>
          <w:numId w:val="2"/>
        </w:numPr>
        <w:spacing w:after="60" w:before="60"/>
      </w:pPr>
      <w:r>
        <w:rPr>
          <w:rFonts w:ascii="Arial" w:cs="Arial" w:eastAsia="Arial" w:hAnsi="Arial"/>
          <w:sz w:val="22"/>
          <w:szCs w:val="22"/>
        </w:rPr>
        <w:t xml:space="preserve">Toda la infraestructura tecnológica utiliza planes gratuitos (Firebase Spark, GitHub Free, Postman Free); costo = $0 COP.</w:t>
      </w:r>
    </w:p>
    <w:p>
      <w:pPr>
        <w:pStyle w:val="ListParagraph"/>
        <w:numPr>
          <w:ilvl w:val="0"/>
          <w:numId w:val="2"/>
        </w:numPr>
        <w:spacing w:after="60" w:before="60"/>
      </w:pPr>
      <w:r>
        <w:rPr>
          <w:rFonts w:ascii="Arial" w:cs="Arial" w:eastAsia="Arial" w:hAnsi="Arial"/>
          <w:sz w:val="22"/>
          <w:szCs w:val="22"/>
        </w:rPr>
        <w:t xml:space="preserve">No se contemplan costos de licencias de software, ya que se utilizan exclusivamente herramientas de código abierto y/o planes gratuitos.</w:t>
      </w:r>
    </w:p>
    <w:p>
      <w:pPr>
        <w:pStyle w:val="ListParagraph"/>
        <w:numPr>
          <w:ilvl w:val="0"/>
          <w:numId w:val="2"/>
        </w:numPr>
        <w:spacing w:after="60" w:before="60"/>
      </w:pPr>
      <w:r>
        <w:rPr>
          <w:rFonts w:ascii="Arial" w:cs="Arial" w:eastAsia="Arial" w:hAnsi="Arial"/>
          <w:sz w:val="22"/>
          <w:szCs w:val="22"/>
        </w:rPr>
        <w:t xml:space="preserve">El costo de alquiler de equipos de cómputo ($6,250 COP/hora) fue estimado con base en el valor promedio de mercado en Colombia para el año 2026.</w:t>
      </w:r>
    </w:p>
    <w:p>
      <w:pPr>
        <w:pStyle w:val="ListParagraph"/>
        <w:numPr>
          <w:ilvl w:val="0"/>
          <w:numId w:val="2"/>
        </w:numPr>
        <w:spacing w:after="60" w:before="60"/>
      </w:pPr>
      <w:r>
        <w:rPr>
          <w:rFonts w:ascii="Arial" w:cs="Arial" w:eastAsia="Arial" w:hAnsi="Arial"/>
          <w:sz w:val="22"/>
          <w:szCs w:val="22"/>
        </w:rPr>
        <w:t xml:space="preserve">Los costos de calidad (revisiones de código, pruebas de integración, retrospectivas) están implícitos dentro de las horas de trabajo de cada HU y no se contabilizan por separado.</w:t>
      </w:r>
    </w:p>
    <w:p>
      <w:pPr>
        <w:pStyle w:val="ListParagraph"/>
        <w:numPr>
          <w:ilvl w:val="0"/>
          <w:numId w:val="2"/>
        </w:numPr>
        <w:spacing w:after="60" w:before="60"/>
      </w:pPr>
      <w:r>
        <w:rPr>
          <w:rFonts w:ascii="Arial" w:cs="Arial" w:eastAsia="Arial" w:hAnsi="Arial"/>
          <w:sz w:val="22"/>
          <w:szCs w:val="22"/>
        </w:rPr>
        <w:t xml:space="preserve">Supuesto: El proyecto se financia con recursos propios del equipo estudiantil; no hay fuente de financiamiento externa.</w:t>
      </w:r>
    </w:p>
    <w:p>
      <w:pPr>
        <w:pStyle w:val="Heading2"/>
        <w:spacing w:after="120" w:before="240"/>
      </w:pPr>
      <w:r>
        <w:rPr>
          <w:rFonts w:ascii="Arial" w:cs="Arial" w:eastAsia="Arial" w:hAnsi="Arial"/>
          <w:b/>
          <w:bCs/>
          <w:color w:val="2E75B6"/>
          <w:sz w:val="26"/>
          <w:szCs w:val="26"/>
        </w:rPr>
        <w:t xml:space="preserve">7.4 Curva S – Valor Planeado Acumulado por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400"/>
        <w:gridCol w:w="1400"/>
        <w:gridCol w:w="1400"/>
        <w:gridCol w:w="1400"/>
        <w:gridCol w:w="1200"/>
      </w:tblGrid>
      <w:tr>
        <w:tc>
          <w:tcPr>
            <w:tcW w:type="dxa" w:w="2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Sprint 1</w:t>
            </w:r>
          </w:p>
        </w:tc>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Sprint 2</w:t>
            </w:r>
          </w:p>
        </w:tc>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Sprint 3</w:t>
            </w:r>
          </w:p>
        </w:tc>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Sprint 4</w:t>
            </w:r>
          </w:p>
        </w:tc>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w:t>
            </w:r>
          </w:p>
        </w:tc>
      </w:tr>
      <w:tr>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PV por Sprint (COP)</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$2,700,000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$2,440,000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$3,060,000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$1,620,000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$9,820,000</w:t>
            </w:r>
          </w:p>
        </w:tc>
      </w:tr>
      <w:tr>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PV Acumulado (COP)</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$2,700,000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$5,140,000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$8,200,000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$9,820,000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$9,820,000</w:t>
            </w:r>
          </w:p>
        </w:tc>
      </w:tr>
      <w:tr>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AC Real Acumulado (COP)</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$2,381,250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$4,643,750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$7,637,500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$9,168,750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$9,168,750</w:t>
            </w:r>
          </w:p>
        </w:tc>
      </w:tr>
      <w:tr>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Balance Acumulado (COP)</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+$318,750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+$496,250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+$562,500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+$651,250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+$651,250</w:t>
            </w:r>
          </w:p>
        </w:tc>
      </w:tr>
    </w:tbl>
    <w:p>
      <w:pPr>
        <w:spacing w:after="120" w:before="120"/>
        <w:jc w:val="left"/>
      </w:pPr>
      <w:r>
        <w:rPr>
          <w:rFonts w:ascii="Arial" w:cs="Arial" w:eastAsia="Arial" w:hAnsi="Arial"/>
          <w:b w:val="false"/>
          <w:bCs w:val="false"/>
          <w:color w:val="000000"/>
          <w:sz w:val="22"/>
          <w:szCs w:val="22"/>
        </w:rPr>
        <w:t xml:space="preserve"/>
      </w:r>
    </w:p>
    <w:p>
      <w:pPr>
        <w:pStyle w:val="Heading1"/>
        <w:spacing w:after="150" w:before="300"/>
      </w:pPr>
      <w:r>
        <w:rPr>
          <w:rFonts w:ascii="Arial" w:cs="Arial" w:eastAsia="Arial" w:hAnsi="Arial"/>
          <w:b/>
          <w:bCs/>
          <w:color w:val="1F3864"/>
          <w:sz w:val="32"/>
          <w:szCs w:val="32"/>
        </w:rPr>
        <w:t xml:space="preserve">Aceptación del Patrocinador</w:t>
      </w:r>
    </w:p>
    <w:p>
      <w:pPr>
        <w:spacing w:after="120" w:before="120"/>
        <w:jc w:val="left"/>
      </w:pPr>
      <w:r>
        <w:rPr>
          <w:rFonts w:ascii="Arial" w:cs="Arial" w:eastAsia="Arial" w:hAnsi="Arial"/>
          <w:b w:val="false"/>
          <w:bCs w:val="false"/>
          <w:color w:val="000000"/>
          <w:sz w:val="22"/>
          <w:szCs w:val="22"/>
        </w:rPr>
        <w:t xml:space="preserve">Aprobado por el Patrocinador del Proyecto:</w:t>
      </w:r>
    </w:p>
    <w:p>
      <w:pPr>
        <w:spacing w:after="120" w:before="12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Firma del Patrocinador:</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_______________________________</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Nombre: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Docente – Carlos Fernando Arenas Fonseca</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Cargo:</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Patrocinador del Proyecto / Evaluador Académico</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Fecha:</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04-05-2026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80"/>
      <w:jc w:val="center"/>
    </w:pPr>
    <w:r>
      <w:rPr>
        <w:rFonts w:ascii="Arial" w:cs="Arial" w:eastAsia="Arial" w:hAnsi="Arial"/>
        <w:color w:val="555555"/>
        <w:sz w:val="18"/>
        <w:szCs w:val="18"/>
      </w:rPr>
      <w:t xml:space="preserve">Documento confidencial – Uso académico/profesional interno	</w:t>
    </w:r>
    <w:r>
      <w:rPr>
        <w:rFonts w:ascii="Arial" w:cs="Arial" w:eastAsia="Arial" w:hAnsi="Arial"/>
        <w:color w:val="555555"/>
        <w:sz w:val="18"/>
        <w:szCs w:val="18"/>
      </w:rPr>
      <w:t xml:space="preserve">Página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jc w:val="center"/>
    </w:pPr>
    <w:r>
      <w:rPr>
        <w:rFonts w:ascii="Arial" w:cs="Arial" w:eastAsia="Arial" w:hAnsi="Arial"/>
        <w:b/>
        <w:bCs/>
        <w:color w:val="2E75B6"/>
        <w:sz w:val="20"/>
        <w:szCs w:val="20"/>
      </w:rPr>
      <w:t xml:space="preserve">Plan de Gestión de Costos  |  PetCare MVP</w:t>
    </w:r>
    <w:r>
      <w:rPr>
        <w:rFonts w:ascii="Arial" w:cs="Arial" w:eastAsia="Arial" w:hAnsi="Arial"/>
        <w:color w:val="555555"/>
        <w:sz w:val="18"/>
        <w:szCs w:val="18"/>
      </w:rPr>
      <w:t xml:space="preserve">	UPTC – Gerencia Informática 2026-I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2026-05-05T04:57:00.599Z</dcterms:created>
  <dcterms:modified xsi:type="dcterms:W3CDTF">2026-05-05T04:57:00.600Z</dcterms:modified>
</cp:coreProperties>
</file>

<file path=docProps/custom.xml><?xml version="1.0" encoding="utf-8"?>
<Properties xmlns="http://schemas.openxmlformats.org/officeDocument/2006/custom-properties" xmlns:vt="http://schemas.openxmlformats.org/officeDocument/2006/docPropsVTypes"/>
</file>