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 cy="381000"/>
                    </a:xfrm>
                    <a:prstGeom prst="rect">
                      <a:avLst/>
                    </a:prstGeom>
                  </pic:spPr>
                </pic:pic>
              </a:graphicData>
            </a:graphic>
          </wp:inline>
        </w:drawing>
      </w:r>
      <w:r>
        <w:rPr>
          <w:b/>
          <w:bCs/>
          <w:color w:val="1F1F1F"/>
          <w:sz w:val="56"/>
          <w:szCs w:val="56"/>
        </w:rPr>
        <w:t xml:space="preserve">  Petanque</w:t>
      </w:r>
      <w:r>
        <w:rPr>
          <w:b/>
          <w:bCs/>
          <w:color w:val="F4C430"/>
          <w:sz w:val="56"/>
          <w:szCs w:val="56"/>
        </w:rPr>
        <w:t xml:space="preserve">13</w:t>
      </w:r>
    </w:p>
    <w:p>
      <w:pPr>
        <w:spacing w:after="300" w:before="60"/>
      </w:pPr>
      <w:r>
        <w:rPr>
          <w:b/>
          <w:bCs/>
          <w:color w:val="D62828"/>
          <w:sz w:val="20"/>
          <w:szCs w:val="20"/>
        </w:rPr>
        <w:t xml:space="preserve">DOSSIER DE SPONSORING — 2026-2027</w:t>
      </w:r>
    </w:p>
    <w:p>
      <w:pPr>
        <w:pStyle w:val="Title"/>
        <w:spacing w:after="200"/>
      </w:pPr>
      <w:r>
        <w:rPr>
          <w:b/>
          <w:bCs/>
          <w:color w:val="1F1F1F"/>
          <w:sz w:val="30"/>
          <w:szCs w:val="30"/>
        </w:rPr>
        <w:t xml:space="preserve">La seule plateforme de ce genre en Belgique. Aucune alternative comparable.</w:t>
      </w:r>
    </w:p>
    <w:p>
      <w:pPr>
        <w:spacing w:after="160"/>
      </w:pPr>
      <w:r>
        <w:rPr>
          <w:color w:val="1F1F1F"/>
          <w:sz w:val="22"/>
          <w:szCs w:val="22"/>
        </w:rPr>
        <w:t xml:space="preserve">Petanque13 est LE calendrier central des tournois de pétanque en Flandre, en Wallonie et à Bruxelles — et avec Match13, aussi l'outil avec lequel les clubs gèrent efficacement leur journée de tournoi. Aucun autre site en Belgique ne combine les deux.</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single" w:color="F4C430" w:sz="6"/>
              <w:left w:val="single" w:color="F4C430" w:sz="6"/>
              <w:bottom w:val="single" w:color="F4C430" w:sz="6"/>
              <w:right w:val="single" w:color="F4C430" w:sz="6"/>
            </w:tcBorders>
            <w:shd w:fill="F5F5F5" w:val="clear"/>
            <w:tcMar>
              <w:top w:type="dxa" w:w="200"/>
              <w:left w:type="dxa" w:w="100"/>
              <w:bottom w:type="dxa" w:w="200"/>
              <w:right w:type="dxa" w:w="100"/>
            </w:tcMar>
          </w:tcPr>
          <w:p>
            <w:pPr>
              <w:jc w:val="center"/>
            </w:pPr>
            <w:r>
              <w:rPr>
                <w:b/>
                <w:bCs/>
                <w:color w:val="1F1F1F"/>
                <w:sz w:val="32"/>
                <w:szCs w:val="32"/>
              </w:rPr>
              <w:t xml:space="preserve">475+</w:t>
            </w:r>
          </w:p>
          <w:p>
            <w:pPr>
              <w:spacing w:before="40"/>
              <w:jc w:val="center"/>
            </w:pPr>
            <w:r>
              <w:rPr>
                <w:b/>
                <w:bCs/>
                <w:color w:val="6b4e00"/>
                <w:sz w:val="16"/>
                <w:szCs w:val="16"/>
              </w:rPr>
              <w:t xml:space="preserve">Tournois cette saison</w:t>
            </w:r>
          </w:p>
        </w:tc>
        <w:tc>
          <w:tcPr>
            <w:tcW w:type="pct" w:w="25%"/>
            <w:tcBorders>
              <w:top w:val="single" w:color="F4C430" w:sz="6"/>
              <w:left w:val="single" w:color="F4C430" w:sz="6"/>
              <w:bottom w:val="single" w:color="F4C430" w:sz="6"/>
              <w:right w:val="single" w:color="F4C430" w:sz="6"/>
            </w:tcBorders>
            <w:shd w:fill="F5F5F5" w:val="clear"/>
            <w:tcMar>
              <w:top w:type="dxa" w:w="200"/>
              <w:left w:type="dxa" w:w="100"/>
              <w:bottom w:type="dxa" w:w="200"/>
              <w:right w:type="dxa" w:w="100"/>
            </w:tcMar>
          </w:tcPr>
          <w:p>
            <w:pPr>
              <w:jc w:val="center"/>
            </w:pPr>
            <w:r>
              <w:rPr>
                <w:b/>
                <w:bCs/>
                <w:color w:val="1F1F1F"/>
                <w:sz w:val="32"/>
                <w:szCs w:val="32"/>
              </w:rPr>
              <w:t xml:space="preserve">208+</w:t>
            </w:r>
          </w:p>
          <w:p>
            <w:pPr>
              <w:spacing w:before="40"/>
              <w:jc w:val="center"/>
            </w:pPr>
            <w:r>
              <w:rPr>
                <w:b/>
                <w:bCs/>
                <w:color w:val="6b4e00"/>
                <w:sz w:val="16"/>
                <w:szCs w:val="16"/>
              </w:rPr>
              <w:t xml:space="preserve">Clubs actifs</w:t>
            </w:r>
          </w:p>
        </w:tc>
        <w:tc>
          <w:tcPr>
            <w:tcW w:type="pct" w:w="25%"/>
            <w:tcBorders>
              <w:top w:val="single" w:color="F4C430" w:sz="6"/>
              <w:left w:val="single" w:color="F4C430" w:sz="6"/>
              <w:bottom w:val="single" w:color="F4C430" w:sz="6"/>
              <w:right w:val="single" w:color="F4C430" w:sz="6"/>
            </w:tcBorders>
            <w:shd w:fill="F5F5F5" w:val="clear"/>
            <w:tcMar>
              <w:top w:type="dxa" w:w="200"/>
              <w:left w:type="dxa" w:w="100"/>
              <w:bottom w:type="dxa" w:w="200"/>
              <w:right w:type="dxa" w:w="100"/>
            </w:tcMar>
          </w:tcPr>
          <w:p>
            <w:pPr>
              <w:jc w:val="center"/>
            </w:pPr>
            <w:r>
              <w:rPr>
                <w:b/>
                <w:bCs/>
                <w:color w:val="1F1F1F"/>
                <w:sz w:val="32"/>
                <w:szCs w:val="32"/>
              </w:rPr>
              <w:t xml:space="preserve">50.000+</w:t>
            </w:r>
          </w:p>
          <w:p>
            <w:pPr>
              <w:spacing w:before="40"/>
              <w:jc w:val="center"/>
            </w:pPr>
            <w:r>
              <w:rPr>
                <w:b/>
                <w:bCs/>
                <w:color w:val="6b4e00"/>
                <w:sz w:val="16"/>
                <w:szCs w:val="16"/>
              </w:rPr>
              <w:t xml:space="preserve">Visites par an</w:t>
            </w:r>
          </w:p>
        </w:tc>
        <w:tc>
          <w:tcPr>
            <w:tcW w:type="pct" w:w="25%"/>
            <w:tcBorders>
              <w:top w:val="single" w:color="F4C430" w:sz="6"/>
              <w:left w:val="single" w:color="F4C430" w:sz="6"/>
              <w:bottom w:val="single" w:color="F4C430" w:sz="6"/>
              <w:right w:val="single" w:color="F4C430" w:sz="6"/>
            </w:tcBorders>
            <w:shd w:fill="F5F5F5" w:val="clear"/>
            <w:tcMar>
              <w:top w:type="dxa" w:w="200"/>
              <w:left w:type="dxa" w:w="100"/>
              <w:bottom w:type="dxa" w:w="200"/>
              <w:right w:type="dxa" w:w="100"/>
            </w:tcMar>
          </w:tcPr>
          <w:p>
            <w:pPr>
              <w:jc w:val="center"/>
            </w:pPr>
            <w:r>
              <w:rPr>
                <w:b/>
                <w:bCs/>
                <w:color w:val="1F1F1F"/>
                <w:sz w:val="32"/>
                <w:szCs w:val="32"/>
              </w:rPr>
              <w:t xml:space="preserve">11</w:t>
            </w:r>
          </w:p>
          <w:p>
            <w:pPr>
              <w:spacing w:before="40"/>
              <w:jc w:val="center"/>
            </w:pPr>
            <w:r>
              <w:rPr>
                <w:b/>
                <w:bCs/>
                <w:color w:val="6b4e00"/>
                <w:sz w:val="16"/>
                <w:szCs w:val="16"/>
              </w:rPr>
              <w:t xml:space="preserve">Provinces couvertes</w:t>
            </w:r>
          </w:p>
        </w:tc>
      </w:tr>
    </w:tbl>
    <w:p>
      <w:pPr>
        <w:pStyle w:val="Heading2"/>
        <w:spacing w:after="120" w:before="200"/>
      </w:pPr>
      <w:r>
        <w:rPr>
          <w:b/>
          <w:bCs/>
          <w:color w:val="D62828"/>
        </w:rPr>
        <w:t xml:space="preserve">Pourquoi Petanque13</w:t>
      </w:r>
    </w:p>
    <w:p>
      <w:pPr>
        <w:spacing w:after="160"/>
      </w:pPr>
      <w:r>
        <w:rPr>
          <w:color w:val="1F1F1F"/>
          <w:sz w:val="22"/>
          <w:szCs w:val="22"/>
        </w:rPr>
        <w:t xml:space="preserve">Qui arrive sur Petanque13 n'est pas un visiteur occasionnel — c'est quelqu'un qui, à ce moment précis, recherche activement un tournoi de pétanque près de chez lui. C'est exactement le moment où une marque, un commerce ou une région veut se montrer.</w:t>
      </w:r>
    </w:p>
    <w:p>
      <w:pPr>
        <w:pStyle w:val="ListParagraph"/>
        <w:numPr>
          <w:ilvl w:val="0"/>
          <w:numId w:val="1"/>
        </w:numPr>
        <w:spacing w:after="80"/>
      </w:pPr>
      <w:r>
        <w:rPr>
          <w:color w:val="1F1F1F"/>
          <w:sz w:val="22"/>
          <w:szCs w:val="22"/>
        </w:rPr>
        <w:t xml:space="preserve">Joueurs actifs : cherchent eux-mêmes un tournoi auquel participer — souvent chaque semaine.</w:t>
      </w:r>
    </w:p>
    <w:p>
      <w:pPr>
        <w:pStyle w:val="ListParagraph"/>
        <w:numPr>
          <w:ilvl w:val="0"/>
          <w:numId w:val="1"/>
        </w:numPr>
        <w:spacing w:after="80"/>
      </w:pPr>
      <w:r>
        <w:rPr>
          <w:color w:val="1F1F1F"/>
          <w:sz w:val="22"/>
          <w:szCs w:val="22"/>
        </w:rPr>
        <w:t xml:space="preserve">Dirigeants de clubs : gèrent des tournois et reviennent régulièrement sur le site.</w:t>
      </w:r>
    </w:p>
    <w:p>
      <w:pPr>
        <w:pStyle w:val="ListParagraph"/>
        <w:numPr>
          <w:ilvl w:val="0"/>
          <w:numId w:val="1"/>
        </w:numPr>
        <w:spacing w:after="80"/>
      </w:pPr>
      <w:r>
        <w:rPr>
          <w:color w:val="1F1F1F"/>
          <w:sz w:val="22"/>
          <w:szCs w:val="22"/>
        </w:rPr>
        <w:t xml:space="preserve">Entièrement bilingue (NL/FR) — votre portée ne s'arrête pas à la frontière linguistique.</w:t>
      </w:r>
    </w:p>
    <w:p>
      <w:pPr>
        <w:pStyle w:val="ListParagraph"/>
        <w:numPr>
          <w:ilvl w:val="0"/>
          <w:numId w:val="1"/>
        </w:numPr>
        <w:spacing w:after="80"/>
      </w:pPr>
      <w:r>
        <w:rPr>
          <w:color w:val="1F1F1F"/>
          <w:sz w:val="22"/>
          <w:szCs w:val="22"/>
        </w:rPr>
        <w:t xml:space="preserve">27 bénévoles vérifient chaque tournoi — cette confiance rejaillit sur qui s'y associe.</w:t>
      </w:r>
    </w:p>
    <w:p>
      <w:pPr>
        <w:pStyle w:val="ListParagraph"/>
        <w:numPr>
          <w:ilvl w:val="0"/>
          <w:numId w:val="1"/>
        </w:numPr>
        <w:spacing w:after="80"/>
      </w:pPr>
      <w:r>
        <w:rPr>
          <w:color w:val="1F1F1F"/>
          <w:sz w:val="22"/>
          <w:szCs w:val="22"/>
        </w:rPr>
        <w:t xml:space="preserve">Actif sur Facebook avec des vidéos et images d'ambiance des tournois — un sponsor peut aussi y apparaître.</w:t>
      </w:r>
    </w:p>
    <w:p>
      <w:pPr>
        <w:pStyle w:val="Heading2"/>
        <w:spacing w:after="120" w:before="200"/>
      </w:pPr>
      <w:r>
        <w:rPr>
          <w:b/>
          <w:bCs/>
          <w:color w:val="D62828"/>
        </w:rPr>
        <w:t xml:space="preserve">Plus qu'un calendrier : Match13</w:t>
      </w:r>
    </w:p>
    <w:p>
      <w:pPr>
        <w:spacing w:after="160"/>
      </w:pPr>
      <w:r>
        <w:rPr>
          <w:color w:val="1F1F1F"/>
          <w:sz w:val="22"/>
          <w:szCs w:val="22"/>
        </w:rPr>
        <w:t xml:space="preserve">En plus du calendrier, Petanque13 propose aussi Match13 — l'outil avec lequel les clubs gèrent eux-mêmes leur journée de tournoi : tirages et tours automatiques (Tête-à-tête, Doublette, Triplette, Quadrette, Sextet, Meli-Melo, Poules), traitement des scores en direct, un classement calculé automatiquement, et un « écran de salle » projeté en grand avec les tours et l'attribution des terrains.</w:t>
      </w:r>
    </w:p>
    <w:p>
      <w:pPr>
        <w:spacing w:after="160"/>
      </w:pPr>
      <w:r>
        <w:rPr>
          <w:b/>
          <w:bCs/>
          <w:color w:val="1F1F1F"/>
          <w:sz w:val="22"/>
          <w:szCs w:val="22"/>
        </w:rPr>
        <w:t xml:space="preserve">Et voilà le véritable atout : à chaque tour, chaque équipe reçoit sa propre fiche de match imprimée — avec les noms des joueurs, le terrain, un cadran de score jusqu'à 13, et un emplacement logo fixe en bas. Une visibilité physique qui passe littéralement de main en main, tour après tour, tournoi après tournoi. Aucun autre site de pétanque en Belgique n'offre cela.</w:t>
      </w:r>
    </w:p>
    <w:p>
      <w:pPr>
        <w:spacing w:after="160"/>
      </w:pPr>
      <w:r>
        <w:rPr>
          <w:i/>
          <w:iCs/>
          <w:color w:val="555555"/>
          <w:sz w:val="20"/>
          <w:szCs w:val="20"/>
        </w:rPr>
        <w:t xml:space="preserve">Match13 est déjà utilisé aujourd'hui par un nombre croissant de clubs pilotes. Un logo sponsor sur ces fiches n'existe pas encore, mais c'est un petit ajout technique que nous réalisons immédiatement pour le bon partenaire.</w:t>
      </w:r>
    </w:p>
    <w:p>
      <w:r>
        <w:br w:type="page"/>
      </w:r>
    </w:p>
    <w:p>
      <w:pPr>
        <w:pStyle w:val="Heading2"/>
        <w:spacing w:after="120" w:before="200"/>
      </w:pPr>
      <w:r>
        <w:rPr>
          <w:b/>
          <w:bCs/>
          <w:color w:val="D62828"/>
        </w:rPr>
        <w:t xml:space="preserve">Formules de sponsoring</w:t>
      </w:r>
    </w:p>
    <w:p>
      <w:pPr>
        <w:spacing w:after="160"/>
      </w:pPr>
      <w:r>
        <w:rPr>
          <w:color w:val="1F1F1F"/>
          <w:sz w:val="22"/>
          <w:szCs w:val="22"/>
        </w:rPr>
        <w:t xml:space="preserve">Prix par an (des tournois toute l'année, pas seulement une saison estivale). Petanque13 n'a pas d'équivalent en Belgique — ces tarifs reflètent cette position unique à l'échelle nationale.</w:t>
      </w:r>
    </w:p>
    <w:p>
      <w:pPr>
        <w:spacing w:after="200"/>
      </w:pPr>
    </w:p>
    <w:tbl>
      <w:tblPr>
        <w:tblW w:type="pct" w:w="100%"/>
        <w:tblBorders>
          <w:top w:val="single" w:color="AD7F4B" w:sz="4"/>
          <w:left w:val="single" w:color="AD7F4B" w:sz="4"/>
          <w:bottom w:val="single" w:color="AD7F4B" w:sz="4"/>
          <w:right w:val="single" w:color="AD7F4B" w:sz="4"/>
          <w:insideH w:val="single" w:color="E5E5E5" w:sz="4"/>
          <w:insideV w:val="single" w:color="E5E5E5" w:sz="4"/>
        </w:tblBorders>
      </w:tblPr>
      <w:tblGrid>
        <w:gridCol w:w="100"/>
      </w:tblGrid>
      <w:tr>
        <w:tc>
          <w:tcPr>
            <w:tcW w:type="pct" w:w="100%"/>
            <w:shd w:fill="AD7F4B" w:val="clear"/>
            <w:tcMar>
              <w:top w:type="dxa" w:w="160"/>
              <w:left w:type="dxa" w:w="160"/>
              <w:bottom w:type="dxa" w:w="160"/>
              <w:right w:type="dxa" w:w="160"/>
            </w:tcMar>
          </w:tcPr>
          <w:p>
            <w:r>
              <w:rPr>
                <w:b/>
                <w:bCs/>
                <w:color w:val="FFFFFF"/>
                <w:sz w:val="18"/>
                <w:szCs w:val="18"/>
              </w:rPr>
              <w:t xml:space="preserve">01 — DE BASE — </w:t>
            </w:r>
            <w:r>
              <w:rPr>
                <w:b/>
                <w:bCs/>
                <w:color w:val="FFFFFF"/>
                <w:sz w:val="24"/>
                <w:szCs w:val="24"/>
              </w:rPr>
              <w:t xml:space="preserve">AMI DE PETANQUE13</w:t>
            </w:r>
          </w:p>
          <w:p>
            <w:pPr>
              <w:spacing w:before="60"/>
            </w:pPr>
            <w:r>
              <w:rPr>
                <w:b/>
                <w:bCs/>
                <w:color w:val="FFFFFF"/>
                <w:sz w:val="30"/>
                <w:szCs w:val="30"/>
              </w:rPr>
              <w:t xml:space="preserve">€250 / an</w:t>
            </w:r>
          </w:p>
        </w:tc>
      </w:tr>
      <w:tr>
        <w:tc>
          <w:tcPr>
            <w:tcW w:type="pct" w:w="100%"/>
            <w:tcMar>
              <w:top w:type="dxa" w:w="160"/>
              <w:left w:type="dxa" w:w="200"/>
              <w:bottom w:type="dxa" w:w="120"/>
              <w:right w:type="dxa" w:w="200"/>
            </w:tcMar>
          </w:tcPr>
          <w:p>
            <w:pPr>
              <w:pStyle w:val="ListParagraph"/>
              <w:numPr>
                <w:ilvl w:val="0"/>
                <w:numId w:val="1"/>
              </w:numPr>
              <w:spacing w:after="60"/>
            </w:pPr>
            <w:r>
              <w:rPr>
                <w:color w:val="1F1F1F"/>
                <w:sz w:val="20"/>
                <w:szCs w:val="20"/>
              </w:rPr>
              <w:t xml:space="preserve">Logo + lien sur la page partenaires</w:t>
            </w:r>
          </w:p>
          <w:p>
            <w:pPr>
              <w:pStyle w:val="ListParagraph"/>
              <w:numPr>
                <w:ilvl w:val="0"/>
                <w:numId w:val="1"/>
              </w:numPr>
              <w:spacing w:after="60"/>
            </w:pPr>
            <w:r>
              <w:rPr>
                <w:color w:val="1F1F1F"/>
                <w:sz w:val="20"/>
                <w:szCs w:val="20"/>
              </w:rPr>
              <w:t xml:space="preserve">Une mention sur la page Facebook</w:t>
            </w:r>
          </w:p>
          <w:p>
            <w:pPr>
              <w:pStyle w:val="ListParagraph"/>
              <w:numPr>
                <w:ilvl w:val="0"/>
                <w:numId w:val="1"/>
              </w:numPr>
              <w:spacing w:after="60"/>
            </w:pPr>
            <w:r>
              <w:rPr>
                <w:color w:val="1F1F1F"/>
                <w:sz w:val="20"/>
                <w:szCs w:val="20"/>
              </w:rPr>
              <w:t xml:space="preserve">Mention « Soutient Petanque13 »</w:t>
            </w:r>
          </w:p>
          <w:p>
            <w:pPr>
              <w:spacing w:before="100"/>
            </w:pPr>
            <w:r>
              <w:rPr>
                <w:i/>
                <w:iCs/>
                <w:color w:val="555555"/>
                <w:sz w:val="18"/>
                <w:szCs w:val="18"/>
              </w:rPr>
              <w:t xml:space="preserve">Idéal pour démarrer sans grand engagement.</w:t>
            </w:r>
          </w:p>
        </w:tc>
      </w:tr>
    </w:tbl>
    <w:p>
      <w:pPr>
        <w:spacing w:after="200"/>
      </w:pPr>
    </w:p>
    <w:tbl>
      <w:tblPr>
        <w:tblW w:type="pct" w:w="100%"/>
        <w:tblBorders>
          <w:top w:val="single" w:color="8B909A" w:sz="4"/>
          <w:left w:val="single" w:color="8B909A" w:sz="4"/>
          <w:bottom w:val="single" w:color="8B909A" w:sz="4"/>
          <w:right w:val="single" w:color="8B909A" w:sz="4"/>
          <w:insideH w:val="single" w:color="E5E5E5" w:sz="4"/>
          <w:insideV w:val="single" w:color="E5E5E5" w:sz="4"/>
        </w:tblBorders>
      </w:tblPr>
      <w:tblGrid>
        <w:gridCol w:w="100"/>
      </w:tblGrid>
      <w:tr>
        <w:tc>
          <w:tcPr>
            <w:tcW w:type="pct" w:w="100%"/>
            <w:shd w:fill="8B909A" w:val="clear"/>
            <w:tcMar>
              <w:top w:type="dxa" w:w="160"/>
              <w:left w:type="dxa" w:w="160"/>
              <w:bottom w:type="dxa" w:w="160"/>
              <w:right w:type="dxa" w:w="160"/>
            </w:tcMar>
          </w:tcPr>
          <w:p>
            <w:r>
              <w:rPr>
                <w:b/>
                <w:bCs/>
                <w:color w:val="FFFFFF"/>
                <w:sz w:val="18"/>
                <w:szCs w:val="18"/>
              </w:rPr>
              <w:t xml:space="preserve">02 — PARTENAIRE — </w:t>
            </w:r>
            <w:r>
              <w:rPr>
                <w:b/>
                <w:bCs/>
                <w:color w:val="FFFFFF"/>
                <w:sz w:val="24"/>
                <w:szCs w:val="24"/>
              </w:rPr>
              <w:t xml:space="preserve">PARTENAIRE</w:t>
            </w:r>
          </w:p>
          <w:p>
            <w:pPr>
              <w:spacing w:before="60"/>
            </w:pPr>
            <w:r>
              <w:rPr>
                <w:b/>
                <w:bCs/>
                <w:color w:val="FFFFFF"/>
                <w:sz w:val="30"/>
                <w:szCs w:val="30"/>
              </w:rPr>
              <w:t xml:space="preserve">€600 / an</w:t>
            </w:r>
          </w:p>
        </w:tc>
      </w:tr>
      <w:tr>
        <w:tc>
          <w:tcPr>
            <w:tcW w:type="pct" w:w="100%"/>
            <w:tcMar>
              <w:top w:type="dxa" w:w="160"/>
              <w:left w:type="dxa" w:w="200"/>
              <w:bottom w:type="dxa" w:w="120"/>
              <w:right w:type="dxa" w:w="200"/>
            </w:tcMar>
          </w:tcPr>
          <w:p>
            <w:pPr>
              <w:pStyle w:val="ListParagraph"/>
              <w:numPr>
                <w:ilvl w:val="0"/>
                <w:numId w:val="1"/>
              </w:numPr>
              <w:spacing w:after="60"/>
            </w:pPr>
            <w:r>
              <w:rPr>
                <w:color w:val="1F1F1F"/>
                <w:sz w:val="20"/>
                <w:szCs w:val="20"/>
              </w:rPr>
              <w:t xml:space="preserve">Tout ce qui est inclus dans « Ami de Petanque13 »</w:t>
            </w:r>
          </w:p>
          <w:p>
            <w:pPr>
              <w:pStyle w:val="ListParagraph"/>
              <w:numPr>
                <w:ilvl w:val="0"/>
                <w:numId w:val="1"/>
              </w:numPr>
              <w:spacing w:after="60"/>
            </w:pPr>
            <w:r>
              <w:rPr>
                <w:color w:val="1F1F1F"/>
                <w:sz w:val="20"/>
                <w:szCs w:val="20"/>
              </w:rPr>
              <w:t xml:space="preserve">Logo visible sur la page d'accueil</w:t>
            </w:r>
          </w:p>
          <w:p>
            <w:pPr>
              <w:pStyle w:val="ListParagraph"/>
              <w:numPr>
                <w:ilvl w:val="0"/>
                <w:numId w:val="1"/>
              </w:numPr>
              <w:spacing w:after="60"/>
            </w:pPr>
            <w:r>
              <w:rPr>
                <w:color w:val="1F1F1F"/>
                <w:sz w:val="20"/>
                <w:szCs w:val="20"/>
              </w:rPr>
              <w:t xml:space="preserve">Mention au lancement + à mi-année dans la newsletter</w:t>
            </w:r>
          </w:p>
          <w:p>
            <w:pPr>
              <w:pStyle w:val="ListParagraph"/>
              <w:numPr>
                <w:ilvl w:val="0"/>
                <w:numId w:val="1"/>
              </w:numPr>
              <w:spacing w:after="60"/>
            </w:pPr>
            <w:r>
              <w:rPr>
                <w:color w:val="1F1F1F"/>
                <w:sz w:val="20"/>
                <w:szCs w:val="20"/>
              </w:rPr>
              <w:t xml:space="preserve">Mentionné/identifié dans au moins 1 vidéo d'ambiance sur Facebook</w:t>
            </w:r>
          </w:p>
          <w:p>
            <w:pPr>
              <w:spacing w:before="100"/>
            </w:pPr>
            <w:r>
              <w:rPr>
                <w:i/>
                <w:iCs/>
                <w:color w:val="555555"/>
                <w:sz w:val="18"/>
                <w:szCs w:val="18"/>
              </w:rPr>
              <w:t xml:space="preserve">La formule la plus choisie par les acteurs régionaux.</w:t>
            </w:r>
          </w:p>
        </w:tc>
      </w:tr>
    </w:tbl>
    <w:p>
      <w:pPr>
        <w:spacing w:after="200"/>
      </w:pPr>
    </w:p>
    <w:tbl>
      <w:tblPr>
        <w:tblW w:type="pct" w:w="100%"/>
        <w:tblBorders>
          <w:top w:val="single" w:color="F4C430" w:sz="4"/>
          <w:left w:val="single" w:color="F4C430" w:sz="4"/>
          <w:bottom w:val="single" w:color="F4C430" w:sz="4"/>
          <w:right w:val="single" w:color="F4C430" w:sz="4"/>
          <w:insideH w:val="single" w:color="E5E5E5" w:sz="4"/>
          <w:insideV w:val="single" w:color="E5E5E5" w:sz="4"/>
        </w:tblBorders>
      </w:tblPr>
      <w:tblGrid>
        <w:gridCol w:w="100"/>
      </w:tblGrid>
      <w:tr>
        <w:tc>
          <w:tcPr>
            <w:tcW w:type="pct" w:w="100%"/>
            <w:shd w:fill="F4C430" w:val="clear"/>
            <w:tcMar>
              <w:top w:type="dxa" w:w="160"/>
              <w:left w:type="dxa" w:w="160"/>
              <w:bottom w:type="dxa" w:w="160"/>
              <w:right w:type="dxa" w:w="160"/>
            </w:tcMar>
          </w:tcPr>
          <w:p>
            <w:r>
              <w:rPr>
                <w:b/>
                <w:bCs/>
                <w:color w:val="1F1F1F"/>
                <w:sz w:val="18"/>
                <w:szCs w:val="18"/>
              </w:rPr>
              <w:t xml:space="preserve">03 — SPONSOR PRINCIPAL — </w:t>
            </w:r>
            <w:r>
              <w:rPr>
                <w:b/>
                <w:bCs/>
                <w:color w:val="1F1F1F"/>
                <w:sz w:val="24"/>
                <w:szCs w:val="24"/>
              </w:rPr>
              <w:t xml:space="preserve">SPONSOR PRINCIPAL</w:t>
            </w:r>
          </w:p>
          <w:p>
            <w:pPr>
              <w:spacing w:before="60"/>
            </w:pPr>
            <w:r>
              <w:rPr>
                <w:b/>
                <w:bCs/>
                <w:color w:val="1F1F1F"/>
                <w:sz w:val="30"/>
                <w:szCs w:val="30"/>
              </w:rPr>
              <w:t xml:space="preserve">€1.500 / an</w:t>
            </w:r>
          </w:p>
        </w:tc>
      </w:tr>
      <w:tr>
        <w:tc>
          <w:tcPr>
            <w:tcW w:type="pct" w:w="100%"/>
            <w:tcMar>
              <w:top w:type="dxa" w:w="160"/>
              <w:left w:type="dxa" w:w="200"/>
              <w:bottom w:type="dxa" w:w="120"/>
              <w:right w:type="dxa" w:w="200"/>
            </w:tcMar>
          </w:tcPr>
          <w:p>
            <w:pPr>
              <w:pStyle w:val="ListParagraph"/>
              <w:numPr>
                <w:ilvl w:val="0"/>
                <w:numId w:val="1"/>
              </w:numPr>
              <w:spacing w:after="60"/>
            </w:pPr>
            <w:r>
              <w:rPr>
                <w:color w:val="1F1F1F"/>
                <w:sz w:val="20"/>
                <w:szCs w:val="20"/>
              </w:rPr>
              <w:t xml:space="preserve">Tout ce qui est inclus dans « Partenaire »</w:t>
            </w:r>
          </w:p>
          <w:p>
            <w:pPr>
              <w:pStyle w:val="ListParagraph"/>
              <w:numPr>
                <w:ilvl w:val="0"/>
                <w:numId w:val="1"/>
              </w:numPr>
              <w:spacing w:after="60"/>
            </w:pPr>
            <w:r>
              <w:rPr>
                <w:color w:val="1F1F1F"/>
                <w:sz w:val="20"/>
                <w:szCs w:val="20"/>
              </w:rPr>
              <w:t xml:space="preserve">Bannière bien visible en haut de la page d'accueil</w:t>
            </w:r>
          </w:p>
          <w:p>
            <w:pPr>
              <w:pStyle w:val="ListParagraph"/>
              <w:numPr>
                <w:ilvl w:val="0"/>
                <w:numId w:val="1"/>
              </w:numPr>
              <w:spacing w:after="60"/>
            </w:pPr>
            <w:r>
              <w:rPr>
                <w:color w:val="1F1F1F"/>
                <w:sz w:val="20"/>
                <w:szCs w:val="20"/>
              </w:rPr>
              <w:t xml:space="preserve">Page dédiée, comme « En voyage avec Claudy »</w:t>
            </w:r>
          </w:p>
          <w:p>
            <w:pPr>
              <w:pStyle w:val="ListParagraph"/>
              <w:numPr>
                <w:ilvl w:val="0"/>
                <w:numId w:val="1"/>
              </w:numPr>
              <w:spacing w:after="60"/>
            </w:pPr>
            <w:r>
              <w:rPr>
                <w:color w:val="1F1F1F"/>
                <w:sz w:val="20"/>
                <w:szCs w:val="20"/>
              </w:rPr>
              <w:t xml:space="preserve">Mention dans chaque édition de la newsletter</w:t>
            </w:r>
          </w:p>
          <w:p>
            <w:pPr>
              <w:pStyle w:val="ListParagraph"/>
              <w:numPr>
                <w:ilvl w:val="0"/>
                <w:numId w:val="1"/>
              </w:numPr>
              <w:spacing w:after="60"/>
            </w:pPr>
            <w:r>
              <w:rPr>
                <w:color w:val="1F1F1F"/>
                <w:sz w:val="20"/>
                <w:szCs w:val="20"/>
              </w:rPr>
              <w:t xml:space="preserve">Mention dédiée dans chaque vidéo de tournoi sur Facebook</w:t>
            </w:r>
          </w:p>
          <w:p>
            <w:pPr>
              <w:pStyle w:val="ListParagraph"/>
              <w:numPr>
                <w:ilvl w:val="0"/>
                <w:numId w:val="1"/>
              </w:numPr>
              <w:spacing w:after="60"/>
            </w:pPr>
            <w:r>
              <w:rPr>
                <w:color w:val="1F1F1F"/>
                <w:sz w:val="20"/>
                <w:szCs w:val="20"/>
              </w:rPr>
              <w:t xml:space="preserve">Exclusif : max. 2 sponsors principaux par an</w:t>
            </w:r>
          </w:p>
          <w:p>
            <w:pPr>
              <w:spacing w:before="100"/>
            </w:pPr>
            <w:r>
              <w:rPr>
                <w:i/>
                <w:iCs/>
                <w:color w:val="555555"/>
                <w:sz w:val="18"/>
                <w:szCs w:val="18"/>
              </w:rPr>
              <w:t xml:space="preserve">Pour qui veut vraiment être reconnu par chaque joueur de pétanque.</w:t>
            </w:r>
          </w:p>
        </w:tc>
      </w:tr>
    </w:tbl>
    <w:p>
      <w:pPr>
        <w:spacing w:after="200"/>
      </w:pPr>
    </w:p>
    <w:tbl>
      <w:tblPr>
        <w:tblW w:type="pct" w:w="100%"/>
        <w:tblBorders>
          <w:top w:val="single" w:color="E5E5E5" w:sz="4"/>
          <w:left w:val="single" w:color="E5E5E5" w:sz="4"/>
          <w:bottom w:val="single" w:color="E5E5E5" w:sz="4"/>
          <w:right w:val="single" w:color="E5E5E5" w:sz="4"/>
          <w:insideH w:val="single" w:color="E5E5E5" w:sz="4"/>
          <w:insideV w:val="single" w:color="E5E5E5" w:sz="4"/>
        </w:tblBorders>
      </w:tblPr>
      <w:tblGrid>
        <w:gridCol w:w="100"/>
      </w:tblGrid>
      <w:tr>
        <w:tc>
          <w:tcPr>
            <w:tcW w:type="pct" w:w="100%"/>
            <w:shd w:fill="1F1F1F" w:val="clear"/>
            <w:tcMar>
              <w:top w:type="dxa" w:w="160"/>
              <w:left w:type="dxa" w:w="160"/>
              <w:bottom w:type="dxa" w:w="160"/>
              <w:right w:type="dxa" w:w="160"/>
            </w:tcMar>
          </w:tcPr>
          <w:p>
            <w:r>
              <w:rPr>
                <w:b/>
                <w:bCs/>
                <w:color w:val="FFFFFF"/>
                <w:sz w:val="18"/>
                <w:szCs w:val="18"/>
              </w:rPr>
              <w:t xml:space="preserve">04 — EXCLUSIF, MAX. 1 PAR AN — </w:t>
            </w:r>
            <w:r>
              <w:rPr>
                <w:b/>
                <w:bCs/>
                <w:color w:val="FFFFFF"/>
                <w:sz w:val="24"/>
                <w:szCs w:val="24"/>
              </w:rPr>
              <w:t xml:space="preserve">PARTENAIRE PRINCIPAL MATCH13</w:t>
            </w:r>
          </w:p>
          <w:p>
            <w:pPr>
              <w:spacing w:before="60"/>
            </w:pPr>
            <w:r>
              <w:rPr>
                <w:b/>
                <w:bCs/>
                <w:color w:val="FFFFFF"/>
                <w:sz w:val="30"/>
                <w:szCs w:val="30"/>
              </w:rPr>
              <w:t xml:space="preserve">€2.500 / an</w:t>
            </w:r>
          </w:p>
        </w:tc>
      </w:tr>
      <w:tr>
        <w:tc>
          <w:tcPr>
            <w:tcW w:type="pct" w:w="100%"/>
            <w:tcMar>
              <w:top w:type="dxa" w:w="160"/>
              <w:left w:type="dxa" w:w="200"/>
              <w:bottom w:type="dxa" w:w="120"/>
              <w:right w:type="dxa" w:w="200"/>
            </w:tcMar>
          </w:tcPr>
          <w:p>
            <w:pPr>
              <w:pStyle w:val="ListParagraph"/>
              <w:numPr>
                <w:ilvl w:val="0"/>
                <w:numId w:val="1"/>
              </w:numPr>
              <w:spacing w:after="60"/>
            </w:pPr>
            <w:r>
              <w:rPr>
                <w:color w:val="1F1F1F"/>
                <w:sz w:val="20"/>
                <w:szCs w:val="20"/>
              </w:rPr>
              <w:t xml:space="preserve">Tout ce qui est inclus dans « Sponsor principal »</w:t>
            </w:r>
          </w:p>
          <w:p>
            <w:pPr>
              <w:pStyle w:val="ListParagraph"/>
              <w:numPr>
                <w:ilvl w:val="0"/>
                <w:numId w:val="1"/>
              </w:numPr>
              <w:spacing w:after="60"/>
            </w:pPr>
            <w:r>
              <w:rPr>
                <w:color w:val="1F1F1F"/>
                <w:sz w:val="20"/>
                <w:szCs w:val="20"/>
              </w:rPr>
              <w:t xml:space="preserve">Logo sur chaque fiche de match imprimée, à chaque tour, pour chaque tournoi via Match13</w:t>
            </w:r>
          </w:p>
          <w:p>
            <w:pPr>
              <w:pStyle w:val="ListParagraph"/>
              <w:numPr>
                <w:ilvl w:val="0"/>
                <w:numId w:val="1"/>
              </w:numPr>
              <w:spacing w:after="60"/>
            </w:pPr>
            <w:r>
              <w:rPr>
                <w:color w:val="1F1F1F"/>
                <w:sz w:val="20"/>
                <w:szCs w:val="20"/>
              </w:rPr>
              <w:t xml:space="preserve">Logo sur l'écran de salle pendant le tournoi</w:t>
            </w:r>
          </w:p>
          <w:p>
            <w:pPr>
              <w:pStyle w:val="ListParagraph"/>
              <w:numPr>
                <w:ilvl w:val="0"/>
                <w:numId w:val="1"/>
              </w:numPr>
              <w:spacing w:after="60"/>
            </w:pPr>
            <w:r>
              <w:rPr>
                <w:color w:val="1F1F1F"/>
                <w:sz w:val="20"/>
                <w:szCs w:val="20"/>
              </w:rPr>
              <w:t xml:space="preserve">Visibilité physique et répétée — disponible nulle part ailleurs en Belgique</w:t>
            </w:r>
          </w:p>
          <w:p>
            <w:pPr>
              <w:spacing w:before="100"/>
            </w:pPr>
            <w:r>
              <w:rPr>
                <w:i/>
                <w:iCs/>
                <w:color w:val="555555"/>
                <w:sz w:val="18"/>
                <w:szCs w:val="18"/>
              </w:rPr>
              <w:t xml:space="preserve">L'emplacement logo sur les fiches et l'écran de salle est réalisé dès que ce partenaire s'engage.</w:t>
            </w:r>
          </w:p>
        </w:tc>
      </w:tr>
    </w:tbl>
    <w:p>
      <w:pPr>
        <w:spacing w:after="400" w:before="300"/>
      </w:pPr>
      <w:r>
        <w:rPr>
          <w:i/>
          <w:iCs/>
          <w:color w:val="555555"/>
          <w:sz w:val="20"/>
          <w:szCs w:val="20"/>
        </w:rPr>
        <w:t xml:space="preserve">Ce sont les tarifs fondateurs pour la toute première année. Une fois la portée du site en croissance, les tarifs pourront évoluer les années suivantes.</w:t>
      </w:r>
    </w:p>
    <w:p>
      <w:pPr>
        <w:pStyle w:val="Heading2"/>
        <w:spacing w:after="120" w:before="200"/>
      </w:pPr>
      <w:r>
        <w:rPr>
          <w:b/>
          <w:bCs/>
          <w:color w:val="D62828"/>
        </w:rPr>
        <w:t xml:space="preserve">Intéressé(e) ?</w:t>
      </w:r>
    </w:p>
    <w:p>
      <w:pPr>
        <w:spacing w:after="160"/>
      </w:pPr>
      <w:r>
        <w:rPr>
          <w:color w:val="1F1F1F"/>
          <w:sz w:val="22"/>
          <w:szCs w:val="22"/>
        </w:rPr>
        <w:t xml:space="preserve">Envoyez un e-mail et nous verrons ensemble quelle formule vous convient le mieux — le sur-mesure est aussi possible.</w:t>
      </w:r>
    </w:p>
    <w:p>
      <w:pPr>
        <w:spacing w:after="200"/>
      </w:pPr>
      <w:r>
        <w:rPr>
          <w:b/>
          <w:bCs/>
          <w:color w:val="D62828"/>
          <w:sz w:val="26"/>
          <w:szCs w:val="26"/>
        </w:rPr>
        <w:t xml:space="preserve">info@petanque13.be</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4"/>
        <w:szCs w:val="14"/>
      </w:rPr>
      <w:t xml:space="preserve">Petanque13 — le calendrier belge de la pétanque · petanque13.be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4"/>
        <w:szCs w:val="14"/>
      </w:rPr>
      <w:t xml:space="preserve">PETANQUE13 · SPONSORDOSSIER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6eccab807144163135762e34cbbbb59e27091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2026-09-22T17:50:17.224Z</dcterms:created>
  <dcterms:modified xsi:type="dcterms:W3CDTF">2026-09-22T17:50:17.225Z</dcterms:modified>
</cp:coreProperties>
</file>

<file path=docProps/custom.xml><?xml version="1.0" encoding="utf-8"?>
<Properties xmlns="http://schemas.openxmlformats.org/officeDocument/2006/custom-properties" xmlns:vt="http://schemas.openxmlformats.org/officeDocument/2006/docPropsVTypes"/>
</file>